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8D1C4B">
      <w:pPr>
        <w:widowControl/>
        <w:ind w:left="0" w:leftChars="0" w:firstLine="0" w:firstLineChars="0"/>
        <w:jc w:val="both"/>
        <w:outlineLvl w:val="9"/>
        <w:rPr>
          <w:rFonts w:hint="default" w:ascii="Times New Roman" w:hAnsi="Times New Roman" w:eastAsia="微软雅黑" w:cs="Times New Roman"/>
          <w:snapToGrid w:val="0"/>
          <w:color w:val="auto"/>
          <w:sz w:val="60"/>
          <w:szCs w:val="60"/>
          <w:highlight w:val="none"/>
        </w:rPr>
      </w:pPr>
      <w:bookmarkStart w:id="0" w:name="_Toc30899"/>
      <w:bookmarkStart w:id="1" w:name="_Toc4255"/>
    </w:p>
    <w:p w14:paraId="2550160C">
      <w:pPr>
        <w:widowControl/>
        <w:jc w:val="center"/>
        <w:outlineLvl w:val="9"/>
        <w:rPr>
          <w:rFonts w:hint="default" w:ascii="Times New Roman" w:hAnsi="Times New Roman" w:eastAsia="微软雅黑" w:cs="Times New Roman"/>
          <w:snapToGrid w:val="0"/>
          <w:color w:val="auto"/>
          <w:sz w:val="60"/>
          <w:szCs w:val="60"/>
          <w:highlight w:val="none"/>
        </w:rPr>
      </w:pPr>
      <w:r>
        <w:rPr>
          <w:rFonts w:hint="default" w:ascii="Times New Roman" w:hAnsi="Times New Roman" w:eastAsia="微软雅黑" w:cs="Times New Roman"/>
          <w:snapToGrid w:val="0"/>
          <w:color w:val="auto"/>
          <w:sz w:val="60"/>
          <w:szCs w:val="60"/>
          <w:highlight w:val="none"/>
        </w:rPr>
        <w:t>建设项目环境影响报告表</w:t>
      </w:r>
      <w:bookmarkEnd w:id="0"/>
      <w:bookmarkEnd w:id="1"/>
    </w:p>
    <w:p w14:paraId="26B23D5C">
      <w:pPr>
        <w:widowControl/>
        <w:jc w:val="center"/>
        <w:outlineLvl w:val="9"/>
        <w:rPr>
          <w:rFonts w:hint="default" w:ascii="Times New Roman" w:hAnsi="Times New Roman" w:eastAsia="楷体" w:cs="Times New Roman"/>
          <w:snapToGrid w:val="0"/>
          <w:color w:val="auto"/>
          <w:sz w:val="48"/>
          <w:szCs w:val="48"/>
          <w:highlight w:val="none"/>
        </w:rPr>
      </w:pPr>
      <w:r>
        <w:rPr>
          <w:rFonts w:hint="default" w:ascii="Times New Roman" w:hAnsi="Times New Roman" w:eastAsia="楷体" w:cs="Times New Roman"/>
          <w:snapToGrid w:val="0"/>
          <w:color w:val="auto"/>
          <w:sz w:val="48"/>
          <w:szCs w:val="48"/>
          <w:highlight w:val="none"/>
        </w:rPr>
        <w:t>（污染影响类</w:t>
      </w:r>
      <w:bookmarkStart w:id="5" w:name="_GoBack"/>
      <w:bookmarkEnd w:id="5"/>
      <w:r>
        <w:rPr>
          <w:rFonts w:hint="default" w:ascii="Times New Roman" w:hAnsi="Times New Roman" w:eastAsia="楷体" w:cs="Times New Roman"/>
          <w:snapToGrid w:val="0"/>
          <w:color w:val="auto"/>
          <w:sz w:val="48"/>
          <w:szCs w:val="48"/>
          <w:highlight w:val="none"/>
        </w:rPr>
        <w:t>）</w:t>
      </w:r>
    </w:p>
    <w:p w14:paraId="507295C4">
      <w:pPr>
        <w:widowControl/>
        <w:jc w:val="center"/>
        <w:rPr>
          <w:rFonts w:hint="default" w:ascii="Times New Roman" w:hAnsi="Times New Roman" w:cs="Times New Roman"/>
          <w:snapToGrid w:val="0"/>
          <w:color w:val="auto"/>
          <w:sz w:val="36"/>
          <w:szCs w:val="36"/>
          <w:highlight w:val="none"/>
        </w:rPr>
      </w:pPr>
    </w:p>
    <w:p w14:paraId="4B021392">
      <w:pPr>
        <w:widowControl/>
        <w:jc w:val="center"/>
        <w:rPr>
          <w:rFonts w:hint="default" w:ascii="Times New Roman" w:hAnsi="Times New Roman" w:cs="Times New Roman"/>
          <w:snapToGrid w:val="0"/>
          <w:color w:val="auto"/>
          <w:sz w:val="36"/>
          <w:szCs w:val="36"/>
          <w:highlight w:val="none"/>
        </w:rPr>
      </w:pPr>
    </w:p>
    <w:p w14:paraId="59568D41">
      <w:pPr>
        <w:widowControl/>
        <w:jc w:val="center"/>
        <w:rPr>
          <w:rFonts w:hint="default" w:ascii="Times New Roman" w:hAnsi="Times New Roman" w:cs="Times New Roman"/>
          <w:snapToGrid w:val="0"/>
          <w:color w:val="auto"/>
          <w:sz w:val="36"/>
          <w:szCs w:val="36"/>
          <w:highlight w:val="none"/>
        </w:rPr>
      </w:pPr>
    </w:p>
    <w:p w14:paraId="4128BF9E">
      <w:pPr>
        <w:widowControl/>
        <w:jc w:val="center"/>
        <w:rPr>
          <w:rFonts w:hint="default" w:ascii="Times New Roman" w:hAnsi="Times New Roman" w:cs="Times New Roman"/>
          <w:snapToGrid w:val="0"/>
          <w:color w:val="auto"/>
          <w:sz w:val="36"/>
          <w:szCs w:val="36"/>
          <w:highlight w:val="none"/>
        </w:rPr>
      </w:pPr>
    </w:p>
    <w:p w14:paraId="7DCAD9BF">
      <w:pPr>
        <w:widowControl/>
        <w:jc w:val="center"/>
        <w:rPr>
          <w:rFonts w:hint="default" w:ascii="Times New Roman" w:hAnsi="Times New Roman" w:cs="Times New Roman"/>
          <w:snapToGrid w:val="0"/>
          <w:color w:val="auto"/>
          <w:sz w:val="36"/>
          <w:szCs w:val="36"/>
          <w:highlight w:val="none"/>
        </w:rPr>
      </w:pPr>
    </w:p>
    <w:p w14:paraId="035675EE">
      <w:pPr>
        <w:widowControl/>
        <w:jc w:val="center"/>
        <w:rPr>
          <w:rFonts w:hint="default" w:ascii="Times New Roman" w:hAnsi="Times New Roman" w:cs="Times New Roman"/>
          <w:snapToGrid w:val="0"/>
          <w:color w:val="auto"/>
          <w:sz w:val="36"/>
          <w:szCs w:val="36"/>
          <w:highlight w:val="none"/>
        </w:rPr>
      </w:pPr>
    </w:p>
    <w:p w14:paraId="4CA2E22E">
      <w:pPr>
        <w:widowControl/>
        <w:ind w:left="0" w:leftChars="0" w:firstLine="0" w:firstLineChars="0"/>
        <w:jc w:val="both"/>
        <w:rPr>
          <w:rFonts w:hint="default" w:ascii="Times New Roman" w:hAnsi="Times New Roman" w:cs="Times New Roman"/>
          <w:snapToGrid w:val="0"/>
          <w:color w:val="auto"/>
          <w:sz w:val="36"/>
          <w:szCs w:val="36"/>
          <w:highlight w:val="none"/>
        </w:rPr>
      </w:pPr>
    </w:p>
    <w:p w14:paraId="487E3548">
      <w:pPr>
        <w:widowControl/>
        <w:ind w:left="0" w:leftChars="0" w:firstLine="0" w:firstLineChars="0"/>
        <w:jc w:val="both"/>
        <w:rPr>
          <w:rFonts w:hint="default" w:ascii="Times New Roman" w:hAnsi="Times New Roman" w:cs="Times New Roman"/>
          <w:snapToGrid w:val="0"/>
          <w:color w:val="auto"/>
          <w:sz w:val="36"/>
          <w:szCs w:val="36"/>
          <w:highlight w:val="none"/>
        </w:rPr>
      </w:pPr>
    </w:p>
    <w:p w14:paraId="319E3BB6">
      <w:pPr>
        <w:widowControl/>
        <w:jc w:val="center"/>
        <w:rPr>
          <w:rFonts w:hint="default" w:ascii="Times New Roman" w:hAnsi="Times New Roman" w:cs="Times New Roman"/>
          <w:b/>
          <w:bCs/>
          <w:snapToGrid w:val="0"/>
          <w:color w:val="auto"/>
          <w:sz w:val="36"/>
          <w:szCs w:val="36"/>
          <w:highlight w:val="none"/>
        </w:rPr>
      </w:pPr>
    </w:p>
    <w:p w14:paraId="64421A95">
      <w:pPr>
        <w:widowControl/>
        <w:spacing w:line="360" w:lineRule="auto"/>
        <w:jc w:val="both"/>
        <w:outlineLvl w:val="9"/>
        <w:rPr>
          <w:rFonts w:hint="default" w:ascii="Times New Roman" w:hAnsi="Times New Roman" w:eastAsia="仿宋" w:cs="Times New Roman"/>
          <w:b/>
          <w:bCs/>
          <w:snapToGrid w:val="0"/>
          <w:color w:val="auto"/>
          <w:sz w:val="28"/>
          <w:szCs w:val="28"/>
          <w:highlight w:val="none"/>
          <w:u w:val="single"/>
          <w:lang w:val="en-US"/>
        </w:rPr>
      </w:pPr>
      <w:r>
        <w:rPr>
          <w:rFonts w:hint="default" w:ascii="Times New Roman" w:hAnsi="Times New Roman" w:eastAsia="仿宋" w:cs="Times New Roman"/>
          <w:b/>
          <w:bCs/>
          <w:snapToGrid w:val="0"/>
          <w:color w:val="auto"/>
          <w:kern w:val="0"/>
          <w:sz w:val="28"/>
          <w:szCs w:val="28"/>
          <w:highlight w:val="none"/>
          <w:u w:val="none"/>
          <w:lang w:val="en-US" w:eastAsia="zh-CN"/>
        </w:rPr>
        <w:t>项  目  名  称  ：</w:t>
      </w:r>
      <w:r>
        <w:rPr>
          <w:rFonts w:hint="eastAsia" w:eastAsia="仿宋" w:cs="Times New Roman"/>
          <w:b/>
          <w:bCs/>
          <w:snapToGrid w:val="0"/>
          <w:color w:val="auto"/>
          <w:kern w:val="0"/>
          <w:sz w:val="28"/>
          <w:szCs w:val="28"/>
          <w:highlight w:val="none"/>
          <w:u w:val="single"/>
          <w:lang w:val="en-US" w:eastAsia="zh-CN"/>
        </w:rPr>
        <w:t xml:space="preserve">   </w:t>
      </w:r>
      <w:r>
        <w:rPr>
          <w:rFonts w:hint="eastAsia"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eastAsia="仿宋" w:cs="Times New Roman"/>
          <w:b/>
          <w:bCs/>
          <w:snapToGrid w:val="0"/>
          <w:color w:val="auto"/>
          <w:kern w:val="0"/>
          <w:sz w:val="28"/>
          <w:szCs w:val="28"/>
          <w:highlight w:val="none"/>
          <w:u w:val="single"/>
          <w:lang w:val="en-US" w:eastAsia="zh-CN"/>
        </w:rPr>
        <w:t xml:space="preserve"> 北京泰康燕园康复医院扩建</w:t>
      </w:r>
      <w:r>
        <w:rPr>
          <w:rFonts w:hint="eastAsia" w:ascii="Times New Roman" w:hAnsi="Times New Roman" w:eastAsia="仿宋" w:cs="Times New Roman"/>
          <w:b/>
          <w:bCs/>
          <w:snapToGrid w:val="0"/>
          <w:color w:val="auto"/>
          <w:kern w:val="0"/>
          <w:sz w:val="28"/>
          <w:szCs w:val="28"/>
          <w:highlight w:val="none"/>
          <w:u w:val="single"/>
          <w:lang w:val="en-US" w:eastAsia="zh-CN"/>
        </w:rPr>
        <w:t>项目</w:t>
      </w:r>
      <w:r>
        <w:rPr>
          <w:rFonts w:hint="eastAsia" w:eastAsia="仿宋" w:cs="Times New Roman"/>
          <w:b/>
          <w:bCs/>
          <w:snapToGrid w:val="0"/>
          <w:color w:val="auto"/>
          <w:kern w:val="0"/>
          <w:sz w:val="28"/>
          <w:szCs w:val="28"/>
          <w:highlight w:val="none"/>
          <w:u w:val="single"/>
          <w:lang w:val="en-US" w:eastAsia="zh-CN"/>
        </w:rPr>
        <w:t xml:space="preserve">         </w:t>
      </w:r>
    </w:p>
    <w:p w14:paraId="4FA85862">
      <w:pPr>
        <w:widowControl/>
        <w:spacing w:line="360" w:lineRule="auto"/>
        <w:jc w:val="both"/>
        <w:outlineLvl w:val="9"/>
        <w:rPr>
          <w:rFonts w:hint="default" w:ascii="Times New Roman" w:hAnsi="Times New Roman" w:eastAsia="仿宋" w:cs="Times New Roman"/>
          <w:b/>
          <w:bCs/>
          <w:snapToGrid w:val="0"/>
          <w:color w:val="auto"/>
          <w:kern w:val="0"/>
          <w:sz w:val="28"/>
          <w:szCs w:val="28"/>
          <w:highlight w:val="none"/>
          <w:u w:val="single"/>
          <w:lang w:val="en-US" w:eastAsia="zh-CN"/>
        </w:rPr>
      </w:pPr>
      <w:r>
        <w:rPr>
          <w:rFonts w:hint="default" w:ascii="Times New Roman" w:hAnsi="Times New Roman" w:eastAsia="仿宋" w:cs="Times New Roman"/>
          <w:b/>
          <w:bCs/>
          <w:snapToGrid w:val="0"/>
          <w:color w:val="auto"/>
          <w:kern w:val="0"/>
          <w:sz w:val="28"/>
          <w:szCs w:val="28"/>
          <w:highlight w:val="none"/>
          <w:u w:val="none"/>
          <w:lang w:val="en-US" w:eastAsia="zh-CN"/>
        </w:rPr>
        <w:t>建设单位（盖章）：</w:t>
      </w:r>
      <w:r>
        <w:rPr>
          <w:rFonts w:hint="eastAsia" w:eastAsia="仿宋" w:cs="Times New Roman"/>
          <w:b/>
          <w:bCs/>
          <w:snapToGrid w:val="0"/>
          <w:color w:val="auto"/>
          <w:kern w:val="0"/>
          <w:sz w:val="28"/>
          <w:szCs w:val="28"/>
          <w:highlight w:val="none"/>
          <w:u w:val="single"/>
          <w:lang w:val="en-US" w:eastAsia="zh-CN"/>
        </w:rPr>
        <w:t xml:space="preserve">       北京泰康燕园康复医院</w:t>
      </w:r>
      <w:r>
        <w:rPr>
          <w:rFonts w:hint="eastAsia" w:ascii="Times New Roman" w:hAnsi="Times New Roman" w:eastAsia="仿宋" w:cs="Times New Roman"/>
          <w:b/>
          <w:bCs/>
          <w:snapToGrid w:val="0"/>
          <w:color w:val="auto"/>
          <w:kern w:val="0"/>
          <w:sz w:val="28"/>
          <w:szCs w:val="28"/>
          <w:highlight w:val="none"/>
          <w:u w:val="single"/>
          <w:lang w:val="en-US" w:eastAsia="zh-CN"/>
        </w:rPr>
        <w:t>有限公司</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eastAsia="仿宋" w:cs="Times New Roman"/>
          <w:b/>
          <w:bCs/>
          <w:snapToGrid w:val="0"/>
          <w:color w:val="auto"/>
          <w:kern w:val="0"/>
          <w:sz w:val="28"/>
          <w:szCs w:val="28"/>
          <w:highlight w:val="none"/>
          <w:u w:val="single"/>
          <w:lang w:val="en-US" w:eastAsia="zh-CN"/>
        </w:rPr>
        <w:t xml:space="preserve">  </w:t>
      </w:r>
    </w:p>
    <w:p w14:paraId="7634A41E">
      <w:pPr>
        <w:widowControl/>
        <w:spacing w:line="360" w:lineRule="auto"/>
        <w:jc w:val="both"/>
        <w:outlineLvl w:val="9"/>
        <w:rPr>
          <w:rFonts w:hint="default" w:ascii="Times New Roman" w:hAnsi="Times New Roman" w:eastAsia="仿宋" w:cs="Times New Roman"/>
          <w:b/>
          <w:bCs/>
          <w:snapToGrid w:val="0"/>
          <w:color w:val="auto"/>
          <w:sz w:val="28"/>
          <w:szCs w:val="28"/>
          <w:highlight w:val="none"/>
          <w:u w:val="single"/>
          <w:lang w:val="en-US" w:eastAsia="zh-CN"/>
        </w:rPr>
      </w:pPr>
      <w:r>
        <w:rPr>
          <w:rFonts w:hint="default" w:ascii="Times New Roman" w:hAnsi="Times New Roman" w:eastAsia="仿宋" w:cs="Times New Roman"/>
          <w:b/>
          <w:bCs/>
          <w:snapToGrid w:val="0"/>
          <w:color w:val="auto"/>
          <w:kern w:val="0"/>
          <w:sz w:val="28"/>
          <w:szCs w:val="28"/>
          <w:highlight w:val="none"/>
          <w:u w:val="none"/>
          <w:lang w:val="en-US" w:eastAsia="zh-CN"/>
        </w:rPr>
        <w:t>编  制  日  期  ：</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eastAsia="仿宋" w:cs="Times New Roman"/>
          <w:b/>
          <w:bCs/>
          <w:snapToGrid w:val="0"/>
          <w:color w:val="auto"/>
          <w:kern w:val="0"/>
          <w:sz w:val="28"/>
          <w:szCs w:val="28"/>
          <w:highlight w:val="none"/>
          <w:u w:val="single"/>
          <w:lang w:val="en-US" w:eastAsia="zh-CN"/>
        </w:rPr>
        <w:t xml:space="preserve">  </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202</w:t>
      </w:r>
      <w:r>
        <w:rPr>
          <w:rFonts w:hint="eastAsia" w:eastAsia="仿宋" w:cs="Times New Roman"/>
          <w:b/>
          <w:bCs/>
          <w:snapToGrid w:val="0"/>
          <w:color w:val="auto"/>
          <w:kern w:val="0"/>
          <w:sz w:val="28"/>
          <w:szCs w:val="28"/>
          <w:highlight w:val="none"/>
          <w:u w:val="single"/>
          <w:lang w:val="en-US" w:eastAsia="zh-CN"/>
        </w:rPr>
        <w:t>6</w:t>
      </w:r>
      <w:r>
        <w:rPr>
          <w:rFonts w:hint="default" w:ascii="Times New Roman" w:hAnsi="Times New Roman" w:eastAsia="仿宋" w:cs="Times New Roman"/>
          <w:b/>
          <w:bCs/>
          <w:snapToGrid w:val="0"/>
          <w:color w:val="auto"/>
          <w:kern w:val="0"/>
          <w:sz w:val="28"/>
          <w:szCs w:val="28"/>
          <w:highlight w:val="none"/>
          <w:u w:val="single"/>
          <w:lang w:val="en-US" w:eastAsia="zh-CN"/>
        </w:rPr>
        <w:t>年</w:t>
      </w:r>
      <w:r>
        <w:rPr>
          <w:rFonts w:hint="eastAsia" w:eastAsia="仿宋" w:cs="Times New Roman"/>
          <w:b/>
          <w:bCs/>
          <w:snapToGrid w:val="0"/>
          <w:color w:val="auto"/>
          <w:kern w:val="0"/>
          <w:sz w:val="28"/>
          <w:szCs w:val="28"/>
          <w:highlight w:val="none"/>
          <w:u w:val="single"/>
          <w:lang w:val="en-US" w:eastAsia="zh-CN"/>
        </w:rPr>
        <w:t>4</w:t>
      </w:r>
      <w:r>
        <w:rPr>
          <w:rFonts w:hint="default" w:ascii="Times New Roman" w:hAnsi="Times New Roman" w:eastAsia="仿宋" w:cs="Times New Roman"/>
          <w:b/>
          <w:bCs/>
          <w:snapToGrid w:val="0"/>
          <w:color w:val="auto"/>
          <w:kern w:val="0"/>
          <w:sz w:val="28"/>
          <w:szCs w:val="28"/>
          <w:highlight w:val="none"/>
          <w:u w:val="single"/>
          <w:lang w:val="en-US" w:eastAsia="zh-CN"/>
        </w:rPr>
        <w:t xml:space="preserve">月    </w:t>
      </w:r>
      <w:r>
        <w:rPr>
          <w:rFonts w:hint="eastAsia" w:eastAsia="仿宋" w:cs="Times New Roman"/>
          <w:b/>
          <w:bCs/>
          <w:snapToGrid w:val="0"/>
          <w:color w:val="auto"/>
          <w:kern w:val="0"/>
          <w:sz w:val="28"/>
          <w:szCs w:val="28"/>
          <w:highlight w:val="none"/>
          <w:u w:val="single"/>
          <w:lang w:val="en-US" w:eastAsia="zh-CN"/>
        </w:rPr>
        <w:t xml:space="preserve">  </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eastAsia="仿宋" w:cs="Times New Roman"/>
          <w:b/>
          <w:bCs/>
          <w:snapToGrid w:val="0"/>
          <w:color w:val="auto"/>
          <w:kern w:val="0"/>
          <w:sz w:val="28"/>
          <w:szCs w:val="28"/>
          <w:highlight w:val="none"/>
          <w:u w:val="single"/>
          <w:lang w:val="en-US" w:eastAsia="zh-CN"/>
        </w:rPr>
        <w:t xml:space="preserve">  </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w:t>
      </w:r>
      <w:r>
        <w:rPr>
          <w:rFonts w:hint="eastAsia" w:eastAsia="仿宋" w:cs="Times New Roman"/>
          <w:b/>
          <w:bCs/>
          <w:snapToGrid w:val="0"/>
          <w:color w:val="auto"/>
          <w:kern w:val="0"/>
          <w:sz w:val="28"/>
          <w:szCs w:val="28"/>
          <w:highlight w:val="none"/>
          <w:u w:val="single"/>
          <w:lang w:val="en-US" w:eastAsia="zh-CN"/>
        </w:rPr>
        <w:t xml:space="preserve">       </w:t>
      </w:r>
      <w:r>
        <w:rPr>
          <w:rFonts w:hint="default" w:ascii="Times New Roman" w:hAnsi="Times New Roman" w:eastAsia="仿宋" w:cs="Times New Roman"/>
          <w:b/>
          <w:bCs/>
          <w:snapToGrid w:val="0"/>
          <w:color w:val="auto"/>
          <w:kern w:val="0"/>
          <w:sz w:val="28"/>
          <w:szCs w:val="28"/>
          <w:highlight w:val="none"/>
          <w:u w:val="single"/>
          <w:lang w:val="en-US" w:eastAsia="zh-CN"/>
        </w:rPr>
        <w:t xml:space="preserve"> </w:t>
      </w:r>
    </w:p>
    <w:p w14:paraId="0B694B7A">
      <w:pPr>
        <w:widowControl/>
        <w:ind w:firstLine="1800" w:firstLineChars="500"/>
        <w:jc w:val="left"/>
        <w:rPr>
          <w:rFonts w:hint="default" w:ascii="Times New Roman" w:hAnsi="Times New Roman" w:cs="Times New Roman" w:eastAsiaTheme="majorHAnsi"/>
          <w:snapToGrid w:val="0"/>
          <w:color w:val="auto"/>
          <w:kern w:val="0"/>
          <w:sz w:val="36"/>
          <w:szCs w:val="36"/>
          <w:highlight w:val="none"/>
          <w:lang w:val="en-US"/>
        </w:rPr>
      </w:pPr>
    </w:p>
    <w:p w14:paraId="06A80FDF">
      <w:pPr>
        <w:widowControl/>
        <w:ind w:firstLine="1800" w:firstLineChars="500"/>
        <w:jc w:val="left"/>
        <w:rPr>
          <w:rFonts w:hint="default" w:ascii="Times New Roman" w:hAnsi="Times New Roman" w:cs="Times New Roman" w:eastAsiaTheme="majorHAnsi"/>
          <w:snapToGrid w:val="0"/>
          <w:color w:val="auto"/>
          <w:kern w:val="0"/>
          <w:sz w:val="36"/>
          <w:szCs w:val="36"/>
          <w:highlight w:val="none"/>
          <w:lang w:val="en-US"/>
        </w:rPr>
      </w:pPr>
    </w:p>
    <w:p w14:paraId="190DDE3B">
      <w:pPr>
        <w:keepNext w:val="0"/>
        <w:keepLines w:val="0"/>
        <w:pageBreakBefore w:val="0"/>
        <w:widowControl/>
        <w:kinsoku/>
        <w:wordWrap/>
        <w:overflowPunct/>
        <w:topLinePunct w:val="0"/>
        <w:autoSpaceDE/>
        <w:autoSpaceDN/>
        <w:bidi w:val="0"/>
        <w:adjustRightInd/>
        <w:snapToGrid/>
        <w:ind w:left="0" w:leftChars="0" w:firstLine="0" w:firstLineChars="0"/>
        <w:jc w:val="left"/>
        <w:textAlignment w:val="auto"/>
        <w:rPr>
          <w:rFonts w:hint="default" w:ascii="Times New Roman" w:hAnsi="Times New Roman" w:cs="Times New Roman" w:eastAsiaTheme="majorHAnsi"/>
          <w:snapToGrid w:val="0"/>
          <w:color w:val="auto"/>
          <w:kern w:val="0"/>
          <w:sz w:val="36"/>
          <w:szCs w:val="36"/>
          <w:highlight w:val="none"/>
          <w:lang w:val="en-US"/>
        </w:rPr>
      </w:pPr>
    </w:p>
    <w:p w14:paraId="6BA2C99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黑体" w:cs="Times New Roman"/>
          <w:b w:val="0"/>
          <w:bCs w:val="0"/>
          <w:vanish/>
          <w:color w:val="auto"/>
          <w:kern w:val="44"/>
          <w:sz w:val="36"/>
          <w:szCs w:val="36"/>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Times New Roman" w:hAnsi="Times New Roman" w:eastAsia="楷体" w:cs="Times New Roman"/>
          <w:snapToGrid w:val="0"/>
          <w:color w:val="auto"/>
          <w:kern w:val="0"/>
          <w:sz w:val="36"/>
          <w:szCs w:val="36"/>
          <w:highlight w:val="none"/>
          <w:lang w:eastAsia="zh-CN"/>
        </w:rPr>
        <w:t>中华人民共和国生态环境部</w:t>
      </w:r>
    </w:p>
    <w:p w14:paraId="4A6B3907">
      <w:pPr>
        <w:keepNext w:val="0"/>
        <w:keepLines w:val="0"/>
        <w:pageBreakBefore/>
        <w:widowControl w:val="0"/>
        <w:kinsoku/>
        <w:wordWrap/>
        <w:overflowPunct/>
        <w:topLinePunct w:val="0"/>
        <w:autoSpaceDE/>
        <w:autoSpaceDN/>
        <w:bidi w:val="0"/>
        <w:adjustRightInd/>
        <w:snapToGrid/>
        <w:textAlignment w:val="auto"/>
        <w:rPr>
          <w:highlight w:val="none"/>
        </w:rPr>
      </w:pPr>
    </w:p>
    <w:p w14:paraId="054E1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highlight w:val="none"/>
          <w:lang w:eastAsia="zh-CN"/>
          <w14:textFill>
            <w14:solidFill>
              <w14:schemeClr w14:val="tx1"/>
            </w14:solidFill>
          </w14:textFill>
        </w:rPr>
      </w:pPr>
    </w:p>
    <w:p w14:paraId="03C72A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themeColor="text1"/>
          <w:highlight w:val="none"/>
          <w14:textFill>
            <w14:solidFill>
              <w14:schemeClr w14:val="tx1"/>
            </w14:solidFill>
          </w14:textFill>
        </w:rPr>
        <w:sectPr>
          <w:footerReference r:id="rId5" w:type="default"/>
          <w:pgSz w:w="11905" w:h="16838"/>
          <w:pgMar w:top="1814" w:right="1474" w:bottom="1474" w:left="1474" w:header="850" w:footer="850" w:gutter="0"/>
          <w:pgBorders>
            <w:top w:val="none" w:sz="0" w:space="0"/>
            <w:left w:val="none" w:sz="0" w:space="0"/>
            <w:bottom w:val="none" w:sz="0" w:space="0"/>
            <w:right w:val="none" w:sz="0" w:space="0"/>
          </w:pgBorders>
          <w:pgNumType w:start="1"/>
          <w:cols w:space="0" w:num="1"/>
          <w:docGrid w:linePitch="312" w:charSpace="0"/>
        </w:sectPr>
      </w:pPr>
    </w:p>
    <w:p w14:paraId="3C94E98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anchor distT="0" distB="0" distL="114300" distR="114300" simplePos="0" relativeHeight="251693056" behindDoc="0" locked="0" layoutInCell="1" allowOverlap="1">
            <wp:simplePos x="0" y="0"/>
            <wp:positionH relativeFrom="column">
              <wp:posOffset>50165</wp:posOffset>
            </wp:positionH>
            <wp:positionV relativeFrom="paragraph">
              <wp:posOffset>278130</wp:posOffset>
            </wp:positionV>
            <wp:extent cx="5581650" cy="3914775"/>
            <wp:effectExtent l="0" t="0" r="0" b="9525"/>
            <wp:wrapTopAndBottom/>
            <wp:docPr id="2" name="图片 2" descr="808ec5190476b5c1c41bc9f519b5c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08ec5190476b5c1c41bc9f519b5c06b"/>
                    <pic:cNvPicPr>
                      <a:picLocks noChangeAspect="1"/>
                    </pic:cNvPicPr>
                  </pic:nvPicPr>
                  <pic:blipFill>
                    <a:blip r:embed="rId10"/>
                    <a:stretch>
                      <a:fillRect/>
                    </a:stretch>
                  </pic:blipFill>
                  <pic:spPr>
                    <a:xfrm>
                      <a:off x="0" y="0"/>
                      <a:ext cx="5581650" cy="3914775"/>
                    </a:xfrm>
                    <a:prstGeom prst="rect">
                      <a:avLst/>
                    </a:prstGeom>
                  </pic:spPr>
                </pic:pic>
              </a:graphicData>
            </a:graphic>
          </wp:anchor>
        </w:drawing>
      </w:r>
    </w:p>
    <w:p w14:paraId="2A4F0325">
      <w:pPr>
        <w:rPr>
          <w:rFonts w:hint="eastAsia" w:eastAsia="宋体"/>
          <w:color w:val="000000" w:themeColor="text1"/>
          <w:highlight w:val="none"/>
          <w:lang w:eastAsia="zh-CN"/>
          <w14:textFill>
            <w14:solidFill>
              <w14:schemeClr w14:val="tx1"/>
            </w14:solidFill>
          </w14:textFill>
        </w:rPr>
      </w:pPr>
    </w:p>
    <w:p w14:paraId="2BA78106">
      <w:pPr>
        <w:pStyle w:val="2"/>
        <w:jc w:val="center"/>
        <w:rPr>
          <w:rFonts w:hint="eastAsia" w:ascii="黑体" w:hAnsi="黑体" w:eastAsia="黑体" w:cs="黑体"/>
          <w:color w:val="000000" w:themeColor="text1"/>
          <w:sz w:val="30"/>
          <w:szCs w:val="30"/>
          <w:highlight w:val="none"/>
          <w14:textFill>
            <w14:solidFill>
              <w14:schemeClr w14:val="tx1"/>
            </w14:solidFill>
          </w14:textFill>
        </w:rPr>
        <w:sectPr>
          <w:pgSz w:w="11905" w:h="16838"/>
          <w:pgMar w:top="1814" w:right="1474" w:bottom="1474" w:left="1474" w:header="850" w:footer="850" w:gutter="0"/>
          <w:pgBorders>
            <w:top w:val="none" w:sz="0" w:space="0"/>
            <w:left w:val="none" w:sz="0" w:space="0"/>
            <w:bottom w:val="none" w:sz="0" w:space="0"/>
            <w:right w:val="none" w:sz="0" w:space="0"/>
          </w:pgBorders>
          <w:pgNumType w:start="1"/>
          <w:cols w:space="0" w:num="1"/>
          <w:docGrid w:linePitch="312" w:charSpace="0"/>
        </w:sectPr>
      </w:pPr>
    </w:p>
    <w:p w14:paraId="3EC7CDB8">
      <w:pPr>
        <w:pStyle w:val="2"/>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一、建设项目基本情况</w:t>
      </w:r>
    </w:p>
    <w:tbl>
      <w:tblPr>
        <w:tblStyle w:val="16"/>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86"/>
        <w:gridCol w:w="2706"/>
        <w:gridCol w:w="1947"/>
        <w:gridCol w:w="2922"/>
      </w:tblGrid>
      <w:tr w14:paraId="2BFD57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0320F785">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建设项目</w:t>
            </w:r>
          </w:p>
          <w:p w14:paraId="1159804A">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名称</w:t>
            </w:r>
          </w:p>
        </w:tc>
        <w:tc>
          <w:tcPr>
            <w:tcW w:w="4226" w:type="pct"/>
            <w:gridSpan w:val="3"/>
            <w:vAlign w:val="center"/>
          </w:tcPr>
          <w:p w14:paraId="613D2A11">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北京泰康燕园康复医院扩建项目</w:t>
            </w:r>
          </w:p>
        </w:tc>
      </w:tr>
      <w:tr w14:paraId="3DE70A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202E7D37">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项目代码</w:t>
            </w:r>
          </w:p>
        </w:tc>
        <w:tc>
          <w:tcPr>
            <w:tcW w:w="4226" w:type="pct"/>
            <w:gridSpan w:val="3"/>
            <w:vAlign w:val="center"/>
          </w:tcPr>
          <w:p w14:paraId="7E3124A5">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p>
        </w:tc>
      </w:tr>
      <w:tr w14:paraId="6A0AA2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310BDF74">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建设单位</w:t>
            </w:r>
          </w:p>
          <w:p w14:paraId="307B39F5">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联系人</w:t>
            </w:r>
          </w:p>
        </w:tc>
        <w:tc>
          <w:tcPr>
            <w:tcW w:w="1509" w:type="pct"/>
            <w:vAlign w:val="center"/>
          </w:tcPr>
          <w:p w14:paraId="036828BB">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魏大山</w:t>
            </w:r>
          </w:p>
        </w:tc>
        <w:tc>
          <w:tcPr>
            <w:tcW w:w="1086" w:type="pct"/>
            <w:vAlign w:val="center"/>
          </w:tcPr>
          <w:p w14:paraId="4267CA38">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联系方式</w:t>
            </w:r>
          </w:p>
        </w:tc>
        <w:tc>
          <w:tcPr>
            <w:tcW w:w="1630" w:type="pct"/>
            <w:vAlign w:val="center"/>
          </w:tcPr>
          <w:p w14:paraId="3CCE80ED">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18511488026</w:t>
            </w:r>
          </w:p>
        </w:tc>
      </w:tr>
      <w:tr w14:paraId="69B2BE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7555657C">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建设地点</w:t>
            </w:r>
          </w:p>
        </w:tc>
        <w:tc>
          <w:tcPr>
            <w:tcW w:w="4226" w:type="pct"/>
            <w:gridSpan w:val="3"/>
            <w:vAlign w:val="center"/>
          </w:tcPr>
          <w:p w14:paraId="435A92D1">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北京市昌平区南邵镇景荣街2号院3号楼-1至8层、文智路17号院9号楼1层北侧区域</w:t>
            </w:r>
          </w:p>
        </w:tc>
      </w:tr>
      <w:tr w14:paraId="21287C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1499966D">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地理坐标</w:t>
            </w:r>
          </w:p>
        </w:tc>
        <w:tc>
          <w:tcPr>
            <w:tcW w:w="4226" w:type="pct"/>
            <w:gridSpan w:val="3"/>
            <w:vAlign w:val="center"/>
          </w:tcPr>
          <w:p w14:paraId="1136D553">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东经 11</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14:textFill>
                  <w14:solidFill>
                    <w14:schemeClr w14:val="tx1"/>
                  </w14:solidFill>
                </w14:textFill>
              </w:rPr>
              <w:t xml:space="preserve"> 度 </w:t>
            </w:r>
            <w:r>
              <w:rPr>
                <w:rFonts w:hint="eastAsia"/>
                <w:color w:val="000000" w:themeColor="text1"/>
                <w:highlight w:val="none"/>
                <w:lang w:val="en-US" w:eastAsia="zh-CN"/>
                <w14:textFill>
                  <w14:solidFill>
                    <w14:schemeClr w14:val="tx1"/>
                  </w14:solidFill>
                </w14:textFill>
              </w:rPr>
              <w:t>16</w:t>
            </w:r>
            <w:r>
              <w:rPr>
                <w:rFonts w:hint="default"/>
                <w:color w:val="000000" w:themeColor="text1"/>
                <w:highlight w:val="none"/>
                <w14:textFill>
                  <w14:solidFill>
                    <w14:schemeClr w14:val="tx1"/>
                  </w14:solidFill>
                </w14:textFill>
              </w:rPr>
              <w:t xml:space="preserve"> 分 </w:t>
            </w:r>
            <w:r>
              <w:rPr>
                <w:rFonts w:hint="eastAsia"/>
                <w:color w:val="000000" w:themeColor="text1"/>
                <w:highlight w:val="none"/>
                <w:lang w:val="en-US" w:eastAsia="zh-CN"/>
                <w14:textFill>
                  <w14:solidFill>
                    <w14:schemeClr w14:val="tx1"/>
                  </w14:solidFill>
                </w14:textFill>
              </w:rPr>
              <w:t>31.450</w:t>
            </w:r>
            <w:r>
              <w:rPr>
                <w:rFonts w:hint="default"/>
                <w:color w:val="000000" w:themeColor="text1"/>
                <w:highlight w:val="none"/>
                <w14:textFill>
                  <w14:solidFill>
                    <w14:schemeClr w14:val="tx1"/>
                  </w14:solidFill>
                </w14:textFill>
              </w:rPr>
              <w:t xml:space="preserve"> 秒，北纬 </w:t>
            </w:r>
            <w:r>
              <w:rPr>
                <w:rFonts w:hint="eastAsia"/>
                <w:color w:val="000000" w:themeColor="text1"/>
                <w:highlight w:val="none"/>
                <w:lang w:val="en-US" w:eastAsia="zh-CN"/>
                <w14:textFill>
                  <w14:solidFill>
                    <w14:schemeClr w14:val="tx1"/>
                  </w14:solidFill>
                </w14:textFill>
              </w:rPr>
              <w:t>40</w:t>
            </w:r>
            <w:r>
              <w:rPr>
                <w:rFonts w:hint="default"/>
                <w:color w:val="000000" w:themeColor="text1"/>
                <w:highlight w:val="none"/>
                <w14:textFill>
                  <w14:solidFill>
                    <w14:schemeClr w14:val="tx1"/>
                  </w14:solidFill>
                </w14:textFill>
              </w:rPr>
              <w:t xml:space="preserve"> 度 </w:t>
            </w:r>
            <w:r>
              <w:rPr>
                <w:rFonts w:hint="eastAsia"/>
                <w:color w:val="000000" w:themeColor="text1"/>
                <w:highlight w:val="none"/>
                <w:lang w:val="en-US" w:eastAsia="zh-CN"/>
                <w14:textFill>
                  <w14:solidFill>
                    <w14:schemeClr w14:val="tx1"/>
                  </w14:solidFill>
                </w14:textFill>
              </w:rPr>
              <w:t>12</w:t>
            </w:r>
            <w:r>
              <w:rPr>
                <w:rFonts w:hint="default"/>
                <w:color w:val="000000" w:themeColor="text1"/>
                <w:highlight w:val="none"/>
                <w14:textFill>
                  <w14:solidFill>
                    <w14:schemeClr w14:val="tx1"/>
                  </w14:solidFill>
                </w14:textFill>
              </w:rPr>
              <w:t xml:space="preserve"> 分 </w:t>
            </w:r>
            <w:r>
              <w:rPr>
                <w:rFonts w:hint="eastAsia"/>
                <w:color w:val="000000" w:themeColor="text1"/>
                <w:highlight w:val="none"/>
                <w:lang w:val="en-US" w:eastAsia="zh-CN"/>
                <w14:textFill>
                  <w14:solidFill>
                    <w14:schemeClr w14:val="tx1"/>
                  </w14:solidFill>
                </w14:textFill>
              </w:rPr>
              <w:t>24.372</w:t>
            </w:r>
            <w:r>
              <w:rPr>
                <w:rFonts w:hint="default"/>
                <w:color w:val="000000" w:themeColor="text1"/>
                <w:highlight w:val="none"/>
                <w14:textFill>
                  <w14:solidFill>
                    <w14:schemeClr w14:val="tx1"/>
                  </w14:solidFill>
                </w14:textFill>
              </w:rPr>
              <w:t xml:space="preserve"> 秒</w:t>
            </w:r>
          </w:p>
        </w:tc>
      </w:tr>
      <w:tr w14:paraId="7D6EE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173B733B">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国民经济</w:t>
            </w:r>
          </w:p>
          <w:p w14:paraId="247D3013">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行业类别</w:t>
            </w:r>
          </w:p>
        </w:tc>
        <w:tc>
          <w:tcPr>
            <w:tcW w:w="1509" w:type="pct"/>
            <w:vAlign w:val="center"/>
          </w:tcPr>
          <w:p w14:paraId="782FA5AE">
            <w:pPr>
              <w:pStyle w:val="37"/>
              <w:keepNext w:val="0"/>
              <w:keepLines w:val="0"/>
              <w:suppressLineNumbers w:val="0"/>
              <w:bidi w:val="0"/>
              <w:spacing w:before="0" w:beforeAutospacing="0" w:after="0" w:afterAutospacing="0"/>
              <w:ind w:left="0" w:right="0"/>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Q8415专科医院</w:t>
            </w:r>
          </w:p>
        </w:tc>
        <w:tc>
          <w:tcPr>
            <w:tcW w:w="1086" w:type="pct"/>
            <w:vAlign w:val="center"/>
          </w:tcPr>
          <w:p w14:paraId="75EEC0B4">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建设项目</w:t>
            </w:r>
          </w:p>
          <w:p w14:paraId="08A3024E">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行业类别</w:t>
            </w:r>
          </w:p>
        </w:tc>
        <w:tc>
          <w:tcPr>
            <w:tcW w:w="1630" w:type="pct"/>
            <w:vAlign w:val="center"/>
          </w:tcPr>
          <w:p w14:paraId="61ECEB21">
            <w:pPr>
              <w:pStyle w:val="37"/>
              <w:keepNext w:val="0"/>
              <w:keepLines w:val="0"/>
              <w:suppressLineNumbers w:val="0"/>
              <w:bidi w:val="0"/>
              <w:spacing w:before="0" w:beforeAutospacing="0" w:after="0" w:afterAutospacing="0"/>
              <w:ind w:left="0" w:right="0"/>
              <w:jc w:val="both"/>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四十九、卫生：医院841-其他（住院床位20张以下的除外）</w:t>
            </w:r>
          </w:p>
        </w:tc>
      </w:tr>
      <w:tr w14:paraId="02D9C5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53A6AA6D">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建设性质</w:t>
            </w:r>
          </w:p>
        </w:tc>
        <w:tc>
          <w:tcPr>
            <w:tcW w:w="1509" w:type="pct"/>
            <w:vAlign w:val="center"/>
          </w:tcPr>
          <w:p w14:paraId="173F30D9">
            <w:pPr>
              <w:pStyle w:val="37"/>
              <w:keepNext w:val="0"/>
              <w:keepLines w:val="0"/>
              <w:suppressLineNumbers w:val="0"/>
              <w:bidi w:val="0"/>
              <w:spacing w:before="0" w:beforeAutospacing="0" w:after="0" w:afterAutospacing="0" w:line="240" w:lineRule="auto"/>
              <w:ind w:left="0" w:right="0"/>
              <w:jc w:val="both"/>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新建（迁建）</w:t>
            </w:r>
          </w:p>
          <w:p w14:paraId="2986B88B">
            <w:pPr>
              <w:pStyle w:val="37"/>
              <w:keepNext w:val="0"/>
              <w:keepLines w:val="0"/>
              <w:suppressLineNumbers w:val="0"/>
              <w:bidi w:val="0"/>
              <w:spacing w:before="0" w:beforeAutospacing="0" w:after="0" w:afterAutospacing="0" w:line="240" w:lineRule="auto"/>
              <w:ind w:left="0" w:right="0"/>
              <w:jc w:val="both"/>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改建</w:t>
            </w:r>
          </w:p>
          <w:p w14:paraId="202373FA">
            <w:pPr>
              <w:pStyle w:val="37"/>
              <w:keepNext w:val="0"/>
              <w:keepLines w:val="0"/>
              <w:suppressLineNumbers w:val="0"/>
              <w:bidi w:val="0"/>
              <w:spacing w:before="0" w:beforeAutospacing="0" w:after="0" w:afterAutospacing="0" w:line="240" w:lineRule="auto"/>
              <w:ind w:left="0" w:right="0"/>
              <w:jc w:val="both"/>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FE"/>
            </w:r>
            <w:r>
              <w:rPr>
                <w:rFonts w:hint="default"/>
                <w:color w:val="000000" w:themeColor="text1"/>
                <w:highlight w:val="none"/>
                <w14:textFill>
                  <w14:solidFill>
                    <w14:schemeClr w14:val="tx1"/>
                  </w14:solidFill>
                </w14:textFill>
              </w:rPr>
              <w:t>扩建</w:t>
            </w:r>
          </w:p>
          <w:p w14:paraId="3FB6FF16">
            <w:pPr>
              <w:pStyle w:val="37"/>
              <w:keepNext w:val="0"/>
              <w:keepLines w:val="0"/>
              <w:suppressLineNumbers w:val="0"/>
              <w:bidi w:val="0"/>
              <w:spacing w:before="0" w:beforeAutospacing="0" w:after="0" w:afterAutospacing="0" w:line="240" w:lineRule="auto"/>
              <w:ind w:left="0" w:right="0"/>
              <w:jc w:val="both"/>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技术改造</w:t>
            </w:r>
          </w:p>
        </w:tc>
        <w:tc>
          <w:tcPr>
            <w:tcW w:w="1086" w:type="pct"/>
            <w:vAlign w:val="center"/>
          </w:tcPr>
          <w:p w14:paraId="0CED97F2">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建设项目</w:t>
            </w:r>
          </w:p>
          <w:p w14:paraId="136F43E7">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申报情形</w:t>
            </w:r>
          </w:p>
        </w:tc>
        <w:tc>
          <w:tcPr>
            <w:tcW w:w="1630" w:type="pct"/>
            <w:vAlign w:val="center"/>
          </w:tcPr>
          <w:p w14:paraId="0665170C">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FE"/>
            </w:r>
            <w:r>
              <w:rPr>
                <w:rFonts w:hint="default"/>
                <w:color w:val="000000" w:themeColor="text1"/>
                <w:highlight w:val="none"/>
                <w14:textFill>
                  <w14:solidFill>
                    <w14:schemeClr w14:val="tx1"/>
                  </w14:solidFill>
                </w14:textFill>
              </w:rPr>
              <w:t>首次申报项目</w:t>
            </w:r>
          </w:p>
          <w:p w14:paraId="0F1ECF6A">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不予批准后再次申报项目</w:t>
            </w:r>
          </w:p>
          <w:p w14:paraId="2C91C527">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超五年重新审核项目</w:t>
            </w:r>
          </w:p>
          <w:p w14:paraId="640F8505">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sym w:font="Wingdings" w:char="00A8"/>
            </w:r>
            <w:r>
              <w:rPr>
                <w:rFonts w:hint="default"/>
                <w:color w:val="000000" w:themeColor="text1"/>
                <w:highlight w:val="none"/>
                <w14:textFill>
                  <w14:solidFill>
                    <w14:schemeClr w14:val="tx1"/>
                  </w14:solidFill>
                </w14:textFill>
              </w:rPr>
              <w:t>重大变动重新报批项目</w:t>
            </w:r>
          </w:p>
        </w:tc>
      </w:tr>
      <w:tr w14:paraId="2F1814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63AA5A28">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项目审批（核准/备案）部门（选填）</w:t>
            </w:r>
          </w:p>
        </w:tc>
        <w:tc>
          <w:tcPr>
            <w:tcW w:w="1509" w:type="pct"/>
            <w:vAlign w:val="center"/>
          </w:tcPr>
          <w:p w14:paraId="136115A2">
            <w:pPr>
              <w:pStyle w:val="37"/>
              <w:keepNext w:val="0"/>
              <w:keepLines w:val="0"/>
              <w:suppressLineNumbers w:val="0"/>
              <w:bidi w:val="0"/>
              <w:spacing w:before="0" w:beforeAutospacing="0" w:after="0" w:afterAutospacing="0"/>
              <w:ind w:left="0" w:right="0"/>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p>
        </w:tc>
        <w:tc>
          <w:tcPr>
            <w:tcW w:w="1086" w:type="pct"/>
            <w:vAlign w:val="center"/>
          </w:tcPr>
          <w:p w14:paraId="174F029B">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项目审批（核准/</w:t>
            </w:r>
          </w:p>
          <w:p w14:paraId="7D293316">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备案）文号（选填）</w:t>
            </w:r>
          </w:p>
        </w:tc>
        <w:tc>
          <w:tcPr>
            <w:tcW w:w="1630" w:type="pct"/>
            <w:vAlign w:val="center"/>
          </w:tcPr>
          <w:p w14:paraId="39275E1A">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p>
        </w:tc>
      </w:tr>
      <w:tr w14:paraId="16E53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1D4CA3E4">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总投资</w:t>
            </w:r>
          </w:p>
          <w:p w14:paraId="4ECA1B62">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（万元）</w:t>
            </w:r>
          </w:p>
        </w:tc>
        <w:tc>
          <w:tcPr>
            <w:tcW w:w="1509" w:type="pct"/>
            <w:shd w:val="clear" w:color="auto" w:fill="auto"/>
            <w:vAlign w:val="center"/>
          </w:tcPr>
          <w:p w14:paraId="4F144C12">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19100.00</w:t>
            </w:r>
          </w:p>
        </w:tc>
        <w:tc>
          <w:tcPr>
            <w:tcW w:w="1086" w:type="pct"/>
            <w:shd w:val="clear" w:color="auto" w:fill="auto"/>
            <w:tcMar>
              <w:top w:w="16" w:type="dxa"/>
              <w:left w:w="16" w:type="dxa"/>
              <w:right w:w="16" w:type="dxa"/>
            </w:tcMar>
            <w:vAlign w:val="center"/>
          </w:tcPr>
          <w:p w14:paraId="10B27999">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环保投资（万元）</w:t>
            </w:r>
          </w:p>
        </w:tc>
        <w:tc>
          <w:tcPr>
            <w:tcW w:w="1630" w:type="pct"/>
            <w:shd w:val="clear" w:color="auto" w:fill="auto"/>
            <w:vAlign w:val="center"/>
          </w:tcPr>
          <w:p w14:paraId="4CBF10B8">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355.00</w:t>
            </w:r>
          </w:p>
        </w:tc>
      </w:tr>
      <w:tr w14:paraId="1455B6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0F631B0C">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环保投资</w:t>
            </w:r>
          </w:p>
          <w:p w14:paraId="393184BD">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占比（%）</w:t>
            </w:r>
          </w:p>
        </w:tc>
        <w:tc>
          <w:tcPr>
            <w:tcW w:w="1509" w:type="pct"/>
            <w:shd w:val="clear" w:color="auto" w:fill="auto"/>
            <w:vAlign w:val="center"/>
          </w:tcPr>
          <w:p w14:paraId="61D43A5C">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1.86</w:t>
            </w:r>
          </w:p>
        </w:tc>
        <w:tc>
          <w:tcPr>
            <w:tcW w:w="1086" w:type="pct"/>
            <w:shd w:val="clear" w:color="auto" w:fill="auto"/>
            <w:tcMar>
              <w:top w:w="16" w:type="dxa"/>
              <w:left w:w="16" w:type="dxa"/>
              <w:right w:w="16" w:type="dxa"/>
            </w:tcMar>
            <w:vAlign w:val="center"/>
          </w:tcPr>
          <w:p w14:paraId="6344B8B5">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施工工期</w:t>
            </w:r>
          </w:p>
        </w:tc>
        <w:tc>
          <w:tcPr>
            <w:tcW w:w="1630" w:type="pct"/>
            <w:shd w:val="clear" w:color="auto" w:fill="auto"/>
            <w:vAlign w:val="center"/>
          </w:tcPr>
          <w:p w14:paraId="5DC7A87C">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14:textFill>
                  <w14:solidFill>
                    <w14:schemeClr w14:val="tx1"/>
                  </w14:solidFill>
                </w14:textFill>
              </w:rPr>
              <w:t>个月</w:t>
            </w:r>
          </w:p>
        </w:tc>
      </w:tr>
      <w:tr w14:paraId="393A96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73" w:type="pct"/>
            <w:tcMar>
              <w:top w:w="16" w:type="dxa"/>
              <w:left w:w="16" w:type="dxa"/>
              <w:right w:w="16" w:type="dxa"/>
            </w:tcMar>
            <w:vAlign w:val="center"/>
          </w:tcPr>
          <w:p w14:paraId="6B20712A">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是否开工</w:t>
            </w:r>
          </w:p>
          <w:p w14:paraId="315E71EF">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w:t>
            </w:r>
          </w:p>
        </w:tc>
        <w:tc>
          <w:tcPr>
            <w:tcW w:w="1509" w:type="pct"/>
            <w:vAlign w:val="center"/>
          </w:tcPr>
          <w:p w14:paraId="51E152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color w:val="000000" w:themeColor="text1"/>
                <w:sz w:val="24"/>
                <w:highlight w:val="none"/>
                <w14:textFill>
                  <w14:solidFill>
                    <w14:schemeClr w14:val="tx1"/>
                  </w14:solidFill>
                </w14:textFill>
              </w:rPr>
            </w:pPr>
            <w:r>
              <w:rPr>
                <w:rFonts w:hint="default"/>
                <w:b w:val="0"/>
                <w:bCs w:val="0"/>
                <w:color w:val="000000" w:themeColor="text1"/>
                <w:sz w:val="24"/>
                <w:highlight w:val="none"/>
                <w14:textFill>
                  <w14:solidFill>
                    <w14:schemeClr w14:val="tx1"/>
                  </w14:solidFill>
                </w14:textFill>
              </w:rPr>
              <w:sym w:font="Wingdings" w:char="00FE"/>
            </w:r>
            <w:r>
              <w:rPr>
                <w:rFonts w:hint="default"/>
                <w:color w:val="000000" w:themeColor="text1"/>
                <w:sz w:val="24"/>
                <w:highlight w:val="none"/>
                <w14:textFill>
                  <w14:solidFill>
                    <w14:schemeClr w14:val="tx1"/>
                  </w14:solidFill>
                </w14:textFill>
              </w:rPr>
              <w:t>否</w:t>
            </w:r>
          </w:p>
          <w:p w14:paraId="234D5F5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left"/>
              <w:textAlignment w:val="auto"/>
              <w:rPr>
                <w:rFonts w:hint="default" w:eastAsia="宋体"/>
                <w:color w:val="000000" w:themeColor="text1"/>
                <w:sz w:val="24"/>
                <w:highlight w:val="none"/>
                <w:lang w:val="en-US" w:eastAsia="zh-CN"/>
                <w14:textFill>
                  <w14:solidFill>
                    <w14:schemeClr w14:val="tx1"/>
                  </w14:solidFill>
                </w14:textFill>
              </w:rPr>
            </w:pPr>
            <w:r>
              <w:rPr>
                <w:rFonts w:hint="default"/>
                <w:b w:val="0"/>
                <w:bCs w:val="0"/>
                <w:color w:val="000000" w:themeColor="text1"/>
                <w:sz w:val="24"/>
                <w:highlight w:val="none"/>
                <w14:textFill>
                  <w14:solidFill>
                    <w14:schemeClr w14:val="tx1"/>
                  </w14:solidFill>
                </w14:textFill>
              </w:rPr>
              <w:sym w:font="Wingdings" w:char="00A8"/>
            </w:r>
            <w:r>
              <w:rPr>
                <w:rFonts w:hint="default"/>
                <w:color w:val="000000" w:themeColor="text1"/>
                <w:sz w:val="24"/>
                <w:highlight w:val="none"/>
                <w14:textFill>
                  <w14:solidFill>
                    <w14:schemeClr w14:val="tx1"/>
                  </w14:solidFill>
                </w14:textFill>
              </w:rPr>
              <w:t>是：</w:t>
            </w:r>
          </w:p>
        </w:tc>
        <w:tc>
          <w:tcPr>
            <w:tcW w:w="1086" w:type="pct"/>
            <w:vAlign w:val="center"/>
          </w:tcPr>
          <w:p w14:paraId="2EBD3748">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用地（用海）</w:t>
            </w:r>
          </w:p>
          <w:p w14:paraId="0A6E9E61">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面积（m</w:t>
            </w:r>
            <w:r>
              <w:rPr>
                <w:rFonts w:hint="default"/>
                <w:color w:val="000000" w:themeColor="text1"/>
                <w:highlight w:val="none"/>
                <w:vertAlign w:val="superscript"/>
                <w14:textFill>
                  <w14:solidFill>
                    <w14:schemeClr w14:val="tx1"/>
                  </w14:solidFill>
                </w14:textFill>
              </w:rPr>
              <w:t>2</w:t>
            </w:r>
            <w:r>
              <w:rPr>
                <w:rFonts w:hint="default"/>
                <w:color w:val="000000" w:themeColor="text1"/>
                <w:highlight w:val="none"/>
                <w14:textFill>
                  <w14:solidFill>
                    <w14:schemeClr w14:val="tx1"/>
                  </w14:solidFill>
                </w14:textFill>
              </w:rPr>
              <w:t>）</w:t>
            </w:r>
          </w:p>
        </w:tc>
        <w:tc>
          <w:tcPr>
            <w:tcW w:w="1630" w:type="pct"/>
            <w:vAlign w:val="center"/>
          </w:tcPr>
          <w:p w14:paraId="171BE488">
            <w:pPr>
              <w:pStyle w:val="37"/>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22529.71</w:t>
            </w:r>
          </w:p>
        </w:tc>
      </w:tr>
      <w:tr w14:paraId="4CEDB7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3" w:type="pct"/>
            <w:vAlign w:val="center"/>
          </w:tcPr>
          <w:p w14:paraId="1BAA897E">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专项评价设置情况</w:t>
            </w:r>
          </w:p>
        </w:tc>
        <w:tc>
          <w:tcPr>
            <w:tcW w:w="4226" w:type="pct"/>
            <w:gridSpan w:val="3"/>
            <w:vAlign w:val="center"/>
          </w:tcPr>
          <w:p w14:paraId="0C7AF5E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无</w:t>
            </w:r>
          </w:p>
        </w:tc>
      </w:tr>
      <w:tr w14:paraId="5A788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3" w:type="pct"/>
            <w:vAlign w:val="center"/>
          </w:tcPr>
          <w:p w14:paraId="4AE11075">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规划情况</w:t>
            </w:r>
          </w:p>
        </w:tc>
        <w:tc>
          <w:tcPr>
            <w:tcW w:w="4226" w:type="pct"/>
            <w:gridSpan w:val="3"/>
            <w:vAlign w:val="center"/>
          </w:tcPr>
          <w:p w14:paraId="2C98009A">
            <w:pPr>
              <w:keepNext w:val="0"/>
              <w:keepLines w:val="0"/>
              <w:pageBreakBefore w:val="0"/>
              <w:widowControl/>
              <w:numPr>
                <w:ilvl w:val="0"/>
                <w:numId w:val="1"/>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宋体" w:hAnsi="宋体" w:eastAsia="宋体" w:cs="宋体"/>
                <w:sz w:val="24"/>
                <w:szCs w:val="24"/>
                <w:highlight w:val="none"/>
              </w:rPr>
            </w:pPr>
            <w:r>
              <w:rPr>
                <w:rFonts w:hint="default" w:ascii="宋体" w:hAnsi="宋体" w:eastAsia="宋体" w:cs="宋体"/>
                <w:b/>
                <w:bCs/>
                <w:sz w:val="24"/>
                <w:szCs w:val="24"/>
                <w:highlight w:val="none"/>
              </w:rPr>
              <w:t xml:space="preserve">规划名称：《昌平分区规划（国土空间规划）（2017年-2035年）》 </w:t>
            </w:r>
            <w:r>
              <w:rPr>
                <w:rFonts w:hint="eastAsia" w:ascii="宋体" w:hAnsi="宋体" w:cs="宋体"/>
                <w:b/>
                <w:bCs/>
                <w:sz w:val="24"/>
                <w:szCs w:val="24"/>
                <w:highlight w:val="none"/>
                <w:lang w:val="en-US" w:eastAsia="zh-CN"/>
              </w:rPr>
              <w:t xml:space="preserve">      </w:t>
            </w:r>
          </w:p>
          <w:p w14:paraId="4B41411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default" w:ascii="宋体" w:hAnsi="宋体" w:eastAsia="宋体" w:cs="宋体"/>
                <w:sz w:val="24"/>
                <w:szCs w:val="24"/>
                <w:highlight w:val="none"/>
              </w:rPr>
            </w:pPr>
            <w:r>
              <w:rPr>
                <w:rFonts w:hint="default" w:ascii="宋体" w:hAnsi="宋体" w:eastAsia="宋体" w:cs="宋体"/>
                <w:sz w:val="24"/>
                <w:szCs w:val="24"/>
                <w:highlight w:val="none"/>
              </w:rPr>
              <w:t>审批机关：北京市人民政府</w:t>
            </w:r>
          </w:p>
          <w:p w14:paraId="73F1DCC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default" w:ascii="宋体" w:hAnsi="宋体" w:eastAsia="宋体" w:cs="宋体"/>
                <w:sz w:val="24"/>
                <w:szCs w:val="24"/>
                <w:highlight w:val="none"/>
              </w:rPr>
            </w:pPr>
            <w:r>
              <w:rPr>
                <w:rFonts w:hint="default" w:ascii="宋体" w:hAnsi="宋体" w:eastAsia="宋体" w:cs="宋体"/>
                <w:sz w:val="24"/>
                <w:szCs w:val="24"/>
                <w:highlight w:val="none"/>
              </w:rPr>
              <w:t>审批文件名称：《北京市人民政府关于对&lt;昌平分区规划（国土空间规划）（2017年-2035年）&gt;的批复》（2019.11.20），其修改方案于2023年3月25日批复。</w:t>
            </w:r>
          </w:p>
          <w:p w14:paraId="08585181">
            <w:pPr>
              <w:keepNext w:val="0"/>
              <w:keepLines w:val="0"/>
              <w:pageBreakBefore w:val="0"/>
              <w:widowControl/>
              <w:numPr>
                <w:ilvl w:val="0"/>
                <w:numId w:val="1"/>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ascii="宋体" w:hAnsi="宋体" w:eastAsia="宋体" w:cs="宋体"/>
                <w:sz w:val="24"/>
                <w:szCs w:val="24"/>
                <w:highlight w:val="none"/>
              </w:rPr>
            </w:pPr>
            <w:r>
              <w:rPr>
                <w:rFonts w:hint="default" w:ascii="宋体" w:hAnsi="宋体" w:eastAsia="宋体" w:cs="宋体"/>
                <w:b/>
                <w:bCs/>
                <w:sz w:val="24"/>
                <w:szCs w:val="24"/>
                <w:highlight w:val="none"/>
              </w:rPr>
              <w:t>规划名称：《落实“三区三线”〈昌平分区规划（国土空间规划）（2017年-2035年）〉修改成果》</w:t>
            </w:r>
            <w:r>
              <w:rPr>
                <w:rFonts w:hint="default" w:ascii="宋体" w:hAnsi="宋体" w:eastAsia="宋体" w:cs="宋体"/>
                <w:sz w:val="24"/>
                <w:szCs w:val="24"/>
                <w:highlight w:val="none"/>
              </w:rPr>
              <w:t xml:space="preserve"> </w:t>
            </w:r>
          </w:p>
          <w:p w14:paraId="5182968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200" w:right="0" w:rightChars="0"/>
              <w:jc w:val="left"/>
              <w:textAlignment w:val="auto"/>
              <w:rPr>
                <w:rFonts w:hint="default" w:ascii="宋体" w:hAnsi="宋体" w:eastAsia="宋体" w:cs="宋体"/>
                <w:sz w:val="24"/>
                <w:szCs w:val="24"/>
                <w:highlight w:val="none"/>
              </w:rPr>
            </w:pPr>
            <w:r>
              <w:rPr>
                <w:rFonts w:hint="default" w:ascii="宋体" w:hAnsi="宋体" w:eastAsia="宋体" w:cs="宋体"/>
                <w:sz w:val="24"/>
                <w:szCs w:val="24"/>
                <w:highlight w:val="none"/>
              </w:rPr>
              <w:t>审批机关：北京市人民政府</w:t>
            </w:r>
          </w:p>
          <w:p w14:paraId="3B4B56A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default" w:ascii="宋体" w:hAnsi="宋体" w:eastAsia="宋体" w:cs="宋体"/>
                <w:sz w:val="24"/>
                <w:szCs w:val="24"/>
                <w:highlight w:val="none"/>
                <w:lang w:val="en-US" w:eastAsia="zh-CN"/>
              </w:rPr>
            </w:pPr>
            <w:r>
              <w:rPr>
                <w:rFonts w:hint="default" w:ascii="宋体" w:hAnsi="宋体" w:eastAsia="宋体" w:cs="宋体"/>
                <w:sz w:val="24"/>
                <w:szCs w:val="24"/>
                <w:highlight w:val="none"/>
              </w:rPr>
              <w:t>审批文件名称：《北京市人民政府关于对朝阳等13个分区规划及亦庄 新城规划修改方案的批复》</w:t>
            </w:r>
          </w:p>
        </w:tc>
      </w:tr>
      <w:tr w14:paraId="386F8E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3" w:type="pct"/>
            <w:vAlign w:val="center"/>
          </w:tcPr>
          <w:p w14:paraId="14747A92">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规划环境影响评价情况</w:t>
            </w:r>
          </w:p>
        </w:tc>
        <w:tc>
          <w:tcPr>
            <w:tcW w:w="4226" w:type="pct"/>
            <w:gridSpan w:val="3"/>
            <w:vAlign w:val="center"/>
          </w:tcPr>
          <w:p w14:paraId="0C0BB60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无</w:t>
            </w:r>
          </w:p>
        </w:tc>
      </w:tr>
      <w:tr w14:paraId="79A7F9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3" w:type="pct"/>
            <w:vAlign w:val="center"/>
          </w:tcPr>
          <w:p w14:paraId="1CD907CB">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规划及规划环境影响评价符合性分析</w:t>
            </w:r>
          </w:p>
        </w:tc>
        <w:tc>
          <w:tcPr>
            <w:tcW w:w="4226" w:type="pct"/>
            <w:gridSpan w:val="3"/>
            <w:vAlign w:val="center"/>
          </w:tcPr>
          <w:p w14:paraId="17136C6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1、与《昌平分区规划（国土空间规划）（2017年-2035年）》 符合性分析</w:t>
            </w:r>
          </w:p>
          <w:p w14:paraId="545FAAD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宋体" w:hAnsi="宋体" w:eastAsia="宋体" w:cs="宋体"/>
                <w:sz w:val="24"/>
                <w:szCs w:val="24"/>
                <w:highlight w:val="none"/>
              </w:rPr>
            </w:pPr>
            <w:r>
              <w:rPr>
                <w:rFonts w:hint="default" w:ascii="宋体" w:hAnsi="宋体" w:eastAsia="宋体" w:cs="宋体"/>
                <w:sz w:val="24"/>
                <w:szCs w:val="24"/>
                <w:highlight w:val="none"/>
              </w:rPr>
              <w:t>根据《昌平分区规划（国土空间规划）（2017年-2035年）》，昌平分区功能定位是建设具有全球影响力的全国科技创新中心重要组成部分和国际一流的科教新区。实施创新驱动发展战略，强化以未来科学城为核心的技术研发创新平台作用，加快区域科技创新中心承载能力建设，建成全球领先的技术创新高地、协同创新先行区、创新创业示范城。根据第五章第一节第45条“明确产业发展主导方向”：聚焦发展医药健康、节能环保、智能装备三大优势主导产业，重点培育新材料、科技服务产业，推动各功能区高端化、特色化、协同化发展。根据第五章第三节“聚焦未来科学城，提升全球科学创新影响力”第49 条“突破重点技术领域，建设全球领先的技术创新高地”：着力汇聚一流研发机构、一流创新型企业和一流科技人才。</w:t>
            </w:r>
          </w:p>
          <w:p w14:paraId="734954F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default" w:ascii="宋体" w:hAnsi="宋体" w:eastAsia="宋体" w:cs="宋体"/>
                <w:sz w:val="24"/>
                <w:szCs w:val="24"/>
                <w:highlight w:val="none"/>
              </w:rPr>
              <w:t>本项目对现有</w:t>
            </w:r>
            <w:r>
              <w:rPr>
                <w:rFonts w:hint="eastAsia" w:ascii="宋体" w:hAnsi="宋体" w:eastAsia="宋体" w:cs="宋体"/>
                <w:sz w:val="24"/>
                <w:szCs w:val="24"/>
                <w:highlight w:val="none"/>
                <w:lang w:val="en-US" w:eastAsia="zh-CN"/>
              </w:rPr>
              <w:t>北京泰康燕园康复医院</w:t>
            </w:r>
            <w:r>
              <w:rPr>
                <w:rFonts w:hint="default" w:ascii="宋体" w:hAnsi="宋体" w:eastAsia="宋体" w:cs="宋体"/>
                <w:sz w:val="24"/>
                <w:szCs w:val="24"/>
                <w:highlight w:val="none"/>
              </w:rPr>
              <w:t>进行</w:t>
            </w:r>
            <w:r>
              <w:rPr>
                <w:rFonts w:hint="eastAsia" w:ascii="宋体" w:hAnsi="宋体" w:eastAsia="宋体" w:cs="宋体"/>
                <w:sz w:val="24"/>
                <w:szCs w:val="24"/>
                <w:highlight w:val="none"/>
                <w:lang w:val="en-US" w:eastAsia="zh-CN"/>
              </w:rPr>
              <w:t>扩建</w:t>
            </w:r>
            <w:r>
              <w:rPr>
                <w:rFonts w:hint="default" w:ascii="宋体" w:hAnsi="宋体" w:eastAsia="宋体" w:cs="宋体"/>
                <w:sz w:val="24"/>
                <w:szCs w:val="24"/>
                <w:highlight w:val="none"/>
              </w:rPr>
              <w:t>，行业类别为“</w:t>
            </w:r>
            <w:r>
              <w:rPr>
                <w:rFonts w:hint="eastAsia" w:ascii="宋体" w:hAnsi="宋体" w:eastAsia="宋体" w:cs="宋体"/>
                <w:sz w:val="24"/>
                <w:szCs w:val="24"/>
                <w:highlight w:val="none"/>
              </w:rPr>
              <w:t>Q</w:t>
            </w:r>
            <w:r>
              <w:rPr>
                <w:rFonts w:hint="eastAsia" w:ascii="宋体" w:hAnsi="宋体" w:cs="宋体"/>
                <w:sz w:val="24"/>
                <w:szCs w:val="24"/>
                <w:highlight w:val="none"/>
                <w:lang w:val="en-US" w:eastAsia="zh-CN"/>
              </w:rPr>
              <w:t>8415</w:t>
            </w:r>
            <w:r>
              <w:rPr>
                <w:rFonts w:hint="eastAsia" w:ascii="宋体" w:hAnsi="宋体" w:cs="宋体"/>
                <w:sz w:val="24"/>
                <w:szCs w:val="24"/>
                <w:highlight w:val="none"/>
                <w:lang w:eastAsia="zh-CN"/>
              </w:rPr>
              <w:t>专科医院</w:t>
            </w:r>
            <w:r>
              <w:rPr>
                <w:rFonts w:hint="default" w:ascii="宋体" w:hAnsi="宋体" w:eastAsia="宋体" w:cs="宋体"/>
                <w:sz w:val="24"/>
                <w:szCs w:val="24"/>
                <w:highlight w:val="none"/>
              </w:rPr>
              <w:t>”，</w:t>
            </w:r>
            <w:r>
              <w:rPr>
                <w:rFonts w:hint="eastAsia" w:cs="Times New Roman"/>
                <w:color w:val="000000" w:themeColor="text1"/>
                <w:sz w:val="24"/>
                <w:highlight w:val="none"/>
                <w:lang w:val="en-US" w:eastAsia="zh-CN"/>
                <w14:textFill>
                  <w14:solidFill>
                    <w14:schemeClr w14:val="tx1"/>
                  </w14:solidFill>
                </w14:textFill>
              </w:rPr>
              <w:t>项目的建设可以为周边居民提供公共服务保障，为周边居民就医提供便利，提供便利的生活性服务，满足周边居民日常生活需求，</w:t>
            </w:r>
            <w:r>
              <w:rPr>
                <w:rFonts w:hint="default" w:ascii="宋体" w:hAnsi="宋体" w:eastAsia="宋体" w:cs="宋体"/>
                <w:sz w:val="24"/>
                <w:szCs w:val="24"/>
                <w:highlight w:val="none"/>
              </w:rPr>
              <w:t>符合《昌平分区规划（国土空间规划）（2017年-2035年）》规划要求，符合昌平区的功能定位和发展方向。</w:t>
            </w:r>
          </w:p>
          <w:p w14:paraId="317460E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2、与《落实“三区三线”〈昌平分区规划（国土空间规划）（2017年-2035年）〉修改成果》符合性分析</w:t>
            </w:r>
          </w:p>
          <w:p w14:paraId="6F6BDDC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宋体" w:hAnsi="宋体" w:eastAsia="宋体" w:cs="宋体"/>
                <w:sz w:val="24"/>
                <w:szCs w:val="24"/>
                <w:highlight w:val="none"/>
              </w:rPr>
            </w:pPr>
            <w:r>
              <w:rPr>
                <w:rFonts w:hint="eastAsia" w:cs="Times New Roman"/>
                <w:color w:val="000000" w:themeColor="text1"/>
                <w:sz w:val="24"/>
                <w:highlight w:val="none"/>
                <w:lang w:val="en-US" w:eastAsia="zh-CN"/>
                <w14:textFill>
                  <w14:solidFill>
                    <w14:schemeClr w14:val="tx1"/>
                  </w14:solidFill>
                </w14:textFill>
              </w:rPr>
              <w:t>《昌平分区规划（国土空间规划）（2017年-2035年）》文本修改成果内容包括：</w:t>
            </w:r>
            <w:r>
              <w:rPr>
                <w:rFonts w:hint="default" w:ascii="宋体" w:hAnsi="宋体" w:eastAsia="宋体" w:cs="宋体"/>
                <w:sz w:val="24"/>
                <w:szCs w:val="24"/>
                <w:highlight w:val="none"/>
              </w:rPr>
              <w:t>第二章第二节第17条，“生态保护红线面积不低于110.1平方公里”，修改为“生态保护红线面积不低于140.06平方公里”。 本项目位于</w:t>
            </w:r>
            <w:r>
              <w:rPr>
                <w:rFonts w:hint="eastAsia" w:ascii="宋体" w:hAnsi="宋体" w:cs="宋体"/>
                <w:sz w:val="24"/>
                <w:szCs w:val="24"/>
                <w:highlight w:val="none"/>
                <w:lang w:eastAsia="zh-CN"/>
              </w:rPr>
              <w:t>北京市昌平区南邵镇景荣街2号院3号楼</w:t>
            </w:r>
            <w:r>
              <w:rPr>
                <w:rFonts w:hint="eastAsia" w:ascii="宋体" w:hAnsi="宋体" w:cs="宋体"/>
                <w:sz w:val="24"/>
                <w:szCs w:val="24"/>
                <w:highlight w:val="none"/>
                <w:lang w:val="en-US" w:eastAsia="zh-CN"/>
              </w:rPr>
              <w:t>6</w:t>
            </w:r>
            <w:r>
              <w:rPr>
                <w:rFonts w:hint="eastAsia" w:ascii="宋体" w:hAnsi="宋体" w:cs="宋体"/>
                <w:sz w:val="24"/>
                <w:szCs w:val="24"/>
                <w:highlight w:val="none"/>
                <w:lang w:eastAsia="zh-CN"/>
              </w:rPr>
              <w:t>至8层、</w:t>
            </w:r>
            <w:r>
              <w:rPr>
                <w:rFonts w:hint="eastAsia"/>
                <w:color w:val="000000" w:themeColor="text1"/>
                <w:highlight w:val="none"/>
                <w:lang w:val="en-US" w:eastAsia="zh-CN"/>
                <w14:textFill>
                  <w14:solidFill>
                    <w14:schemeClr w14:val="tx1"/>
                  </w14:solidFill>
                </w14:textFill>
              </w:rPr>
              <w:t>文智路17号院9号楼1层北侧区域</w:t>
            </w:r>
            <w:r>
              <w:rPr>
                <w:rFonts w:hint="default" w:ascii="宋体" w:hAnsi="宋体" w:eastAsia="宋体" w:cs="宋体"/>
                <w:sz w:val="24"/>
                <w:szCs w:val="24"/>
                <w:highlight w:val="none"/>
              </w:rPr>
              <w:t>，不涉及占用生态控制区及生态保护红线，位于“三区三线”的集中建设区，符合落实“三区三线”《昌平分区规划（国土空间规划）（2017年2035年）》修改成果及其批复中“坚决守住耕地和永久基本农田、生态保护红线，切实保障粮食安全，保护好生态环境”的要求。</w:t>
            </w:r>
          </w:p>
          <w:p w14:paraId="51020A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本项目与两线三区规划图（修改后）、国土空间规划分区图（修改后）位置关系示意图如下。</w:t>
            </w:r>
          </w:p>
          <w:p w14:paraId="3B1BF85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default"/>
                <w:sz w:val="24"/>
                <w:highlight w:val="none"/>
              </w:rPr>
              <w:pict>
                <v:shape id="_x0000_s1026" o:spid="_x0000_s1026" o:spt="75" type="#_x0000_t75" style="position:absolute;left:0pt;margin-left:0.35pt;margin-top:0.5pt;height:254.35pt;width:367.65pt;mso-wrap-distance-bottom:0pt;mso-wrap-distance-top:0pt;z-index:251679744;mso-width-relative:page;mso-height-relative:page;" o:ole="t" filled="f" o:preferrelative="t" stroked="f" coordsize="21600,21600">
                  <v:path/>
                  <v:fill on="f" focussize="0,0"/>
                  <v:stroke on="f"/>
                  <v:imagedata r:id="rId12" o:title=""/>
                  <o:lock v:ext="edit" aspectratio="f"/>
                  <w10:wrap type="topAndBottom"/>
                </v:shape>
                <o:OLEObject Type="Embed" ProgID="Visio.Drawing.15" ShapeID="_x0000_s1026" DrawAspect="Content" ObjectID="_1468075725" r:id="rId11">
                  <o:LockedField>false</o:LockedField>
                </o:OLEObject>
              </w:pict>
            </w:r>
          </w:p>
          <w:p w14:paraId="0E573A98">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图1-1 本项目与昌平分区规划（</w:t>
            </w:r>
            <w:r>
              <w:rPr>
                <w:rFonts w:hint="default"/>
                <w:color w:val="000000" w:themeColor="text1"/>
                <w:highlight w:val="none"/>
                <w:lang w:val="en-US" w:eastAsia="zh-CN"/>
                <w14:textFill>
                  <w14:solidFill>
                    <w14:schemeClr w14:val="tx1"/>
                  </w14:solidFill>
                </w14:textFill>
              </w:rPr>
              <w:t>两线三区规划图</w:t>
            </w:r>
            <w:r>
              <w:rPr>
                <w:rFonts w:hint="eastAsia"/>
                <w:color w:val="000000" w:themeColor="text1"/>
                <w:highlight w:val="none"/>
                <w:lang w:val="en-US" w:eastAsia="zh-CN"/>
                <w14:textFill>
                  <w14:solidFill>
                    <w14:schemeClr w14:val="tx1"/>
                  </w14:solidFill>
                </w14:textFill>
              </w:rPr>
              <w:t>）位置关系</w:t>
            </w:r>
          </w:p>
          <w:p w14:paraId="37CAB1D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537FF3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11A1C24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335A6CE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20C70A0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097835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17240E9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4B5E2B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2C3FCAF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0B3A020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0BD16DC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1729FBC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p>
          <w:p w14:paraId="23B23EA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default"/>
                <w:sz w:val="24"/>
                <w:highlight w:val="none"/>
              </w:rPr>
              <w:pict>
                <v:shape id="_x0000_s1029" o:spid="_x0000_s1029" o:spt="75" type="#_x0000_t75" style="position:absolute;left:0pt;margin-left:0pt;margin-top:0pt;height:253.55pt;width:367.6pt;mso-wrap-distance-bottom:0pt;mso-wrap-distance-top:0pt;z-index:251680768;mso-width-relative:page;mso-height-relative:page;" o:ole="t" filled="f" o:preferrelative="t" stroked="f" coordsize="21600,21600">
                  <v:path/>
                  <v:fill on="f" focussize="0,0"/>
                  <v:stroke on="f"/>
                  <v:imagedata r:id="rId14" o:title=""/>
                  <o:lock v:ext="edit" aspectratio="f"/>
                  <w10:wrap type="topAndBottom"/>
                </v:shape>
                <o:OLEObject Type="Embed" ProgID="Visio.Drawing.15" ShapeID="_x0000_s1029" DrawAspect="Content" ObjectID="_1468075726" r:id="rId13">
                  <o:LockedField>false</o:LockedField>
                </o:OLEObject>
              </w:pict>
            </w:r>
          </w:p>
          <w:p w14:paraId="326F2DBC">
            <w:pPr>
              <w:pStyle w:val="36"/>
              <w:keepNext w:val="0"/>
              <w:keepLines w:val="0"/>
              <w:suppressLineNumbers w:val="0"/>
              <w:bidi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图1-2 本项目与</w:t>
            </w:r>
            <w:r>
              <w:rPr>
                <w:rFonts w:hint="eastAsia"/>
                <w:color w:val="000000" w:themeColor="text1"/>
                <w:highlight w:val="none"/>
                <w:lang w:val="en-US" w:eastAsia="zh-CN"/>
                <w14:textFill>
                  <w14:solidFill>
                    <w14:schemeClr w14:val="tx1"/>
                  </w14:solidFill>
                </w14:textFill>
              </w:rPr>
              <w:t>昌平</w:t>
            </w:r>
            <w:r>
              <w:rPr>
                <w:rFonts w:hint="default"/>
                <w:color w:val="000000" w:themeColor="text1"/>
                <w:highlight w:val="none"/>
                <w:lang w:val="en-US" w:eastAsia="zh-CN"/>
                <w14:textFill>
                  <w14:solidFill>
                    <w14:schemeClr w14:val="tx1"/>
                  </w14:solidFill>
                </w14:textFill>
              </w:rPr>
              <w:t>分区规划（</w:t>
            </w:r>
            <w:r>
              <w:rPr>
                <w:rFonts w:hint="eastAsia"/>
                <w:color w:val="000000" w:themeColor="text1"/>
                <w:highlight w:val="none"/>
                <w:lang w:val="en-US" w:eastAsia="zh-CN"/>
                <w14:textFill>
                  <w14:solidFill>
                    <w14:schemeClr w14:val="tx1"/>
                  </w14:solidFill>
                </w14:textFill>
              </w:rPr>
              <w:t>国土空间规划分区图</w:t>
            </w:r>
            <w:r>
              <w:rPr>
                <w:rFonts w:hint="default"/>
                <w:color w:val="000000" w:themeColor="text1"/>
                <w:highlight w:val="none"/>
                <w:lang w:val="en-US" w:eastAsia="zh-CN"/>
                <w14:textFill>
                  <w14:solidFill>
                    <w14:schemeClr w14:val="tx1"/>
                  </w14:solidFill>
                </w14:textFill>
              </w:rPr>
              <w:t>）位置关系</w:t>
            </w:r>
          </w:p>
          <w:p w14:paraId="49B373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cs="Times New Roman"/>
                <w:color w:val="000000" w:themeColor="text1"/>
                <w:sz w:val="24"/>
                <w:highlight w:val="none"/>
                <w:lang w:val="en-US" w:eastAsia="zh-CN"/>
                <w14:textFill>
                  <w14:solidFill>
                    <w14:schemeClr w14:val="tx1"/>
                  </w14:solidFill>
                </w14:textFill>
              </w:rPr>
            </w:pPr>
            <w:r>
              <w:rPr>
                <w:rStyle w:val="19"/>
                <w:rFonts w:hint="default"/>
                <w:color w:val="000000" w:themeColor="text1"/>
                <w:highlight w:val="none"/>
                <w:lang w:val="en-US" w:eastAsia="zh-CN"/>
                <w14:textFill>
                  <w14:solidFill>
                    <w14:schemeClr w14:val="tx1"/>
                  </w14:solidFill>
                </w14:textFill>
                <w:woUserID w:val="0"/>
              </w:rPr>
              <w:t>根据海淀分区规划，本项目位于城镇建设用地和集中建设区，符合《海淀分区规划（国土空间规划）（2017年-2035年）》修改成果要求。</w:t>
            </w:r>
          </w:p>
        </w:tc>
      </w:tr>
      <w:tr w14:paraId="309533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3" w:type="pct"/>
            <w:vAlign w:val="center"/>
          </w:tcPr>
          <w:p w14:paraId="0DAA02C2">
            <w:pPr>
              <w:pStyle w:val="37"/>
              <w:keepNext w:val="0"/>
              <w:keepLines w:val="0"/>
              <w:suppressLineNumbers w:val="0"/>
              <w:bidi w:val="0"/>
              <w:spacing w:before="0" w:beforeAutospacing="0" w:after="0" w:afterAutospacing="0"/>
              <w:ind w:left="0" w:right="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其他符合性分析</w:t>
            </w:r>
          </w:p>
        </w:tc>
        <w:tc>
          <w:tcPr>
            <w:tcW w:w="4226" w:type="pct"/>
            <w:gridSpan w:val="3"/>
            <w:vAlign w:val="center"/>
          </w:tcPr>
          <w:p w14:paraId="0DB96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1</w:t>
            </w:r>
            <w:r>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t>、产业政策符合性分析</w:t>
            </w:r>
          </w:p>
          <w:p w14:paraId="408408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eastAsia="宋体"/>
                <w:color w:val="000000" w:themeColor="text1"/>
                <w:kern w:val="0"/>
                <w:highlight w:val="none"/>
                <w:lang w:eastAsia="zh-CN"/>
                <w14:textFill>
                  <w14:solidFill>
                    <w14:schemeClr w14:val="tx1"/>
                  </w14:solidFill>
                </w14:textFill>
              </w:rPr>
            </w:pP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lang w:val="en-US" w:eastAsia="zh-CN"/>
                <w14:textFill>
                  <w14:solidFill>
                    <w14:schemeClr w14:val="tx1"/>
                  </w14:solidFill>
                </w14:textFill>
              </w:rPr>
              <w:t>1</w:t>
            </w:r>
            <w:r>
              <w:rPr>
                <w:rFonts w:hint="eastAsia"/>
                <w:color w:val="000000" w:themeColor="text1"/>
                <w:kern w:val="0"/>
                <w:highlight w:val="none"/>
                <w:lang w:eastAsia="zh-CN"/>
                <w14:textFill>
                  <w14:solidFill>
                    <w14:schemeClr w14:val="tx1"/>
                  </w14:solidFill>
                </w14:textFill>
              </w:rPr>
              <w:t>）</w:t>
            </w:r>
            <w:r>
              <w:rPr>
                <w:rFonts w:hint="eastAsia"/>
                <w:color w:val="000000" w:themeColor="text1"/>
                <w:kern w:val="0"/>
                <w:highlight w:val="none"/>
                <w14:textFill>
                  <w14:solidFill>
                    <w14:schemeClr w14:val="tx1"/>
                  </w14:solidFill>
                </w14:textFill>
              </w:rPr>
              <w:t>与国家产业政策符合性分析</w:t>
            </w:r>
          </w:p>
          <w:p w14:paraId="37983B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根据《产业结构调整指导目录（2024年本）》（中华人民共和国国家发展和改革委员会第7号令），本项目属于鼓励类中的“三十七、卫生健康”中“1、医疗卫生服务设施建设”，符合国家产业政策的要求。</w:t>
            </w:r>
          </w:p>
          <w:p w14:paraId="0A7AB6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eastAsia="宋体"/>
                <w:color w:val="000000" w:themeColor="text1"/>
                <w:kern w:val="0"/>
                <w:highlight w:val="none"/>
                <w:lang w:eastAsia="zh-CN"/>
                <w14:textFill>
                  <w14:solidFill>
                    <w14:schemeClr w14:val="tx1"/>
                  </w14:solidFill>
                </w14:textFill>
              </w:rPr>
            </w:pPr>
            <w:r>
              <w:rPr>
                <w:rFonts w:hint="eastAsia"/>
                <w:color w:val="000000" w:themeColor="text1"/>
                <w:kern w:val="0"/>
                <w:highlight w:val="none"/>
                <w14:textFill>
                  <w14:solidFill>
                    <w14:schemeClr w14:val="tx1"/>
                  </w14:solidFill>
                </w14:textFill>
              </w:rPr>
              <w:t>根据《国家发展改革委、商务部、市场监管总局关于印发&lt;市场准入负面清单（2025年版）&gt;的通知》（发改体改规[2025]466号），本项目属于医院</w:t>
            </w:r>
            <w:r>
              <w:rPr>
                <w:rFonts w:hint="eastAsia"/>
                <w:color w:val="000000" w:themeColor="text1"/>
                <w:kern w:val="0"/>
                <w:highlight w:val="none"/>
                <w:lang w:val="en-US" w:eastAsia="zh-CN"/>
                <w14:textFill>
                  <w14:solidFill>
                    <w14:schemeClr w14:val="tx1"/>
                  </w14:solidFill>
                </w14:textFill>
              </w:rPr>
              <w:t>建设项目</w:t>
            </w:r>
            <w:r>
              <w:rPr>
                <w:rFonts w:hint="eastAsia"/>
                <w:color w:val="000000" w:themeColor="text1"/>
                <w:kern w:val="0"/>
                <w:highlight w:val="none"/>
                <w14:textFill>
                  <w14:solidFill>
                    <w14:schemeClr w14:val="tx1"/>
                  </w14:solidFill>
                </w14:textFill>
              </w:rPr>
              <w:t>，不在“禁止准入类”范围内，符合《市场准入负面清单》要求。符合国家产业政策的要求</w:t>
            </w:r>
            <w:r>
              <w:rPr>
                <w:rFonts w:hint="eastAsia"/>
                <w:color w:val="000000" w:themeColor="text1"/>
                <w:kern w:val="0"/>
                <w:highlight w:val="none"/>
                <w:lang w:eastAsia="zh-CN"/>
                <w14:textFill>
                  <w14:solidFill>
                    <w14:schemeClr w14:val="tx1"/>
                  </w14:solidFill>
                </w14:textFill>
              </w:rPr>
              <w:t>。</w:t>
            </w:r>
          </w:p>
          <w:p w14:paraId="0B1E53AF">
            <w:pPr>
              <w:pStyle w:val="11"/>
              <w:keepNext w:val="0"/>
              <w:keepLines w:val="0"/>
              <w:suppressLineNumbers w:val="0"/>
              <w:adjustRightInd/>
              <w:snapToGrid/>
              <w:spacing w:before="0" w:beforeAutospacing="0" w:after="0" w:afterAutospacing="0" w:line="360" w:lineRule="auto"/>
              <w:ind w:left="0" w:right="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与北京市产业政策符合性分析</w:t>
            </w:r>
          </w:p>
          <w:p w14:paraId="1825D0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本项目不属于《北京市人民政府办公厅关于印发市发展改革委等部门制定的&lt;北京市新增产业的禁止和限制目录（2022年版）&gt;的通知》（京政办发[2022]5号）中禁止性和限制性的项目，符合北京市产业政策的要求。</w:t>
            </w:r>
          </w:p>
          <w:p w14:paraId="3BF82A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综上所述，本项目符合国家、北京市产业政策要求。</w:t>
            </w:r>
          </w:p>
          <w:p w14:paraId="54890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2、</w:t>
            </w:r>
            <w:r>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t>“三线一单</w:t>
            </w:r>
            <w:r>
              <w:rPr>
                <w:rFonts w:hint="eastAsia" w:cs="Times New Roman"/>
                <w:b/>
                <w:bCs/>
                <w:color w:val="000000" w:themeColor="text1"/>
                <w:kern w:val="0"/>
                <w:sz w:val="24"/>
                <w:highlight w:val="none"/>
                <w:lang w:val="en-US" w:eastAsia="zh-CN"/>
                <w14:textFill>
                  <w14:solidFill>
                    <w14:schemeClr w14:val="tx1"/>
                  </w14:solidFill>
                </w14:textFill>
              </w:rPr>
              <w:t>”</w:t>
            </w:r>
            <w:r>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t>符合性分析</w:t>
            </w:r>
          </w:p>
          <w:p w14:paraId="13EF2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2020年12月24日中共北京市委生态文明建设委员会办公室发布了《关于北京市生态环境分区管控（“三线一单”）的实施意见》的通知，为贯彻落实《中共中央、国务院关于全面加强生态环境保护坚决打好污染防治攻坚战的意见》，推动生态环境高水平保护和经济高质量发展协同并进，持续优化营商环境，就本市“三线一单”（生态保护红线、环境质量底线、资源利用上线和生态环境准入清单）生态环境分区管控工作，提出了实施意见。现就本项目“三线一单”符合性进行分析。</w:t>
            </w:r>
          </w:p>
          <w:p w14:paraId="14DDA4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（1）生态保护红线符合性分析</w:t>
            </w:r>
          </w:p>
          <w:p w14:paraId="23E47A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根据《北京市人民政府关于发布北京生态保护红线的通知》（京政发[2018]18号），北京市生态保护红线主要分布在西部、北部山区，包括以下区域：水源涵养、水土保持和生物多样性维护的生态功能重要区、水土流失生态敏感区；市级以上禁止开发区域和有必要严格保护的其他各类保护地，包括：自然保护区（核心区和缓冲区）、风景名胜区（一级区）、市级饮用水源地（一级保护区）、森林公园（核心景区）、国家级重点生态公益林（水源涵养重点地区）、重要湿地（永定河、潮白河、北运河、大清河、蓟运河等五条重要河流）、其他生物多样性重点区域。</w:t>
            </w:r>
          </w:p>
          <w:p w14:paraId="48B5F5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本项目位于</w:t>
            </w:r>
            <w:r>
              <w:rPr>
                <w:rFonts w:hint="eastAsia" w:cs="Times New Roman"/>
                <w:color w:val="000000" w:themeColor="text1"/>
                <w:kern w:val="0"/>
                <w:sz w:val="24"/>
                <w:highlight w:val="none"/>
                <w:lang w:val="en-US" w:eastAsia="zh-CN"/>
                <w14:textFill>
                  <w14:solidFill>
                    <w14:schemeClr w14:val="tx1"/>
                  </w14:solidFill>
                </w14:textFill>
              </w:rPr>
              <w:t>北京市昌平区南邵镇景荣街2号院3号楼6至8层、</w:t>
            </w:r>
            <w:r>
              <w:rPr>
                <w:rFonts w:hint="eastAsia"/>
                <w:color w:val="000000" w:themeColor="text1"/>
                <w:highlight w:val="none"/>
                <w:lang w:val="en-US" w:eastAsia="zh-CN"/>
                <w14:textFill>
                  <w14:solidFill>
                    <w14:schemeClr w14:val="tx1"/>
                  </w14:solidFill>
                </w14:textFill>
              </w:rPr>
              <w:t>文智路17号院9号楼1层北侧区域</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，项目所在地周边无重点生态功能区、生态敏感区、生态脆弱区、生物多样性保护优先区，本项目不在北京市生态保护红线范围内，项目的建设不会突破生态保护红线。</w:t>
            </w:r>
          </w:p>
          <w:p w14:paraId="3074A7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（2）环境质量底线符合性分析</w:t>
            </w:r>
          </w:p>
          <w:p w14:paraId="7E2AB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color w:val="000000" w:themeColor="text1"/>
                <w:kern w:val="0"/>
                <w:highlight w:val="none"/>
                <w14:textFill>
                  <w14:solidFill>
                    <w14:schemeClr w14:val="tx1"/>
                  </w14:solidFill>
                </w14:textFill>
              </w:rPr>
              <w:t>根据北京市生态环境局2025年5月发布的《2024年北京市生态环境状况公报》可知，O</w:t>
            </w:r>
            <w:r>
              <w:rPr>
                <w:rFonts w:hint="eastAsia"/>
                <w:color w:val="000000" w:themeColor="text1"/>
                <w:kern w:val="0"/>
                <w:highlight w:val="none"/>
                <w:vertAlign w:val="subscript"/>
                <w14:textFill>
                  <w14:solidFill>
                    <w14:schemeClr w14:val="tx1"/>
                  </w14:solidFill>
                </w14:textFill>
              </w:rPr>
              <w:t>3</w:t>
            </w:r>
            <w:r>
              <w:rPr>
                <w:rFonts w:hint="eastAsia"/>
                <w:color w:val="000000" w:themeColor="text1"/>
                <w:kern w:val="0"/>
                <w:highlight w:val="none"/>
                <w14:textFill>
                  <w14:solidFill>
                    <w14:schemeClr w14:val="tx1"/>
                  </w14:solidFill>
                </w14:textFill>
              </w:rPr>
              <w:t>不符合相关标准限值，为不达标区。</w:t>
            </w:r>
            <w:r>
              <w:rPr>
                <w:rFonts w:hint="eastAsia"/>
                <w:color w:val="000000" w:themeColor="text1"/>
                <w:kern w:val="0"/>
                <w:highlight w:val="none"/>
                <w:lang w:val="en-US" w:eastAsia="zh-CN"/>
                <w14:textFill>
                  <w14:solidFill>
                    <w14:schemeClr w14:val="tx1"/>
                  </w14:solidFill>
                </w14:textFill>
              </w:rPr>
              <w:t>本项目经营过程中</w:t>
            </w:r>
            <w:r>
              <w:rPr>
                <w:rFonts w:hint="eastAsia"/>
                <w:color w:val="000000" w:themeColor="text1"/>
                <w:kern w:val="0"/>
                <w:highlight w:val="none"/>
                <w14:textFill>
                  <w14:solidFill>
                    <w14:schemeClr w14:val="tx1"/>
                  </w14:solidFill>
                </w14:textFill>
              </w:rPr>
              <w:t>污水处理设施</w:t>
            </w:r>
            <w:r>
              <w:rPr>
                <w:rFonts w:hint="eastAsia"/>
                <w:color w:val="000000" w:themeColor="text1"/>
                <w:kern w:val="0"/>
                <w:highlight w:val="none"/>
                <w:lang w:val="en-US" w:eastAsia="zh-CN"/>
                <w14:textFill>
                  <w14:solidFill>
                    <w14:schemeClr w14:val="tx1"/>
                  </w14:solidFill>
                </w14:textFill>
              </w:rPr>
              <w:t>产生的恶臭在采取有效的污染防治措施后达标排放，不会突破大气环境质量底线。</w:t>
            </w:r>
          </w:p>
          <w:p w14:paraId="37D8FF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color w:val="000000" w:themeColor="text1"/>
                <w:kern w:val="0"/>
                <w:highlight w:val="none"/>
                <w14:textFill>
                  <w14:solidFill>
                    <w14:schemeClr w14:val="tx1"/>
                  </w14:solidFill>
                </w14:textFill>
              </w:rPr>
              <w:t>根据北京市生态环境局地表水环境质量月报资料可知，项目附近的地表水体</w:t>
            </w:r>
            <w:r>
              <w:rPr>
                <w:rFonts w:hint="eastAsia"/>
                <w:color w:val="000000" w:themeColor="text1"/>
                <w:kern w:val="0"/>
                <w:highlight w:val="none"/>
                <w:lang w:val="en-US" w:eastAsia="zh-CN"/>
                <w14:textFill>
                  <w14:solidFill>
                    <w14:schemeClr w14:val="tx1"/>
                  </w14:solidFill>
                </w14:textFill>
              </w:rPr>
              <w:t>2024年</w:t>
            </w:r>
            <w:r>
              <w:rPr>
                <w:rFonts w:hint="eastAsia"/>
                <w:color w:val="000000" w:themeColor="text1"/>
                <w:kern w:val="0"/>
                <w:highlight w:val="none"/>
                <w14:textFill>
                  <w14:solidFill>
                    <w14:schemeClr w14:val="tx1"/>
                  </w14:solidFill>
                </w14:textFill>
              </w:rPr>
              <w:t>满足</w:t>
            </w:r>
            <w:r>
              <w:rPr>
                <w:rFonts w:hint="eastAsia" w:ascii="宋体" w:hAnsi="宋体" w:eastAsia="宋体" w:cs="宋体"/>
                <w:color w:val="000000" w:themeColor="text1"/>
                <w:kern w:val="0"/>
                <w:highlight w:val="none"/>
                <w:lang w:val="en-US" w:eastAsia="zh-CN"/>
                <w14:textFill>
                  <w14:solidFill>
                    <w14:schemeClr w14:val="tx1"/>
                  </w14:solidFill>
                </w14:textFill>
              </w:rPr>
              <w:t>Ⅲ</w:t>
            </w:r>
            <w:r>
              <w:rPr>
                <w:rFonts w:hint="eastAsia"/>
                <w:color w:val="000000" w:themeColor="text1"/>
                <w:kern w:val="0"/>
                <w:highlight w:val="none"/>
                <w:lang w:val="en-US" w:eastAsia="zh-CN"/>
                <w14:textFill>
                  <w14:solidFill>
                    <w14:schemeClr w14:val="tx1"/>
                  </w14:solidFill>
                </w14:textFill>
              </w:rPr>
              <w:t>类</w:t>
            </w:r>
            <w:r>
              <w:rPr>
                <w:rFonts w:hint="default" w:ascii="Times New Roman" w:hAnsi="Times New Roman" w:cs="Times New Roman"/>
                <w:color w:val="000000" w:themeColor="text1"/>
                <w:kern w:val="0"/>
                <w:highlight w:val="none"/>
                <w14:textFill>
                  <w14:solidFill>
                    <w14:schemeClr w14:val="tx1"/>
                  </w14:solidFill>
                </w14:textFill>
              </w:rPr>
              <w:t>水</w:t>
            </w:r>
            <w:r>
              <w:rPr>
                <w:rFonts w:hint="eastAsia"/>
                <w:color w:val="000000" w:themeColor="text1"/>
                <w:kern w:val="0"/>
                <w:highlight w:val="none"/>
                <w14:textFill>
                  <w14:solidFill>
                    <w14:schemeClr w14:val="tx1"/>
                  </w14:solidFill>
                </w14:textFill>
              </w:rPr>
              <w:t>体规划功能的要求。</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本项目废水经</w:t>
            </w:r>
            <w:r>
              <w:rPr>
                <w:rFonts w:hint="eastAsia" w:cs="Times New Roman"/>
                <w:color w:val="000000" w:themeColor="text1"/>
                <w:kern w:val="0"/>
                <w:sz w:val="24"/>
                <w:highlight w:val="none"/>
                <w:lang w:val="en-US" w:eastAsia="zh-CN"/>
                <w14:textFill>
                  <w14:solidFill>
                    <w14:schemeClr w14:val="tx1"/>
                  </w14:solidFill>
                </w14:textFill>
              </w:rPr>
              <w:t>已建</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独立化粪池+污水处理设施处理达标后排入市政污水管网，不会突破水环境质量底线。</w:t>
            </w:r>
          </w:p>
          <w:p w14:paraId="013D84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本项目选用低噪音设备，合理布局，经基础建筑、隔声、距离衰减等措施后可达标排放，能够达标排放，不会突破声环境质量底线。</w:t>
            </w:r>
          </w:p>
          <w:p w14:paraId="660ED4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本项目生活垃圾分类收集后由环卫部门清运；一般固体废物无害废包装材料交由物资部门回收利用，日产日清</w:t>
            </w:r>
            <w:r>
              <w:rPr>
                <w:rFonts w:hint="eastAsia" w:cs="Times New Roman"/>
                <w:color w:val="000000" w:themeColor="text1"/>
                <w:kern w:val="0"/>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医疗废物</w:t>
            </w:r>
            <w:r>
              <w:rPr>
                <w:rFonts w:hint="eastAsia" w:cs="Times New Roman"/>
                <w:color w:val="000000" w:themeColor="text1"/>
                <w:kern w:val="0"/>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其他危险废物暂时存放于</w:t>
            </w:r>
            <w:r>
              <w:rPr>
                <w:rFonts w:hint="eastAsia" w:cs="Times New Roman"/>
                <w:color w:val="000000" w:themeColor="text1"/>
                <w:kern w:val="0"/>
                <w:sz w:val="24"/>
                <w:highlight w:val="none"/>
                <w:lang w:val="en-US" w:eastAsia="zh-CN"/>
                <w14:textFill>
                  <w14:solidFill>
                    <w14:schemeClr w14:val="tx1"/>
                  </w14:solidFill>
                </w14:textFill>
              </w:rPr>
              <w:t>医疗</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废物暂存间，定期委托有相关处置资质的单位清运处置，其他危险废物（化粪池和污水处理设施污泥）</w:t>
            </w:r>
            <w:r>
              <w:rPr>
                <w:rFonts w:hint="eastAsia" w:cs="Times New Roman"/>
                <w:color w:val="000000" w:themeColor="text1"/>
                <w:kern w:val="0"/>
                <w:sz w:val="24"/>
                <w:highlight w:val="none"/>
                <w:lang w:val="en-US" w:eastAsia="zh-CN"/>
                <w14:textFill>
                  <w14:solidFill>
                    <w14:schemeClr w14:val="tx1"/>
                  </w14:solidFill>
                </w14:textFill>
              </w:rPr>
              <w:t>委托资质单位定期清掏，随清随运不在院区贮存，因此</w:t>
            </w:r>
            <w:r>
              <w:rPr>
                <w:rFonts w:hint="eastAsia"/>
                <w:color w:val="000000" w:themeColor="text1"/>
                <w:kern w:val="0"/>
                <w:highlight w:val="none"/>
                <w14:textFill>
                  <w14:solidFill>
                    <w14:schemeClr w14:val="tx1"/>
                  </w14:solidFill>
                </w14:textFill>
              </w:rPr>
              <w:t>医疗废物、其他危险废物</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不会污染地下水和土壤环境，不会突破土壤环境质量底线。</w:t>
            </w:r>
          </w:p>
          <w:p w14:paraId="059FFC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（3）资源利用上线符合性分析</w:t>
            </w:r>
          </w:p>
          <w:p w14:paraId="2BE5E9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本项目为</w:t>
            </w:r>
            <w:r>
              <w:rPr>
                <w:rFonts w:hint="eastAsia" w:cs="Times New Roman"/>
                <w:color w:val="000000" w:themeColor="text1"/>
                <w:kern w:val="0"/>
                <w:sz w:val="24"/>
                <w:highlight w:val="none"/>
                <w:lang w:val="en-US" w:eastAsia="zh-CN"/>
                <w14:textFill>
                  <w14:solidFill>
                    <w14:schemeClr w14:val="tx1"/>
                  </w14:solidFill>
                </w14:textFill>
              </w:rPr>
              <w:t>医院建设</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项目，</w:t>
            </w:r>
            <w:r>
              <w:rPr>
                <w:rFonts w:hint="eastAsia" w:cs="Times New Roman"/>
                <w:color w:val="000000" w:themeColor="text1"/>
                <w:kern w:val="0"/>
                <w:sz w:val="24"/>
                <w:highlight w:val="none"/>
                <w:lang w:val="en-US" w:eastAsia="zh-CN"/>
                <w14:textFill>
                  <w14:solidFill>
                    <w14:schemeClr w14:val="tx1"/>
                  </w14:solidFill>
                </w14:textFill>
              </w:rPr>
              <w:t>租用现有建筑进行建设，</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不属于高耗能行业</w:t>
            </w:r>
            <w:r>
              <w:rPr>
                <w:rFonts w:hint="eastAsia" w:cs="Times New Roman"/>
                <w:color w:val="000000" w:themeColor="text1"/>
                <w:kern w:val="0"/>
                <w:sz w:val="24"/>
                <w:highlight w:val="none"/>
                <w:lang w:val="en-US" w:eastAsia="zh-CN"/>
                <w14:textFill>
                  <w14:solidFill>
                    <w14:schemeClr w14:val="tx1"/>
                  </w14:solidFill>
                </w14:textFill>
              </w:rPr>
              <w:t>。本项目用水由当地市政管网提供，且水源充足，用水量相对较少；项目冬季供暖由市政热力提供，无燃煤等设施，本项目使用能源主要为电能，主要依托市政电网供电；项目无土建，不消耗土地资源，因此，本项目建设符合资源利用上线要求</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w:t>
            </w:r>
          </w:p>
          <w:p w14:paraId="7E1B75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（4）生态环境准入清单符合性分析</w:t>
            </w:r>
          </w:p>
          <w:p w14:paraId="67AFB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根据《关于北京市生态环境分区管控（“三线一单”）的实施意见》，北京市生态环境管控分为优先保护单元、重点管控单元和一般管控单元三类区域。</w:t>
            </w:r>
          </w:p>
          <w:p w14:paraId="448BB0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color w:val="000000" w:themeColor="text1"/>
                <w:kern w:val="0"/>
                <w:highlight w:val="none"/>
                <w14:textFill>
                  <w14:solidFill>
                    <w14:schemeClr w14:val="tx1"/>
                  </w14:solidFill>
                </w14:textFill>
              </w:rPr>
              <w:t>2024年12月25日，北京市生态环境局发布了《北京市生态环境局关于生态环境分区管控动态更新成果的通告》（通告(2024)33号），发布了北京市生态环境分区管控动态更新成果，根据该成果</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，本项目所在区域属于</w:t>
            </w:r>
            <w:r>
              <w:rPr>
                <w:rFonts w:hint="eastAsia" w:cs="Times New Roman"/>
                <w:color w:val="000000" w:themeColor="text1"/>
                <w:kern w:val="0"/>
                <w:sz w:val="24"/>
                <w:highlight w:val="none"/>
                <w:lang w:val="en-US" w:eastAsia="zh-CN"/>
                <w14:textFill>
                  <w14:solidFill>
                    <w14:schemeClr w14:val="tx1"/>
                  </w14:solidFill>
                </w14:textFill>
              </w:rPr>
              <w:t>南邵</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镇辖区内，管控单元编码为ZH1101</w:t>
            </w:r>
            <w:r>
              <w:rPr>
                <w:rFonts w:hint="eastAsia" w:cs="Times New Roman"/>
                <w:color w:val="000000" w:themeColor="text1"/>
                <w:kern w:val="0"/>
                <w:sz w:val="24"/>
                <w:highlight w:val="none"/>
                <w:lang w:val="en-US" w:eastAsia="zh-CN"/>
                <w14:textFill>
                  <w14:solidFill>
                    <w14:schemeClr w14:val="tx1"/>
                  </w14:solidFill>
                </w14:textFill>
              </w:rPr>
              <w:t>1420016</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，属于生态环境管控重点管控单元[街道（乡镇）]，具体位置见</w:t>
            </w:r>
            <w:r>
              <w:rPr>
                <w:rFonts w:hint="eastAsia" w:cs="Times New Roman"/>
                <w:color w:val="000000" w:themeColor="text1"/>
                <w:kern w:val="0"/>
                <w:sz w:val="24"/>
                <w:highlight w:val="none"/>
                <w:lang w:val="en-US" w:eastAsia="zh-CN"/>
                <w14:textFill>
                  <w14:solidFill>
                    <w14:schemeClr w14:val="tx1"/>
                  </w14:solidFill>
                </w14:textFill>
              </w:rPr>
              <w:t>下</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图。</w:t>
            </w:r>
          </w:p>
          <w:p w14:paraId="49C616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default"/>
                <w:sz w:val="24"/>
                <w:highlight w:val="none"/>
              </w:rPr>
              <w:pict>
                <v:shape id="_x0000_s1030" o:spid="_x0000_s1030" o:spt="75" type="#_x0000_t75" style="position:absolute;left:0pt;margin-left:0pt;margin-top:0pt;height:367.65pt;width:367.65pt;mso-wrap-distance-bottom:0pt;mso-wrap-distance-top:0pt;z-index:251681792;mso-width-relative:page;mso-height-relative:page;" o:ole="t" filled="f" o:preferrelative="t" stroked="f" coordsize="21600,21600">
                  <v:path/>
                  <v:fill on="f" focussize="0,0"/>
                  <v:stroke on="f"/>
                  <v:imagedata r:id="rId16" o:title=""/>
                  <o:lock v:ext="edit" aspectratio="f"/>
                  <w10:wrap type="topAndBottom"/>
                </v:shape>
                <o:OLEObject Type="Embed" ProgID="Visio.Drawing.15" ShapeID="_x0000_s1030" DrawAspect="Content" ObjectID="_1468075727" r:id="rId15">
                  <o:LockedField>false</o:LockedField>
                </o:OLEObject>
              </w:pict>
            </w:r>
          </w:p>
          <w:p w14:paraId="0CF0B5F1">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图1-3 本项目在北京市生态管控单元位置关系图</w:t>
            </w:r>
          </w:p>
          <w:p w14:paraId="3DC2A0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p>
          <w:p w14:paraId="55C69D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p>
          <w:p w14:paraId="00B152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p>
          <w:p w14:paraId="0EB784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bCs/>
                <w:color w:val="000000" w:themeColor="text1"/>
                <w:sz w:val="21"/>
                <w:szCs w:val="21"/>
                <w:highlight w:val="none"/>
                <w:lang w:val="en-US" w:eastAsia="zh-CN"/>
                <w14:textFill>
                  <w14:solidFill>
                    <w14:schemeClr w14:val="tx1"/>
                  </w14:solidFill>
                </w14:textFill>
              </w:rPr>
            </w:pPr>
            <w:r>
              <w:rPr>
                <w:rFonts w:hint="default"/>
                <w:b/>
                <w:bCs/>
                <w:sz w:val="21"/>
                <w:szCs w:val="21"/>
                <w:highlight w:val="none"/>
              </w:rPr>
              <w:pict>
                <v:shape id="_x0000_s1031" o:spid="_x0000_s1031" o:spt="75" type="#_x0000_t75" style="position:absolute;left:0pt;margin-left:0pt;margin-top:0pt;height:518.5pt;width:367.85pt;mso-wrap-distance-bottom:0pt;mso-wrap-distance-top:0pt;z-index:251682816;mso-width-relative:page;mso-height-relative:page;" o:ole="t" filled="f" o:preferrelative="t" stroked="f" coordsize="21600,21600">
                  <v:path/>
                  <v:fill on="f" focussize="0,0"/>
                  <v:stroke on="f"/>
                  <v:imagedata r:id="rId18" o:title=""/>
                  <o:lock v:ext="edit" aspectratio="f"/>
                  <w10:wrap type="topAndBottom"/>
                </v:shape>
                <o:OLEObject Type="Embed" ProgID="Visio.Drawing.15" ShapeID="_x0000_s1031" DrawAspect="Content" ObjectID="_1468075728" r:id="rId17">
                  <o:LockedField>false</o:LockedField>
                </o:OLEObject>
              </w:pict>
            </w:r>
            <w:r>
              <w:rPr>
                <w:rFonts w:hint="eastAsia"/>
                <w:b/>
                <w:bCs/>
                <w:color w:val="000000" w:themeColor="text1"/>
                <w:sz w:val="21"/>
                <w:szCs w:val="21"/>
                <w:highlight w:val="none"/>
                <w:lang w:val="en-US" w:eastAsia="zh-CN"/>
                <w14:textFill>
                  <w14:solidFill>
                    <w14:schemeClr w14:val="tx1"/>
                  </w14:solidFill>
                </w14:textFill>
              </w:rPr>
              <w:t>图1-4 重点管控类街道（乡镇）管控单元图</w:t>
            </w:r>
          </w:p>
          <w:p w14:paraId="6C09C7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根据《北京市生态环境准入清单（2021年版）》和</w:t>
            </w:r>
            <w:r>
              <w:rPr>
                <w:rFonts w:hint="eastAsia"/>
                <w:color w:val="000000" w:themeColor="text1"/>
                <w:kern w:val="0"/>
                <w:highlight w:val="none"/>
                <w14:textFill>
                  <w14:solidFill>
                    <w14:schemeClr w14:val="tx1"/>
                  </w14:solidFill>
                </w14:textFill>
              </w:rPr>
              <w:t>《北京市生态环境局关于生态环境分区管控动态更新成果的通告》（通告(2024)33号）</w:t>
            </w:r>
            <w:r>
              <w:rPr>
                <w:rFonts w:hint="eastAsia" w:cs="Times New Roman"/>
                <w:color w:val="000000" w:themeColor="text1"/>
                <w:kern w:val="0"/>
                <w:sz w:val="24"/>
                <w:highlight w:val="none"/>
                <w:lang w:val="en-US" w:eastAsia="zh-CN"/>
                <w14:textFill>
                  <w14:solidFill>
                    <w14:schemeClr w14:val="tx1"/>
                  </w14:solidFill>
                </w14:textFill>
              </w:rPr>
              <w:t>，开展全市总体生态环境准入清单、五大功能区生态环境准入清单及环境管控单元生态环境准入清单符合性分析。</w:t>
            </w:r>
          </w:p>
          <w:p w14:paraId="75AA2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1）全市总体生态环境准入清单符合性分析</w:t>
            </w:r>
          </w:p>
          <w:p w14:paraId="1CF16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项目所在位置不涉及永久基本农田、具有重要生态价值的山地、森林、河流湖泊等现状生态用地，和饮用水水源保护区及准保护区、自然保护区、风景名胜区、森林公园、地质公园、湿地公园等法定保护空间，以及对生态安全格局具有重要作用的部分大型公园和结构性绿地。项目所在地属于涉及水、大气、土壤、水资源、土地资源、能源等资源环境要素重点管控的区域。且不在39个具有工业污染排放性质的国家级和市级开发区、新型工业化产业示范基地内，应属于重点管控类街道（乡镇）类管控单元。</w:t>
            </w:r>
          </w:p>
          <w:p w14:paraId="021CC249">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表1-1 与重点管控类[街道（乡镇）]生态环境准入清单管控要求符合性分析</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3138"/>
              <w:gridCol w:w="3139"/>
              <w:gridCol w:w="527"/>
            </w:tblGrid>
            <w:tr w14:paraId="6E301A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48CA85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管控类别</w:t>
                  </w:r>
                </w:p>
              </w:tc>
              <w:tc>
                <w:tcPr>
                  <w:tcW w:w="3138" w:type="dxa"/>
                  <w:tcBorders>
                    <w:tl2br w:val="nil"/>
                    <w:tr2bl w:val="nil"/>
                  </w:tcBorders>
                  <w:vAlign w:val="center"/>
                </w:tcPr>
                <w:p w14:paraId="41C114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重点管控要求</w:t>
                  </w:r>
                </w:p>
              </w:tc>
              <w:tc>
                <w:tcPr>
                  <w:tcW w:w="3139" w:type="dxa"/>
                  <w:tcBorders>
                    <w:tl2br w:val="nil"/>
                    <w:tr2bl w:val="nil"/>
                  </w:tcBorders>
                  <w:vAlign w:val="center"/>
                </w:tcPr>
                <w:p w14:paraId="5A6394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本项目情况</w:t>
                  </w:r>
                </w:p>
              </w:tc>
              <w:tc>
                <w:tcPr>
                  <w:tcW w:w="527" w:type="dxa"/>
                  <w:tcBorders>
                    <w:tl2br w:val="nil"/>
                    <w:tr2bl w:val="nil"/>
                  </w:tcBorders>
                  <w:vAlign w:val="center"/>
                </w:tcPr>
                <w:p w14:paraId="0F46B7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符合情况</w:t>
                  </w:r>
                </w:p>
              </w:tc>
            </w:tr>
            <w:tr w14:paraId="61CFC9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337CA5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空间布局约束</w:t>
                  </w:r>
                </w:p>
              </w:tc>
              <w:tc>
                <w:tcPr>
                  <w:tcW w:w="3138" w:type="dxa"/>
                  <w:tcBorders>
                    <w:tl2br w:val="nil"/>
                    <w:tr2bl w:val="nil"/>
                  </w:tcBorders>
                  <w:vAlign w:val="center"/>
                </w:tcPr>
                <w:p w14:paraId="01B640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严格执行《北京市新增产业的禁止和限制目录（2022年版）》、北京市《建设项目规划使用性质正面和负面清单》《外商投资准入特别管理措施(负面清单)（2024年版）》《自由贸易试验区外商投资准入特别管理措施（负面清单）（2021年版）》《北京市“十四五”时期高精尖产业发展规划》《北京市“十四五”时期生态环境保护规划》。</w:t>
                  </w:r>
                </w:p>
                <w:p w14:paraId="065E73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2.严格执行《北京市工业污染行业生产工艺调整退出及设备淘汰目录（2022年版）》。</w:t>
                  </w:r>
                </w:p>
                <w:p w14:paraId="66E4D8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3.严格执行《北京城市总体规划(2016年-2035年)》《北京市国土空间近期规划(2021年—2025年)》及分区规划中的空间布局约束管控要求。</w:t>
                  </w:r>
                </w:p>
                <w:p w14:paraId="48FC3F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4.严格执行《北京市高污染燃料禁燃区划定方案（试行）》，高污染燃料禁燃区内任何单位不得新建、扩建高污染燃料燃用设施，不得将其他燃料燃用设施改造为高污染燃料燃用设施。</w:t>
                  </w:r>
                </w:p>
                <w:p w14:paraId="0E73A8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5.严格执行《北京市水污染防治条例》，通过合理规划工业布局，引导工业企业入驻工业园区；规划禁养区内已有的畜禽养殖场、养殖小区项目，由所在地区人民政府限期拆除。</w:t>
                  </w:r>
                </w:p>
                <w:p w14:paraId="224919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6.严格执行《北京市大气污染防治条例》，禁止销售不符合标准的散煤及制品；在居民住宅楼、未配套设立专用烟道的商住综合楼、商住综合楼内与居住层相邻的商业楼层内，禁止新建、改建、扩建产生油烟、异味、废气的饮食服务、服装干洗和机动车维修等项目。</w:t>
                  </w:r>
                </w:p>
                <w:p w14:paraId="096115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7.严格执行《北京历史文化名城保护条例》，严格控制建设规模和建筑高度，保护景观视廊和空间格局；逐步开展环境整治、生态修复，恢复大尺度绿色空间。</w:t>
                  </w:r>
                </w:p>
              </w:tc>
              <w:tc>
                <w:tcPr>
                  <w:tcW w:w="3139" w:type="dxa"/>
                  <w:tcBorders>
                    <w:tl2br w:val="nil"/>
                    <w:tr2bl w:val="nil"/>
                  </w:tcBorders>
                  <w:vAlign w:val="center"/>
                </w:tcPr>
                <w:p w14:paraId="372A51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本项目不属于《北京市新增产业的禁止和限制目录（2022年版）》中禁止和限制类项目，未列入北京市《建设项目规划使用性质正面和负面清单》中负面清单，不属于外商投资，本项目严格执行《北京市“十四五”时期生态环境保护规划》。</w:t>
                  </w:r>
                </w:p>
                <w:p w14:paraId="1CCAE7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2.本项目为专科医院，项目不涉及《北京市工业污染行业生产工艺调整退出及设备淘汰目录（2022年版）》。</w:t>
                  </w:r>
                </w:p>
                <w:p w14:paraId="50E02A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3.本项目严格执行《北京城市总体规划(2016年-2035年)》《北京市国土空间近期规划(2021年—2025年)》及分区规划中的空间布局约束管控要求。</w:t>
                  </w:r>
                </w:p>
                <w:p w14:paraId="6ED2AB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4.本项目不涉及高污染燃料燃用。</w:t>
                  </w:r>
                </w:p>
                <w:p w14:paraId="7E3D56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5.本项目不涉及畜禽养殖等。</w:t>
                  </w:r>
                </w:p>
                <w:p w14:paraId="6BE1D5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6.本项目不涉及饮食服务、服装干洗和机动车维修等。</w:t>
                  </w:r>
                </w:p>
                <w:p w14:paraId="35ABC4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7.本项目不涉及《北京历史文化名城保护条例》。</w:t>
                  </w:r>
                </w:p>
              </w:tc>
              <w:tc>
                <w:tcPr>
                  <w:tcW w:w="527" w:type="dxa"/>
                  <w:tcBorders>
                    <w:tl2br w:val="nil"/>
                    <w:tr2bl w:val="nil"/>
                  </w:tcBorders>
                  <w:vAlign w:val="center"/>
                </w:tcPr>
                <w:p w14:paraId="6EAD8B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59E78A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68E691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污染物排放管控</w:t>
                  </w:r>
                </w:p>
              </w:tc>
              <w:tc>
                <w:tcPr>
                  <w:tcW w:w="3138" w:type="dxa"/>
                  <w:tcBorders>
                    <w:tl2br w:val="nil"/>
                    <w:tr2bl w:val="nil"/>
                  </w:tcBorders>
                  <w:vAlign w:val="center"/>
                </w:tcPr>
                <w:p w14:paraId="6D8CA9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严格执行《中华人民共和国环境保护法》《中华人民共和国大气污染防治法》《中华人民共和国水污染防治法》《中华人民共和国土壤污染防治法》《中华人民共和国固体废物污染环境防治法》《北京市大气污染防治条例》《北京市水污染防治条例》《北京市土壤污染防治条例》《排污许可管理条例》等法律法规以及国家、地方环境质量标准和污染物排放标准。</w:t>
                  </w:r>
                </w:p>
                <w:p w14:paraId="45AC22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2.严格执行《北京市机动车和非道路移动机械排放污染防治条例》，优化道路设置和运输结构，推广新能源的机动车和非道路移动机械应用，加强机动车和非道路移动机械排放污染防治。</w:t>
                  </w:r>
                </w:p>
                <w:p w14:paraId="66A686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3.严格执行《绿色施工管理规程》。</w:t>
                  </w:r>
                </w:p>
                <w:p w14:paraId="49DBB1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4.严格执行《北京市水污染防治条例》，城镇污水应当集中处理，统筹安排建设污水集中处理设施及配套污水管网，提高城镇污水的收集率和处理率；建设规模化畜禽养殖场、养殖小区，配套建设集中式畜禽粪污综合利用设施或者无害化处理设施。规模化畜禽养殖企业应当采取防渗漏、防流失、防遗撒措施，防止畜禽养殖废水、粪污渗漏、溢流、散落对环境造成污染。</w:t>
                  </w:r>
                </w:p>
                <w:p w14:paraId="22FC6D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5.严格执行《中华人民共和国清洁生产促进法》《中华人民共和国循环经济促进法》。</w:t>
                  </w:r>
                </w:p>
                <w:p w14:paraId="56380F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6.严格执行《建设项目主要污染物排放总量指标审核及管理暂行办法》《原北京市环境保护局关于建设项目主要污染物排放总量指标审核及管理的补充通知》。</w:t>
                  </w:r>
                </w:p>
                <w:p w14:paraId="0DA02E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7.严格执行废气、废水、噪声、固体废物等国家、地方污染物排放标准；严格执行锅炉、餐饮、加油站、储油库、印刷业等地方大气污染物排放标准，强化重点领域大气污染管控。</w:t>
                  </w:r>
                </w:p>
                <w:p w14:paraId="1AB1FB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8.严格执行《污染地块土壤环境管理办法（试行）》，在土地开发过程中，属于《污染地块土壤环境管理办法（试行）》规定的疑似污染地块，土壤污染状况普查、详查和监测、现场检查表明有土壤污染风险的建设用地地块，用途变更为住宅、公共管理与公共服务用地的，重度污染农用地转为城镇建设用地的要按照有关规定开展土壤污染状况调查等。</w:t>
                  </w:r>
                </w:p>
                <w:p w14:paraId="4A42E7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9.严格执行《北京市烟花爆竹安全管理规定》，五环路以内（含五环路）及各区人民政府划定的禁放区域禁止燃放烟花爆竹。</w:t>
                  </w:r>
                </w:p>
                <w:p w14:paraId="26AF09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10.严格执行《中共中央国务院关于深入打好污染防治攻坚战的意见》《中共北京市委北京市人民政府关于深入打好北京市污染防治攻坚战的实施意见》，开展大气面源治理；推动规模化畜禽养殖场全部配备粪污处理设施，畜禽粪污综合利用率达到95%以上。</w:t>
                  </w:r>
                </w:p>
                <w:p w14:paraId="6CBFFB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11.严格执行《北京市“十四五”时期生态环境保护规划》《北京市“十四五”时期土壤污染防治规划》。</w:t>
                  </w:r>
                </w:p>
                <w:p w14:paraId="2E69C0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12.严格执行《北京市“十四五”时期应对气候变化和节能规划》《北京市“十四五”时期能源发展规划》《北京市碳达峰实施方案》《北京市“十四五”时期制造业绿色低碳发展行动方案》，大力推广超低能耗建筑，推进既有建筑节能改造；积极引导绿色出行，加快优化车辆结构，加强航空和货运领域节能降碳；加强对本市甲烷、六氟化硫、氧化亚氮、全氟化碳等非二氧化碳温室气体的监测统计和科学管理。</w:t>
                  </w:r>
                </w:p>
                <w:p w14:paraId="051C60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13.严格执行《北京市建设工程扬尘治理综合监管实施方案(试行)》《北京市预拌混凝土行业减量集约高质量发展指导意见（2019—2026年）》，坚持施工扬尘和站点扬尘高效精准治理。</w:t>
                  </w:r>
                </w:p>
              </w:tc>
              <w:tc>
                <w:tcPr>
                  <w:tcW w:w="3139" w:type="dxa"/>
                  <w:tcBorders>
                    <w:tl2br w:val="nil"/>
                    <w:tr2bl w:val="nil"/>
                  </w:tcBorders>
                  <w:vAlign w:val="center"/>
                </w:tcPr>
                <w:p w14:paraId="2E1DFB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1.项目废气、废水、噪声均达标排放，固体废物合理处置，满足国家、地方相关法律法规、环境质量标准和污染物排放标准要求。</w:t>
                  </w:r>
                </w:p>
                <w:p w14:paraId="00A73E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2.项目</w:t>
                  </w:r>
                  <w:r>
                    <w:rPr>
                      <w:rFonts w:hint="eastAsia"/>
                      <w:color w:val="000000" w:themeColor="text1"/>
                      <w:sz w:val="21"/>
                      <w:szCs w:val="21"/>
                      <w:highlight w:val="none"/>
                      <w:vertAlign w:val="baseline"/>
                      <w:lang w:val="en-US" w:eastAsia="zh-CN"/>
                      <w14:textFill>
                        <w14:solidFill>
                          <w14:schemeClr w14:val="tx1"/>
                        </w14:solidFill>
                      </w14:textFill>
                    </w:rPr>
                    <w:t>严格执行</w:t>
                  </w:r>
                  <w:r>
                    <w:rPr>
                      <w:rFonts w:hint="eastAsia"/>
                      <w:color w:val="000000" w:themeColor="text1"/>
                      <w:sz w:val="21"/>
                      <w:szCs w:val="21"/>
                      <w:highlight w:val="none"/>
                      <w14:textFill>
                        <w14:solidFill>
                          <w14:schemeClr w14:val="tx1"/>
                        </w14:solidFill>
                      </w14:textFill>
                    </w:rPr>
                    <w:t>《北京市机动车和非道路移动机械排放污染防治条例》</w:t>
                  </w:r>
                  <w:r>
                    <w:rPr>
                      <w:rFonts w:hint="eastAsia"/>
                      <w:color w:val="000000" w:themeColor="text1"/>
                      <w:sz w:val="21"/>
                      <w:szCs w:val="21"/>
                      <w:highlight w:val="none"/>
                      <w:vertAlign w:val="baseline"/>
                      <w14:textFill>
                        <w14:solidFill>
                          <w14:schemeClr w14:val="tx1"/>
                        </w14:solidFill>
                      </w14:textFill>
                    </w:rPr>
                    <w:t>。</w:t>
                  </w:r>
                </w:p>
                <w:p w14:paraId="360D69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eastAsia="宋体"/>
                      <w:color w:val="000000" w:themeColor="text1"/>
                      <w:sz w:val="21"/>
                      <w:szCs w:val="21"/>
                      <w:highlight w:val="none"/>
                      <w:vertAlign w:val="baseline"/>
                      <w:lang w:eastAsia="zh-CN"/>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3.项目</w:t>
                  </w:r>
                  <w:r>
                    <w:rPr>
                      <w:rFonts w:hint="eastAsia"/>
                      <w:color w:val="000000" w:themeColor="text1"/>
                      <w:sz w:val="21"/>
                      <w:szCs w:val="21"/>
                      <w:highlight w:val="none"/>
                      <w:vertAlign w:val="baseline"/>
                      <w:lang w:val="en-US" w:eastAsia="zh-CN"/>
                      <w14:textFill>
                        <w14:solidFill>
                          <w14:schemeClr w14:val="tx1"/>
                        </w14:solidFill>
                      </w14:textFill>
                    </w:rPr>
                    <w:t>装修过程执行</w:t>
                  </w:r>
                  <w:r>
                    <w:rPr>
                      <w:rFonts w:hint="eastAsia"/>
                      <w:color w:val="000000" w:themeColor="text1"/>
                      <w:sz w:val="21"/>
                      <w:szCs w:val="21"/>
                      <w:highlight w:val="none"/>
                      <w:vertAlign w:val="baseline"/>
                      <w14:textFill>
                        <w14:solidFill>
                          <w14:schemeClr w14:val="tx1"/>
                        </w14:solidFill>
                      </w14:textFill>
                    </w:rPr>
                    <w:t>《绿色施工管理规程》</w:t>
                  </w:r>
                  <w:r>
                    <w:rPr>
                      <w:rFonts w:hint="eastAsia"/>
                      <w:color w:val="000000" w:themeColor="text1"/>
                      <w:sz w:val="21"/>
                      <w:szCs w:val="21"/>
                      <w:highlight w:val="none"/>
                      <w:vertAlign w:val="baseline"/>
                      <w:lang w:eastAsia="zh-CN"/>
                      <w14:textFill>
                        <w14:solidFill>
                          <w14:schemeClr w14:val="tx1"/>
                        </w14:solidFill>
                      </w14:textFill>
                    </w:rPr>
                    <w:t>。</w:t>
                  </w:r>
                </w:p>
                <w:p w14:paraId="7F410A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4.项目</w:t>
                  </w:r>
                  <w:r>
                    <w:rPr>
                      <w:rFonts w:hint="eastAsia"/>
                      <w:color w:val="000000" w:themeColor="text1"/>
                      <w:sz w:val="21"/>
                      <w:szCs w:val="21"/>
                      <w:highlight w:val="none"/>
                      <w:vertAlign w:val="baseline"/>
                      <w:lang w:val="en-US" w:eastAsia="zh-CN"/>
                      <w14:textFill>
                        <w14:solidFill>
                          <w14:schemeClr w14:val="tx1"/>
                        </w14:solidFill>
                      </w14:textFill>
                    </w:rPr>
                    <w:t>废水合理处置，不涉及</w:t>
                  </w:r>
                  <w:r>
                    <w:rPr>
                      <w:rFonts w:hint="eastAsia"/>
                      <w:color w:val="000000" w:themeColor="text1"/>
                      <w:sz w:val="21"/>
                      <w:szCs w:val="21"/>
                      <w:highlight w:val="none"/>
                      <w:vertAlign w:val="baseline"/>
                      <w14:textFill>
                        <w14:solidFill>
                          <w14:schemeClr w14:val="tx1"/>
                        </w14:solidFill>
                      </w14:textFill>
                    </w:rPr>
                    <w:t>规模化畜禽养殖场</w:t>
                  </w:r>
                  <w:r>
                    <w:rPr>
                      <w:rFonts w:hint="eastAsia"/>
                      <w:color w:val="000000" w:themeColor="text1"/>
                      <w:sz w:val="21"/>
                      <w:szCs w:val="21"/>
                      <w:highlight w:val="none"/>
                      <w:vertAlign w:val="baseline"/>
                      <w:lang w:val="en-US" w:eastAsia="zh-CN"/>
                      <w14:textFill>
                        <w14:solidFill>
                          <w14:schemeClr w14:val="tx1"/>
                        </w14:solidFill>
                      </w14:textFill>
                    </w:rPr>
                    <w:t>等。</w:t>
                  </w:r>
                </w:p>
                <w:p w14:paraId="46FD6E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5.项目严格执行《中华人民共和国清洁生产促进法》《中华人民共和国循环经济促进法》。</w:t>
                  </w:r>
                </w:p>
                <w:p w14:paraId="14AAA1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6.项目从事</w:t>
                  </w:r>
                  <w:r>
                    <w:rPr>
                      <w:rFonts w:hint="eastAsia"/>
                      <w:color w:val="000000" w:themeColor="text1"/>
                      <w:sz w:val="21"/>
                      <w:szCs w:val="21"/>
                      <w:highlight w:val="none"/>
                      <w:vertAlign w:val="baseline"/>
                      <w:lang w:val="en-US" w:eastAsia="zh-CN"/>
                      <w14:textFill>
                        <w14:solidFill>
                          <w14:schemeClr w14:val="tx1"/>
                        </w14:solidFill>
                      </w14:textFill>
                    </w:rPr>
                    <w:t>专科医院</w:t>
                  </w:r>
                  <w:r>
                    <w:rPr>
                      <w:rFonts w:hint="eastAsia"/>
                      <w:color w:val="000000" w:themeColor="text1"/>
                      <w:sz w:val="21"/>
                      <w:szCs w:val="21"/>
                      <w:highlight w:val="none"/>
                      <w:vertAlign w:val="baseline"/>
                      <w14:textFill>
                        <w14:solidFill>
                          <w14:schemeClr w14:val="tx1"/>
                        </w14:solidFill>
                      </w14:textFill>
                    </w:rPr>
                    <w:t>运营，开展</w:t>
                  </w:r>
                  <w:r>
                    <w:rPr>
                      <w:rFonts w:hint="eastAsia"/>
                      <w:color w:val="000000" w:themeColor="text1"/>
                      <w:sz w:val="21"/>
                      <w:szCs w:val="21"/>
                      <w:highlight w:val="none"/>
                      <w:vertAlign w:val="baseline"/>
                      <w14:textFill>
                        <w14:solidFill>
                          <w14:schemeClr w14:val="tx1"/>
                        </w14:solidFill>
                      </w14:textFill>
                    </w:rPr>
                    <w:t>各科医疗科室门诊、住院及相关服务</w:t>
                  </w:r>
                  <w:r>
                    <w:rPr>
                      <w:rFonts w:hint="eastAsia"/>
                      <w:color w:val="000000" w:themeColor="text1"/>
                      <w:sz w:val="21"/>
                      <w:szCs w:val="21"/>
                      <w:highlight w:val="none"/>
                      <w:vertAlign w:val="baseline"/>
                      <w14:textFill>
                        <w14:solidFill>
                          <w14:schemeClr w14:val="tx1"/>
                        </w14:solidFill>
                      </w14:textFill>
                    </w:rPr>
                    <w:t>，涉及排放的总量控制污染物为废</w:t>
                  </w:r>
                  <w:r>
                    <w:rPr>
                      <w:rFonts w:hint="eastAsia"/>
                      <w:color w:val="000000" w:themeColor="text1"/>
                      <w:sz w:val="21"/>
                      <w:szCs w:val="21"/>
                      <w:highlight w:val="none"/>
                      <w:vertAlign w:val="baseline"/>
                      <w14:textFill>
                        <w14:solidFill>
                          <w14:schemeClr w14:val="tx1"/>
                        </w14:solidFill>
                      </w14:textFill>
                    </w:rPr>
                    <w:t>水中的化学需氧量和氨氮</w:t>
                  </w:r>
                  <w:r>
                    <w:rPr>
                      <w:rFonts w:hint="eastAsia"/>
                      <w:color w:val="000000" w:themeColor="text1"/>
                      <w:sz w:val="21"/>
                      <w:szCs w:val="21"/>
                      <w:highlight w:val="none"/>
                      <w:vertAlign w:val="baseline"/>
                      <w14:textFill>
                        <w14:solidFill>
                          <w14:schemeClr w14:val="tx1"/>
                        </w14:solidFill>
                      </w14:textFill>
                    </w:rPr>
                    <w:t>。</w:t>
                  </w:r>
                </w:p>
                <w:p w14:paraId="63CFE7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7.项目严格执行废气、废水、噪声、固体废物等国家、地方污染物排放标准；项目不涉及锅炉、餐饮、加油站、储油库、印刷业等。</w:t>
                  </w:r>
                </w:p>
                <w:p w14:paraId="6B50C8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8.项目不涉及污染地块。</w:t>
                  </w:r>
                </w:p>
                <w:p w14:paraId="5734C5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9.项目不涉及烟花爆竹燃放。</w:t>
                  </w:r>
                </w:p>
                <w:p w14:paraId="3BCA0C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10.项目不涉及规模化畜禽养殖。</w:t>
                  </w:r>
                </w:p>
                <w:p w14:paraId="0844F6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11.项目严格执行《北京市“十四五”时期生态环境保护规划》《北京市“十四五”时期土壤污染防治规划》。</w:t>
                  </w:r>
                </w:p>
                <w:p w14:paraId="0E427B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12.项目</w:t>
                  </w:r>
                  <w:r>
                    <w:rPr>
                      <w:rFonts w:hint="eastAsia"/>
                      <w:color w:val="000000" w:themeColor="text1"/>
                      <w:sz w:val="21"/>
                      <w:szCs w:val="21"/>
                      <w:highlight w:val="none"/>
                      <w:vertAlign w:val="baseline"/>
                      <w:lang w:val="en-US" w:eastAsia="zh-CN"/>
                      <w14:textFill>
                        <w14:solidFill>
                          <w14:schemeClr w14:val="tx1"/>
                        </w14:solidFill>
                      </w14:textFill>
                    </w:rPr>
                    <w:t>不涉及</w:t>
                  </w:r>
                  <w:r>
                    <w:rPr>
                      <w:rFonts w:hint="eastAsia"/>
                      <w:color w:val="000000" w:themeColor="text1"/>
                      <w:sz w:val="21"/>
                      <w:szCs w:val="21"/>
                      <w:highlight w:val="none"/>
                      <w:vertAlign w:val="baseline"/>
                      <w14:textFill>
                        <w14:solidFill>
                          <w14:schemeClr w14:val="tx1"/>
                        </w14:solidFill>
                      </w14:textFill>
                    </w:rPr>
                    <w:t>《北京市“十四五”时期应对气候变化和节能规划》《北京市“十四五”时期能源发展规划》《北京市碳达峰实施方案》《北京市“十四五”时期制造业绿色低碳发展行动方案》。</w:t>
                  </w:r>
                </w:p>
                <w:p w14:paraId="14C17D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13.项目</w:t>
                  </w:r>
                  <w:r>
                    <w:rPr>
                      <w:rFonts w:hint="eastAsia"/>
                      <w:color w:val="000000" w:themeColor="text1"/>
                      <w:sz w:val="21"/>
                      <w:szCs w:val="21"/>
                      <w:highlight w:val="none"/>
                      <w:vertAlign w:val="baseline"/>
                      <w:lang w:val="en-US" w:eastAsia="zh-CN"/>
                      <w14:textFill>
                        <w14:solidFill>
                          <w14:schemeClr w14:val="tx1"/>
                        </w14:solidFill>
                      </w14:textFill>
                    </w:rPr>
                    <w:t>装修过程执行</w:t>
                  </w:r>
                  <w:r>
                    <w:rPr>
                      <w:rFonts w:hint="eastAsia"/>
                      <w:color w:val="000000" w:themeColor="text1"/>
                      <w:sz w:val="21"/>
                      <w:szCs w:val="21"/>
                      <w:highlight w:val="none"/>
                      <w:vertAlign w:val="baseline"/>
                      <w14:textFill>
                        <w14:solidFill>
                          <w14:schemeClr w14:val="tx1"/>
                        </w14:solidFill>
                      </w14:textFill>
                    </w:rPr>
                    <w:t>《北京市建设工程扬尘治理综合监管实施方案(试行)》</w:t>
                  </w:r>
                  <w:r>
                    <w:rPr>
                      <w:rFonts w:hint="eastAsia"/>
                      <w:color w:val="000000" w:themeColor="text1"/>
                      <w:sz w:val="21"/>
                      <w:szCs w:val="21"/>
                      <w:highlight w:val="none"/>
                      <w:vertAlign w:val="baseline"/>
                      <w:lang w:eastAsia="zh-CN"/>
                      <w14:textFill>
                        <w14:solidFill>
                          <w14:schemeClr w14:val="tx1"/>
                        </w14:solidFill>
                      </w14:textFill>
                    </w:rPr>
                    <w:t>，</w:t>
                  </w:r>
                  <w:r>
                    <w:rPr>
                      <w:rFonts w:hint="eastAsia"/>
                      <w:color w:val="000000" w:themeColor="text1"/>
                      <w:sz w:val="21"/>
                      <w:szCs w:val="21"/>
                      <w:highlight w:val="none"/>
                      <w:vertAlign w:val="baseline"/>
                      <w:lang w:val="en-US" w:eastAsia="zh-CN"/>
                      <w14:textFill>
                        <w14:solidFill>
                          <w14:schemeClr w14:val="tx1"/>
                        </w14:solidFill>
                      </w14:textFill>
                    </w:rPr>
                    <w:t>不涉及</w:t>
                  </w:r>
                  <w:r>
                    <w:rPr>
                      <w:rFonts w:hint="eastAsia"/>
                      <w:color w:val="000000" w:themeColor="text1"/>
                      <w:sz w:val="21"/>
                      <w:szCs w:val="21"/>
                      <w:highlight w:val="none"/>
                      <w:vertAlign w:val="baseline"/>
                      <w14:textFill>
                        <w14:solidFill>
                          <w14:schemeClr w14:val="tx1"/>
                        </w14:solidFill>
                      </w14:textFill>
                    </w:rPr>
                    <w:t>《北京市预拌混凝土行业减量集约高质量发展指导意见（2019—2026年）》。</w:t>
                  </w:r>
                </w:p>
              </w:tc>
              <w:tc>
                <w:tcPr>
                  <w:tcW w:w="527" w:type="dxa"/>
                  <w:tcBorders>
                    <w:tl2br w:val="nil"/>
                    <w:tr2bl w:val="nil"/>
                  </w:tcBorders>
                  <w:vAlign w:val="center"/>
                </w:tcPr>
                <w:p w14:paraId="0ED90B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236F28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112915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环境风险防控</w:t>
                  </w:r>
                </w:p>
              </w:tc>
              <w:tc>
                <w:tcPr>
                  <w:tcW w:w="3138" w:type="dxa"/>
                  <w:tcBorders>
                    <w:tl2br w:val="nil"/>
                    <w:tr2bl w:val="nil"/>
                  </w:tcBorders>
                  <w:vAlign w:val="center"/>
                </w:tcPr>
                <w:p w14:paraId="0857C0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严格执行《中华人民共和国环境保护法》《中华人民共和国大气污染防治法》《中华人民共和国水污染防治法》《中华人民共和国土壤污染防治法》《中华人民共和国固体废物污染环境防治法》《北京市大气污染防治条例》《北京市水污染防治条例》《中华人民共和国水土保持法》《国家突发环境事件应急预案》《企业事业单位突发环境事件应急预案备案管理办法（试行）》《北京市突发环境事件应急预案》《北京市空气重污染应急预案（2023年修订）》等法律法规文件要求，完善环境风险防控体系，提高区域环境风险防范能力。</w:t>
                  </w:r>
                </w:p>
                <w:p w14:paraId="246287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2.落实《北京城市总体规划(2016年-2035年)》要求，强化土壤污染源头管控，加强污染地块再开发利用的联动监管。</w:t>
                  </w:r>
                </w:p>
              </w:tc>
              <w:tc>
                <w:tcPr>
                  <w:tcW w:w="3139" w:type="dxa"/>
                  <w:tcBorders>
                    <w:tl2br w:val="nil"/>
                    <w:tr2bl w:val="nil"/>
                  </w:tcBorders>
                  <w:vAlign w:val="center"/>
                </w:tcPr>
                <w:p w14:paraId="11D526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1.项目废气、废水、噪声均达标排放，固体废物合理处置，满足国家、地方相关法律法规、环境质量标准和污染物排放标准要求。</w:t>
                  </w:r>
                </w:p>
                <w:p w14:paraId="72E887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2.项目落实《北京城市总体规划(2016年-2035年)》要求，强化土壤污染源头管控，加强污染地块再开发利用的联动监管。</w:t>
                  </w:r>
                </w:p>
              </w:tc>
              <w:tc>
                <w:tcPr>
                  <w:tcW w:w="527" w:type="dxa"/>
                  <w:tcBorders>
                    <w:tl2br w:val="nil"/>
                    <w:tr2bl w:val="nil"/>
                  </w:tcBorders>
                  <w:vAlign w:val="center"/>
                </w:tcPr>
                <w:p w14:paraId="7E7156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3E8DAC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1F5043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资源利用效率要求</w:t>
                  </w:r>
                </w:p>
              </w:tc>
              <w:tc>
                <w:tcPr>
                  <w:tcW w:w="3138" w:type="dxa"/>
                  <w:tcBorders>
                    <w:tl2br w:val="nil"/>
                    <w:tr2bl w:val="nil"/>
                  </w:tcBorders>
                  <w:vAlign w:val="center"/>
                </w:tcPr>
                <w:p w14:paraId="4BD45C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严格执行《中华人民共和国水法》《北京市节水条例》《北京市人民政府关于实行最严格水资源管理制度的意见》《北京市“十四五”时期污水处理及资源化利用发展规划》《北京市“十四五”节水型社会建设规划》《关于北京市加强水生态空间管控工作的意见》，加强用水管控。</w:t>
                  </w:r>
                </w:p>
                <w:p w14:paraId="09F11E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2.落实《北京城市总体规划(2016年-2035年)》要求，坚守建设用地规模底线，严格落实土地用途管制制度，腾退低效集体产业用地，实现城乡建设用地规模减量。</w:t>
                  </w:r>
                </w:p>
                <w:p w14:paraId="36EAF2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3.执行《中华人民共和国节约能源法》《大型公共建筑制冷能耗限额》《供热锅炉综合能源消耗限额》《供暖系统运行能源消耗限额》《民用建筑能耗指标》《商场、超市能源消耗限额》《北京市碳达峰碳中和工作领导小组办公室关于印发北京市民用建筑节能降碳工作方案暨“十四五”时期民用建筑绿色发展规划的通知》《北京市发展和改革委员会北京市住房和城乡建设委员会关于印发建立健全北京市公共建筑能效评估方法和制度的工作方案的通知》以及北京市单位产品能源消耗限额系列标准，强化建筑、交通、工业等领域的节能减排和需求管理。</w:t>
                  </w:r>
                </w:p>
              </w:tc>
              <w:tc>
                <w:tcPr>
                  <w:tcW w:w="3139" w:type="dxa"/>
                  <w:tcBorders>
                    <w:tl2br w:val="nil"/>
                    <w:tr2bl w:val="nil"/>
                  </w:tcBorders>
                  <w:vAlign w:val="center"/>
                </w:tcPr>
                <w:p w14:paraId="59EB5B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w:t>
                  </w:r>
                  <w:r>
                    <w:rPr>
                      <w:rFonts w:hint="eastAsia"/>
                      <w:color w:val="000000" w:themeColor="text1"/>
                      <w:sz w:val="21"/>
                      <w:szCs w:val="21"/>
                      <w:highlight w:val="none"/>
                      <w:vertAlign w:val="baseline"/>
                      <w:lang w:val="en-US" w:eastAsia="zh-CN"/>
                      <w14:textFill>
                        <w14:solidFill>
                          <w14:schemeClr w14:val="tx1"/>
                        </w14:solidFill>
                      </w14:textFill>
                    </w:rPr>
                    <w:t>项目</w:t>
                  </w:r>
                  <w:r>
                    <w:rPr>
                      <w:rFonts w:hint="eastAsia"/>
                      <w:color w:val="000000" w:themeColor="text1"/>
                      <w:sz w:val="21"/>
                      <w:szCs w:val="21"/>
                      <w:highlight w:val="none"/>
                      <w:vertAlign w:val="baseline"/>
                      <w14:textFill>
                        <w14:solidFill>
                          <w14:schemeClr w14:val="tx1"/>
                        </w14:solidFill>
                      </w14:textFill>
                    </w:rPr>
                    <w:t>严格执行《中华人民共和国水法》《北京市节水条例》《北京市人民政府关于实行最严格水资源管理制度的意见》《北京市“十四五”时期污水处理及资源化利用发展规划》《北京市“十四五”节水型社会建设规划》《关于北京市加强水生态空间管控工作的意见》，加强用水管控。</w:t>
                  </w:r>
                </w:p>
                <w:p w14:paraId="4A05F9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w:t>
                  </w:r>
                  <w:r>
                    <w:rPr>
                      <w:rFonts w:hint="eastAsia"/>
                      <w:color w:val="000000" w:themeColor="text1"/>
                      <w:sz w:val="21"/>
                      <w:szCs w:val="21"/>
                      <w:highlight w:val="none"/>
                      <w:vertAlign w:val="baseline"/>
                      <w:lang w:val="en-US" w:eastAsia="zh-CN"/>
                      <w14:textFill>
                        <w14:solidFill>
                          <w14:schemeClr w14:val="tx1"/>
                        </w14:solidFill>
                      </w14:textFill>
                    </w:rPr>
                    <w:t>项目</w:t>
                  </w:r>
                  <w:r>
                    <w:rPr>
                      <w:rFonts w:hint="eastAsia"/>
                      <w:color w:val="000000" w:themeColor="text1"/>
                      <w:sz w:val="21"/>
                      <w:szCs w:val="21"/>
                      <w:highlight w:val="none"/>
                      <w:vertAlign w:val="baseline"/>
                      <w14:textFill>
                        <w14:solidFill>
                          <w14:schemeClr w14:val="tx1"/>
                        </w14:solidFill>
                      </w14:textFill>
                    </w:rPr>
                    <w:t>落实《北京城市总体规划(2016年-2035年)》要求。</w:t>
                  </w:r>
                </w:p>
                <w:p w14:paraId="73FCB7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3.</w:t>
                  </w:r>
                  <w:r>
                    <w:rPr>
                      <w:rFonts w:hint="eastAsia"/>
                      <w:color w:val="000000" w:themeColor="text1"/>
                      <w:sz w:val="21"/>
                      <w:szCs w:val="21"/>
                      <w:highlight w:val="none"/>
                      <w:vertAlign w:val="baseline"/>
                      <w:lang w:val="en-US" w:eastAsia="zh-CN"/>
                      <w14:textFill>
                        <w14:solidFill>
                          <w14:schemeClr w14:val="tx1"/>
                        </w14:solidFill>
                      </w14:textFill>
                    </w:rPr>
                    <w:t>项目</w:t>
                  </w:r>
                  <w:r>
                    <w:rPr>
                      <w:rFonts w:hint="eastAsia"/>
                      <w:color w:val="000000" w:themeColor="text1"/>
                      <w:sz w:val="21"/>
                      <w:szCs w:val="21"/>
                      <w:highlight w:val="none"/>
                      <w:vertAlign w:val="baseline"/>
                      <w14:textFill>
                        <w14:solidFill>
                          <w14:schemeClr w14:val="tx1"/>
                        </w14:solidFill>
                      </w14:textFill>
                    </w:rPr>
                    <w:t>执行《中华人民共和国节约能源法》《民用建筑能耗指标》《北京市碳达峰碳中和工作领导小组办公室关于印发北京市民用建筑节能降碳工作方案暨“十四五”时期民用建筑绿色发展规划的通知》</w:t>
                  </w:r>
                  <w:r>
                    <w:rPr>
                      <w:rFonts w:hint="eastAsia"/>
                      <w:color w:val="000000" w:themeColor="text1"/>
                      <w:sz w:val="21"/>
                      <w:szCs w:val="21"/>
                      <w:highlight w:val="none"/>
                      <w:vertAlign w:val="baseline"/>
                      <w:lang w:eastAsia="zh-CN"/>
                      <w14:textFill>
                        <w14:solidFill>
                          <w14:schemeClr w14:val="tx1"/>
                        </w14:solidFill>
                      </w14:textFill>
                    </w:rPr>
                    <w:t>，</w:t>
                  </w:r>
                  <w:r>
                    <w:rPr>
                      <w:rFonts w:hint="eastAsia"/>
                      <w:color w:val="000000" w:themeColor="text1"/>
                      <w:sz w:val="21"/>
                      <w:szCs w:val="21"/>
                      <w:highlight w:val="none"/>
                      <w:vertAlign w:val="baseline"/>
                      <w:lang w:val="en-US" w:eastAsia="zh-CN"/>
                      <w14:textFill>
                        <w14:solidFill>
                          <w14:schemeClr w14:val="tx1"/>
                        </w14:solidFill>
                      </w14:textFill>
                    </w:rPr>
                    <w:t>不涉及</w:t>
                  </w:r>
                  <w:r>
                    <w:rPr>
                      <w:rFonts w:hint="eastAsia"/>
                      <w:color w:val="000000" w:themeColor="text1"/>
                      <w:sz w:val="21"/>
                      <w:szCs w:val="21"/>
                      <w:highlight w:val="none"/>
                      <w:vertAlign w:val="baseline"/>
                      <w14:textFill>
                        <w14:solidFill>
                          <w14:schemeClr w14:val="tx1"/>
                        </w14:solidFill>
                      </w14:textFill>
                    </w:rPr>
                    <w:t>北京市单位产品能源消耗限额系列标准，强化建筑、交通、工业等领域的节能减排和需求管理。</w:t>
                  </w:r>
                </w:p>
              </w:tc>
              <w:tc>
                <w:tcPr>
                  <w:tcW w:w="527" w:type="dxa"/>
                  <w:tcBorders>
                    <w:tl2br w:val="nil"/>
                    <w:tr2bl w:val="nil"/>
                  </w:tcBorders>
                  <w:vAlign w:val="center"/>
                </w:tcPr>
                <w:p w14:paraId="7BBD56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bl>
          <w:p w14:paraId="479424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2）五大功能区清单符合性分析</w:t>
            </w:r>
          </w:p>
          <w:p w14:paraId="20B927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本项目属于平原新城，项目与平原新城生态环境准入清单符合性分析详见下表。</w:t>
            </w:r>
          </w:p>
          <w:p w14:paraId="50DE50D6">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表1-2 与平原新城生态环境准入清单的符合性分析</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3138"/>
              <w:gridCol w:w="3139"/>
              <w:gridCol w:w="527"/>
            </w:tblGrid>
            <w:tr w14:paraId="59A177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38148B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管控类别</w:t>
                  </w:r>
                </w:p>
              </w:tc>
              <w:tc>
                <w:tcPr>
                  <w:tcW w:w="3138" w:type="dxa"/>
                  <w:tcBorders>
                    <w:tl2br w:val="nil"/>
                    <w:tr2bl w:val="nil"/>
                  </w:tcBorders>
                  <w:vAlign w:val="center"/>
                </w:tcPr>
                <w:p w14:paraId="63159D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重点管控要求</w:t>
                  </w:r>
                </w:p>
              </w:tc>
              <w:tc>
                <w:tcPr>
                  <w:tcW w:w="3139" w:type="dxa"/>
                  <w:tcBorders>
                    <w:tl2br w:val="nil"/>
                    <w:tr2bl w:val="nil"/>
                  </w:tcBorders>
                  <w:vAlign w:val="center"/>
                </w:tcPr>
                <w:p w14:paraId="3F0384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本项目情况</w:t>
                  </w:r>
                </w:p>
              </w:tc>
              <w:tc>
                <w:tcPr>
                  <w:tcW w:w="527" w:type="dxa"/>
                  <w:tcBorders>
                    <w:tl2br w:val="nil"/>
                    <w:tr2bl w:val="nil"/>
                  </w:tcBorders>
                  <w:vAlign w:val="center"/>
                </w:tcPr>
                <w:p w14:paraId="3B1748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符合情况</w:t>
                  </w:r>
                </w:p>
              </w:tc>
            </w:tr>
            <w:tr w14:paraId="0B41CD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528F0F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空间布局约束</w:t>
                  </w:r>
                </w:p>
              </w:tc>
              <w:tc>
                <w:tcPr>
                  <w:tcW w:w="3138" w:type="dxa"/>
                  <w:tcBorders>
                    <w:tl2br w:val="nil"/>
                    <w:tr2bl w:val="nil"/>
                  </w:tcBorders>
                  <w:vAlign w:val="center"/>
                </w:tcPr>
                <w:p w14:paraId="00A5709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1.执行《北京市新增产业的禁止和限制目录（2022年版）》适用于中心城区、北京市城市副中心以外的平原地区的管控要求。</w:t>
                  </w:r>
                </w:p>
                <w:p w14:paraId="569A9FC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2.执行《建设项目规划使用性质正面和负面清单》适用于顺义、大兴、亦庄、昌平、房山等新城的管控要求。</w:t>
                  </w:r>
                </w:p>
                <w:p w14:paraId="7A934B9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3.涉及生态保护红线及相关法定保护空间的应执行优先保护类总体准入清单。</w:t>
                  </w:r>
                </w:p>
              </w:tc>
              <w:tc>
                <w:tcPr>
                  <w:tcW w:w="3139" w:type="dxa"/>
                  <w:tcBorders>
                    <w:tl2br w:val="nil"/>
                    <w:tr2bl w:val="nil"/>
                  </w:tcBorders>
                  <w:vAlign w:val="center"/>
                </w:tcPr>
                <w:p w14:paraId="3A7B76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1.项目执行《北京市新增产业的禁止和限制目录（2022年版）》适用于中心城区、北京市城市副中心以外的平原地区的管控要求。</w:t>
                  </w:r>
                </w:p>
                <w:p w14:paraId="4ABF6F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2.项目执行《建设项目规划使用性质正面和负面清单》适用于顺义、大兴、亦庄、昌平、房山等新城的管控要求。</w:t>
                  </w:r>
                </w:p>
                <w:p w14:paraId="255D25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3.项目不涉及生态保护红线及相关法定保护空间。</w:t>
                  </w:r>
                </w:p>
              </w:tc>
              <w:tc>
                <w:tcPr>
                  <w:tcW w:w="527" w:type="dxa"/>
                  <w:tcBorders>
                    <w:tl2br w:val="nil"/>
                    <w:tr2bl w:val="nil"/>
                  </w:tcBorders>
                  <w:vAlign w:val="center"/>
                </w:tcPr>
                <w:p w14:paraId="5C1B18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669611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186F79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污染物排放管控</w:t>
                  </w:r>
                </w:p>
              </w:tc>
              <w:tc>
                <w:tcPr>
                  <w:tcW w:w="3138" w:type="dxa"/>
                  <w:tcBorders>
                    <w:tl2br w:val="nil"/>
                    <w:tr2bl w:val="nil"/>
                  </w:tcBorders>
                  <w:vAlign w:val="center"/>
                </w:tcPr>
                <w:p w14:paraId="2194CC6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1.全域禁止使用高排放非道路移 动机械。</w:t>
                  </w:r>
                </w:p>
                <w:p w14:paraId="130496C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2.新增和更新的机场大巴(不含 省际机场巴士业务)为纯电动或 氢燃料电池车；大兴区落实氢能 产业发展行动计划</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在机场服务、物流配送等领域</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实现100辆氢燃料电池车示范应用</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推动</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零排放</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物流示范区建设。</w:t>
                  </w:r>
                </w:p>
                <w:p w14:paraId="7B88F13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3.房山区制定石化新材料基地 VOCs精细化管控工作方案</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并 组织实施；顺义区、大兴区分别 组织中关村顺义园、黄村印刷包 装产业基地开展VOCs排放溯源 分析及减排措施跟踪评估</w:t>
                  </w:r>
                  <w:r>
                    <w:rPr>
                      <w:rFonts w:hint="eastAsia"/>
                      <w:color w:val="000000" w:themeColor="text1"/>
                      <w:sz w:val="21"/>
                      <w:szCs w:val="21"/>
                      <w:highlight w:val="none"/>
                      <w:vertAlign w:val="baseline"/>
                      <w:lang w:eastAsia="zh-CN"/>
                      <w14:textFill>
                        <w14:solidFill>
                          <w14:schemeClr w14:val="tx1"/>
                        </w14:solidFill>
                      </w14:textFill>
                    </w:rPr>
                    <w:t>，</w:t>
                  </w:r>
                  <w:r>
                    <w:rPr>
                      <w:rFonts w:hint="default"/>
                      <w:color w:val="000000" w:themeColor="text1"/>
                      <w:sz w:val="21"/>
                      <w:szCs w:val="21"/>
                      <w:highlight w:val="none"/>
                      <w:vertAlign w:val="baseline"/>
                      <w14:textFill>
                        <w14:solidFill>
                          <w14:schemeClr w14:val="tx1"/>
                        </w14:solidFill>
                      </w14:textFill>
                    </w:rPr>
                    <w:t xml:space="preserve">推进 精细化管理；顺义区开展汽车制 造行业整体清洁生产审核试点。 4.必须遵守污染物排放的国家标 准和地方标准；在实施重点污染 物排放总量控制的区域内，还必 须符合重点污染物排放总量控 制的要求。 </w:t>
                  </w:r>
                </w:p>
                <w:p w14:paraId="311AA37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 xml:space="preserve">5.工业园区配套建设废水集中处 理设施。 </w:t>
                  </w:r>
                </w:p>
                <w:p w14:paraId="322A595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6.按照循环经济和清洁生产的要 求推动生态工业园区建设，通过 合理规划工业布局，引导工业企 业入驻工业园区。</w:t>
                  </w:r>
                </w:p>
                <w:p w14:paraId="41B3CBE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 xml:space="preserve">7.依法关闭或搬迁禁养区内的畜 禽养殖场（小区）和养殖专业户。 新建、改建、扩建规模化畜禽养 殖场（小区）要实施雨污分流、 粪便污水资源化利用。 </w:t>
                  </w:r>
                </w:p>
                <w:p w14:paraId="585DF55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8.推进石化行业重点企业开展 VOCs 治理提升行动，强化炼油 总量控制，实现 VOCs 年减排 10%以上。</w:t>
                  </w:r>
                </w:p>
              </w:tc>
              <w:tc>
                <w:tcPr>
                  <w:tcW w:w="3139" w:type="dxa"/>
                  <w:tcBorders>
                    <w:tl2br w:val="nil"/>
                    <w:tr2bl w:val="nil"/>
                  </w:tcBorders>
                  <w:vAlign w:val="center"/>
                </w:tcPr>
                <w:p w14:paraId="044AEC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1.本项目不涉及高排放非道路 移动机械的使用。</w:t>
                  </w:r>
                </w:p>
                <w:p w14:paraId="53B7AF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2.本项目不在机场范围内。</w:t>
                  </w:r>
                </w:p>
                <w:p w14:paraId="5653EB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3.本项目不在房山区、顺义区和大兴区。</w:t>
                  </w:r>
                </w:p>
                <w:p w14:paraId="4823C8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4.本项目严格遵守污染物排放的国家标准和地方标准；符合重点污染物排放总量控制指标的要求。</w:t>
                  </w:r>
                </w:p>
                <w:p w14:paraId="749BB3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5.本项目不涉及建设工业园区。 6.本项目不涉及工业园区的建设。</w:t>
                  </w:r>
                </w:p>
                <w:p w14:paraId="79C6F9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7.本项目不涉及禽畜养殖。</w:t>
                  </w:r>
                </w:p>
                <w:p w14:paraId="2F4368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8.本项目不属于石化行业。</w:t>
                  </w:r>
                </w:p>
              </w:tc>
              <w:tc>
                <w:tcPr>
                  <w:tcW w:w="527" w:type="dxa"/>
                  <w:tcBorders>
                    <w:tl2br w:val="nil"/>
                    <w:tr2bl w:val="nil"/>
                  </w:tcBorders>
                  <w:vAlign w:val="center"/>
                </w:tcPr>
                <w:p w14:paraId="7F4950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750272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17D56D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环境风险防控</w:t>
                  </w:r>
                </w:p>
              </w:tc>
              <w:tc>
                <w:tcPr>
                  <w:tcW w:w="3138" w:type="dxa"/>
                  <w:tcBorders>
                    <w:tl2br w:val="nil"/>
                    <w:tr2bl w:val="nil"/>
                  </w:tcBorders>
                  <w:vAlign w:val="center"/>
                </w:tcPr>
                <w:p w14:paraId="50D678C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jc w:val="both"/>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1.做好突发环境事件的风险控 制、应急准备、应急处置和事后恢复等工作。</w:t>
                  </w:r>
                </w:p>
                <w:p w14:paraId="0843013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jc w:val="both"/>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2.应充分考虑污染地块的环境风 险，合理确定土地用途。</w:t>
                  </w:r>
                </w:p>
                <w:p w14:paraId="15781D6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3.有效落实空气重污染各项应急 减排措施，引导提高施工工地和 应急减排清单企业的绩效等级， 引导使用纯电动、氢燃料电池的 车辆和非道路移动机械。</w:t>
                  </w:r>
                </w:p>
              </w:tc>
              <w:tc>
                <w:tcPr>
                  <w:tcW w:w="3139" w:type="dxa"/>
                  <w:tcBorders>
                    <w:tl2br w:val="nil"/>
                    <w:tr2bl w:val="nil"/>
                  </w:tcBorders>
                  <w:vAlign w:val="center"/>
                </w:tcPr>
                <w:p w14:paraId="39D46A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1.项目</w:t>
                  </w:r>
                  <w:r>
                    <w:rPr>
                      <w:rFonts w:hint="eastAsia"/>
                      <w:color w:val="000000" w:themeColor="text1"/>
                      <w:sz w:val="21"/>
                      <w:szCs w:val="21"/>
                      <w:highlight w:val="none"/>
                      <w:vertAlign w:val="baseline"/>
                      <w:lang w:val="en-US" w:eastAsia="zh-CN"/>
                      <w14:textFill>
                        <w14:solidFill>
                          <w14:schemeClr w14:val="tx1"/>
                        </w14:solidFill>
                      </w14:textFill>
                    </w:rPr>
                    <w:t>为专科医院，不涉及带有储存设施的危险化学品经营。</w:t>
                  </w:r>
                </w:p>
                <w:p w14:paraId="333F99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2.本项目所在地块不涉及污染地块。</w:t>
                  </w:r>
                </w:p>
                <w:p w14:paraId="3F4FA5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3.本项目施工期仅进行简单的装修和设备安调试，严格落实空气重污染各项应急减排措施。不涉及纯电动、氢燃料电池的车辆和非道路移动机械的使用。</w:t>
                  </w:r>
                </w:p>
              </w:tc>
              <w:tc>
                <w:tcPr>
                  <w:tcW w:w="527" w:type="dxa"/>
                  <w:tcBorders>
                    <w:tl2br w:val="nil"/>
                    <w:tr2bl w:val="nil"/>
                  </w:tcBorders>
                  <w:vAlign w:val="center"/>
                </w:tcPr>
                <w:p w14:paraId="40266C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0EAF3C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l2br w:val="nil"/>
                    <w:tr2bl w:val="nil"/>
                  </w:tcBorders>
                  <w:vAlign w:val="center"/>
                </w:tcPr>
                <w:p w14:paraId="404E5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资源利用效率要求</w:t>
                  </w:r>
                </w:p>
              </w:tc>
              <w:tc>
                <w:tcPr>
                  <w:tcW w:w="3138" w:type="dxa"/>
                  <w:tcBorders>
                    <w:tl2br w:val="nil"/>
                    <w:tr2bl w:val="nil"/>
                  </w:tcBorders>
                  <w:vAlign w:val="center"/>
                </w:tcPr>
                <w:p w14:paraId="3976BD92">
                  <w:pPr>
                    <w:keepNext w:val="0"/>
                    <w:keepLines w:val="0"/>
                    <w:pageBreakBefore w:val="0"/>
                    <w:widowControl w:val="0"/>
                    <w:numPr>
                      <w:ilvl w:val="0"/>
                      <w:numId w:val="2"/>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坚持集约高效发展，控制建设规模。</w:t>
                  </w:r>
                </w:p>
                <w:p w14:paraId="71BBD59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default"/>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 实施最严格的水资源管理制度，到203</w:t>
                  </w:r>
                  <w:r>
                    <w:rPr>
                      <w:rFonts w:hint="eastAsia"/>
                      <w:color w:val="000000" w:themeColor="text1"/>
                      <w:sz w:val="21"/>
                      <w:szCs w:val="21"/>
                      <w:highlight w:val="none"/>
                      <w:vertAlign w:val="baseline"/>
                      <w:lang w:val="en-US" w:eastAsia="zh-CN"/>
                      <w14:textFill>
                        <w14:solidFill>
                          <w14:schemeClr w14:val="tx1"/>
                        </w14:solidFill>
                      </w14:textFill>
                    </w:rPr>
                    <w:t>5</w:t>
                  </w:r>
                  <w:r>
                    <w:rPr>
                      <w:rFonts w:hint="eastAsia"/>
                      <w:color w:val="000000" w:themeColor="text1"/>
                      <w:sz w:val="21"/>
                      <w:szCs w:val="21"/>
                      <w:highlight w:val="none"/>
                      <w:vertAlign w:val="baseline"/>
                      <w14:textFill>
                        <w14:solidFill>
                          <w14:schemeClr w14:val="tx1"/>
                        </w14:solidFill>
                      </w14:textFill>
                    </w:rPr>
                    <w:t>年亦庄新城单位地区生产总值水耗达到国际先进水平。</w:t>
                  </w:r>
                </w:p>
              </w:tc>
              <w:tc>
                <w:tcPr>
                  <w:tcW w:w="3139" w:type="dxa"/>
                  <w:tcBorders>
                    <w:tl2br w:val="nil"/>
                    <w:tr2bl w:val="nil"/>
                  </w:tcBorders>
                  <w:vAlign w:val="center"/>
                </w:tcPr>
                <w:p w14:paraId="6803BC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1.本项目利用已有建筑，不涉及新增用地。</w:t>
                  </w:r>
                </w:p>
                <w:p w14:paraId="647BD2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2.本项目不在亦庄新城的范围内。</w:t>
                  </w:r>
                </w:p>
              </w:tc>
              <w:tc>
                <w:tcPr>
                  <w:tcW w:w="527" w:type="dxa"/>
                  <w:tcBorders>
                    <w:tl2br w:val="nil"/>
                    <w:tr2bl w:val="nil"/>
                  </w:tcBorders>
                  <w:vAlign w:val="center"/>
                </w:tcPr>
                <w:p w14:paraId="1BFA48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bl>
          <w:p w14:paraId="1658F1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3）环境管控单元符合性分析</w:t>
            </w:r>
          </w:p>
          <w:p w14:paraId="33CE6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本项目属于重点管控单元[街道（乡镇）]，与重点管控单元[街道（乡镇）]准入清单的符合性分析见下表。</w:t>
            </w:r>
          </w:p>
          <w:p w14:paraId="70DA4146">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表1-3 </w:t>
            </w:r>
            <w:r>
              <w:rPr>
                <w:rFonts w:hint="eastAsia"/>
                <w:color w:val="000000" w:themeColor="text1"/>
                <w:highlight w:val="none"/>
                <w:lang w:val="en-US" w:eastAsia="zh-CN"/>
                <w14:textFill>
                  <w14:solidFill>
                    <w14:schemeClr w14:val="tx1"/>
                  </w14:solidFill>
                </w14:textFill>
              </w:rPr>
              <w:t>与重点管控单元[街道（乡镇）]准入清单的符合性分析</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3138"/>
              <w:gridCol w:w="3139"/>
              <w:gridCol w:w="527"/>
            </w:tblGrid>
            <w:tr w14:paraId="3A5F21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 w:type="dxa"/>
                  <w:tcBorders>
                    <w:tl2br w:val="nil"/>
                    <w:tr2bl w:val="nil"/>
                  </w:tcBorders>
                  <w:vAlign w:val="center"/>
                </w:tcPr>
                <w:p w14:paraId="0AA54A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管控类别</w:t>
                  </w:r>
                </w:p>
              </w:tc>
              <w:tc>
                <w:tcPr>
                  <w:tcW w:w="3037" w:type="dxa"/>
                  <w:tcBorders>
                    <w:tl2br w:val="nil"/>
                    <w:tr2bl w:val="nil"/>
                  </w:tcBorders>
                  <w:vAlign w:val="center"/>
                </w:tcPr>
                <w:p w14:paraId="07FB4E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重点管控要求</w:t>
                  </w:r>
                </w:p>
              </w:tc>
              <w:tc>
                <w:tcPr>
                  <w:tcW w:w="3038" w:type="dxa"/>
                  <w:tcBorders>
                    <w:tl2br w:val="nil"/>
                    <w:tr2bl w:val="nil"/>
                  </w:tcBorders>
                  <w:vAlign w:val="center"/>
                </w:tcPr>
                <w:p w14:paraId="035FA1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本项目情况</w:t>
                  </w:r>
                </w:p>
              </w:tc>
              <w:tc>
                <w:tcPr>
                  <w:tcW w:w="510" w:type="dxa"/>
                  <w:tcBorders>
                    <w:tl2br w:val="nil"/>
                    <w:tr2bl w:val="nil"/>
                  </w:tcBorders>
                  <w:vAlign w:val="center"/>
                </w:tcPr>
                <w:p w14:paraId="2E03CA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符合情况</w:t>
                  </w:r>
                </w:p>
              </w:tc>
            </w:tr>
            <w:tr w14:paraId="07B1B4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 w:type="dxa"/>
                  <w:tcBorders>
                    <w:tl2br w:val="nil"/>
                    <w:tr2bl w:val="nil"/>
                  </w:tcBorders>
                  <w:vAlign w:val="center"/>
                </w:tcPr>
                <w:p w14:paraId="4B4B78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空间布局约束</w:t>
                  </w:r>
                </w:p>
              </w:tc>
              <w:tc>
                <w:tcPr>
                  <w:tcW w:w="3037" w:type="dxa"/>
                  <w:tcBorders>
                    <w:tl2br w:val="nil"/>
                    <w:tr2bl w:val="nil"/>
                  </w:tcBorders>
                  <w:vAlign w:val="center"/>
                </w:tcPr>
                <w:p w14:paraId="682FFE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 执行重点管控类[街道（乡镇）]生态环境总体准入清单和平原新城生态环境准入清单的空间布局约束准入要求。</w:t>
                  </w:r>
                </w:p>
              </w:tc>
              <w:tc>
                <w:tcPr>
                  <w:tcW w:w="3038" w:type="dxa"/>
                  <w:tcBorders>
                    <w:tl2br w:val="nil"/>
                    <w:tr2bl w:val="nil"/>
                  </w:tcBorders>
                  <w:vAlign w:val="center"/>
                </w:tcPr>
                <w:p w14:paraId="3CA148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1.本项目已执行，符合性分析详见表1-1和表1-2。</w:t>
                  </w:r>
                </w:p>
              </w:tc>
              <w:tc>
                <w:tcPr>
                  <w:tcW w:w="510" w:type="dxa"/>
                  <w:tcBorders>
                    <w:tl2br w:val="nil"/>
                    <w:tr2bl w:val="nil"/>
                  </w:tcBorders>
                  <w:vAlign w:val="center"/>
                </w:tcPr>
                <w:p w14:paraId="7C0E3B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2BD3A7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 w:type="dxa"/>
                  <w:tcBorders>
                    <w:tl2br w:val="nil"/>
                    <w:tr2bl w:val="nil"/>
                  </w:tcBorders>
                  <w:vAlign w:val="center"/>
                </w:tcPr>
                <w:p w14:paraId="753488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污染物排放管控</w:t>
                  </w:r>
                </w:p>
              </w:tc>
              <w:tc>
                <w:tcPr>
                  <w:tcW w:w="3037" w:type="dxa"/>
                  <w:tcBorders>
                    <w:tl2br w:val="nil"/>
                    <w:tr2bl w:val="nil"/>
                  </w:tcBorders>
                  <w:vAlign w:val="center"/>
                </w:tcPr>
                <w:p w14:paraId="696F01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1. 执行重点管控类[街道（乡镇）]生态环境总体准入清单和平原新城生态环境准入清单的资源利用效率准入要求。</w:t>
                  </w:r>
                </w:p>
                <w:p w14:paraId="062427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r>
                    <w:rPr>
                      <w:rFonts w:hint="default"/>
                      <w:color w:val="000000" w:themeColor="text1"/>
                      <w:sz w:val="21"/>
                      <w:szCs w:val="21"/>
                      <w:highlight w:val="none"/>
                      <w:vertAlign w:val="baseline"/>
                      <w14:textFill>
                        <w14:solidFill>
                          <w14:schemeClr w14:val="tx1"/>
                        </w14:solidFill>
                      </w14:textFill>
                    </w:rPr>
                    <w:t>2. 严格高污染燃料禁燃区管控，禁燃区内任何单位不得新建、扩建高污染燃料燃用设施，不得将其他燃料燃用设施改造为高污染燃料燃用设施。</w:t>
                  </w:r>
                </w:p>
              </w:tc>
              <w:tc>
                <w:tcPr>
                  <w:tcW w:w="3038" w:type="dxa"/>
                  <w:tcBorders>
                    <w:tl2br w:val="nil"/>
                    <w:tr2bl w:val="nil"/>
                  </w:tcBorders>
                  <w:vAlign w:val="center"/>
                </w:tcPr>
                <w:p w14:paraId="52B048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1.</w:t>
                  </w:r>
                  <w:r>
                    <w:rPr>
                      <w:rFonts w:hint="eastAsia" w:cs="Times New Roman"/>
                      <w:color w:val="000000" w:themeColor="text1"/>
                      <w:kern w:val="0"/>
                      <w:sz w:val="21"/>
                      <w:szCs w:val="21"/>
                      <w:highlight w:val="none"/>
                      <w:vertAlign w:val="baseline"/>
                      <w:lang w:val="en-US" w:eastAsia="zh-CN"/>
                      <w14:textFill>
                        <w14:solidFill>
                          <w14:schemeClr w14:val="tx1"/>
                        </w14:solidFill>
                      </w14:textFill>
                    </w:rPr>
                    <w:t>本项目已执行，符合性分析详见表1-1和表1-2</w:t>
                  </w:r>
                  <w:r>
                    <w:rPr>
                      <w:rFonts w:hint="eastAsia"/>
                      <w:color w:val="000000" w:themeColor="text1"/>
                      <w:sz w:val="21"/>
                      <w:szCs w:val="21"/>
                      <w:highlight w:val="none"/>
                      <w:vertAlign w:val="baseline"/>
                      <w14:textFill>
                        <w14:solidFill>
                          <w14:schemeClr w14:val="tx1"/>
                        </w14:solidFill>
                      </w14:textFill>
                    </w:rPr>
                    <w:t>。</w:t>
                  </w:r>
                </w:p>
                <w:p w14:paraId="362D86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14:textFill>
                        <w14:solidFill>
                          <w14:schemeClr w14:val="tx1"/>
                        </w14:solidFill>
                      </w14:textFill>
                    </w:rPr>
                    <w:t>2.项目</w:t>
                  </w:r>
                  <w:r>
                    <w:rPr>
                      <w:rFonts w:hint="eastAsia"/>
                      <w:color w:val="000000" w:themeColor="text1"/>
                      <w:sz w:val="21"/>
                      <w:szCs w:val="21"/>
                      <w:highlight w:val="none"/>
                      <w:vertAlign w:val="baseline"/>
                      <w:lang w:val="en-US" w:eastAsia="zh-CN"/>
                      <w14:textFill>
                        <w14:solidFill>
                          <w14:schemeClr w14:val="tx1"/>
                        </w14:solidFill>
                      </w14:textFill>
                    </w:rPr>
                    <w:t>不涉及燃料燃用</w:t>
                  </w:r>
                  <w:r>
                    <w:rPr>
                      <w:rFonts w:hint="eastAsia"/>
                      <w:color w:val="000000" w:themeColor="text1"/>
                      <w:sz w:val="21"/>
                      <w:szCs w:val="21"/>
                      <w:highlight w:val="none"/>
                      <w:vertAlign w:val="baseline"/>
                      <w14:textFill>
                        <w14:solidFill>
                          <w14:schemeClr w14:val="tx1"/>
                        </w14:solidFill>
                      </w14:textFill>
                    </w:rPr>
                    <w:t>。</w:t>
                  </w:r>
                </w:p>
                <w:p w14:paraId="1D6810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olor w:val="000000" w:themeColor="text1"/>
                      <w:sz w:val="21"/>
                      <w:szCs w:val="21"/>
                      <w:highlight w:val="none"/>
                      <w:vertAlign w:val="baseline"/>
                      <w14:textFill>
                        <w14:solidFill>
                          <w14:schemeClr w14:val="tx1"/>
                        </w14:solidFill>
                      </w14:textFill>
                    </w:rPr>
                  </w:pPr>
                </w:p>
              </w:tc>
              <w:tc>
                <w:tcPr>
                  <w:tcW w:w="510" w:type="dxa"/>
                  <w:tcBorders>
                    <w:tl2br w:val="nil"/>
                    <w:tr2bl w:val="nil"/>
                  </w:tcBorders>
                  <w:vAlign w:val="center"/>
                </w:tcPr>
                <w:p w14:paraId="26B31F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7C3BE1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 w:type="dxa"/>
                  <w:tcBorders>
                    <w:tl2br w:val="nil"/>
                    <w:tr2bl w:val="nil"/>
                  </w:tcBorders>
                  <w:vAlign w:val="center"/>
                </w:tcPr>
                <w:p w14:paraId="09687C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环境风险防控</w:t>
                  </w:r>
                </w:p>
              </w:tc>
              <w:tc>
                <w:tcPr>
                  <w:tcW w:w="3037" w:type="dxa"/>
                  <w:tcBorders>
                    <w:tl2br w:val="nil"/>
                    <w:tr2bl w:val="nil"/>
                  </w:tcBorders>
                  <w:vAlign w:val="center"/>
                </w:tcPr>
                <w:p w14:paraId="7C8A60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 执行重点管控类[街道（乡镇）]生态环境总体准入清单和平原新城生态环境准入清单的环境风险防范准入要求。</w:t>
                  </w:r>
                </w:p>
              </w:tc>
              <w:tc>
                <w:tcPr>
                  <w:tcW w:w="3038" w:type="dxa"/>
                  <w:tcBorders>
                    <w:tl2br w:val="nil"/>
                    <w:tr2bl w:val="nil"/>
                  </w:tcBorders>
                  <w:vAlign w:val="center"/>
                </w:tcPr>
                <w:p w14:paraId="0FD9D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w:t>
                  </w:r>
                  <w:r>
                    <w:rPr>
                      <w:rFonts w:hint="eastAsia" w:cs="Times New Roman"/>
                      <w:color w:val="000000" w:themeColor="text1"/>
                      <w:kern w:val="0"/>
                      <w:sz w:val="21"/>
                      <w:szCs w:val="21"/>
                      <w:highlight w:val="none"/>
                      <w:vertAlign w:val="baseline"/>
                      <w:lang w:val="en-US" w:eastAsia="zh-CN"/>
                      <w14:textFill>
                        <w14:solidFill>
                          <w14:schemeClr w14:val="tx1"/>
                        </w14:solidFill>
                      </w14:textFill>
                    </w:rPr>
                    <w:t>本项目已执行，符合性分析详见表1-1和表1-2</w:t>
                  </w:r>
                  <w:r>
                    <w:rPr>
                      <w:rFonts w:hint="eastAsia"/>
                      <w:color w:val="000000" w:themeColor="text1"/>
                      <w:sz w:val="21"/>
                      <w:szCs w:val="21"/>
                      <w:highlight w:val="none"/>
                      <w:vertAlign w:val="baseline"/>
                      <w:lang w:val="en-US" w:eastAsia="zh-CN"/>
                      <w14:textFill>
                        <w14:solidFill>
                          <w14:schemeClr w14:val="tx1"/>
                        </w14:solidFill>
                      </w14:textFill>
                    </w:rPr>
                    <w:t>。</w:t>
                  </w:r>
                </w:p>
              </w:tc>
              <w:tc>
                <w:tcPr>
                  <w:tcW w:w="510" w:type="dxa"/>
                  <w:tcBorders>
                    <w:tl2br w:val="nil"/>
                    <w:tr2bl w:val="nil"/>
                  </w:tcBorders>
                  <w:vAlign w:val="center"/>
                </w:tcPr>
                <w:p w14:paraId="62A8FA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r w14:paraId="053F8E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 w:type="dxa"/>
                  <w:tcBorders>
                    <w:tl2br w:val="nil"/>
                    <w:tr2bl w:val="nil"/>
                  </w:tcBorders>
                  <w:vAlign w:val="center"/>
                </w:tcPr>
                <w:p w14:paraId="3B37C2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资源利用效率要求</w:t>
                  </w:r>
                </w:p>
              </w:tc>
              <w:tc>
                <w:tcPr>
                  <w:tcW w:w="3037" w:type="dxa"/>
                  <w:tcBorders>
                    <w:tl2br w:val="nil"/>
                    <w:tr2bl w:val="nil"/>
                  </w:tcBorders>
                  <w:vAlign w:val="center"/>
                </w:tcPr>
                <w:p w14:paraId="64F310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1. 执行重点管控类[街道（乡镇）]生态环境总体准入清单和平原新城生态环境准入清单的资源利用效率准入要求。</w:t>
                  </w:r>
                </w:p>
              </w:tc>
              <w:tc>
                <w:tcPr>
                  <w:tcW w:w="3038" w:type="dxa"/>
                  <w:tcBorders>
                    <w:tl2br w:val="nil"/>
                    <w:tr2bl w:val="nil"/>
                  </w:tcBorders>
                  <w:vAlign w:val="center"/>
                </w:tcPr>
                <w:p w14:paraId="032390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1.</w:t>
                  </w:r>
                  <w:r>
                    <w:rPr>
                      <w:rFonts w:hint="eastAsia" w:cs="Times New Roman"/>
                      <w:color w:val="000000" w:themeColor="text1"/>
                      <w:kern w:val="0"/>
                      <w:sz w:val="21"/>
                      <w:szCs w:val="21"/>
                      <w:highlight w:val="none"/>
                      <w:vertAlign w:val="baseline"/>
                      <w:lang w:val="en-US" w:eastAsia="zh-CN"/>
                      <w14:textFill>
                        <w14:solidFill>
                          <w14:schemeClr w14:val="tx1"/>
                        </w14:solidFill>
                      </w14:textFill>
                    </w:rPr>
                    <w:t>本项目已执行，符合性分析详见表1-1和表1-2</w:t>
                  </w:r>
                  <w:r>
                    <w:rPr>
                      <w:rFonts w:hint="eastAsia"/>
                      <w:color w:val="000000" w:themeColor="text1"/>
                      <w:sz w:val="21"/>
                      <w:szCs w:val="21"/>
                      <w:highlight w:val="none"/>
                      <w:vertAlign w:val="baseline"/>
                      <w:lang w:val="en-US" w:eastAsia="zh-CN"/>
                      <w14:textFill>
                        <w14:solidFill>
                          <w14:schemeClr w14:val="tx1"/>
                        </w14:solidFill>
                      </w14:textFill>
                    </w:rPr>
                    <w:t>。</w:t>
                  </w:r>
                </w:p>
              </w:tc>
              <w:tc>
                <w:tcPr>
                  <w:tcW w:w="510" w:type="dxa"/>
                  <w:tcBorders>
                    <w:tl2br w:val="nil"/>
                    <w:tr2bl w:val="nil"/>
                  </w:tcBorders>
                  <w:vAlign w:val="center"/>
                </w:tcPr>
                <w:p w14:paraId="358397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符合</w:t>
                  </w:r>
                </w:p>
              </w:tc>
            </w:tr>
          </w:tbl>
          <w:p w14:paraId="4D1A77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综上所述，本项目符合重点管控类[街道（乡镇）]生态环境总体准入清单、中心城区（首都功能核心区除外）生态环境准入清单、街道（乡镇）重点管控单元生态环境准入清单要求。</w:t>
            </w:r>
          </w:p>
          <w:p w14:paraId="37C4F7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3、与《北京市医疗卫生设施专项规划（2020年-2035年）》符合性分析</w:t>
            </w:r>
          </w:p>
          <w:p w14:paraId="6967D2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default" w:cs="Times New Roman"/>
                <w:color w:val="000000" w:themeColor="text1"/>
                <w:kern w:val="0"/>
                <w:sz w:val="24"/>
                <w:highlight w:val="none"/>
                <w:lang w:val="en-US" w:eastAsia="zh-CN"/>
                <w14:textFill>
                  <w14:solidFill>
                    <w14:schemeClr w14:val="tx1"/>
                  </w14:solidFill>
                </w14:textFill>
              </w:rPr>
              <w:t>根据《北京市医疗卫生设施专项规划（2020年</w:t>
            </w:r>
            <w:r>
              <w:rPr>
                <w:rFonts w:hint="eastAsia" w:cs="Times New Roman"/>
                <w:color w:val="000000" w:themeColor="text1"/>
                <w:kern w:val="0"/>
                <w:sz w:val="24"/>
                <w:highlight w:val="none"/>
                <w:lang w:val="en-US" w:eastAsia="zh-CN"/>
                <w14:textFill>
                  <w14:solidFill>
                    <w14:schemeClr w14:val="tx1"/>
                  </w14:solidFill>
                </w14:textFill>
              </w:rPr>
              <w:t>-</w:t>
            </w:r>
            <w:r>
              <w:rPr>
                <w:rFonts w:hint="default" w:cs="Times New Roman"/>
                <w:color w:val="000000" w:themeColor="text1"/>
                <w:kern w:val="0"/>
                <w:sz w:val="24"/>
                <w:highlight w:val="none"/>
                <w:lang w:val="en-US" w:eastAsia="zh-CN"/>
                <w14:textFill>
                  <w14:solidFill>
                    <w14:schemeClr w14:val="tx1"/>
                  </w14:solidFill>
                </w14:textFill>
              </w:rPr>
              <w:t>2035年）》第一章6、总体目标：</w:t>
            </w:r>
            <w:r>
              <w:rPr>
                <w:rFonts w:hint="eastAsia" w:cs="Times New Roman"/>
                <w:color w:val="000000" w:themeColor="text1"/>
                <w:kern w:val="0"/>
                <w:sz w:val="24"/>
                <w:highlight w:val="none"/>
                <w:lang w:val="en-US" w:eastAsia="zh-CN"/>
                <w14:textFill>
                  <w14:solidFill>
                    <w14:schemeClr w14:val="tx1"/>
                  </w14:solidFill>
                </w14:textFill>
              </w:rPr>
              <w:t>“</w:t>
            </w:r>
            <w:r>
              <w:rPr>
                <w:rFonts w:hint="default" w:cs="Times New Roman"/>
                <w:color w:val="000000" w:themeColor="text1"/>
                <w:kern w:val="0"/>
                <w:sz w:val="24"/>
                <w:highlight w:val="none"/>
                <w:lang w:val="en-US" w:eastAsia="zh-CN"/>
                <w14:textFill>
                  <w14:solidFill>
                    <w14:schemeClr w14:val="tx1"/>
                  </w14:solidFill>
                </w14:textFill>
              </w:rPr>
              <w:t>根据首都城市功能定位、城市总体规划和人口布局，以疏解为重点，分类分级分区统筹规划和合理配置医疗卫生资源，优化医疗卫生设施建设标准和空间布局，改善提升医疗卫生设施基础条件，加强环京地区协作，助力首都都市圈建设，带动增强周边地区医疗服务能力，促进区域之间、城乡之间医疗卫生资源和服务均衡发展，构建功能健全、布局均衡、服务完善、中西医并重、医防融合、优质高效，与首都功能定位相匹配的医疗卫生设施服务体系，为人民提供全方位、全周期健康服务。</w:t>
            </w:r>
            <w:r>
              <w:rPr>
                <w:rFonts w:hint="eastAsia" w:cs="Times New Roman"/>
                <w:color w:val="000000" w:themeColor="text1"/>
                <w:kern w:val="0"/>
                <w:sz w:val="24"/>
                <w:highlight w:val="none"/>
                <w:lang w:val="en-US" w:eastAsia="zh-CN"/>
                <w14:textFill>
                  <w14:solidFill>
                    <w14:schemeClr w14:val="tx1"/>
                  </w14:solidFill>
                </w14:textFill>
              </w:rPr>
              <w:t>”</w:t>
            </w:r>
          </w:p>
          <w:p w14:paraId="05D791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default" w:cs="Times New Roman"/>
                <w:color w:val="000000" w:themeColor="text1"/>
                <w:kern w:val="0"/>
                <w:sz w:val="24"/>
                <w:highlight w:val="none"/>
                <w:lang w:val="en-US" w:eastAsia="zh-CN"/>
                <w14:textFill>
                  <w14:solidFill>
                    <w14:schemeClr w14:val="tx1"/>
                  </w14:solidFill>
                </w14:textFill>
              </w:rPr>
              <w:t>本项目为</w:t>
            </w:r>
            <w:r>
              <w:rPr>
                <w:rFonts w:hint="eastAsia" w:cs="Times New Roman"/>
                <w:color w:val="000000" w:themeColor="text1"/>
                <w:kern w:val="0"/>
                <w:sz w:val="24"/>
                <w:highlight w:val="none"/>
                <w:lang w:val="en-US" w:eastAsia="zh-CN"/>
                <w14:textFill>
                  <w14:solidFill>
                    <w14:schemeClr w14:val="tx1"/>
                  </w14:solidFill>
                </w14:textFill>
              </w:rPr>
              <w:t>专科</w:t>
            </w:r>
            <w:r>
              <w:rPr>
                <w:rFonts w:hint="default" w:cs="Times New Roman"/>
                <w:color w:val="000000" w:themeColor="text1"/>
                <w:kern w:val="0"/>
                <w:sz w:val="24"/>
                <w:highlight w:val="none"/>
                <w:lang w:val="en-US" w:eastAsia="zh-CN"/>
                <w14:textFill>
                  <w14:solidFill>
                    <w14:schemeClr w14:val="tx1"/>
                  </w14:solidFill>
                </w14:textFill>
              </w:rPr>
              <w:t>医院</w:t>
            </w:r>
            <w:r>
              <w:rPr>
                <w:rFonts w:hint="eastAsia" w:cs="Times New Roman"/>
                <w:color w:val="000000" w:themeColor="text1"/>
                <w:kern w:val="0"/>
                <w:sz w:val="24"/>
                <w:highlight w:val="none"/>
                <w:lang w:val="en-US" w:eastAsia="zh-CN"/>
                <w14:textFill>
                  <w14:solidFill>
                    <w14:schemeClr w14:val="tx1"/>
                  </w14:solidFill>
                </w14:textFill>
              </w:rPr>
              <w:t>建设</w:t>
            </w:r>
            <w:r>
              <w:rPr>
                <w:rFonts w:hint="default" w:cs="Times New Roman"/>
                <w:color w:val="000000" w:themeColor="text1"/>
                <w:kern w:val="0"/>
                <w:sz w:val="24"/>
                <w:highlight w:val="none"/>
                <w:lang w:val="en-US" w:eastAsia="zh-CN"/>
                <w14:textFill>
                  <w14:solidFill>
                    <w14:schemeClr w14:val="tx1"/>
                  </w14:solidFill>
                </w14:textFill>
              </w:rPr>
              <w:t>项目，为</w:t>
            </w:r>
            <w:r>
              <w:rPr>
                <w:rFonts w:hint="eastAsia" w:cs="Times New Roman"/>
                <w:color w:val="000000" w:themeColor="text1"/>
                <w:kern w:val="0"/>
                <w:sz w:val="24"/>
                <w:highlight w:val="none"/>
                <w:lang w:val="en-US" w:eastAsia="zh-CN"/>
                <w14:textFill>
                  <w14:solidFill>
                    <w14:schemeClr w14:val="tx1"/>
                  </w14:solidFill>
                </w14:textFill>
              </w:rPr>
              <w:t>二</w:t>
            </w:r>
            <w:r>
              <w:rPr>
                <w:rFonts w:hint="default" w:cs="Times New Roman"/>
                <w:color w:val="000000" w:themeColor="text1"/>
                <w:kern w:val="0"/>
                <w:sz w:val="24"/>
                <w:highlight w:val="none"/>
                <w:lang w:val="en-US" w:eastAsia="zh-CN"/>
                <w14:textFill>
                  <w14:solidFill>
                    <w14:schemeClr w14:val="tx1"/>
                  </w14:solidFill>
                </w14:textFill>
              </w:rPr>
              <w:t>级</w:t>
            </w:r>
            <w:r>
              <w:rPr>
                <w:rFonts w:hint="eastAsia" w:cs="Times New Roman"/>
                <w:color w:val="000000" w:themeColor="text1"/>
                <w:kern w:val="0"/>
                <w:sz w:val="24"/>
                <w:highlight w:val="none"/>
                <w:lang w:val="en-US" w:eastAsia="zh-CN"/>
                <w14:textFill>
                  <w14:solidFill>
                    <w14:schemeClr w14:val="tx1"/>
                  </w14:solidFill>
                </w14:textFill>
              </w:rPr>
              <w:t>康复</w:t>
            </w:r>
            <w:r>
              <w:rPr>
                <w:rFonts w:hint="default" w:cs="Times New Roman"/>
                <w:color w:val="000000" w:themeColor="text1"/>
                <w:kern w:val="0"/>
                <w:sz w:val="24"/>
                <w:highlight w:val="none"/>
                <w:lang w:val="en-US" w:eastAsia="zh-CN"/>
                <w14:textFill>
                  <w14:solidFill>
                    <w14:schemeClr w14:val="tx1"/>
                  </w14:solidFill>
                </w14:textFill>
              </w:rPr>
              <w:t>医院，位于</w:t>
            </w:r>
            <w:r>
              <w:rPr>
                <w:rFonts w:hint="eastAsia" w:cs="Times New Roman"/>
                <w:color w:val="000000" w:themeColor="text1"/>
                <w:kern w:val="0"/>
                <w:sz w:val="24"/>
                <w:highlight w:val="none"/>
                <w:lang w:val="en-US" w:eastAsia="zh-CN"/>
                <w14:textFill>
                  <w14:solidFill>
                    <w14:schemeClr w14:val="tx1"/>
                  </w14:solidFill>
                </w14:textFill>
              </w:rPr>
              <w:t>北京市昌平区南邵镇景荣街2号院3号楼6至8层、文智路17号院9号楼1层</w:t>
            </w:r>
            <w:r>
              <w:rPr>
                <w:rFonts w:hint="eastAsia"/>
                <w:color w:val="000000" w:themeColor="text1"/>
                <w:highlight w:val="none"/>
                <w:lang w:val="en-US" w:eastAsia="zh-CN"/>
                <w14:textFill>
                  <w14:solidFill>
                    <w14:schemeClr w14:val="tx1"/>
                  </w14:solidFill>
                </w14:textFill>
              </w:rPr>
              <w:t>北侧</w:t>
            </w:r>
            <w:r>
              <w:rPr>
                <w:rFonts w:hint="eastAsia" w:cs="Times New Roman"/>
                <w:color w:val="000000" w:themeColor="text1"/>
                <w:kern w:val="0"/>
                <w:sz w:val="24"/>
                <w:highlight w:val="none"/>
                <w:lang w:val="en-US" w:eastAsia="zh-CN"/>
                <w14:textFill>
                  <w14:solidFill>
                    <w14:schemeClr w14:val="tx1"/>
                  </w14:solidFill>
                </w14:textFill>
              </w:rPr>
              <w:t>区域</w:t>
            </w:r>
            <w:r>
              <w:rPr>
                <w:rFonts w:hint="default" w:cs="Times New Roman"/>
                <w:color w:val="000000" w:themeColor="text1"/>
                <w:kern w:val="0"/>
                <w:sz w:val="24"/>
                <w:highlight w:val="none"/>
                <w:lang w:val="en-US" w:eastAsia="zh-CN"/>
                <w14:textFill>
                  <w14:solidFill>
                    <w14:schemeClr w14:val="tx1"/>
                  </w14:solidFill>
                </w14:textFill>
              </w:rPr>
              <w:t>，项目建设后带动周边的医疗服务能力，构建功能健全、层次分明、优质高效的医疗卫生服务体系，为北京市</w:t>
            </w:r>
            <w:r>
              <w:rPr>
                <w:rFonts w:hint="eastAsia" w:cs="Times New Roman"/>
                <w:color w:val="000000" w:themeColor="text1"/>
                <w:kern w:val="0"/>
                <w:sz w:val="24"/>
                <w:highlight w:val="none"/>
                <w:lang w:val="en-US" w:eastAsia="zh-CN"/>
                <w14:textFill>
                  <w14:solidFill>
                    <w14:schemeClr w14:val="tx1"/>
                  </w14:solidFill>
                </w14:textFill>
              </w:rPr>
              <w:t>昌平</w:t>
            </w:r>
            <w:r>
              <w:rPr>
                <w:rFonts w:hint="default" w:cs="Times New Roman"/>
                <w:color w:val="000000" w:themeColor="text1"/>
                <w:kern w:val="0"/>
                <w:sz w:val="24"/>
                <w:highlight w:val="none"/>
                <w:lang w:val="en-US" w:eastAsia="zh-CN"/>
                <w14:textFill>
                  <w14:solidFill>
                    <w14:schemeClr w14:val="tx1"/>
                  </w14:solidFill>
                </w14:textFill>
              </w:rPr>
              <w:t>区提供可靠的医疗保障。符合《北京市医疗卫生设施专项规划（2020年</w:t>
            </w:r>
            <w:r>
              <w:rPr>
                <w:rFonts w:hint="eastAsia" w:cs="Times New Roman"/>
                <w:color w:val="000000" w:themeColor="text1"/>
                <w:kern w:val="0"/>
                <w:sz w:val="24"/>
                <w:highlight w:val="none"/>
                <w:lang w:val="en-US" w:eastAsia="zh-CN"/>
                <w14:textFill>
                  <w14:solidFill>
                    <w14:schemeClr w14:val="tx1"/>
                  </w14:solidFill>
                </w14:textFill>
              </w:rPr>
              <w:t>-</w:t>
            </w:r>
            <w:r>
              <w:rPr>
                <w:rFonts w:hint="default" w:cs="Times New Roman"/>
                <w:color w:val="000000" w:themeColor="text1"/>
                <w:kern w:val="0"/>
                <w:sz w:val="24"/>
                <w:highlight w:val="none"/>
                <w:lang w:val="en-US" w:eastAsia="zh-CN"/>
                <w14:textFill>
                  <w14:solidFill>
                    <w14:schemeClr w14:val="tx1"/>
                  </w14:solidFill>
                </w14:textFill>
              </w:rPr>
              <w:t>2035年）》</w:t>
            </w:r>
            <w:r>
              <w:rPr>
                <w:rFonts w:hint="eastAsia" w:cs="Times New Roman"/>
                <w:color w:val="000000" w:themeColor="text1"/>
                <w:kern w:val="0"/>
                <w:sz w:val="24"/>
                <w:highlight w:val="none"/>
                <w:lang w:val="en-US" w:eastAsia="zh-CN"/>
                <w14:textFill>
                  <w14:solidFill>
                    <w14:schemeClr w14:val="tx1"/>
                  </w14:solidFill>
                </w14:textFill>
              </w:rPr>
              <w:t>中相关要求。</w:t>
            </w:r>
          </w:p>
          <w:p w14:paraId="30C79C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4</w:t>
            </w:r>
            <w:r>
              <w:rPr>
                <w:rFonts w:hint="default" w:cs="Times New Roman"/>
                <w:b/>
                <w:bCs/>
                <w:color w:val="000000" w:themeColor="text1"/>
                <w:kern w:val="0"/>
                <w:sz w:val="24"/>
                <w:highlight w:val="none"/>
                <w:lang w:val="en-US" w:eastAsia="zh-CN"/>
                <w14:textFill>
                  <w14:solidFill>
                    <w14:schemeClr w14:val="tx1"/>
                  </w14:solidFill>
                </w14:textFill>
              </w:rPr>
              <w:t>、选址合理性分析</w:t>
            </w:r>
          </w:p>
          <w:p w14:paraId="0955A9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default" w:cs="Times New Roman"/>
                <w:color w:val="000000" w:themeColor="text1"/>
                <w:kern w:val="0"/>
                <w:sz w:val="24"/>
                <w:highlight w:val="none"/>
                <w:lang w:val="en-US" w:eastAsia="zh-CN"/>
                <w14:textFill>
                  <w14:solidFill>
                    <w14:schemeClr w14:val="tx1"/>
                  </w14:solidFill>
                </w14:textFill>
              </w:rPr>
              <w:t>本项目选址</w:t>
            </w:r>
            <w:r>
              <w:rPr>
                <w:rFonts w:hint="eastAsia" w:cs="Times New Roman"/>
                <w:color w:val="000000" w:themeColor="text1"/>
                <w:kern w:val="0"/>
                <w:sz w:val="24"/>
                <w:highlight w:val="none"/>
                <w:lang w:val="en-US" w:eastAsia="zh-CN"/>
                <w14:textFill>
                  <w14:solidFill>
                    <w14:schemeClr w14:val="tx1"/>
                  </w14:solidFill>
                </w14:textFill>
              </w:rPr>
              <w:t>北京市昌平区南邵镇景荣街2号院3号楼6至8层、</w:t>
            </w:r>
            <w:r>
              <w:rPr>
                <w:rFonts w:hint="eastAsia"/>
                <w:color w:val="000000" w:themeColor="text1"/>
                <w:highlight w:val="none"/>
                <w:lang w:val="en-US" w:eastAsia="zh-CN"/>
                <w14:textFill>
                  <w14:solidFill>
                    <w14:schemeClr w14:val="tx1"/>
                  </w14:solidFill>
                </w14:textFill>
              </w:rPr>
              <w:t>文智路17号院9号楼1层北侧区域</w:t>
            </w:r>
            <w:r>
              <w:rPr>
                <w:rFonts w:hint="default" w:cs="Times New Roman"/>
                <w:color w:val="000000" w:themeColor="text1"/>
                <w:kern w:val="0"/>
                <w:sz w:val="24"/>
                <w:highlight w:val="none"/>
                <w:lang w:val="en-US" w:eastAsia="zh-CN"/>
                <w14:textFill>
                  <w14:solidFill>
                    <w14:schemeClr w14:val="tx1"/>
                  </w14:solidFill>
                </w14:textFill>
              </w:rPr>
              <w:t>，建筑面积</w:t>
            </w:r>
            <w:r>
              <w:rPr>
                <w:rFonts w:hint="eastAsia" w:cs="Times New Roman"/>
                <w:color w:val="000000" w:themeColor="text1"/>
                <w:kern w:val="0"/>
                <w:sz w:val="24"/>
                <w:highlight w:val="none"/>
                <w:lang w:val="en-US" w:eastAsia="zh-CN"/>
                <w14:textFill>
                  <w14:solidFill>
                    <w14:schemeClr w14:val="tx1"/>
                  </w14:solidFill>
                </w14:textFill>
              </w:rPr>
              <w:t>22529.71</w:t>
            </w:r>
            <w:r>
              <w:rPr>
                <w:rFonts w:hint="default" w:cs="Times New Roman"/>
                <w:color w:val="000000" w:themeColor="text1"/>
                <w:kern w:val="0"/>
                <w:sz w:val="24"/>
                <w:highlight w:val="none"/>
                <w:lang w:val="en-US" w:eastAsia="zh-CN"/>
                <w14:textFill>
                  <w14:solidFill>
                    <w14:schemeClr w14:val="tx1"/>
                  </w14:solidFill>
                </w14:textFill>
              </w:rPr>
              <w:t>m</w:t>
            </w:r>
            <w:r>
              <w:rPr>
                <w:rFonts w:hint="default" w:cs="Times New Roman"/>
                <w:color w:val="000000" w:themeColor="text1"/>
                <w:kern w:val="0"/>
                <w:sz w:val="24"/>
                <w:highlight w:val="none"/>
                <w:vertAlign w:val="superscript"/>
                <w:lang w:val="en-US" w:eastAsia="zh-CN"/>
                <w14:textFill>
                  <w14:solidFill>
                    <w14:schemeClr w14:val="tx1"/>
                  </w14:solidFill>
                </w14:textFill>
              </w:rPr>
              <w:t>2</w:t>
            </w:r>
            <w:r>
              <w:rPr>
                <w:rFonts w:hint="default" w:cs="Times New Roman"/>
                <w:color w:val="000000" w:themeColor="text1"/>
                <w:kern w:val="0"/>
                <w:sz w:val="24"/>
                <w:highlight w:val="none"/>
                <w:lang w:val="en-US"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3号楼6至8层</w:t>
            </w:r>
            <w:r>
              <w:rPr>
                <w:rFonts w:hint="default" w:cs="Times New Roman"/>
                <w:color w:val="000000" w:themeColor="text1"/>
                <w:kern w:val="0"/>
                <w:sz w:val="24"/>
                <w:highlight w:val="none"/>
                <w:lang w:val="en-US" w:eastAsia="zh-CN"/>
                <w14:textFill>
                  <w14:solidFill>
                    <w14:schemeClr w14:val="tx1"/>
                  </w14:solidFill>
                </w14:textFill>
              </w:rPr>
              <w:t>为</w:t>
            </w:r>
            <w:r>
              <w:rPr>
                <w:rFonts w:hint="eastAsia" w:cs="Times New Roman"/>
                <w:color w:val="000000" w:themeColor="text1"/>
                <w:kern w:val="0"/>
                <w:sz w:val="24"/>
                <w:highlight w:val="none"/>
                <w:lang w:val="en-US" w:eastAsia="zh-CN"/>
                <w14:textFill>
                  <w14:solidFill>
                    <w14:schemeClr w14:val="tx1"/>
                  </w14:solidFill>
                </w14:textFill>
              </w:rPr>
              <w:t>泰康之家瑞城置业有限公司</w:t>
            </w:r>
            <w:r>
              <w:rPr>
                <w:rFonts w:hint="default" w:cs="Times New Roman"/>
                <w:color w:val="000000" w:themeColor="text1"/>
                <w:kern w:val="0"/>
                <w:sz w:val="24"/>
                <w:highlight w:val="none"/>
                <w:lang w:val="en-US" w:eastAsia="zh-CN"/>
                <w14:textFill>
                  <w14:solidFill>
                    <w14:schemeClr w14:val="tx1"/>
                  </w14:solidFill>
                </w14:textFill>
              </w:rPr>
              <w:t>所有，根据《不动产权证书》，为地上</w:t>
            </w:r>
            <w:r>
              <w:rPr>
                <w:rFonts w:hint="eastAsia" w:cs="Times New Roman"/>
                <w:color w:val="000000" w:themeColor="text1"/>
                <w:kern w:val="0"/>
                <w:sz w:val="24"/>
                <w:highlight w:val="none"/>
                <w:lang w:val="en-US" w:eastAsia="zh-CN"/>
                <w14:textFill>
                  <w14:solidFill>
                    <w14:schemeClr w14:val="tx1"/>
                  </w14:solidFill>
                </w14:textFill>
              </w:rPr>
              <w:t>11</w:t>
            </w:r>
            <w:r>
              <w:rPr>
                <w:rFonts w:hint="default" w:cs="Times New Roman"/>
                <w:color w:val="000000" w:themeColor="text1"/>
                <w:kern w:val="0"/>
                <w:sz w:val="24"/>
                <w:highlight w:val="none"/>
                <w:lang w:val="en-US" w:eastAsia="zh-CN"/>
                <w14:textFill>
                  <w14:solidFill>
                    <w14:schemeClr w14:val="tx1"/>
                  </w14:solidFill>
                </w14:textFill>
              </w:rPr>
              <w:t>层</w:t>
            </w:r>
            <w:r>
              <w:rPr>
                <w:rFonts w:hint="eastAsia" w:cs="Times New Roman"/>
                <w:color w:val="000000" w:themeColor="text1"/>
                <w:kern w:val="0"/>
                <w:sz w:val="24"/>
                <w:highlight w:val="none"/>
                <w:lang w:val="en-US" w:eastAsia="zh-CN"/>
                <w14:textFill>
                  <w14:solidFill>
                    <w14:schemeClr w14:val="tx1"/>
                  </w14:solidFill>
                </w14:textFill>
              </w:rPr>
              <w:t>、地下2层</w:t>
            </w:r>
            <w:r>
              <w:rPr>
                <w:rFonts w:hint="default" w:cs="Times New Roman"/>
                <w:color w:val="000000" w:themeColor="text1"/>
                <w:kern w:val="0"/>
                <w:sz w:val="24"/>
                <w:highlight w:val="none"/>
                <w:lang w:val="en-US" w:eastAsia="zh-CN"/>
                <w14:textFill>
                  <w14:solidFill>
                    <w14:schemeClr w14:val="tx1"/>
                  </w14:solidFill>
                </w14:textFill>
              </w:rPr>
              <w:t>建筑，土地设计用途为</w:t>
            </w:r>
            <w:r>
              <w:rPr>
                <w:rFonts w:hint="eastAsia" w:cs="Times New Roman"/>
                <w:color w:val="000000" w:themeColor="text1"/>
                <w:kern w:val="0"/>
                <w:sz w:val="24"/>
                <w:highlight w:val="none"/>
                <w:lang w:val="en-US" w:eastAsia="zh-CN"/>
                <w14:textFill>
                  <w14:solidFill>
                    <w14:schemeClr w14:val="tx1"/>
                  </w14:solidFill>
                </w14:textFill>
              </w:rPr>
              <w:t>商业/医疗护理中心；</w:t>
            </w:r>
            <w:r>
              <w:rPr>
                <w:rFonts w:hint="eastAsia"/>
                <w:color w:val="000000" w:themeColor="text1"/>
                <w:highlight w:val="none"/>
                <w:lang w:val="en-US" w:eastAsia="zh-CN"/>
                <w14:textFill>
                  <w14:solidFill>
                    <w14:schemeClr w14:val="tx1"/>
                  </w14:solidFill>
                </w14:textFill>
              </w:rPr>
              <w:t>9号楼1层</w:t>
            </w:r>
            <w:r>
              <w:rPr>
                <w:rFonts w:hint="default" w:cs="Times New Roman"/>
                <w:color w:val="000000" w:themeColor="text1"/>
                <w:kern w:val="0"/>
                <w:sz w:val="24"/>
                <w:highlight w:val="none"/>
                <w:lang w:val="en-US" w:eastAsia="zh-CN"/>
                <w14:textFill>
                  <w14:solidFill>
                    <w14:schemeClr w14:val="tx1"/>
                  </w14:solidFill>
                </w14:textFill>
              </w:rPr>
              <w:t>为</w:t>
            </w:r>
            <w:r>
              <w:rPr>
                <w:rFonts w:hint="eastAsia" w:cs="Times New Roman"/>
                <w:color w:val="000000" w:themeColor="text1"/>
                <w:kern w:val="0"/>
                <w:sz w:val="24"/>
                <w:highlight w:val="none"/>
                <w:lang w:val="en-US" w:eastAsia="zh-CN"/>
                <w14:textFill>
                  <w14:solidFill>
                    <w14:schemeClr w14:val="tx1"/>
                  </w14:solidFill>
                </w14:textFill>
              </w:rPr>
              <w:t>北京招商局铭嘉房地产开发有限公司</w:t>
            </w:r>
            <w:r>
              <w:rPr>
                <w:rFonts w:hint="default" w:cs="Times New Roman"/>
                <w:color w:val="000000" w:themeColor="text1"/>
                <w:kern w:val="0"/>
                <w:sz w:val="24"/>
                <w:highlight w:val="none"/>
                <w:lang w:val="en-US" w:eastAsia="zh-CN"/>
                <w14:textFill>
                  <w14:solidFill>
                    <w14:schemeClr w14:val="tx1"/>
                  </w14:solidFill>
                </w14:textFill>
              </w:rPr>
              <w:t>所有，根据《不动产权证书》，为地上</w:t>
            </w:r>
            <w:r>
              <w:rPr>
                <w:rFonts w:hint="eastAsia" w:cs="Times New Roman"/>
                <w:color w:val="000000" w:themeColor="text1"/>
                <w:kern w:val="0"/>
                <w:sz w:val="24"/>
                <w:highlight w:val="none"/>
                <w:lang w:val="en-US" w:eastAsia="zh-CN"/>
                <w14:textFill>
                  <w14:solidFill>
                    <w14:schemeClr w14:val="tx1"/>
                  </w14:solidFill>
                </w14:textFill>
              </w:rPr>
              <w:t>1层</w:t>
            </w:r>
            <w:r>
              <w:rPr>
                <w:rFonts w:hint="default" w:cs="Times New Roman"/>
                <w:color w:val="000000" w:themeColor="text1"/>
                <w:kern w:val="0"/>
                <w:sz w:val="24"/>
                <w:highlight w:val="none"/>
                <w:lang w:val="en-US" w:eastAsia="zh-CN"/>
                <w14:textFill>
                  <w14:solidFill>
                    <w14:schemeClr w14:val="tx1"/>
                  </w14:solidFill>
                </w14:textFill>
              </w:rPr>
              <w:t>建筑，土地设计用途为</w:t>
            </w:r>
            <w:r>
              <w:rPr>
                <w:rFonts w:hint="eastAsia" w:cs="Times New Roman"/>
                <w:color w:val="000000" w:themeColor="text1"/>
                <w:kern w:val="0"/>
                <w:sz w:val="24"/>
                <w:highlight w:val="none"/>
                <w:lang w:val="en-US" w:eastAsia="zh-CN"/>
                <w14:textFill>
                  <w14:solidFill>
                    <w14:schemeClr w14:val="tx1"/>
                  </w14:solidFill>
                </w14:textFill>
              </w:rPr>
              <w:t>商业，</w:t>
            </w:r>
            <w:r>
              <w:rPr>
                <w:rFonts w:hint="default" w:cs="Times New Roman"/>
                <w:color w:val="000000" w:themeColor="text1"/>
                <w:kern w:val="0"/>
                <w:sz w:val="24"/>
                <w:highlight w:val="none"/>
                <w:lang w:val="en-US" w:eastAsia="zh-CN"/>
                <w14:textFill>
                  <w14:solidFill>
                    <w14:schemeClr w14:val="tx1"/>
                  </w14:solidFill>
                </w14:textFill>
              </w:rPr>
              <w:t>根据《北京市建设用地功能混合使用指导意见（试行）》（京规自发[2023]313号）附表2-3商业服务业用地兼容正负面清单，商业用地允许兼容</w:t>
            </w:r>
            <w:r>
              <w:rPr>
                <w:rFonts w:hint="eastAsia" w:cs="Times New Roman"/>
                <w:color w:val="000000" w:themeColor="text1"/>
                <w:kern w:val="0"/>
                <w:sz w:val="24"/>
                <w:highlight w:val="none"/>
                <w:lang w:val="en-US" w:eastAsia="zh-CN"/>
                <w14:textFill>
                  <w14:solidFill>
                    <w14:schemeClr w14:val="tx1"/>
                  </w14:solidFill>
                </w14:textFill>
              </w:rPr>
              <w:t>“</w:t>
            </w:r>
            <w:r>
              <w:rPr>
                <w:rFonts w:hint="default" w:cs="Times New Roman"/>
                <w:color w:val="000000" w:themeColor="text1"/>
                <w:kern w:val="0"/>
                <w:sz w:val="24"/>
                <w:highlight w:val="none"/>
                <w:lang w:val="en-US" w:eastAsia="zh-CN"/>
                <w14:textFill>
                  <w14:solidFill>
                    <w14:schemeClr w14:val="tx1"/>
                  </w14:solidFill>
                </w14:textFill>
              </w:rPr>
              <w:t>1.公共服务包括文化设施、教育设施、体育设施、医疗卫生设施（应符合相关规范的邻避要求）、社会福利设施等</w:t>
            </w:r>
            <w:r>
              <w:rPr>
                <w:rFonts w:hint="eastAsia" w:cs="Times New Roman"/>
                <w:color w:val="000000" w:themeColor="text1"/>
                <w:kern w:val="0"/>
                <w:sz w:val="24"/>
                <w:highlight w:val="none"/>
                <w:lang w:val="en-US" w:eastAsia="zh-CN"/>
                <w14:textFill>
                  <w14:solidFill>
                    <w14:schemeClr w14:val="tx1"/>
                  </w14:solidFill>
                </w14:textFill>
              </w:rPr>
              <w:t>”</w:t>
            </w:r>
            <w:r>
              <w:rPr>
                <w:rFonts w:hint="default" w:cs="Times New Roman"/>
                <w:color w:val="000000" w:themeColor="text1"/>
                <w:kern w:val="0"/>
                <w:sz w:val="24"/>
                <w:highlight w:val="none"/>
                <w:lang w:val="en-US" w:eastAsia="zh-CN"/>
                <w14:textFill>
                  <w14:solidFill>
                    <w14:schemeClr w14:val="tx1"/>
                  </w14:solidFill>
                </w14:textFill>
              </w:rPr>
              <w:t>，因此本项目</w:t>
            </w:r>
            <w:r>
              <w:rPr>
                <w:rFonts w:hint="eastAsia" w:cs="Times New Roman"/>
                <w:color w:val="000000" w:themeColor="text1"/>
                <w:kern w:val="0"/>
                <w:sz w:val="24"/>
                <w:highlight w:val="none"/>
                <w:lang w:val="en-US" w:eastAsia="zh-CN"/>
                <w14:textFill>
                  <w14:solidFill>
                    <w14:schemeClr w14:val="tx1"/>
                  </w14:solidFill>
                </w14:textFill>
              </w:rPr>
              <w:t>专科医院</w:t>
            </w:r>
            <w:r>
              <w:rPr>
                <w:rFonts w:hint="default" w:cs="Times New Roman"/>
                <w:color w:val="000000" w:themeColor="text1"/>
                <w:kern w:val="0"/>
                <w:sz w:val="24"/>
                <w:highlight w:val="none"/>
                <w:lang w:val="en-US" w:eastAsia="zh-CN"/>
                <w14:textFill>
                  <w14:solidFill>
                    <w14:schemeClr w14:val="tx1"/>
                  </w14:solidFill>
                </w14:textFill>
              </w:rPr>
              <w:t>建设符合房屋用途要求。项目区域周边交通便利，市政电力、通信、供水管网等均为正常运行状态，满足项目建设条件，因此本项目选址合理。</w:t>
            </w:r>
          </w:p>
          <w:p w14:paraId="1623C6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5、编制依据</w:t>
            </w:r>
          </w:p>
          <w:p w14:paraId="642029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default"/>
                <w:color w:val="000000" w:themeColor="text1"/>
                <w:kern w:val="0"/>
                <w:highlight w:val="none"/>
                <w14:textFill>
                  <w14:solidFill>
                    <w14:schemeClr w14:val="tx1"/>
                  </w14:solidFill>
                </w14:textFill>
              </w:rPr>
              <w:t>根据《中华人民共和国环境保护法》（2015年1月1日施行）、《中华人民共和国环境影响评价法》（2018年12月29日修订）和《建设项目环境保护管理条例》（国务院令第253号及2017年的修改决定）中的有关规定，本项目需进行环境影响评价。</w:t>
            </w:r>
          </w:p>
          <w:p w14:paraId="2BA1C6AE">
            <w:pPr>
              <w:pStyle w:val="11"/>
              <w:keepNext w:val="0"/>
              <w:keepLines w:val="0"/>
              <w:suppressLineNumbers w:val="0"/>
              <w:adjustRightInd/>
              <w:snapToGrid/>
              <w:spacing w:before="0" w:beforeAutospacing="0" w:after="0" w:afterAutospacing="0" w:line="360" w:lineRule="auto"/>
              <w:ind w:left="0" w:right="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w:t>
            </w:r>
            <w:r>
              <w:rPr>
                <w:rFonts w:hint="eastAsia"/>
                <w:color w:val="000000" w:themeColor="text1"/>
                <w:highlight w:val="none"/>
                <w:lang w:val="en-US" w:eastAsia="zh-CN"/>
                <w14:textFill>
                  <w14:solidFill>
                    <w14:schemeClr w14:val="tx1"/>
                  </w14:solidFill>
                </w14:textFill>
              </w:rPr>
              <w:t>专科</w:t>
            </w:r>
            <w:r>
              <w:rPr>
                <w:rFonts w:hint="eastAsia"/>
                <w:color w:val="000000" w:themeColor="text1"/>
                <w:highlight w:val="none"/>
                <w:lang w:eastAsia="zh-CN"/>
                <w14:textFill>
                  <w14:solidFill>
                    <w14:schemeClr w14:val="tx1"/>
                  </w14:solidFill>
                </w14:textFill>
              </w:rPr>
              <w:t>医院</w:t>
            </w:r>
            <w:r>
              <w:rPr>
                <w:rFonts w:hint="eastAsia"/>
                <w:color w:val="000000" w:themeColor="text1"/>
                <w:highlight w:val="none"/>
                <w14:textFill>
                  <w14:solidFill>
                    <w14:schemeClr w14:val="tx1"/>
                  </w14:solidFill>
                </w14:textFill>
              </w:rPr>
              <w:t>建设项目，拟设</w:t>
            </w:r>
            <w:r>
              <w:rPr>
                <w:rFonts w:hint="eastAsia"/>
                <w:color w:val="000000" w:themeColor="text1"/>
                <w:highlight w:val="none"/>
                <w:lang w:val="en-US" w:eastAsia="zh-CN"/>
                <w14:textFill>
                  <w14:solidFill>
                    <w14:schemeClr w14:val="tx1"/>
                  </w14:solidFill>
                </w14:textFill>
              </w:rPr>
              <w:t>新增</w:t>
            </w:r>
            <w:r>
              <w:rPr>
                <w:rFonts w:hint="eastAsia"/>
                <w:color w:val="000000" w:themeColor="text1"/>
                <w:highlight w:val="none"/>
                <w14:textFill>
                  <w14:solidFill>
                    <w14:schemeClr w14:val="tx1"/>
                  </w14:solidFill>
                </w14:textFill>
              </w:rPr>
              <w:t>住院床位</w:t>
            </w:r>
            <w:r>
              <w:rPr>
                <w:rFonts w:hint="eastAsia"/>
                <w:color w:val="000000" w:themeColor="text1"/>
                <w:highlight w:val="none"/>
                <w:lang w:val="en-US" w:eastAsia="zh-CN"/>
                <w14:textFill>
                  <w14:solidFill>
                    <w14:schemeClr w14:val="tx1"/>
                  </w14:solidFill>
                </w14:textFill>
              </w:rPr>
              <w:t>221</w:t>
            </w:r>
            <w:r>
              <w:rPr>
                <w:rFonts w:hint="eastAsia"/>
                <w:color w:val="000000" w:themeColor="text1"/>
                <w:highlight w:val="none"/>
                <w14:textFill>
                  <w14:solidFill>
                    <w14:schemeClr w14:val="tx1"/>
                  </w14:solidFill>
                </w14:textFill>
              </w:rPr>
              <w:t>张，根据《建设项目环境影响评价分类管理名录》（2021年版），以及北京市生态环境局关于发布《〈建设项目环境影响评价分类管理名录〉北京市实施细化规定（2022年本）》的通告中的分类要求。本项目属于四十九、卫生84-108</w:t>
            </w:r>
            <w:r>
              <w:rPr>
                <w:rFonts w:hint="eastAsia"/>
                <w:color w:val="000000" w:themeColor="text1"/>
                <w:highlight w:val="none"/>
                <w:lang w:val="en-US" w:eastAsia="zh-CN"/>
                <w14:textFill>
                  <w14:solidFill>
                    <w14:schemeClr w14:val="tx1"/>
                  </w14:solidFill>
                </w14:textFill>
              </w:rPr>
              <w:t>医院</w:t>
            </w:r>
            <w:r>
              <w:rPr>
                <w:rFonts w:hint="eastAsia"/>
                <w:color w:val="000000" w:themeColor="text1"/>
                <w:highlight w:val="none"/>
                <w14:textFill>
                  <w14:solidFill>
                    <w14:schemeClr w14:val="tx1"/>
                  </w14:solidFill>
                </w14:textFill>
              </w:rPr>
              <w:t>84</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－其他（住院床位20张以下的除外），应编制环境影响报告表。</w:t>
            </w:r>
          </w:p>
          <w:p w14:paraId="7D409219">
            <w:pPr>
              <w:pStyle w:val="11"/>
              <w:keepNext w:val="0"/>
              <w:keepLines w:val="0"/>
              <w:suppressLineNumbers w:val="0"/>
              <w:adjustRightInd/>
              <w:snapToGrid/>
              <w:spacing w:before="0" w:beforeAutospacing="0" w:after="0" w:afterAutospacing="0" w:line="360" w:lineRule="auto"/>
              <w:ind w:left="0" w:right="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本项目所涉及的医用放射性设备（装置）需另行申报环保审批手续，本次环评不包括此项内容。</w:t>
            </w:r>
          </w:p>
        </w:tc>
      </w:tr>
    </w:tbl>
    <w:p w14:paraId="3C488E80">
      <w:pPr>
        <w:tabs>
          <w:tab w:val="left" w:pos="5250"/>
        </w:tabs>
        <w:spacing w:before="0" w:beforeAutospacing="0" w:after="0" w:afterAutospacing="0"/>
        <w:jc w:val="center"/>
        <w:outlineLvl w:val="0"/>
        <w:rPr>
          <w:rFonts w:hint="eastAsia" w:ascii="黑体" w:hAnsi="黑体" w:eastAsia="黑体"/>
          <w:snapToGrid w:val="0"/>
          <w:color w:val="000000" w:themeColor="text1"/>
          <w:sz w:val="30"/>
          <w:szCs w:val="30"/>
          <w:highlight w:val="none"/>
          <w14:textFill>
            <w14:solidFill>
              <w14:schemeClr w14:val="tx1"/>
            </w14:solidFill>
          </w14:textFill>
        </w:rPr>
        <w:sectPr>
          <w:footerReference r:id="rId6" w:type="default"/>
          <w:pgSz w:w="11905" w:h="16838"/>
          <w:pgMar w:top="1474" w:right="1474" w:bottom="1474" w:left="1474" w:header="850" w:footer="850" w:gutter="0"/>
          <w:pgBorders>
            <w:top w:val="none" w:sz="0" w:space="0"/>
            <w:left w:val="none" w:sz="0" w:space="0"/>
            <w:bottom w:val="none" w:sz="0" w:space="0"/>
            <w:right w:val="none" w:sz="0" w:space="0"/>
          </w:pgBorders>
          <w:pgNumType w:fmt="decimal" w:start="1"/>
          <w:cols w:space="0" w:num="1"/>
          <w:docGrid w:linePitch="312" w:charSpace="0"/>
        </w:sectPr>
      </w:pPr>
    </w:p>
    <w:p w14:paraId="4735425E">
      <w:pPr>
        <w:tabs>
          <w:tab w:val="left" w:pos="5250"/>
        </w:tabs>
        <w:spacing w:before="0" w:beforeAutospacing="0"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cs="黑体"/>
          <w:b/>
          <w:color w:val="000000" w:themeColor="text1"/>
          <w:kern w:val="2"/>
          <w:sz w:val="30"/>
          <w:szCs w:val="30"/>
          <w:highlight w:val="none"/>
          <w14:textFill>
            <w14:solidFill>
              <w14:schemeClr w14:val="tx1"/>
            </w14:solidFill>
          </w14:textFill>
        </w:rPr>
        <w:t>二、建设项目工程分析</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717"/>
      </w:tblGrid>
      <w:tr w14:paraId="674AAF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1" w:type="pct"/>
            <w:tcBorders>
              <w:tl2br w:val="nil"/>
              <w:tr2bl w:val="nil"/>
            </w:tcBorders>
            <w:vAlign w:val="center"/>
          </w:tcPr>
          <w:p w14:paraId="1B0E15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highlight w:val="none"/>
                <w14:textFill>
                  <w14:solidFill>
                    <w14:schemeClr w14:val="tx1"/>
                  </w14:solidFill>
                </w14:textFill>
              </w:rPr>
            </w:pPr>
            <w:r>
              <w:rPr>
                <w:rFonts w:hint="default" w:ascii="Times New Roman" w:hAnsi="Times New Roman" w:cs="Times New Roman" w:eastAsiaTheme="minorEastAsia"/>
                <w:b w:val="0"/>
                <w:bCs w:val="0"/>
                <w:color w:val="000000" w:themeColor="text1"/>
                <w:highlight w:val="none"/>
                <w14:textFill>
                  <w14:solidFill>
                    <w14:schemeClr w14:val="tx1"/>
                  </w14:solidFill>
                </w14:textFill>
              </w:rPr>
              <w:t>建设内容</w:t>
            </w:r>
          </w:p>
        </w:tc>
        <w:tc>
          <w:tcPr>
            <w:tcW w:w="4618" w:type="pct"/>
            <w:tcBorders>
              <w:tl2br w:val="nil"/>
              <w:tr2bl w:val="nil"/>
            </w:tcBorders>
            <w:vAlign w:val="center"/>
          </w:tcPr>
          <w:p w14:paraId="25BEE6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1、项目由来</w:t>
            </w:r>
          </w:p>
          <w:p w14:paraId="267CF37D">
            <w:pPr>
              <w:keepNext w:val="0"/>
              <w:keepLines w:val="0"/>
              <w:widowControl/>
              <w:suppressLineNumbers w:val="0"/>
              <w:overflowPunct w:val="0"/>
              <w:spacing w:before="0" w:beforeAutospacing="0" w:after="0" w:afterAutospacing="0" w:line="360" w:lineRule="auto"/>
              <w:ind w:left="0" w:right="0" w:firstLine="480" w:firstLineChars="200"/>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北京泰康燕园康复医院有限公司成立于2015年12月15日，位于北京市昌平区南邵镇景荣街2号院3号楼、</w:t>
            </w:r>
            <w:r>
              <w:rPr>
                <w:rFonts w:hint="eastAsia"/>
                <w:color w:val="000000" w:themeColor="text1"/>
                <w:highlight w:val="none"/>
                <w:lang w:val="en-US" w:eastAsia="zh-CN"/>
                <w14:textFill>
                  <w14:solidFill>
                    <w14:schemeClr w14:val="tx1"/>
                  </w14:solidFill>
                </w14:textFill>
              </w:rPr>
              <w:t>文智路17号院9号楼1层北侧区域</w:t>
            </w:r>
            <w:r>
              <w:rPr>
                <w:rFonts w:hint="eastAsia" w:cs="Times New Roman" w:eastAsiaTheme="minorEastAsia"/>
                <w:b w:val="0"/>
                <w:bCs w:val="0"/>
                <w:color w:val="000000" w:themeColor="text1"/>
                <w:sz w:val="24"/>
                <w:highlight w:val="none"/>
                <w:lang w:val="en-US" w:eastAsia="zh-CN"/>
                <w14:textFill>
                  <w14:solidFill>
                    <w14:schemeClr w14:val="tx1"/>
                  </w14:solidFill>
                </w14:textFill>
              </w:rPr>
              <w:t>，经营范围包括：医疗服务。</w:t>
            </w:r>
          </w:p>
          <w:p w14:paraId="0B6D3605">
            <w:pPr>
              <w:keepNext w:val="0"/>
              <w:keepLines w:val="0"/>
              <w:widowControl/>
              <w:suppressLineNumbers w:val="0"/>
              <w:overflowPunct w:val="0"/>
              <w:spacing w:before="0" w:beforeAutospacing="0" w:after="0" w:afterAutospacing="0" w:line="360" w:lineRule="auto"/>
              <w:ind w:left="0" w:right="0" w:firstLine="480" w:firstLineChars="200"/>
              <w:rPr>
                <w:rFonts w:hint="default" w:ascii="Times New Roman" w:hAnsi="Times New Roman" w:eastAsia="宋体" w:cs="Times New Roman"/>
                <w:sz w:val="24"/>
                <w:szCs w:val="32"/>
                <w:highlight w:val="none"/>
                <w:lang w:val="en-US" w:eastAsia="zh-CN"/>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北京泰康燕园康复医院有限公司</w:t>
            </w:r>
            <w:r>
              <w:rPr>
                <w:rFonts w:hint="default" w:ascii="Times New Roman" w:hAnsi="Times New Roman" w:eastAsia="宋体" w:cs="Times New Roman"/>
                <w:sz w:val="24"/>
                <w:szCs w:val="32"/>
                <w:highlight w:val="none"/>
                <w:lang w:val="en-US" w:eastAsia="zh-CN"/>
              </w:rPr>
              <w:t>曾于201</w:t>
            </w:r>
            <w:r>
              <w:rPr>
                <w:rFonts w:hint="eastAsia" w:ascii="Times New Roman" w:hAnsi="Times New Roman" w:eastAsia="宋体" w:cs="Times New Roman"/>
                <w:sz w:val="24"/>
                <w:szCs w:val="32"/>
                <w:highlight w:val="none"/>
                <w:lang w:val="en-US" w:eastAsia="zh-CN"/>
              </w:rPr>
              <w:t>5</w:t>
            </w:r>
            <w:r>
              <w:rPr>
                <w:rFonts w:hint="default" w:ascii="Times New Roman" w:hAnsi="Times New Roman" w:eastAsia="宋体" w:cs="Times New Roman"/>
                <w:sz w:val="24"/>
                <w:szCs w:val="32"/>
                <w:highlight w:val="none"/>
                <w:lang w:val="en-US" w:eastAsia="zh-CN"/>
              </w:rPr>
              <w:t>年</w:t>
            </w:r>
            <w:r>
              <w:rPr>
                <w:rFonts w:hint="eastAsia" w:ascii="Times New Roman" w:hAnsi="Times New Roman" w:eastAsia="宋体" w:cs="Times New Roman"/>
                <w:sz w:val="24"/>
                <w:szCs w:val="32"/>
                <w:highlight w:val="none"/>
                <w:lang w:val="en-US" w:eastAsia="zh-CN"/>
              </w:rPr>
              <w:t>11</w:t>
            </w:r>
            <w:r>
              <w:rPr>
                <w:rFonts w:hint="default" w:ascii="Times New Roman" w:hAnsi="Times New Roman" w:eastAsia="宋体" w:cs="Times New Roman"/>
                <w:sz w:val="24"/>
                <w:szCs w:val="32"/>
                <w:highlight w:val="none"/>
                <w:lang w:val="en-US" w:eastAsia="zh-CN"/>
              </w:rPr>
              <w:t>月编制了《</w:t>
            </w:r>
            <w:r>
              <w:rPr>
                <w:rFonts w:hint="eastAsia" w:ascii="Times New Roman" w:hAnsi="Times New Roman" w:eastAsia="宋体" w:cs="Times New Roman"/>
                <w:sz w:val="24"/>
                <w:szCs w:val="32"/>
                <w:highlight w:val="none"/>
                <w:lang w:val="en-US" w:eastAsia="zh-CN"/>
              </w:rPr>
              <w:t>北京泰康燕园康复医院</w:t>
            </w:r>
            <w:r>
              <w:rPr>
                <w:rFonts w:hint="default" w:ascii="Times New Roman" w:hAnsi="Times New Roman" w:eastAsia="宋体"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建设项目</w:t>
            </w:r>
            <w:r>
              <w:rPr>
                <w:rFonts w:hint="default" w:ascii="Times New Roman" w:hAnsi="Times New Roman" w:eastAsia="宋体" w:cs="Times New Roman"/>
                <w:sz w:val="24"/>
                <w:szCs w:val="32"/>
                <w:highlight w:val="none"/>
                <w:lang w:val="en-US" w:eastAsia="zh-CN"/>
              </w:rPr>
              <w:t>环境影响报告</w:t>
            </w:r>
            <w:r>
              <w:rPr>
                <w:rFonts w:hint="eastAsia" w:ascii="Times New Roman" w:hAnsi="Times New Roman" w:eastAsia="宋体" w:cs="Times New Roman"/>
                <w:sz w:val="24"/>
                <w:szCs w:val="32"/>
                <w:highlight w:val="none"/>
                <w:lang w:val="en-US" w:eastAsia="zh-CN"/>
              </w:rPr>
              <w:t>书</w:t>
            </w:r>
            <w:r>
              <w:rPr>
                <w:rFonts w:hint="default" w:ascii="Times New Roman" w:hAnsi="Times New Roman" w:eastAsia="宋体" w:cs="Times New Roman"/>
                <w:sz w:val="24"/>
                <w:szCs w:val="32"/>
                <w:highlight w:val="none"/>
                <w:lang w:val="en-US" w:eastAsia="zh-CN"/>
              </w:rPr>
              <w:t>，于201</w:t>
            </w:r>
            <w:r>
              <w:rPr>
                <w:rFonts w:hint="eastAsia" w:ascii="Times New Roman" w:hAnsi="Times New Roman" w:eastAsia="宋体" w:cs="Times New Roman"/>
                <w:sz w:val="24"/>
                <w:szCs w:val="32"/>
                <w:highlight w:val="none"/>
                <w:lang w:val="en-US" w:eastAsia="zh-CN"/>
              </w:rPr>
              <w:t>5</w:t>
            </w:r>
            <w:r>
              <w:rPr>
                <w:rFonts w:hint="default" w:ascii="Times New Roman" w:hAnsi="Times New Roman" w:eastAsia="宋体" w:cs="Times New Roman"/>
                <w:sz w:val="24"/>
                <w:szCs w:val="32"/>
                <w:highlight w:val="none"/>
                <w:lang w:val="en-US" w:eastAsia="zh-CN"/>
              </w:rPr>
              <w:t>年1</w:t>
            </w:r>
            <w:r>
              <w:rPr>
                <w:rFonts w:hint="eastAsia" w:ascii="Times New Roman" w:hAnsi="Times New Roman" w:eastAsia="宋体" w:cs="Times New Roman"/>
                <w:sz w:val="24"/>
                <w:szCs w:val="32"/>
                <w:highlight w:val="none"/>
                <w:lang w:val="en-US" w:eastAsia="zh-CN"/>
              </w:rPr>
              <w:t>2</w:t>
            </w:r>
            <w:r>
              <w:rPr>
                <w:rFonts w:hint="default" w:ascii="Times New Roman" w:hAnsi="Times New Roman" w:eastAsia="宋体" w:cs="Times New Roman"/>
                <w:sz w:val="24"/>
                <w:szCs w:val="32"/>
                <w:highlight w:val="none"/>
                <w:lang w:val="en-US" w:eastAsia="zh-CN"/>
              </w:rPr>
              <w:t>月</w:t>
            </w:r>
            <w:r>
              <w:rPr>
                <w:rFonts w:hint="eastAsia" w:ascii="Times New Roman" w:hAnsi="Times New Roman" w:eastAsia="宋体" w:cs="Times New Roman"/>
                <w:sz w:val="24"/>
                <w:szCs w:val="32"/>
                <w:highlight w:val="none"/>
                <w:lang w:val="en-US" w:eastAsia="zh-CN"/>
              </w:rPr>
              <w:t>2</w:t>
            </w:r>
            <w:r>
              <w:rPr>
                <w:rFonts w:hint="default" w:ascii="Times New Roman" w:hAnsi="Times New Roman" w:eastAsia="宋体" w:cs="Times New Roman"/>
                <w:sz w:val="24"/>
                <w:szCs w:val="32"/>
                <w:highlight w:val="none"/>
                <w:lang w:val="en-US" w:eastAsia="zh-CN"/>
              </w:rPr>
              <w:t>日获得</w:t>
            </w:r>
            <w:r>
              <w:rPr>
                <w:rFonts w:hint="eastAsia" w:ascii="Times New Roman" w:hAnsi="Times New Roman" w:eastAsia="宋体" w:cs="Times New Roman"/>
                <w:sz w:val="24"/>
                <w:szCs w:val="32"/>
                <w:highlight w:val="none"/>
                <w:lang w:val="en-US" w:eastAsia="zh-CN"/>
              </w:rPr>
              <w:t>北京市昌平区环境保护局</w:t>
            </w:r>
            <w:r>
              <w:rPr>
                <w:rFonts w:hint="default" w:ascii="Times New Roman" w:hAnsi="Times New Roman" w:eastAsia="宋体" w:cs="Times New Roman"/>
                <w:sz w:val="24"/>
                <w:szCs w:val="32"/>
                <w:highlight w:val="none"/>
                <w:lang w:val="en-US" w:eastAsia="zh-CN"/>
              </w:rPr>
              <w:t>的审批意见（审批文号为</w:t>
            </w:r>
            <w:r>
              <w:rPr>
                <w:rFonts w:hint="eastAsia" w:ascii="Times New Roman" w:hAnsi="Times New Roman" w:eastAsia="宋体" w:cs="Times New Roman"/>
                <w:sz w:val="24"/>
                <w:szCs w:val="32"/>
                <w:highlight w:val="none"/>
                <w:lang w:val="en-US" w:eastAsia="zh-CN"/>
              </w:rPr>
              <w:t>昌环保审字</w:t>
            </w:r>
            <w:r>
              <w:rPr>
                <w:rFonts w:hint="default" w:ascii="Times New Roman" w:hAnsi="Times New Roman" w:eastAsia="宋体" w:cs="Times New Roman"/>
                <w:sz w:val="24"/>
                <w:szCs w:val="32"/>
                <w:highlight w:val="none"/>
                <w:lang w:val="en-US" w:eastAsia="zh-CN"/>
              </w:rPr>
              <w:t>【201</w:t>
            </w:r>
            <w:r>
              <w:rPr>
                <w:rFonts w:hint="eastAsia" w:ascii="Times New Roman" w:hAnsi="Times New Roman" w:eastAsia="宋体" w:cs="Times New Roman"/>
                <w:sz w:val="24"/>
                <w:szCs w:val="32"/>
                <w:highlight w:val="none"/>
                <w:lang w:val="en-US" w:eastAsia="zh-CN"/>
              </w:rPr>
              <w:t>5</w:t>
            </w:r>
            <w:r>
              <w:rPr>
                <w:rFonts w:hint="default" w:ascii="Times New Roman" w:hAnsi="Times New Roman" w:eastAsia="宋体"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0487</w:t>
            </w:r>
            <w:r>
              <w:rPr>
                <w:rFonts w:hint="default" w:ascii="Times New Roman" w:hAnsi="Times New Roman" w:eastAsia="宋体" w:cs="Times New Roman"/>
                <w:sz w:val="24"/>
                <w:szCs w:val="32"/>
                <w:highlight w:val="none"/>
                <w:lang w:val="en-US" w:eastAsia="zh-CN"/>
              </w:rPr>
              <w:t>号），于20</w:t>
            </w:r>
            <w:r>
              <w:rPr>
                <w:rFonts w:hint="eastAsia" w:ascii="Times New Roman" w:hAnsi="Times New Roman" w:eastAsia="宋体" w:cs="Times New Roman"/>
                <w:sz w:val="24"/>
                <w:szCs w:val="32"/>
                <w:highlight w:val="none"/>
                <w:lang w:val="en-US" w:eastAsia="zh-CN"/>
              </w:rPr>
              <w:t>19</w:t>
            </w:r>
            <w:r>
              <w:rPr>
                <w:rFonts w:hint="default" w:ascii="Times New Roman" w:hAnsi="Times New Roman" w:eastAsia="宋体" w:cs="Times New Roman"/>
                <w:sz w:val="24"/>
                <w:szCs w:val="32"/>
                <w:highlight w:val="none"/>
                <w:lang w:val="en-US" w:eastAsia="zh-CN"/>
              </w:rPr>
              <w:t>年1月已通过自主验收。于2020年</w:t>
            </w:r>
            <w:r>
              <w:rPr>
                <w:rFonts w:hint="eastAsia" w:ascii="Times New Roman" w:hAnsi="Times New Roman" w:eastAsia="宋体" w:cs="Times New Roman"/>
                <w:sz w:val="24"/>
                <w:szCs w:val="32"/>
                <w:highlight w:val="none"/>
                <w:lang w:val="en-US" w:eastAsia="zh-CN"/>
              </w:rPr>
              <w:t>7</w:t>
            </w:r>
            <w:r>
              <w:rPr>
                <w:rFonts w:hint="default" w:ascii="Times New Roman" w:hAnsi="Times New Roman" w:eastAsia="宋体" w:cs="Times New Roman"/>
                <w:sz w:val="24"/>
                <w:szCs w:val="32"/>
                <w:highlight w:val="none"/>
                <w:lang w:val="en-US" w:eastAsia="zh-CN"/>
              </w:rPr>
              <w:t>月</w:t>
            </w:r>
            <w:r>
              <w:rPr>
                <w:rFonts w:hint="eastAsia" w:ascii="Times New Roman" w:hAnsi="Times New Roman" w:eastAsia="宋体" w:cs="Times New Roman"/>
                <w:sz w:val="24"/>
                <w:szCs w:val="32"/>
                <w:highlight w:val="none"/>
                <w:lang w:val="en-US" w:eastAsia="zh-CN"/>
              </w:rPr>
              <w:t>28</w:t>
            </w:r>
            <w:r>
              <w:rPr>
                <w:rFonts w:hint="default" w:ascii="Times New Roman" w:hAnsi="Times New Roman" w:eastAsia="宋体" w:cs="Times New Roman"/>
                <w:sz w:val="24"/>
                <w:szCs w:val="32"/>
                <w:highlight w:val="none"/>
                <w:lang w:val="en-US" w:eastAsia="zh-CN"/>
              </w:rPr>
              <w:t>日首次进行固定污染源排污</w:t>
            </w:r>
            <w:r>
              <w:rPr>
                <w:rFonts w:hint="eastAsia" w:ascii="Times New Roman" w:hAnsi="Times New Roman" w:eastAsia="宋体" w:cs="Times New Roman"/>
                <w:sz w:val="24"/>
                <w:szCs w:val="32"/>
                <w:highlight w:val="none"/>
                <w:lang w:val="en-US" w:eastAsia="zh-CN"/>
              </w:rPr>
              <w:t>申领简化管理</w:t>
            </w:r>
            <w:r>
              <w:rPr>
                <w:rFonts w:hint="default" w:ascii="Times New Roman" w:hAnsi="Times New Roman" w:eastAsia="宋体" w:cs="Times New Roman"/>
                <w:sz w:val="24"/>
                <w:szCs w:val="32"/>
                <w:highlight w:val="none"/>
                <w:lang w:val="en-US" w:eastAsia="zh-CN"/>
              </w:rPr>
              <w:t>，固定污染源排污登记编号为91110114MA002JHF0H001R</w:t>
            </w:r>
            <w:r>
              <w:rPr>
                <w:rFonts w:hint="eastAsia" w:ascii="Times New Roman" w:hAnsi="Times New Roman" w:eastAsia="宋体" w:cs="Times New Roman"/>
                <w:sz w:val="24"/>
                <w:szCs w:val="32"/>
                <w:highlight w:val="none"/>
                <w:lang w:val="en-US" w:eastAsia="zh-CN"/>
              </w:rPr>
              <w:t>，</w:t>
            </w:r>
            <w:r>
              <w:rPr>
                <w:rFonts w:hint="default" w:ascii="Times New Roman" w:hAnsi="Times New Roman" w:eastAsia="宋体" w:cs="Times New Roman"/>
                <w:sz w:val="24"/>
                <w:szCs w:val="32"/>
                <w:highlight w:val="none"/>
                <w:lang w:val="en-US" w:eastAsia="zh-CN"/>
              </w:rPr>
              <w:t>于2025年5月</w:t>
            </w:r>
            <w:r>
              <w:rPr>
                <w:rFonts w:hint="eastAsia" w:ascii="Times New Roman" w:hAnsi="Times New Roman" w:eastAsia="宋体" w:cs="Times New Roman"/>
                <w:sz w:val="24"/>
                <w:szCs w:val="32"/>
                <w:highlight w:val="none"/>
                <w:lang w:val="en-US" w:eastAsia="zh-CN"/>
              </w:rPr>
              <w:t>09</w:t>
            </w:r>
            <w:r>
              <w:rPr>
                <w:rFonts w:hint="default" w:ascii="Times New Roman" w:hAnsi="Times New Roman" w:eastAsia="宋体" w:cs="Times New Roman"/>
                <w:sz w:val="24"/>
                <w:szCs w:val="32"/>
                <w:highlight w:val="none"/>
                <w:lang w:val="en-US" w:eastAsia="zh-CN"/>
              </w:rPr>
              <w:t>日</w:t>
            </w:r>
            <w:r>
              <w:rPr>
                <w:rFonts w:hint="eastAsia" w:ascii="Times New Roman" w:hAnsi="Times New Roman" w:eastAsia="宋体" w:cs="Times New Roman"/>
                <w:sz w:val="24"/>
                <w:szCs w:val="32"/>
                <w:highlight w:val="none"/>
                <w:lang w:val="en-US" w:eastAsia="zh-CN"/>
              </w:rPr>
              <w:t>变更</w:t>
            </w:r>
            <w:r>
              <w:rPr>
                <w:rFonts w:hint="default" w:ascii="Times New Roman" w:hAnsi="Times New Roman" w:eastAsia="宋体" w:cs="Times New Roman"/>
                <w:sz w:val="24"/>
                <w:szCs w:val="32"/>
                <w:highlight w:val="none"/>
                <w:lang w:val="en-US" w:eastAsia="zh-CN"/>
              </w:rPr>
              <w:t>。</w:t>
            </w:r>
          </w:p>
          <w:p w14:paraId="751ACAA4">
            <w:pPr>
              <w:keepNext w:val="0"/>
              <w:keepLines w:val="0"/>
              <w:widowControl/>
              <w:suppressLineNumbers w:val="0"/>
              <w:overflowPunct w:val="0"/>
              <w:spacing w:before="0" w:beforeAutospacing="0" w:after="0" w:afterAutospacing="0" w:line="360" w:lineRule="auto"/>
              <w:ind w:left="0" w:right="0" w:firstLine="480" w:firstLineChars="200"/>
              <w:rPr>
                <w:rFonts w:hint="default" w:ascii="Times New Roman" w:hAnsi="Times New Roman" w:eastAsia="宋体" w:cs="Times New Roman"/>
                <w:sz w:val="24"/>
                <w:szCs w:val="32"/>
                <w:highlight w:val="none"/>
                <w:lang w:val="en-US" w:eastAsia="zh-CN"/>
              </w:rPr>
            </w:pPr>
            <w:r>
              <w:rPr>
                <w:rFonts w:hint="default" w:ascii="Times New Roman" w:hAnsi="Times New Roman" w:eastAsia="宋体" w:cs="Times New Roman"/>
                <w:sz w:val="24"/>
                <w:szCs w:val="32"/>
                <w:highlight w:val="none"/>
              </w:rPr>
              <w:t>现因市场发展需要，企业拟投资</w:t>
            </w:r>
            <w:r>
              <w:rPr>
                <w:rFonts w:hint="eastAsia" w:cs="Times New Roman"/>
                <w:sz w:val="24"/>
                <w:szCs w:val="32"/>
                <w:highlight w:val="none"/>
                <w:lang w:val="en-US" w:eastAsia="zh-CN"/>
              </w:rPr>
              <w:t>19100</w:t>
            </w:r>
            <w:r>
              <w:rPr>
                <w:rFonts w:hint="default" w:ascii="Times New Roman" w:hAnsi="Times New Roman" w:eastAsia="宋体" w:cs="Times New Roman"/>
                <w:sz w:val="24"/>
                <w:szCs w:val="32"/>
                <w:highlight w:val="none"/>
              </w:rPr>
              <w:t>万元，</w:t>
            </w:r>
            <w:r>
              <w:rPr>
                <w:rFonts w:hint="default" w:ascii="Times New Roman" w:hAnsi="Times New Roman" w:eastAsia="宋体" w:cs="Times New Roman"/>
                <w:sz w:val="24"/>
                <w:szCs w:val="32"/>
                <w:highlight w:val="none"/>
                <w:lang w:val="en-US" w:eastAsia="zh-CN"/>
              </w:rPr>
              <w:t>对原有</w:t>
            </w:r>
            <w:r>
              <w:rPr>
                <w:rFonts w:hint="eastAsia" w:ascii="Times New Roman" w:hAnsi="Times New Roman" w:eastAsia="宋体" w:cs="Times New Roman"/>
                <w:sz w:val="24"/>
                <w:szCs w:val="32"/>
                <w:highlight w:val="none"/>
                <w:lang w:val="en-US" w:eastAsia="zh-CN"/>
              </w:rPr>
              <w:t>项目</w:t>
            </w:r>
            <w:r>
              <w:rPr>
                <w:rFonts w:hint="default" w:ascii="Times New Roman" w:hAnsi="Times New Roman" w:eastAsia="宋体" w:cs="Times New Roman"/>
                <w:sz w:val="24"/>
                <w:szCs w:val="32"/>
                <w:highlight w:val="none"/>
              </w:rPr>
              <w:t>进行</w:t>
            </w:r>
            <w:r>
              <w:rPr>
                <w:rFonts w:hint="eastAsia" w:ascii="Times New Roman" w:hAnsi="Times New Roman" w:eastAsia="宋体" w:cs="Times New Roman"/>
                <w:sz w:val="24"/>
                <w:szCs w:val="32"/>
                <w:highlight w:val="none"/>
                <w:lang w:val="en-US" w:eastAsia="zh-CN"/>
              </w:rPr>
              <w:t>扩建</w:t>
            </w:r>
            <w:r>
              <w:rPr>
                <w:rFonts w:hint="default" w:ascii="Times New Roman" w:hAnsi="Times New Roman" w:eastAsia="宋体" w:cs="Times New Roman"/>
                <w:sz w:val="24"/>
                <w:szCs w:val="32"/>
                <w:highlight w:val="none"/>
              </w:rPr>
              <w:t>，</w:t>
            </w:r>
            <w:r>
              <w:rPr>
                <w:rFonts w:hint="default" w:ascii="Times New Roman" w:hAnsi="Times New Roman" w:eastAsia="宋体" w:cs="Times New Roman"/>
                <w:sz w:val="24"/>
                <w:szCs w:val="32"/>
                <w:highlight w:val="none"/>
                <w:lang w:val="en-US" w:eastAsia="zh-CN"/>
              </w:rPr>
              <w:t>新增</w:t>
            </w:r>
            <w:r>
              <w:rPr>
                <w:rFonts w:hint="eastAsia" w:ascii="Times New Roman" w:hAnsi="Times New Roman" w:eastAsia="宋体" w:cs="Times New Roman"/>
                <w:sz w:val="24"/>
                <w:szCs w:val="32"/>
                <w:highlight w:val="none"/>
                <w:lang w:val="en-US" w:eastAsia="zh-CN"/>
              </w:rPr>
              <w:t>病床</w:t>
            </w:r>
            <w:r>
              <w:rPr>
                <w:rFonts w:hint="eastAsia" w:cs="Times New Roman"/>
                <w:sz w:val="24"/>
                <w:szCs w:val="32"/>
                <w:highlight w:val="none"/>
                <w:lang w:val="en-US" w:eastAsia="zh-CN"/>
              </w:rPr>
              <w:t>、监护仪、咳痰机</w:t>
            </w:r>
            <w:r>
              <w:rPr>
                <w:rFonts w:hint="eastAsia" w:ascii="Times New Roman" w:hAnsi="Times New Roman" w:eastAsia="宋体" w:cs="Times New Roman"/>
                <w:sz w:val="24"/>
                <w:szCs w:val="32"/>
                <w:highlight w:val="none"/>
                <w:lang w:val="en-US" w:eastAsia="zh-CN"/>
              </w:rPr>
              <w:t>等</w:t>
            </w:r>
            <w:r>
              <w:rPr>
                <w:rFonts w:hint="eastAsia" w:cs="Times New Roman"/>
                <w:sz w:val="24"/>
                <w:szCs w:val="32"/>
                <w:highlight w:val="none"/>
                <w:lang w:val="en-US" w:eastAsia="zh-CN"/>
              </w:rPr>
              <w:t>573</w:t>
            </w:r>
            <w:r>
              <w:rPr>
                <w:rFonts w:hint="eastAsia" w:ascii="Times New Roman" w:hAnsi="Times New Roman" w:eastAsia="宋体" w:cs="Times New Roman"/>
                <w:sz w:val="24"/>
                <w:szCs w:val="32"/>
                <w:highlight w:val="none"/>
                <w:lang w:val="en-US" w:eastAsia="zh-CN"/>
              </w:rPr>
              <w:t>台</w:t>
            </w:r>
            <w:r>
              <w:rPr>
                <w:rFonts w:hint="eastAsia" w:ascii="Times New Roman" w:hAnsi="Times New Roman" w:eastAsia="宋体" w:cs="Times New Roman"/>
                <w:sz w:val="24"/>
                <w:szCs w:val="32"/>
                <w:highlight w:val="none"/>
                <w:lang w:val="en-US" w:eastAsia="zh-CN"/>
              </w:rPr>
              <w:t>设备</w:t>
            </w:r>
            <w:r>
              <w:rPr>
                <w:rFonts w:hint="default" w:ascii="Times New Roman" w:hAnsi="Times New Roman" w:eastAsia="宋体" w:cs="Times New Roman"/>
                <w:sz w:val="24"/>
                <w:szCs w:val="32"/>
                <w:highlight w:val="none"/>
                <w:lang w:val="en-US" w:eastAsia="zh-CN"/>
              </w:rPr>
              <w:t>。</w:t>
            </w:r>
          </w:p>
          <w:p w14:paraId="4EF56F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sz w:val="24"/>
                <w:szCs w:val="32"/>
                <w:highlight w:val="none"/>
              </w:rPr>
              <w:t>根据《中华人民共和国环境保护法》《中华人民共和国环境影响评价法》《建设项目环境保护管理条例》《建设项目环境影响评价分类管理名录》（2021版），本项目属于</w:t>
            </w:r>
            <w:r>
              <w:rPr>
                <w:rFonts w:hint="eastAsia" w:ascii="Times New Roman" w:hAnsi="Times New Roman" w:eastAsia="宋体" w:cs="Times New Roman"/>
                <w:sz w:val="24"/>
                <w:szCs w:val="24"/>
                <w:highlight w:val="none"/>
                <w:lang w:val="en-US" w:eastAsia="zh-CN"/>
              </w:rPr>
              <w:t>四十九</w:t>
            </w: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卫生8</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中</w:t>
            </w:r>
            <w:r>
              <w:rPr>
                <w:rFonts w:hint="eastAsia" w:ascii="Times New Roman" w:hAnsi="Times New Roman" w:eastAsia="宋体" w:cs="Times New Roman"/>
                <w:sz w:val="24"/>
                <w:szCs w:val="24"/>
                <w:highlight w:val="none"/>
                <w:lang w:val="en-US" w:eastAsia="zh-CN"/>
              </w:rPr>
              <w:t>108</w:t>
            </w: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医院841</w:t>
            </w:r>
            <w:r>
              <w:rPr>
                <w:rFonts w:hint="default" w:ascii="Times New Roman" w:hAnsi="Times New Roman" w:eastAsia="宋体" w:cs="Times New Roman"/>
                <w:sz w:val="24"/>
                <w:szCs w:val="32"/>
                <w:highlight w:val="none"/>
              </w:rPr>
              <w:t>，应编制环境影响报告</w:t>
            </w:r>
            <w:r>
              <w:rPr>
                <w:rFonts w:hint="default" w:ascii="Times New Roman" w:hAnsi="Times New Roman" w:eastAsia="宋体" w:cs="Times New Roman"/>
                <w:sz w:val="24"/>
                <w:szCs w:val="32"/>
                <w:highlight w:val="none"/>
                <w:lang w:val="en-US" w:eastAsia="zh-CN"/>
              </w:rPr>
              <w:t>表</w:t>
            </w:r>
            <w:r>
              <w:rPr>
                <w:rFonts w:hint="default" w:ascii="Times New Roman" w:hAnsi="Times New Roman" w:eastAsia="宋体" w:cs="Times New Roman"/>
                <w:sz w:val="24"/>
                <w:szCs w:val="32"/>
                <w:highlight w:val="none"/>
              </w:rPr>
              <w:t>。建设单位委托我公司编制本项目的环境影响报告表，我单位接受委托后立即对现场进行调查，对资料进行收集，开展了本项目的环境影响评价工作。</w:t>
            </w:r>
          </w:p>
          <w:p w14:paraId="54A231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2</w:t>
            </w:r>
            <w:r>
              <w:rPr>
                <w:rFonts w:hint="eastAsia"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t>、</w:t>
            </w:r>
            <w:r>
              <w:rPr>
                <w:rFonts w:hint="eastAsia" w:cs="Times New Roman" w:eastAsiaTheme="minorEastAsia"/>
                <w:b w:val="0"/>
                <w:bCs w:val="0"/>
                <w:color w:val="000000" w:themeColor="text1"/>
                <w:sz w:val="24"/>
                <w:highlight w:val="none"/>
                <w:lang w:val="en-US" w:eastAsia="zh-CN"/>
                <w14:textFill>
                  <w14:solidFill>
                    <w14:schemeClr w14:val="tx1"/>
                  </w14:solidFill>
                </w14:textFill>
              </w:rPr>
              <w:t>项目建设内容及规模</w:t>
            </w:r>
          </w:p>
          <w:p w14:paraId="5611E8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建设内容：项目租用北京市昌平区南邵镇景荣街2号院3号楼-1至8层、</w:t>
            </w:r>
            <w:r>
              <w:rPr>
                <w:rFonts w:hint="eastAsia"/>
                <w:color w:val="000000" w:themeColor="text1"/>
                <w:highlight w:val="none"/>
                <w:lang w:val="en-US" w:eastAsia="zh-CN"/>
                <w14:textFill>
                  <w14:solidFill>
                    <w14:schemeClr w14:val="tx1"/>
                  </w14:solidFill>
                </w14:textFill>
              </w:rPr>
              <w:t>文智路17号院9号楼1层北侧区域</w:t>
            </w:r>
            <w:r>
              <w:rPr>
                <w:rFonts w:hint="eastAsia" w:cs="Times New Roman" w:eastAsiaTheme="minorEastAsia"/>
                <w:b w:val="0"/>
                <w:bCs w:val="0"/>
                <w:color w:val="000000" w:themeColor="text1"/>
                <w:sz w:val="24"/>
                <w:highlight w:val="none"/>
                <w:lang w:val="en-US" w:eastAsia="zh-CN"/>
                <w14:textFill>
                  <w14:solidFill>
                    <w14:schemeClr w14:val="tx1"/>
                  </w14:solidFill>
                </w14:textFill>
              </w:rPr>
              <w:t>，总建筑面积22529.71m</w:t>
            </w:r>
            <w:r>
              <w:rPr>
                <w:rFonts w:hint="eastAsia" w:cs="Times New Roman" w:eastAsiaTheme="minorEastAsia"/>
                <w:b w:val="0"/>
                <w:bCs w:val="0"/>
                <w:color w:val="000000" w:themeColor="text1"/>
                <w:sz w:val="24"/>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4"/>
                <w:highlight w:val="none"/>
                <w:lang w:val="en-US" w:eastAsia="zh-CN"/>
                <w14:textFill>
                  <w14:solidFill>
                    <w14:schemeClr w14:val="tx1"/>
                  </w14:solidFill>
                </w14:textFill>
              </w:rPr>
              <w:t>，建设专科医院，从事面向社会的门诊等相关医疗服务。</w:t>
            </w:r>
          </w:p>
          <w:p w14:paraId="0CC41A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设置科室：项目设置有全科医疗科、皮肤科、外科、妇产科、眼科、耳鼻咽喉科、口腔科、精神科、急诊医学科、康复医学科、疼痛科、医学检验科、医学影像科、中医科。</w:t>
            </w:r>
          </w:p>
          <w:p w14:paraId="7EC69C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规模：预计门诊新增接待量345人次/d；新增住院床位221张。医院类别为二级医院。</w:t>
            </w:r>
          </w:p>
          <w:p w14:paraId="64EC47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投资金额：总投资19100万元，其中环保投资355万元，占总投资的1.86%。</w:t>
            </w:r>
          </w:p>
          <w:p w14:paraId="1485D5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工作时间：年工作日365天，门诊营运时间为8:30~17:30，住院病房全年全天运行。</w:t>
            </w:r>
          </w:p>
          <w:p w14:paraId="165A63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员工人数：拟新增职工342人，其中3号楼新增327人，9号楼新增15人。</w:t>
            </w:r>
          </w:p>
          <w:p w14:paraId="16616F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eastAsiaTheme="minorEastAsia"/>
                <w:color w:val="000000" w:themeColor="text1"/>
                <w:highlight w:val="none"/>
                <w:lang w:val="en-US" w:eastAsia="zh-CN"/>
                <w14:textFill>
                  <w14:solidFill>
                    <w14:schemeClr w14:val="tx1"/>
                  </w14:solidFill>
                </w14:textFill>
              </w:rPr>
              <w:t>本项目不设置传染病科、病理科，不设置煎药室，不提供中药代煎服务，</w:t>
            </w:r>
            <w:r>
              <w:rPr>
                <w:rFonts w:hint="default" w:eastAsiaTheme="minorEastAsia"/>
                <w:color w:val="000000" w:themeColor="text1"/>
                <w:highlight w:val="none"/>
                <w14:textFill>
                  <w14:solidFill>
                    <w14:schemeClr w14:val="tx1"/>
                  </w14:solidFill>
                </w14:textFill>
              </w:rPr>
              <w:t>煎药委托第三方机构代煎</w:t>
            </w:r>
            <w:r>
              <w:rPr>
                <w:rFonts w:hint="eastAsia" w:eastAsiaTheme="minorEastAsia"/>
                <w:color w:val="000000" w:themeColor="text1"/>
                <w:highlight w:val="none"/>
                <w:lang w:eastAsia="zh-CN"/>
                <w14:textFill>
                  <w14:solidFill>
                    <w14:schemeClr w14:val="tx1"/>
                  </w14:solidFill>
                </w14:textFill>
              </w:rPr>
              <w:t>；</w:t>
            </w:r>
            <w:r>
              <w:rPr>
                <w:rFonts w:hint="eastAsia" w:eastAsiaTheme="minorEastAsia"/>
                <w:color w:val="000000" w:themeColor="text1"/>
                <w:highlight w:val="none"/>
                <w:lang w:val="en-US" w:eastAsia="zh-CN"/>
                <w14:textFill>
                  <w14:solidFill>
                    <w14:schemeClr w14:val="tx1"/>
                  </w14:solidFill>
                </w14:textFill>
              </w:rPr>
              <w:t>不设置艾灸理疗服务；不设置洗衣房，</w:t>
            </w:r>
            <w:r>
              <w:rPr>
                <w:rFonts w:hint="eastAsia" w:eastAsiaTheme="minorEastAsia"/>
                <w:color w:val="000000" w:themeColor="text1"/>
                <w:highlight w:val="none"/>
                <w14:textFill>
                  <w14:solidFill>
                    <w14:schemeClr w14:val="tx1"/>
                  </w14:solidFill>
                </w14:textFill>
              </w:rPr>
              <w:t>需洗涤消毒的物品外委相关机构</w:t>
            </w:r>
            <w:r>
              <w:rPr>
                <w:rFonts w:hint="eastAsia" w:eastAsiaTheme="minorEastAsia"/>
                <w:color w:val="000000" w:themeColor="text1"/>
                <w:highlight w:val="none"/>
                <w:lang w:eastAsia="zh-CN"/>
                <w14:textFill>
                  <w14:solidFill>
                    <w14:schemeClr w14:val="tx1"/>
                  </w14:solidFill>
                </w14:textFill>
              </w:rPr>
              <w:t>；</w:t>
            </w:r>
            <w:r>
              <w:rPr>
                <w:rFonts w:hint="eastAsia" w:eastAsiaTheme="minorEastAsia"/>
                <w:color w:val="000000" w:themeColor="text1"/>
                <w:highlight w:val="none"/>
                <w:lang w:val="en-US" w:eastAsia="zh-CN"/>
                <w14:textFill>
                  <w14:solidFill>
                    <w14:schemeClr w14:val="tx1"/>
                  </w14:solidFill>
                </w14:textFill>
              </w:rPr>
              <w:t>不设置食堂，医护及病患饮食外购。</w:t>
            </w:r>
          </w:p>
          <w:p w14:paraId="61A4C7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项目涉及辐射装置使用的，应另行申报相关审批手续。</w:t>
            </w:r>
          </w:p>
          <w:p w14:paraId="6B1F9F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项目主要技术指标见下表。</w:t>
            </w:r>
          </w:p>
          <w:p w14:paraId="1DD58E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表2-1 项目主要技术指标一览表</w:t>
            </w:r>
          </w:p>
          <w:tbl>
            <w:tblPr>
              <w:tblStyle w:val="17"/>
              <w:tblW w:w="48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818"/>
              <w:gridCol w:w="887"/>
              <w:gridCol w:w="888"/>
              <w:gridCol w:w="1081"/>
              <w:gridCol w:w="1004"/>
              <w:gridCol w:w="2123"/>
            </w:tblGrid>
            <w:tr w14:paraId="4469C2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vAlign w:val="center"/>
                </w:tcPr>
                <w:p w14:paraId="56A10C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类别</w:t>
                  </w:r>
                </w:p>
              </w:tc>
              <w:tc>
                <w:tcPr>
                  <w:tcW w:w="795" w:type="dxa"/>
                  <w:tcBorders>
                    <w:tl2br w:val="nil"/>
                    <w:tr2bl w:val="nil"/>
                  </w:tcBorders>
                  <w:vAlign w:val="center"/>
                </w:tcPr>
                <w:p w14:paraId="698A2F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序号</w:t>
                  </w:r>
                </w:p>
              </w:tc>
              <w:tc>
                <w:tcPr>
                  <w:tcW w:w="1725" w:type="dxa"/>
                  <w:gridSpan w:val="2"/>
                  <w:tcBorders>
                    <w:tl2br w:val="nil"/>
                    <w:tr2bl w:val="nil"/>
                  </w:tcBorders>
                  <w:vAlign w:val="center"/>
                </w:tcPr>
                <w:p w14:paraId="3D38E3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项目</w:t>
                  </w:r>
                </w:p>
              </w:tc>
              <w:tc>
                <w:tcPr>
                  <w:tcW w:w="1050" w:type="dxa"/>
                  <w:tcBorders>
                    <w:tl2br w:val="nil"/>
                    <w:tr2bl w:val="nil"/>
                  </w:tcBorders>
                  <w:vAlign w:val="center"/>
                </w:tcPr>
                <w:p w14:paraId="73764E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指标</w:t>
                  </w:r>
                </w:p>
              </w:tc>
              <w:tc>
                <w:tcPr>
                  <w:tcW w:w="975" w:type="dxa"/>
                  <w:tcBorders>
                    <w:tl2br w:val="nil"/>
                    <w:tr2bl w:val="nil"/>
                  </w:tcBorders>
                  <w:vAlign w:val="center"/>
                </w:tcPr>
                <w:p w14:paraId="4FAB7F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单位</w:t>
                  </w:r>
                </w:p>
              </w:tc>
              <w:tc>
                <w:tcPr>
                  <w:tcW w:w="2062" w:type="dxa"/>
                  <w:tcBorders>
                    <w:tl2br w:val="nil"/>
                    <w:tr2bl w:val="nil"/>
                  </w:tcBorders>
                  <w:vAlign w:val="center"/>
                </w:tcPr>
                <w:p w14:paraId="7CCE71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备注</w:t>
                  </w:r>
                </w:p>
              </w:tc>
            </w:tr>
            <w:tr w14:paraId="165B8A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vAlign w:val="center"/>
                </w:tcPr>
                <w:p w14:paraId="2E70E4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建筑规模及</w:t>
                  </w:r>
                </w:p>
                <w:p w14:paraId="0AAC6E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建设内容</w:t>
                  </w:r>
                </w:p>
              </w:tc>
              <w:tc>
                <w:tcPr>
                  <w:tcW w:w="795" w:type="dxa"/>
                  <w:tcBorders>
                    <w:tl2br w:val="nil"/>
                    <w:tr2bl w:val="nil"/>
                  </w:tcBorders>
                  <w:vAlign w:val="center"/>
                </w:tcPr>
                <w:p w14:paraId="19D6A3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1725" w:type="dxa"/>
                  <w:gridSpan w:val="2"/>
                  <w:tcBorders>
                    <w:tl2br w:val="nil"/>
                    <w:tr2bl w:val="nil"/>
                  </w:tcBorders>
                  <w:vAlign w:val="center"/>
                </w:tcPr>
                <w:p w14:paraId="350F33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总建筑面积</w:t>
                  </w:r>
                </w:p>
              </w:tc>
              <w:tc>
                <w:tcPr>
                  <w:tcW w:w="1050" w:type="dxa"/>
                  <w:tcBorders>
                    <w:tl2br w:val="nil"/>
                    <w:tr2bl w:val="nil"/>
                  </w:tcBorders>
                  <w:vAlign w:val="center"/>
                </w:tcPr>
                <w:p w14:paraId="79DC6B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22529.71</w:t>
                  </w:r>
                </w:p>
              </w:tc>
              <w:tc>
                <w:tcPr>
                  <w:tcW w:w="975" w:type="dxa"/>
                  <w:tcBorders>
                    <w:tl2br w:val="nil"/>
                    <w:tr2bl w:val="nil"/>
                  </w:tcBorders>
                  <w:shd w:val="clear" w:color="auto" w:fill="auto"/>
                  <w:vAlign w:val="center"/>
                </w:tcPr>
                <w:p w14:paraId="7958EC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p>
              </w:tc>
              <w:tc>
                <w:tcPr>
                  <w:tcW w:w="2062" w:type="dxa"/>
                  <w:tcBorders>
                    <w:tl2br w:val="nil"/>
                    <w:tr2bl w:val="nil"/>
                  </w:tcBorders>
                  <w:vAlign w:val="center"/>
                </w:tcPr>
                <w:p w14:paraId="249662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其中3号楼新增5697.87m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，9号楼新增364.2m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p>
              </w:tc>
            </w:tr>
            <w:tr w14:paraId="6145A8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484" w:type="dxa"/>
                  <w:vMerge w:val="restart"/>
                  <w:tcBorders>
                    <w:tl2br w:val="nil"/>
                    <w:tr2bl w:val="nil"/>
                  </w:tcBorders>
                  <w:vAlign w:val="center"/>
                </w:tcPr>
                <w:p w14:paraId="357AA2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建设技术指标</w:t>
                  </w:r>
                </w:p>
              </w:tc>
              <w:tc>
                <w:tcPr>
                  <w:tcW w:w="795" w:type="dxa"/>
                  <w:vMerge w:val="restart"/>
                  <w:tcBorders>
                    <w:tl2br w:val="nil"/>
                    <w:tr2bl w:val="nil"/>
                  </w:tcBorders>
                  <w:vAlign w:val="center"/>
                </w:tcPr>
                <w:p w14:paraId="7185EA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862" w:type="dxa"/>
                  <w:vMerge w:val="restart"/>
                  <w:tcBorders>
                    <w:tl2br w:val="nil"/>
                    <w:tr2bl w:val="nil"/>
                  </w:tcBorders>
                  <w:vAlign w:val="center"/>
                </w:tcPr>
                <w:p w14:paraId="76C6B3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建筑层数</w:t>
                  </w:r>
                </w:p>
              </w:tc>
              <w:tc>
                <w:tcPr>
                  <w:tcW w:w="863" w:type="dxa"/>
                  <w:tcBorders>
                    <w:tl2br w:val="nil"/>
                    <w:tr2bl w:val="nil"/>
                  </w:tcBorders>
                  <w:vAlign w:val="center"/>
                </w:tcPr>
                <w:p w14:paraId="09F333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3号楼</w:t>
                  </w:r>
                </w:p>
              </w:tc>
              <w:tc>
                <w:tcPr>
                  <w:tcW w:w="1050" w:type="dxa"/>
                  <w:tcBorders>
                    <w:tl2br w:val="nil"/>
                    <w:tr2bl w:val="nil"/>
                  </w:tcBorders>
                  <w:vAlign w:val="center"/>
                </w:tcPr>
                <w:p w14:paraId="7AA7EB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w:t>
                  </w:r>
                </w:p>
              </w:tc>
              <w:tc>
                <w:tcPr>
                  <w:tcW w:w="975" w:type="dxa"/>
                  <w:tcBorders>
                    <w:tl2br w:val="nil"/>
                    <w:tr2bl w:val="nil"/>
                  </w:tcBorders>
                  <w:shd w:val="clear" w:color="auto" w:fill="auto"/>
                  <w:vAlign w:val="center"/>
                </w:tcPr>
                <w:p w14:paraId="1D271D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层</w:t>
                  </w:r>
                </w:p>
              </w:tc>
              <w:tc>
                <w:tcPr>
                  <w:tcW w:w="2062" w:type="dxa"/>
                  <w:tcBorders>
                    <w:tl2br w:val="nil"/>
                    <w:tr2bl w:val="nil"/>
                  </w:tcBorders>
                  <w:vAlign w:val="center"/>
                </w:tcPr>
                <w:p w14:paraId="5C7E1D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现有项目所在建筑为地下1层地上5层建筑，本项目位于地上6-8层</w:t>
                  </w:r>
                </w:p>
              </w:tc>
            </w:tr>
            <w:tr w14:paraId="733401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484" w:type="dxa"/>
                  <w:vMerge w:val="continue"/>
                  <w:tcBorders>
                    <w:tl2br w:val="nil"/>
                    <w:tr2bl w:val="nil"/>
                  </w:tcBorders>
                  <w:vAlign w:val="center"/>
                </w:tcPr>
                <w:p w14:paraId="6634A6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ighlight w:val="none"/>
                    </w:rPr>
                  </w:pPr>
                </w:p>
              </w:tc>
              <w:tc>
                <w:tcPr>
                  <w:tcW w:w="795" w:type="dxa"/>
                  <w:vMerge w:val="continue"/>
                  <w:tcBorders>
                    <w:tl2br w:val="nil"/>
                    <w:tr2bl w:val="nil"/>
                  </w:tcBorders>
                  <w:vAlign w:val="center"/>
                </w:tcPr>
                <w:p w14:paraId="246BE8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ighlight w:val="none"/>
                    </w:rPr>
                  </w:pPr>
                </w:p>
              </w:tc>
              <w:tc>
                <w:tcPr>
                  <w:tcW w:w="862" w:type="dxa"/>
                  <w:vMerge w:val="continue"/>
                  <w:tcBorders>
                    <w:tl2br w:val="nil"/>
                    <w:tr2bl w:val="nil"/>
                  </w:tcBorders>
                  <w:vAlign w:val="center"/>
                </w:tcPr>
                <w:p w14:paraId="203CBF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863" w:type="dxa"/>
                  <w:tcBorders>
                    <w:tl2br w:val="nil"/>
                    <w:tr2bl w:val="nil"/>
                  </w:tcBorders>
                  <w:vAlign w:val="center"/>
                </w:tcPr>
                <w:p w14:paraId="035012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9号楼</w:t>
                  </w:r>
                </w:p>
              </w:tc>
              <w:tc>
                <w:tcPr>
                  <w:tcW w:w="1050" w:type="dxa"/>
                  <w:tcBorders>
                    <w:tl2br w:val="nil"/>
                    <w:tr2bl w:val="nil"/>
                  </w:tcBorders>
                  <w:vAlign w:val="center"/>
                </w:tcPr>
                <w:p w14:paraId="106BAD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975" w:type="dxa"/>
                  <w:tcBorders>
                    <w:tl2br w:val="nil"/>
                    <w:tr2bl w:val="nil"/>
                  </w:tcBorders>
                  <w:shd w:val="clear" w:color="auto" w:fill="auto"/>
                  <w:vAlign w:val="center"/>
                </w:tcPr>
                <w:p w14:paraId="743125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层</w:t>
                  </w:r>
                </w:p>
              </w:tc>
              <w:tc>
                <w:tcPr>
                  <w:tcW w:w="2062" w:type="dxa"/>
                  <w:tcBorders>
                    <w:tl2br w:val="nil"/>
                    <w:tr2bl w:val="nil"/>
                  </w:tcBorders>
                  <w:vAlign w:val="center"/>
                </w:tcPr>
                <w:p w14:paraId="60AE67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本项目位于1层北侧</w:t>
                  </w:r>
                </w:p>
              </w:tc>
            </w:tr>
            <w:tr w14:paraId="1E2BCE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vMerge w:val="restart"/>
                  <w:tcBorders>
                    <w:tl2br w:val="nil"/>
                    <w:tr2bl w:val="nil"/>
                  </w:tcBorders>
                  <w:vAlign w:val="center"/>
                </w:tcPr>
                <w:p w14:paraId="1BCC6E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医疗技术指标</w:t>
                  </w:r>
                </w:p>
              </w:tc>
              <w:tc>
                <w:tcPr>
                  <w:tcW w:w="795" w:type="dxa"/>
                  <w:tcBorders>
                    <w:tl2br w:val="nil"/>
                    <w:tr2bl w:val="nil"/>
                  </w:tcBorders>
                  <w:vAlign w:val="center"/>
                </w:tcPr>
                <w:p w14:paraId="7F786D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1725" w:type="dxa"/>
                  <w:gridSpan w:val="2"/>
                  <w:tcBorders>
                    <w:tl2br w:val="nil"/>
                    <w:tr2bl w:val="nil"/>
                  </w:tcBorders>
                  <w:vAlign w:val="center"/>
                </w:tcPr>
                <w:p w14:paraId="4858EB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日门诊量</w:t>
                  </w:r>
                </w:p>
              </w:tc>
              <w:tc>
                <w:tcPr>
                  <w:tcW w:w="1050" w:type="dxa"/>
                  <w:tcBorders>
                    <w:tl2br w:val="nil"/>
                    <w:tr2bl w:val="nil"/>
                  </w:tcBorders>
                  <w:vAlign w:val="center"/>
                </w:tcPr>
                <w:p w14:paraId="02AFB1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425</w:t>
                  </w:r>
                </w:p>
              </w:tc>
              <w:tc>
                <w:tcPr>
                  <w:tcW w:w="975" w:type="dxa"/>
                  <w:tcBorders>
                    <w:tl2br w:val="nil"/>
                    <w:tr2bl w:val="nil"/>
                  </w:tcBorders>
                  <w:shd w:val="clear" w:color="auto" w:fill="auto"/>
                  <w:vAlign w:val="center"/>
                </w:tcPr>
                <w:p w14:paraId="078AAF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人次</w:t>
                  </w:r>
                </w:p>
              </w:tc>
              <w:tc>
                <w:tcPr>
                  <w:tcW w:w="2062" w:type="dxa"/>
                  <w:tcBorders>
                    <w:tl2br w:val="nil"/>
                    <w:tr2bl w:val="nil"/>
                  </w:tcBorders>
                  <w:vAlign w:val="center"/>
                </w:tcPr>
                <w:p w14:paraId="5FDCA6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现有80人次，本次3号楼新增325人次，9号楼新增20人次</w:t>
                  </w:r>
                </w:p>
              </w:tc>
            </w:tr>
            <w:tr w14:paraId="3878C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vMerge w:val="continue"/>
                  <w:tcBorders>
                    <w:tl2br w:val="nil"/>
                    <w:tr2bl w:val="nil"/>
                  </w:tcBorders>
                  <w:vAlign w:val="center"/>
                </w:tcPr>
                <w:p w14:paraId="67828C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795" w:type="dxa"/>
                  <w:tcBorders>
                    <w:tl2br w:val="nil"/>
                    <w:tr2bl w:val="nil"/>
                  </w:tcBorders>
                  <w:vAlign w:val="center"/>
                </w:tcPr>
                <w:p w14:paraId="7CE05C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1725" w:type="dxa"/>
                  <w:gridSpan w:val="2"/>
                  <w:tcBorders>
                    <w:tl2br w:val="nil"/>
                    <w:tr2bl w:val="nil"/>
                  </w:tcBorders>
                  <w:vAlign w:val="center"/>
                </w:tcPr>
                <w:p w14:paraId="5EDE17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住院床位数</w:t>
                  </w:r>
                </w:p>
              </w:tc>
              <w:tc>
                <w:tcPr>
                  <w:tcW w:w="1050" w:type="dxa"/>
                  <w:tcBorders>
                    <w:tl2br w:val="nil"/>
                    <w:tr2bl w:val="nil"/>
                  </w:tcBorders>
                  <w:vAlign w:val="center"/>
                </w:tcPr>
                <w:p w14:paraId="2EEA27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321</w:t>
                  </w:r>
                </w:p>
              </w:tc>
              <w:tc>
                <w:tcPr>
                  <w:tcW w:w="975" w:type="dxa"/>
                  <w:tcBorders>
                    <w:tl2br w:val="nil"/>
                    <w:tr2bl w:val="nil"/>
                  </w:tcBorders>
                  <w:shd w:val="clear" w:color="auto" w:fill="auto"/>
                  <w:vAlign w:val="center"/>
                </w:tcPr>
                <w:p w14:paraId="1AC8F6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张</w:t>
                  </w:r>
                </w:p>
              </w:tc>
              <w:tc>
                <w:tcPr>
                  <w:tcW w:w="2062" w:type="dxa"/>
                  <w:tcBorders>
                    <w:tl2br w:val="nil"/>
                    <w:tr2bl w:val="nil"/>
                  </w:tcBorders>
                  <w:vAlign w:val="center"/>
                </w:tcPr>
                <w:p w14:paraId="35C779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现有100张，本次新增221张，全部位于3号楼</w:t>
                  </w:r>
                </w:p>
              </w:tc>
            </w:tr>
            <w:tr w14:paraId="63ACAF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vMerge w:val="restart"/>
                  <w:tcBorders>
                    <w:tl2br w:val="nil"/>
                    <w:tr2bl w:val="nil"/>
                  </w:tcBorders>
                  <w:vAlign w:val="center"/>
                </w:tcPr>
                <w:p w14:paraId="593EF3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工程投资</w:t>
                  </w:r>
                </w:p>
              </w:tc>
              <w:tc>
                <w:tcPr>
                  <w:tcW w:w="795" w:type="dxa"/>
                  <w:tcBorders>
                    <w:tl2br w:val="nil"/>
                    <w:tr2bl w:val="nil"/>
                  </w:tcBorders>
                  <w:shd w:val="clear" w:color="auto" w:fill="auto"/>
                  <w:vAlign w:val="center"/>
                </w:tcPr>
                <w:p w14:paraId="42E79D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5</w:t>
                  </w:r>
                </w:p>
              </w:tc>
              <w:tc>
                <w:tcPr>
                  <w:tcW w:w="1725" w:type="dxa"/>
                  <w:gridSpan w:val="2"/>
                  <w:tcBorders>
                    <w:tl2br w:val="nil"/>
                    <w:tr2bl w:val="nil"/>
                  </w:tcBorders>
                  <w:shd w:val="clear" w:color="auto" w:fill="auto"/>
                  <w:vAlign w:val="center"/>
                </w:tcPr>
                <w:p w14:paraId="1BF572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工程总投资</w:t>
                  </w:r>
                </w:p>
              </w:tc>
              <w:tc>
                <w:tcPr>
                  <w:tcW w:w="1050" w:type="dxa"/>
                  <w:tcBorders>
                    <w:tl2br w:val="nil"/>
                    <w:tr2bl w:val="nil"/>
                  </w:tcBorders>
                  <w:shd w:val="clear" w:color="auto" w:fill="auto"/>
                  <w:vAlign w:val="center"/>
                </w:tcPr>
                <w:p w14:paraId="7EC622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19100</w:t>
                  </w:r>
                </w:p>
              </w:tc>
              <w:tc>
                <w:tcPr>
                  <w:tcW w:w="975" w:type="dxa"/>
                  <w:tcBorders>
                    <w:tl2br w:val="nil"/>
                    <w:tr2bl w:val="nil"/>
                  </w:tcBorders>
                  <w:shd w:val="clear" w:color="auto" w:fill="auto"/>
                  <w:vAlign w:val="center"/>
                </w:tcPr>
                <w:p w14:paraId="5FF24F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万元</w:t>
                  </w:r>
                </w:p>
              </w:tc>
              <w:tc>
                <w:tcPr>
                  <w:tcW w:w="2062" w:type="dxa"/>
                  <w:tcBorders>
                    <w:tl2br w:val="nil"/>
                    <w:tr2bl w:val="nil"/>
                  </w:tcBorders>
                  <w:shd w:val="clear" w:color="auto" w:fill="auto"/>
                  <w:vAlign w:val="center"/>
                </w:tcPr>
                <w:p w14:paraId="769FB8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w:t>
                  </w:r>
                </w:p>
              </w:tc>
            </w:tr>
            <w:tr w14:paraId="29C020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4" w:type="dxa"/>
                  <w:vMerge w:val="continue"/>
                  <w:tcBorders>
                    <w:tl2br w:val="nil"/>
                    <w:tr2bl w:val="nil"/>
                  </w:tcBorders>
                  <w:vAlign w:val="center"/>
                </w:tcPr>
                <w:p w14:paraId="62AE37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795" w:type="dxa"/>
                  <w:tcBorders>
                    <w:tl2br w:val="nil"/>
                    <w:tr2bl w:val="nil"/>
                  </w:tcBorders>
                  <w:shd w:val="clear" w:color="auto" w:fill="auto"/>
                  <w:vAlign w:val="center"/>
                </w:tcPr>
                <w:p w14:paraId="781324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6</w:t>
                  </w:r>
                </w:p>
              </w:tc>
              <w:tc>
                <w:tcPr>
                  <w:tcW w:w="1725" w:type="dxa"/>
                  <w:gridSpan w:val="2"/>
                  <w:tcBorders>
                    <w:tl2br w:val="nil"/>
                    <w:tr2bl w:val="nil"/>
                  </w:tcBorders>
                  <w:shd w:val="clear" w:color="auto" w:fill="auto"/>
                  <w:vAlign w:val="center"/>
                </w:tcPr>
                <w:p w14:paraId="2804EC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环保投资</w:t>
                  </w:r>
                </w:p>
              </w:tc>
              <w:tc>
                <w:tcPr>
                  <w:tcW w:w="1050" w:type="dxa"/>
                  <w:tcBorders>
                    <w:tl2br w:val="nil"/>
                    <w:tr2bl w:val="nil"/>
                  </w:tcBorders>
                  <w:shd w:val="clear" w:color="auto" w:fill="auto"/>
                  <w:vAlign w:val="center"/>
                </w:tcPr>
                <w:p w14:paraId="3A773A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355</w:t>
                  </w:r>
                </w:p>
              </w:tc>
              <w:tc>
                <w:tcPr>
                  <w:tcW w:w="975" w:type="dxa"/>
                  <w:tcBorders>
                    <w:tl2br w:val="nil"/>
                    <w:tr2bl w:val="nil"/>
                  </w:tcBorders>
                  <w:shd w:val="clear" w:color="auto" w:fill="auto"/>
                  <w:vAlign w:val="center"/>
                </w:tcPr>
                <w:p w14:paraId="556824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万元</w:t>
                  </w:r>
                </w:p>
              </w:tc>
              <w:tc>
                <w:tcPr>
                  <w:tcW w:w="2062" w:type="dxa"/>
                  <w:tcBorders>
                    <w:tl2br w:val="nil"/>
                    <w:tr2bl w:val="nil"/>
                  </w:tcBorders>
                  <w:shd w:val="clear" w:color="auto" w:fill="auto"/>
                  <w:vAlign w:val="center"/>
                </w:tcPr>
                <w:p w14:paraId="2BAAAD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w:t>
                  </w:r>
                </w:p>
              </w:tc>
            </w:tr>
          </w:tbl>
          <w:p w14:paraId="4F8096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本项目主要建设内容详见下表。</w:t>
            </w:r>
          </w:p>
          <w:p w14:paraId="1559A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表2-2 项目主要建设内容一览表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695"/>
              <w:gridCol w:w="1529"/>
              <w:gridCol w:w="5575"/>
            </w:tblGrid>
            <w:tr w14:paraId="3240FB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tcBorders>
                    <w:tl2br w:val="nil"/>
                    <w:tr2bl w:val="nil"/>
                  </w:tcBorders>
                  <w:vAlign w:val="center"/>
                </w:tcPr>
                <w:p w14:paraId="706C8D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类别</w:t>
                  </w:r>
                </w:p>
              </w:tc>
              <w:tc>
                <w:tcPr>
                  <w:tcW w:w="695" w:type="dxa"/>
                  <w:tcBorders>
                    <w:tl2br w:val="nil"/>
                    <w:tr2bl w:val="nil"/>
                  </w:tcBorders>
                  <w:vAlign w:val="center"/>
                </w:tcPr>
                <w:p w14:paraId="3A2037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序号</w:t>
                  </w:r>
                </w:p>
              </w:tc>
              <w:tc>
                <w:tcPr>
                  <w:tcW w:w="1529" w:type="dxa"/>
                  <w:tcBorders>
                    <w:tl2br w:val="nil"/>
                    <w:tr2bl w:val="nil"/>
                  </w:tcBorders>
                  <w:vAlign w:val="center"/>
                </w:tcPr>
                <w:p w14:paraId="34189E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名称</w:t>
                  </w:r>
                </w:p>
              </w:tc>
              <w:tc>
                <w:tcPr>
                  <w:tcW w:w="5575" w:type="dxa"/>
                  <w:tcBorders>
                    <w:tl2br w:val="nil"/>
                    <w:tr2bl w:val="nil"/>
                  </w:tcBorders>
                  <w:vAlign w:val="center"/>
                </w:tcPr>
                <w:p w14:paraId="150700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建设内容</w:t>
                  </w:r>
                </w:p>
              </w:tc>
            </w:tr>
            <w:tr w14:paraId="3D9260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restart"/>
                  <w:tcBorders>
                    <w:tl2br w:val="nil"/>
                    <w:tr2bl w:val="nil"/>
                  </w:tcBorders>
                  <w:vAlign w:val="center"/>
                </w:tcPr>
                <w:p w14:paraId="3C4E2D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主体工程</w:t>
                  </w:r>
                </w:p>
              </w:tc>
              <w:tc>
                <w:tcPr>
                  <w:tcW w:w="695" w:type="dxa"/>
                  <w:tcBorders>
                    <w:tl2br w:val="nil"/>
                    <w:tr2bl w:val="nil"/>
                  </w:tcBorders>
                  <w:vAlign w:val="center"/>
                </w:tcPr>
                <w:p w14:paraId="7075ED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1529" w:type="dxa"/>
                  <w:tcBorders>
                    <w:tl2br w:val="nil"/>
                    <w:tr2bl w:val="nil"/>
                  </w:tcBorders>
                  <w:vAlign w:val="center"/>
                </w:tcPr>
                <w:p w14:paraId="7873C1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门诊</w:t>
                  </w:r>
                </w:p>
              </w:tc>
              <w:tc>
                <w:tcPr>
                  <w:tcW w:w="5575" w:type="dxa"/>
                  <w:tcBorders>
                    <w:tl2br w:val="nil"/>
                    <w:tr2bl w:val="nil"/>
                  </w:tcBorders>
                  <w:vAlign w:val="center"/>
                </w:tcPr>
                <w:p w14:paraId="09DDF7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9号楼新增的科室如下：</w:t>
                  </w:r>
                </w:p>
                <w:p w14:paraId="1F7B52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主要设置有全科、皮肤科、超声科、心电图科、康复医学科、中医科等，总建筑面积约364.2m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w:t>
                  </w:r>
                </w:p>
              </w:tc>
            </w:tr>
            <w:tr w14:paraId="0E15CC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2BC596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399557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1529" w:type="dxa"/>
                  <w:tcBorders>
                    <w:tl2br w:val="nil"/>
                    <w:tr2bl w:val="nil"/>
                  </w:tcBorders>
                  <w:vAlign w:val="center"/>
                </w:tcPr>
                <w:p w14:paraId="4F7C67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医技科室</w:t>
                  </w:r>
                </w:p>
              </w:tc>
              <w:tc>
                <w:tcPr>
                  <w:tcW w:w="5575" w:type="dxa"/>
                  <w:tcBorders>
                    <w:tl2br w:val="nil"/>
                    <w:tr2bl w:val="nil"/>
                  </w:tcBorders>
                  <w:vAlign w:val="center"/>
                </w:tcPr>
                <w:p w14:paraId="1FC18F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依托现有。</w:t>
                  </w:r>
                </w:p>
              </w:tc>
            </w:tr>
            <w:tr w14:paraId="05BF5C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2EFEB2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1FC1EB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1529" w:type="dxa"/>
                  <w:tcBorders>
                    <w:tl2br w:val="nil"/>
                    <w:tr2bl w:val="nil"/>
                  </w:tcBorders>
                  <w:vAlign w:val="center"/>
                </w:tcPr>
                <w:p w14:paraId="0B3FE3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住院病房</w:t>
                  </w:r>
                </w:p>
              </w:tc>
              <w:tc>
                <w:tcPr>
                  <w:tcW w:w="5575" w:type="dxa"/>
                  <w:tcBorders>
                    <w:tl2br w:val="nil"/>
                    <w:tr2bl w:val="nil"/>
                  </w:tcBorders>
                  <w:vAlign w:val="center"/>
                </w:tcPr>
                <w:p w14:paraId="7C3AB4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新增住院床位221张，位于3号楼6-8层，总建筑面积约5697.87m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w:t>
                  </w:r>
                </w:p>
              </w:tc>
            </w:tr>
            <w:tr w14:paraId="2F5E41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restart"/>
                  <w:tcBorders>
                    <w:tl2br w:val="nil"/>
                    <w:tr2bl w:val="nil"/>
                  </w:tcBorders>
                  <w:vAlign w:val="center"/>
                </w:tcPr>
                <w:p w14:paraId="4E83F2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公用工程</w:t>
                  </w:r>
                </w:p>
              </w:tc>
              <w:tc>
                <w:tcPr>
                  <w:tcW w:w="695" w:type="dxa"/>
                  <w:tcBorders>
                    <w:tl2br w:val="nil"/>
                    <w:tr2bl w:val="nil"/>
                  </w:tcBorders>
                  <w:vAlign w:val="center"/>
                </w:tcPr>
                <w:p w14:paraId="7CAD1A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1529" w:type="dxa"/>
                  <w:tcBorders>
                    <w:tl2br w:val="nil"/>
                    <w:tr2bl w:val="nil"/>
                  </w:tcBorders>
                  <w:vAlign w:val="center"/>
                </w:tcPr>
                <w:p w14:paraId="762D59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给水</w:t>
                  </w:r>
                </w:p>
              </w:tc>
              <w:tc>
                <w:tcPr>
                  <w:tcW w:w="5575" w:type="dxa"/>
                  <w:tcBorders>
                    <w:tl2br w:val="nil"/>
                    <w:tr2bl w:val="nil"/>
                  </w:tcBorders>
                  <w:vAlign w:val="center"/>
                </w:tcPr>
                <w:p w14:paraId="04A030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本项目用水由市政自来水管网供给。</w:t>
                  </w:r>
                </w:p>
              </w:tc>
            </w:tr>
            <w:tr w14:paraId="52BB2B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6F14C7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7D5F34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1529" w:type="dxa"/>
                  <w:tcBorders>
                    <w:tl2br w:val="nil"/>
                    <w:tr2bl w:val="nil"/>
                  </w:tcBorders>
                  <w:vAlign w:val="center"/>
                </w:tcPr>
                <w:p w14:paraId="0C770A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排水</w:t>
                  </w:r>
                </w:p>
              </w:tc>
              <w:tc>
                <w:tcPr>
                  <w:tcW w:w="5575" w:type="dxa"/>
                  <w:tcBorders>
                    <w:tl2br w:val="nil"/>
                    <w:tr2bl w:val="nil"/>
                  </w:tcBorders>
                  <w:vAlign w:val="center"/>
                </w:tcPr>
                <w:p w14:paraId="76244A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本项目废水主要包括门诊废水、病房废水、行政人员废水和卫生清洁废水，全部排水均视为医疗废水。废水经“现有独立化粪池+污水处理设施”处理后通过市政管网汇入</w:t>
                  </w:r>
                  <w:r>
                    <w:rPr>
                      <w:rFonts w:hint="eastAsia" w:cs="Times New Roman" w:eastAsiaTheme="minorEastAsia"/>
                      <w:b w:val="0"/>
                      <w:bCs w:val="0"/>
                      <w:color w:val="auto"/>
                      <w:sz w:val="21"/>
                      <w:szCs w:val="21"/>
                      <w:highlight w:val="none"/>
                      <w:vertAlign w:val="baseline"/>
                      <w:lang w:val="en-US" w:eastAsia="zh-CN"/>
                    </w:rPr>
                    <w:t>昌平污水处理厂</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w:t>
                  </w:r>
                </w:p>
              </w:tc>
            </w:tr>
            <w:tr w14:paraId="645F5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0D6863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3CA009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1529" w:type="dxa"/>
                  <w:tcBorders>
                    <w:tl2br w:val="nil"/>
                    <w:tr2bl w:val="nil"/>
                  </w:tcBorders>
                  <w:vAlign w:val="center"/>
                </w:tcPr>
                <w:p w14:paraId="076F32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供热、制冷</w:t>
                  </w:r>
                </w:p>
              </w:tc>
              <w:tc>
                <w:tcPr>
                  <w:tcW w:w="5575" w:type="dxa"/>
                  <w:tcBorders>
                    <w:tl2br w:val="nil"/>
                    <w:tr2bl w:val="nil"/>
                  </w:tcBorders>
                  <w:vAlign w:val="center"/>
                </w:tcPr>
                <w:p w14:paraId="5F8835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本项目夏季制冷依托于社区中央空调集中制冷，冬季供暖依托社区市政集中供暖。</w:t>
                  </w:r>
                </w:p>
              </w:tc>
            </w:tr>
            <w:tr w14:paraId="1C3600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579152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4B5C39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1529" w:type="dxa"/>
                  <w:tcBorders>
                    <w:tl2br w:val="nil"/>
                    <w:tr2bl w:val="nil"/>
                  </w:tcBorders>
                  <w:vAlign w:val="center"/>
                </w:tcPr>
                <w:p w14:paraId="0D9593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新风</w:t>
                  </w:r>
                </w:p>
              </w:tc>
              <w:tc>
                <w:tcPr>
                  <w:tcW w:w="5575" w:type="dxa"/>
                  <w:tcBorders>
                    <w:tl2br w:val="nil"/>
                    <w:tr2bl w:val="nil"/>
                  </w:tcBorders>
                  <w:vAlign w:val="center"/>
                </w:tcPr>
                <w:p w14:paraId="3E852F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本项目新增1套新风系统于9号楼</w:t>
                  </w:r>
                </w:p>
              </w:tc>
            </w:tr>
            <w:tr w14:paraId="3DE81F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569EDC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740BD9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5</w:t>
                  </w:r>
                </w:p>
              </w:tc>
              <w:tc>
                <w:tcPr>
                  <w:tcW w:w="1529" w:type="dxa"/>
                  <w:tcBorders>
                    <w:tl2br w:val="nil"/>
                    <w:tr2bl w:val="nil"/>
                  </w:tcBorders>
                  <w:vAlign w:val="center"/>
                </w:tcPr>
                <w:p w14:paraId="345FBF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供电</w:t>
                  </w:r>
                </w:p>
              </w:tc>
              <w:tc>
                <w:tcPr>
                  <w:tcW w:w="5575" w:type="dxa"/>
                  <w:tcBorders>
                    <w:tl2br w:val="nil"/>
                    <w:tr2bl w:val="nil"/>
                  </w:tcBorders>
                  <w:vAlign w:val="center"/>
                </w:tcPr>
                <w:p w14:paraId="49FE63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本项目照明、设备等用电由国家电网提供。</w:t>
                  </w:r>
                </w:p>
              </w:tc>
            </w:tr>
            <w:tr w14:paraId="23EED5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tcBorders>
                    <w:tl2br w:val="nil"/>
                    <w:tr2bl w:val="nil"/>
                  </w:tcBorders>
                  <w:vAlign w:val="center"/>
                </w:tcPr>
                <w:p w14:paraId="3F65AA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辅助工程</w:t>
                  </w:r>
                </w:p>
              </w:tc>
              <w:tc>
                <w:tcPr>
                  <w:tcW w:w="695" w:type="dxa"/>
                  <w:tcBorders>
                    <w:tl2br w:val="nil"/>
                    <w:tr2bl w:val="nil"/>
                  </w:tcBorders>
                  <w:shd w:val="clear" w:color="auto" w:fill="auto"/>
                  <w:vAlign w:val="center"/>
                </w:tcPr>
                <w:p w14:paraId="47346B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1</w:t>
                  </w:r>
                </w:p>
              </w:tc>
              <w:tc>
                <w:tcPr>
                  <w:tcW w:w="1529" w:type="dxa"/>
                  <w:tcBorders>
                    <w:tl2br w:val="nil"/>
                    <w:tr2bl w:val="nil"/>
                  </w:tcBorders>
                  <w:shd w:val="clear" w:color="auto" w:fill="auto"/>
                  <w:vAlign w:val="center"/>
                </w:tcPr>
                <w:p w14:paraId="247311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药房</w:t>
                  </w:r>
                </w:p>
              </w:tc>
              <w:tc>
                <w:tcPr>
                  <w:tcW w:w="5575" w:type="dxa"/>
                  <w:tcBorders>
                    <w:tl2br w:val="nil"/>
                    <w:tr2bl w:val="nil"/>
                  </w:tcBorders>
                  <w:shd w:val="clear" w:color="auto" w:fill="auto"/>
                  <w:vAlign w:val="center"/>
                </w:tcPr>
                <w:p w14:paraId="5EC19A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3号楼依托现有，9号楼新增药房面积约19.86m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，为患者提供配药服务同时用于存放医药。</w:t>
                  </w:r>
                </w:p>
              </w:tc>
            </w:tr>
            <w:tr w14:paraId="28E62F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2" w:type="dxa"/>
                  <w:vMerge w:val="restart"/>
                  <w:tcBorders>
                    <w:tl2br w:val="nil"/>
                    <w:tr2bl w:val="nil"/>
                  </w:tcBorders>
                  <w:vAlign w:val="center"/>
                </w:tcPr>
                <w:p w14:paraId="09B385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环保工程</w:t>
                  </w:r>
                </w:p>
              </w:tc>
              <w:tc>
                <w:tcPr>
                  <w:tcW w:w="695" w:type="dxa"/>
                  <w:tcBorders>
                    <w:tl2br w:val="nil"/>
                    <w:tr2bl w:val="nil"/>
                  </w:tcBorders>
                  <w:vAlign w:val="center"/>
                </w:tcPr>
                <w:p w14:paraId="59C786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1529" w:type="dxa"/>
                  <w:tcBorders>
                    <w:tl2br w:val="nil"/>
                    <w:tr2bl w:val="nil"/>
                  </w:tcBorders>
                  <w:vAlign w:val="center"/>
                </w:tcPr>
                <w:p w14:paraId="332C23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废气</w:t>
                  </w:r>
                </w:p>
              </w:tc>
              <w:tc>
                <w:tcPr>
                  <w:tcW w:w="5575" w:type="dxa"/>
                  <w:tcBorders>
                    <w:tl2br w:val="nil"/>
                    <w:tr2bl w:val="nil"/>
                  </w:tcBorders>
                  <w:vAlign w:val="center"/>
                </w:tcPr>
                <w:p w14:paraId="054B6C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污水处理设施依托现有，采取化粪池+格栅+沉淀+消毒工艺，项目废气主要为污水处理设施运行过程中无组织逸散的少量恶臭废气。</w:t>
                  </w:r>
                </w:p>
              </w:tc>
            </w:tr>
            <w:tr w14:paraId="4F6CF8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0A1820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5FF78C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1529" w:type="dxa"/>
                  <w:tcBorders>
                    <w:tl2br w:val="nil"/>
                    <w:tr2bl w:val="nil"/>
                  </w:tcBorders>
                  <w:vAlign w:val="center"/>
                </w:tcPr>
                <w:p w14:paraId="448D94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废水</w:t>
                  </w:r>
                </w:p>
              </w:tc>
              <w:tc>
                <w:tcPr>
                  <w:tcW w:w="5575" w:type="dxa"/>
                  <w:tcBorders>
                    <w:tl2br w:val="nil"/>
                    <w:tr2bl w:val="nil"/>
                  </w:tcBorders>
                  <w:vAlign w:val="center"/>
                </w:tcPr>
                <w:p w14:paraId="601275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废水主要包括门诊废水、病房废水、行政人员废水和卫生清洁废水，全部排水均视为医疗废水。3号楼废水经现有“独立化粪池+污水处理设施”（化粪池及污水处理设施均位于3号楼北侧）处理后通过市政管网汇入昌平污水处理厂。污水处理设施采用“化粪池+格栅+沉淀+消毒”工艺，设计处理规模为100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/d。9号楼废水经新建“过滤+消毒污水处理设施”处理后进入社区化粪池后通过市政管网汇入昌平污水处理厂。污水处理设施采用“过滤+消毒”工艺，设计处理规模为2m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/d。</w:t>
                  </w:r>
                </w:p>
              </w:tc>
            </w:tr>
            <w:tr w14:paraId="229AAA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0028D4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3AC358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1529" w:type="dxa"/>
                  <w:tcBorders>
                    <w:tl2br w:val="nil"/>
                    <w:tr2bl w:val="nil"/>
                  </w:tcBorders>
                  <w:vAlign w:val="center"/>
                </w:tcPr>
                <w:p w14:paraId="4D35B5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噪声</w:t>
                  </w:r>
                </w:p>
              </w:tc>
              <w:tc>
                <w:tcPr>
                  <w:tcW w:w="5575" w:type="dxa"/>
                  <w:tcBorders>
                    <w:tl2br w:val="nil"/>
                    <w:tr2bl w:val="nil"/>
                  </w:tcBorders>
                  <w:vAlign w:val="center"/>
                </w:tcPr>
                <w:p w14:paraId="0B0899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选用低噪声设备、合理布局、隔声等降噪措施</w:t>
                  </w:r>
                </w:p>
              </w:tc>
            </w:tr>
            <w:tr w14:paraId="4A1DD7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vAlign w:val="center"/>
                </w:tcPr>
                <w:p w14:paraId="63A30D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95" w:type="dxa"/>
                  <w:tcBorders>
                    <w:tl2br w:val="nil"/>
                    <w:tr2bl w:val="nil"/>
                  </w:tcBorders>
                  <w:vAlign w:val="center"/>
                </w:tcPr>
                <w:p w14:paraId="09E872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1529" w:type="dxa"/>
                  <w:tcBorders>
                    <w:tl2br w:val="nil"/>
                    <w:tr2bl w:val="nil"/>
                  </w:tcBorders>
                  <w:vAlign w:val="center"/>
                </w:tcPr>
                <w:p w14:paraId="3B8259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固体废物</w:t>
                  </w:r>
                </w:p>
              </w:tc>
              <w:tc>
                <w:tcPr>
                  <w:tcW w:w="5575" w:type="dxa"/>
                  <w:tcBorders>
                    <w:tl2br w:val="nil"/>
                    <w:tr2bl w:val="nil"/>
                  </w:tcBorders>
                  <w:vAlign w:val="center"/>
                </w:tcPr>
                <w:p w14:paraId="0BAF035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①生活垃圾</w:t>
                  </w:r>
                </w:p>
                <w:p w14:paraId="3378F00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对生活垃圾进行分类收集，分类存放，由环卫部门清运处理。</w:t>
                  </w:r>
                </w:p>
                <w:p w14:paraId="6FBC32E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②一般固体废物</w:t>
                  </w:r>
                </w:p>
                <w:p w14:paraId="31A0EE3B">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医院使用的各类物品的外包装废物等经分类收集后由生产厂家或废品收购厂家回收再利用。</w:t>
                  </w:r>
                </w:p>
                <w:p w14:paraId="4D4C03C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③危险废物</w:t>
                  </w:r>
                </w:p>
                <w:p w14:paraId="03D9EF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本项目医疗废物暂存间依托现有（建筑面积20m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）。暂存间内部做分隔处理，医疗废物暂存室建筑面积10m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，其他危险废物暂存室建筑面积10m</w:t>
                  </w:r>
                  <w:r>
                    <w:rPr>
                      <w:rFonts w:hint="eastAsia" w:cs="Times New Roman" w:eastAsiaTheme="minorEastAsia"/>
                      <w:b w:val="0"/>
                      <w:bCs w:val="0"/>
                      <w:color w:val="000000" w:themeColor="text1"/>
                      <w:sz w:val="21"/>
                      <w:szCs w:val="21"/>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，医疗废物与其他危险废物分开贮存。</w:t>
                  </w:r>
                </w:p>
                <w:p w14:paraId="342E1C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（HW01）医疗废物：医院医疗处置过程中产生的感染性废物、损伤性废物，分类收集后。暂存至医疗废物暂存间，委托资质单位定期清运处置。</w:t>
                  </w:r>
                </w:p>
                <w:p w14:paraId="245E47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（HW49）其他危险废物：门诊和病房日常消毒产生的消毒剂沾染物，暂存至医疗废物暂存间，委托资质单位定期清运处置。</w:t>
                  </w:r>
                </w:p>
                <w:p w14:paraId="718876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（HW49）其他危险废物：污水处理设施产生的栅渣、污泥、化粪池污泥，定期委托资质单位清掏清运，随清随运，不在院区暂存。</w:t>
                  </w:r>
                </w:p>
              </w:tc>
            </w:tr>
          </w:tbl>
          <w:p w14:paraId="3844B8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2、主要设备清单</w:t>
            </w:r>
          </w:p>
          <w:p w14:paraId="1E2C78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本项目主要设备清单见下表。</w:t>
            </w:r>
          </w:p>
          <w:p w14:paraId="500367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表2-3 医院主要医疗设备一览表</w:t>
            </w:r>
          </w:p>
          <w:tbl>
            <w:tblPr>
              <w:tblStyle w:val="1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1766"/>
              <w:gridCol w:w="2060"/>
              <w:gridCol w:w="830"/>
              <w:gridCol w:w="779"/>
              <w:gridCol w:w="1134"/>
              <w:gridCol w:w="1035"/>
            </w:tblGrid>
            <w:tr w14:paraId="16F7A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26" w:type="pct"/>
                  <w:vMerge w:val="restart"/>
                  <w:tcBorders>
                    <w:tl2br w:val="nil"/>
                    <w:tr2bl w:val="nil"/>
                  </w:tcBorders>
                  <w:noWrap w:val="0"/>
                  <w:vAlign w:val="center"/>
                </w:tcPr>
                <w:p w14:paraId="53D133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t>序号</w:t>
                  </w:r>
                </w:p>
              </w:tc>
              <w:tc>
                <w:tcPr>
                  <w:tcW w:w="1039" w:type="pct"/>
                  <w:vMerge w:val="restart"/>
                  <w:tcBorders>
                    <w:tl2br w:val="nil"/>
                    <w:tr2bl w:val="nil"/>
                  </w:tcBorders>
                  <w:noWrap w:val="0"/>
                  <w:vAlign w:val="center"/>
                </w:tcPr>
                <w:p w14:paraId="73116B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t>设备名称</w:t>
                  </w:r>
                </w:p>
              </w:tc>
              <w:tc>
                <w:tcPr>
                  <w:tcW w:w="1212" w:type="pct"/>
                  <w:vMerge w:val="restart"/>
                  <w:tcBorders>
                    <w:tl2br w:val="nil"/>
                    <w:tr2bl w:val="nil"/>
                  </w:tcBorders>
                  <w:noWrap w:val="0"/>
                  <w:vAlign w:val="center"/>
                </w:tcPr>
                <w:p w14:paraId="1652DF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t>规格型号</w:t>
                  </w:r>
                </w:p>
              </w:tc>
              <w:tc>
                <w:tcPr>
                  <w:tcW w:w="1613" w:type="pct"/>
                  <w:gridSpan w:val="3"/>
                  <w:tcBorders>
                    <w:tl2br w:val="nil"/>
                    <w:tr2bl w:val="nil"/>
                  </w:tcBorders>
                  <w:noWrap w:val="0"/>
                  <w:vAlign w:val="center"/>
                </w:tcPr>
                <w:p w14:paraId="1FF00C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数量（台/套）</w:t>
                  </w:r>
                </w:p>
              </w:tc>
              <w:tc>
                <w:tcPr>
                  <w:tcW w:w="609" w:type="pct"/>
                  <w:vMerge w:val="restart"/>
                  <w:tcBorders>
                    <w:tl2br w:val="nil"/>
                    <w:tr2bl w:val="nil"/>
                  </w:tcBorders>
                  <w:noWrap w:val="0"/>
                  <w:vAlign w:val="center"/>
                </w:tcPr>
                <w:p w14:paraId="6E00EC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扩建后位置/科室</w:t>
                  </w:r>
                </w:p>
              </w:tc>
            </w:tr>
            <w:tr w14:paraId="6EED03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26" w:type="pct"/>
                  <w:vMerge w:val="continue"/>
                  <w:tcBorders>
                    <w:tl2br w:val="nil"/>
                    <w:tr2bl w:val="nil"/>
                  </w:tcBorders>
                  <w:noWrap w:val="0"/>
                  <w:vAlign w:val="center"/>
                </w:tcPr>
                <w:p w14:paraId="12482A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039" w:type="pct"/>
                  <w:vMerge w:val="continue"/>
                  <w:tcBorders>
                    <w:tl2br w:val="nil"/>
                    <w:tr2bl w:val="nil"/>
                  </w:tcBorders>
                  <w:noWrap w:val="0"/>
                  <w:vAlign w:val="center"/>
                </w:tcPr>
                <w:p w14:paraId="33FEAF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212" w:type="pct"/>
                  <w:vMerge w:val="continue"/>
                  <w:tcBorders>
                    <w:tl2br w:val="nil"/>
                    <w:tr2bl w:val="nil"/>
                  </w:tcBorders>
                  <w:noWrap w:val="0"/>
                  <w:vAlign w:val="center"/>
                </w:tcPr>
                <w:p w14:paraId="1DD92C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488" w:type="pct"/>
                  <w:tcBorders>
                    <w:tl2br w:val="nil"/>
                    <w:tr2bl w:val="nil"/>
                  </w:tcBorders>
                  <w:shd w:val="clear" w:color="auto" w:fill="auto"/>
                  <w:noWrap w:val="0"/>
                  <w:vAlign w:val="center"/>
                </w:tcPr>
                <w:p w14:paraId="4AA51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扩建前</w:t>
                  </w:r>
                </w:p>
              </w:tc>
              <w:tc>
                <w:tcPr>
                  <w:tcW w:w="458" w:type="pct"/>
                  <w:tcBorders>
                    <w:tl2br w:val="nil"/>
                    <w:tr2bl w:val="nil"/>
                  </w:tcBorders>
                  <w:shd w:val="clear" w:color="auto" w:fill="auto"/>
                  <w:noWrap w:val="0"/>
                  <w:vAlign w:val="center"/>
                </w:tcPr>
                <w:p w14:paraId="448BF3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扩建后</w:t>
                  </w:r>
                </w:p>
              </w:tc>
              <w:tc>
                <w:tcPr>
                  <w:tcW w:w="666" w:type="pct"/>
                  <w:tcBorders>
                    <w:tl2br w:val="nil"/>
                    <w:tr2bl w:val="nil"/>
                  </w:tcBorders>
                  <w:shd w:val="clear" w:color="auto" w:fill="auto"/>
                  <w:noWrap w:val="0"/>
                  <w:vAlign w:val="center"/>
                </w:tcPr>
                <w:p w14:paraId="473203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变化量</w:t>
                  </w:r>
                </w:p>
              </w:tc>
              <w:tc>
                <w:tcPr>
                  <w:tcW w:w="609" w:type="pct"/>
                  <w:vMerge w:val="continue"/>
                  <w:tcBorders>
                    <w:tl2br w:val="nil"/>
                    <w:tr2bl w:val="nil"/>
                  </w:tcBorders>
                  <w:noWrap w:val="0"/>
                  <w:vAlign w:val="center"/>
                </w:tcPr>
                <w:p w14:paraId="79A173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2D504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3675C3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1039" w:type="pct"/>
                  <w:tcBorders>
                    <w:tl2br w:val="nil"/>
                    <w:tr2bl w:val="nil"/>
                  </w:tcBorders>
                  <w:noWrap w:val="0"/>
                  <w:vAlign w:val="center"/>
                </w:tcPr>
                <w:p w14:paraId="321BA9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病床</w:t>
                  </w:r>
                </w:p>
              </w:tc>
              <w:tc>
                <w:tcPr>
                  <w:tcW w:w="1212" w:type="pct"/>
                  <w:tcBorders>
                    <w:tl2br w:val="nil"/>
                    <w:tr2bl w:val="nil"/>
                  </w:tcBorders>
                  <w:noWrap w:val="0"/>
                  <w:vAlign w:val="center"/>
                </w:tcPr>
                <w:p w14:paraId="771D32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威高WG-HBD6</w:t>
                  </w:r>
                </w:p>
              </w:tc>
              <w:tc>
                <w:tcPr>
                  <w:tcW w:w="488" w:type="pct"/>
                  <w:tcBorders>
                    <w:tl2br w:val="nil"/>
                    <w:tr2bl w:val="nil"/>
                  </w:tcBorders>
                  <w:noWrap w:val="0"/>
                  <w:vAlign w:val="center"/>
                </w:tcPr>
                <w:p w14:paraId="27D7E7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100</w:t>
                  </w:r>
                </w:p>
              </w:tc>
              <w:tc>
                <w:tcPr>
                  <w:tcW w:w="458" w:type="pct"/>
                  <w:tcBorders>
                    <w:tl2br w:val="nil"/>
                    <w:tr2bl w:val="nil"/>
                  </w:tcBorders>
                  <w:noWrap w:val="0"/>
                  <w:vAlign w:val="center"/>
                </w:tcPr>
                <w:p w14:paraId="37803F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321</w:t>
                  </w:r>
                </w:p>
              </w:tc>
              <w:tc>
                <w:tcPr>
                  <w:tcW w:w="666" w:type="pct"/>
                  <w:tcBorders>
                    <w:tl2br w:val="nil"/>
                    <w:tr2bl w:val="nil"/>
                  </w:tcBorders>
                  <w:noWrap w:val="0"/>
                  <w:vAlign w:val="center"/>
                </w:tcPr>
                <w:p w14:paraId="6678BD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+221</w:t>
                  </w:r>
                </w:p>
              </w:tc>
              <w:tc>
                <w:tcPr>
                  <w:tcW w:w="609" w:type="pct"/>
                  <w:vMerge w:val="restart"/>
                  <w:tcBorders>
                    <w:tl2br w:val="nil"/>
                    <w:tr2bl w:val="nil"/>
                  </w:tcBorders>
                  <w:noWrap w:val="0"/>
                  <w:vAlign w:val="center"/>
                </w:tcPr>
                <w:p w14:paraId="0FD956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3号楼6-8层</w:t>
                  </w:r>
                </w:p>
              </w:tc>
            </w:tr>
            <w:tr w14:paraId="3A4EE2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6" w:type="pct"/>
                  <w:tcBorders>
                    <w:tl2br w:val="nil"/>
                    <w:tr2bl w:val="nil"/>
                  </w:tcBorders>
                  <w:noWrap w:val="0"/>
                  <w:vAlign w:val="center"/>
                </w:tcPr>
                <w:p w14:paraId="725F52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1039" w:type="pct"/>
                  <w:tcBorders>
                    <w:tl2br w:val="nil"/>
                    <w:tr2bl w:val="nil"/>
                  </w:tcBorders>
                  <w:noWrap w:val="0"/>
                  <w:vAlign w:val="center"/>
                </w:tcPr>
                <w:p w14:paraId="5B1238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监护仪</w:t>
                  </w:r>
                </w:p>
              </w:tc>
              <w:tc>
                <w:tcPr>
                  <w:tcW w:w="1212" w:type="pct"/>
                  <w:tcBorders>
                    <w:tl2br w:val="nil"/>
                    <w:tr2bl w:val="nil"/>
                  </w:tcBorders>
                  <w:noWrap w:val="0"/>
                  <w:vAlign w:val="center"/>
                </w:tcPr>
                <w:p w14:paraId="0FB98A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iMEC12</w:t>
                  </w:r>
                </w:p>
              </w:tc>
              <w:tc>
                <w:tcPr>
                  <w:tcW w:w="488" w:type="pct"/>
                  <w:tcBorders>
                    <w:tl2br w:val="nil"/>
                    <w:tr2bl w:val="nil"/>
                  </w:tcBorders>
                  <w:noWrap w:val="0"/>
                  <w:vAlign w:val="center"/>
                </w:tcPr>
                <w:p w14:paraId="0A2682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97</w:t>
                  </w:r>
                </w:p>
              </w:tc>
              <w:tc>
                <w:tcPr>
                  <w:tcW w:w="458" w:type="pct"/>
                  <w:tcBorders>
                    <w:tl2br w:val="nil"/>
                    <w:tr2bl w:val="nil"/>
                  </w:tcBorders>
                  <w:noWrap w:val="0"/>
                  <w:vAlign w:val="center"/>
                </w:tcPr>
                <w:p w14:paraId="5C8AD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187</w:t>
                  </w:r>
                </w:p>
              </w:tc>
              <w:tc>
                <w:tcPr>
                  <w:tcW w:w="666" w:type="pct"/>
                  <w:tcBorders>
                    <w:tl2br w:val="nil"/>
                    <w:tr2bl w:val="nil"/>
                  </w:tcBorders>
                  <w:noWrap w:val="0"/>
                  <w:vAlign w:val="center"/>
                </w:tcPr>
                <w:p w14:paraId="17FCE9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+90</w:t>
                  </w:r>
                </w:p>
              </w:tc>
              <w:tc>
                <w:tcPr>
                  <w:tcW w:w="609" w:type="pct"/>
                  <w:vMerge w:val="continue"/>
                  <w:tcBorders>
                    <w:tl2br w:val="nil"/>
                    <w:tr2bl w:val="nil"/>
                  </w:tcBorders>
                  <w:noWrap w:val="0"/>
                  <w:vAlign w:val="center"/>
                </w:tcPr>
                <w:p w14:paraId="00DCB8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3C500B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5AF151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1039" w:type="pct"/>
                  <w:tcBorders>
                    <w:tl2br w:val="nil"/>
                    <w:tr2bl w:val="nil"/>
                  </w:tcBorders>
                  <w:noWrap w:val="0"/>
                  <w:vAlign w:val="center"/>
                </w:tcPr>
                <w:p w14:paraId="645CFA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肠内营养泵</w:t>
                  </w:r>
                </w:p>
              </w:tc>
              <w:tc>
                <w:tcPr>
                  <w:tcW w:w="1212" w:type="pct"/>
                  <w:tcBorders>
                    <w:tl2br w:val="nil"/>
                    <w:tr2bl w:val="nil"/>
                  </w:tcBorders>
                  <w:noWrap w:val="0"/>
                  <w:vAlign w:val="center"/>
                </w:tcPr>
                <w:p w14:paraId="0289EA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美国科惠</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kangaroo ePump</w:t>
                  </w:r>
                </w:p>
              </w:tc>
              <w:tc>
                <w:tcPr>
                  <w:tcW w:w="488" w:type="pct"/>
                  <w:tcBorders>
                    <w:tl2br w:val="nil"/>
                    <w:tr2bl w:val="nil"/>
                  </w:tcBorders>
                  <w:noWrap w:val="0"/>
                  <w:vAlign w:val="center"/>
                </w:tcPr>
                <w:p w14:paraId="3A81E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24</w:t>
                  </w:r>
                </w:p>
              </w:tc>
              <w:tc>
                <w:tcPr>
                  <w:tcW w:w="458" w:type="pct"/>
                  <w:tcBorders>
                    <w:tl2br w:val="nil"/>
                    <w:tr2bl w:val="nil"/>
                  </w:tcBorders>
                  <w:noWrap w:val="0"/>
                  <w:vAlign w:val="center"/>
                </w:tcPr>
                <w:p w14:paraId="34BF53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39</w:t>
                  </w:r>
                </w:p>
              </w:tc>
              <w:tc>
                <w:tcPr>
                  <w:tcW w:w="666" w:type="pct"/>
                  <w:tcBorders>
                    <w:tl2br w:val="nil"/>
                    <w:tr2bl w:val="nil"/>
                  </w:tcBorders>
                  <w:noWrap w:val="0"/>
                  <w:vAlign w:val="center"/>
                </w:tcPr>
                <w:p w14:paraId="648033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+15</w:t>
                  </w:r>
                </w:p>
              </w:tc>
              <w:tc>
                <w:tcPr>
                  <w:tcW w:w="609" w:type="pct"/>
                  <w:vMerge w:val="continue"/>
                  <w:tcBorders>
                    <w:tl2br w:val="nil"/>
                    <w:tr2bl w:val="nil"/>
                  </w:tcBorders>
                  <w:noWrap w:val="0"/>
                  <w:vAlign w:val="center"/>
                </w:tcPr>
                <w:p w14:paraId="34B36F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FD1F0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34B6BD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1039" w:type="pct"/>
                  <w:tcBorders>
                    <w:tl2br w:val="nil"/>
                    <w:tr2bl w:val="nil"/>
                  </w:tcBorders>
                  <w:noWrap w:val="0"/>
                  <w:vAlign w:val="center"/>
                </w:tcPr>
                <w:p w14:paraId="2B8E37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输液泵</w:t>
                  </w:r>
                </w:p>
              </w:tc>
              <w:tc>
                <w:tcPr>
                  <w:tcW w:w="1212" w:type="pct"/>
                  <w:tcBorders>
                    <w:tl2br w:val="nil"/>
                    <w:tr2bl w:val="nil"/>
                  </w:tcBorders>
                  <w:noWrap w:val="0"/>
                  <w:vAlign w:val="center"/>
                </w:tcPr>
                <w:p w14:paraId="16E4AF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史密斯</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佳士比1200</w:t>
                  </w:r>
                </w:p>
              </w:tc>
              <w:tc>
                <w:tcPr>
                  <w:tcW w:w="488" w:type="pct"/>
                  <w:tcBorders>
                    <w:tl2br w:val="nil"/>
                    <w:tr2bl w:val="nil"/>
                  </w:tcBorders>
                  <w:noWrap w:val="0"/>
                  <w:vAlign w:val="center"/>
                </w:tcPr>
                <w:p w14:paraId="7B0510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45</w:t>
                  </w:r>
                </w:p>
              </w:tc>
              <w:tc>
                <w:tcPr>
                  <w:tcW w:w="458" w:type="pct"/>
                  <w:tcBorders>
                    <w:tl2br w:val="nil"/>
                    <w:tr2bl w:val="nil"/>
                  </w:tcBorders>
                  <w:noWrap w:val="0"/>
                  <w:vAlign w:val="center"/>
                </w:tcPr>
                <w:p w14:paraId="1FCA4B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105</w:t>
                  </w:r>
                </w:p>
              </w:tc>
              <w:tc>
                <w:tcPr>
                  <w:tcW w:w="666" w:type="pct"/>
                  <w:tcBorders>
                    <w:tl2br w:val="nil"/>
                    <w:tr2bl w:val="nil"/>
                  </w:tcBorders>
                  <w:noWrap w:val="0"/>
                  <w:vAlign w:val="center"/>
                </w:tcPr>
                <w:p w14:paraId="3E5517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+60</w:t>
                  </w:r>
                </w:p>
              </w:tc>
              <w:tc>
                <w:tcPr>
                  <w:tcW w:w="609" w:type="pct"/>
                  <w:vMerge w:val="continue"/>
                  <w:tcBorders>
                    <w:tl2br w:val="nil"/>
                    <w:tr2bl w:val="nil"/>
                  </w:tcBorders>
                  <w:noWrap w:val="0"/>
                  <w:vAlign w:val="center"/>
                </w:tcPr>
                <w:p w14:paraId="3B1C35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5ED2DE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48FD71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5</w:t>
                  </w:r>
                </w:p>
              </w:tc>
              <w:tc>
                <w:tcPr>
                  <w:tcW w:w="1039" w:type="pct"/>
                  <w:tcBorders>
                    <w:tl2br w:val="nil"/>
                    <w:tr2bl w:val="nil"/>
                  </w:tcBorders>
                  <w:noWrap w:val="0"/>
                  <w:vAlign w:val="center"/>
                </w:tcPr>
                <w:p w14:paraId="2BFD0A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双道微量注射泵</w:t>
                  </w:r>
                </w:p>
              </w:tc>
              <w:tc>
                <w:tcPr>
                  <w:tcW w:w="1212" w:type="pct"/>
                  <w:tcBorders>
                    <w:tl2br w:val="nil"/>
                    <w:tr2bl w:val="nil"/>
                  </w:tcBorders>
                  <w:noWrap w:val="0"/>
                  <w:vAlign w:val="center"/>
                </w:tcPr>
                <w:p w14:paraId="7A6E24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史密斯</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佳士比F6</w:t>
                  </w:r>
                </w:p>
              </w:tc>
              <w:tc>
                <w:tcPr>
                  <w:tcW w:w="488" w:type="pct"/>
                  <w:tcBorders>
                    <w:tl2br w:val="nil"/>
                    <w:tr2bl w:val="nil"/>
                  </w:tcBorders>
                  <w:noWrap w:val="0"/>
                  <w:vAlign w:val="center"/>
                </w:tcPr>
                <w:p w14:paraId="71AC69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40</w:t>
                  </w:r>
                </w:p>
              </w:tc>
              <w:tc>
                <w:tcPr>
                  <w:tcW w:w="458" w:type="pct"/>
                  <w:tcBorders>
                    <w:tl2br w:val="nil"/>
                    <w:tr2bl w:val="nil"/>
                  </w:tcBorders>
                  <w:noWrap w:val="0"/>
                  <w:vAlign w:val="center"/>
                </w:tcPr>
                <w:p w14:paraId="356526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130</w:t>
                  </w:r>
                </w:p>
              </w:tc>
              <w:tc>
                <w:tcPr>
                  <w:tcW w:w="666" w:type="pct"/>
                  <w:tcBorders>
                    <w:tl2br w:val="nil"/>
                    <w:tr2bl w:val="nil"/>
                  </w:tcBorders>
                  <w:noWrap w:val="0"/>
                  <w:vAlign w:val="center"/>
                </w:tcPr>
                <w:p w14:paraId="279AAD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+90</w:t>
                  </w:r>
                </w:p>
              </w:tc>
              <w:tc>
                <w:tcPr>
                  <w:tcW w:w="609" w:type="pct"/>
                  <w:vMerge w:val="continue"/>
                  <w:tcBorders>
                    <w:tl2br w:val="nil"/>
                    <w:tr2bl w:val="nil"/>
                  </w:tcBorders>
                  <w:noWrap w:val="0"/>
                  <w:vAlign w:val="center"/>
                </w:tcPr>
                <w:p w14:paraId="6E0150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72A29A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033D05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1039" w:type="pct"/>
                  <w:tcBorders>
                    <w:tl2br w:val="nil"/>
                    <w:tr2bl w:val="nil"/>
                  </w:tcBorders>
                  <w:noWrap w:val="0"/>
                  <w:vAlign w:val="center"/>
                </w:tcPr>
                <w:p w14:paraId="3EF238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震荡排痰机</w:t>
                  </w:r>
                </w:p>
              </w:tc>
              <w:tc>
                <w:tcPr>
                  <w:tcW w:w="1212" w:type="pct"/>
                  <w:tcBorders>
                    <w:tl2br w:val="nil"/>
                    <w:tr2bl w:val="nil"/>
                  </w:tcBorders>
                  <w:noWrap w:val="0"/>
                  <w:vAlign w:val="center"/>
                </w:tcPr>
                <w:p w14:paraId="19FC9C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华伟</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HW-8001CX</w:t>
                  </w:r>
                </w:p>
              </w:tc>
              <w:tc>
                <w:tcPr>
                  <w:tcW w:w="488" w:type="pct"/>
                  <w:tcBorders>
                    <w:tl2br w:val="nil"/>
                    <w:tr2bl w:val="nil"/>
                  </w:tcBorders>
                  <w:noWrap w:val="0"/>
                  <w:vAlign w:val="center"/>
                </w:tcPr>
                <w:p w14:paraId="790762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5</w:t>
                  </w:r>
                </w:p>
              </w:tc>
              <w:tc>
                <w:tcPr>
                  <w:tcW w:w="458" w:type="pct"/>
                  <w:tcBorders>
                    <w:tl2br w:val="nil"/>
                    <w:tr2bl w:val="nil"/>
                  </w:tcBorders>
                  <w:noWrap w:val="0"/>
                  <w:vAlign w:val="center"/>
                </w:tcPr>
                <w:p w14:paraId="5D5602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8</w:t>
                  </w:r>
                </w:p>
              </w:tc>
              <w:tc>
                <w:tcPr>
                  <w:tcW w:w="666" w:type="pct"/>
                  <w:tcBorders>
                    <w:tl2br w:val="nil"/>
                    <w:tr2bl w:val="nil"/>
                  </w:tcBorders>
                  <w:noWrap w:val="0"/>
                  <w:vAlign w:val="center"/>
                </w:tcPr>
                <w:p w14:paraId="587A85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4BC3AB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F261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7B12EF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7</w:t>
                  </w:r>
                </w:p>
              </w:tc>
              <w:tc>
                <w:tcPr>
                  <w:tcW w:w="1039" w:type="pct"/>
                  <w:tcBorders>
                    <w:tl2br w:val="nil"/>
                    <w:tr2bl w:val="nil"/>
                  </w:tcBorders>
                  <w:noWrap w:val="0"/>
                  <w:vAlign w:val="center"/>
                </w:tcPr>
                <w:p w14:paraId="4E8B45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除颤监护仪</w:t>
                  </w:r>
                </w:p>
              </w:tc>
              <w:tc>
                <w:tcPr>
                  <w:tcW w:w="1212" w:type="pct"/>
                  <w:tcBorders>
                    <w:tl2br w:val="nil"/>
                    <w:tr2bl w:val="nil"/>
                  </w:tcBorders>
                  <w:noWrap w:val="0"/>
                  <w:vAlign w:val="center"/>
                </w:tcPr>
                <w:p w14:paraId="4361E4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BeneHeart D6</w:t>
                  </w:r>
                </w:p>
              </w:tc>
              <w:tc>
                <w:tcPr>
                  <w:tcW w:w="488" w:type="pct"/>
                  <w:tcBorders>
                    <w:tl2br w:val="nil"/>
                    <w:tr2bl w:val="nil"/>
                  </w:tcBorders>
                  <w:noWrap w:val="0"/>
                  <w:vAlign w:val="center"/>
                </w:tcPr>
                <w:p w14:paraId="10E8C1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458" w:type="pct"/>
                  <w:tcBorders>
                    <w:tl2br w:val="nil"/>
                    <w:tr2bl w:val="nil"/>
                  </w:tcBorders>
                  <w:noWrap w:val="0"/>
                  <w:vAlign w:val="center"/>
                </w:tcPr>
                <w:p w14:paraId="7AF43A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w:t>
                  </w:r>
                </w:p>
              </w:tc>
              <w:tc>
                <w:tcPr>
                  <w:tcW w:w="666" w:type="pct"/>
                  <w:tcBorders>
                    <w:tl2br w:val="nil"/>
                    <w:tr2bl w:val="nil"/>
                  </w:tcBorders>
                  <w:noWrap w:val="0"/>
                  <w:vAlign w:val="center"/>
                </w:tcPr>
                <w:p w14:paraId="2627AE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0143F9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148892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2C06AE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8</w:t>
                  </w:r>
                </w:p>
              </w:tc>
              <w:tc>
                <w:tcPr>
                  <w:tcW w:w="1039" w:type="pct"/>
                  <w:tcBorders>
                    <w:tl2br w:val="nil"/>
                    <w:tr2bl w:val="nil"/>
                  </w:tcBorders>
                  <w:noWrap w:val="0"/>
                  <w:vAlign w:val="center"/>
                </w:tcPr>
                <w:p w14:paraId="57325C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有创呼吸机</w:t>
                  </w:r>
                </w:p>
              </w:tc>
              <w:tc>
                <w:tcPr>
                  <w:tcW w:w="1212" w:type="pct"/>
                  <w:tcBorders>
                    <w:tl2br w:val="nil"/>
                    <w:tr2bl w:val="nil"/>
                  </w:tcBorders>
                  <w:noWrap w:val="0"/>
                  <w:vAlign w:val="center"/>
                </w:tcPr>
                <w:p w14:paraId="16A14F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德尔格</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SAVINA300</w:t>
                  </w:r>
                </w:p>
              </w:tc>
              <w:tc>
                <w:tcPr>
                  <w:tcW w:w="488" w:type="pct"/>
                  <w:tcBorders>
                    <w:tl2br w:val="nil"/>
                    <w:tr2bl w:val="nil"/>
                  </w:tcBorders>
                  <w:noWrap w:val="0"/>
                  <w:vAlign w:val="center"/>
                </w:tcPr>
                <w:p w14:paraId="14588C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458" w:type="pct"/>
                  <w:tcBorders>
                    <w:tl2br w:val="nil"/>
                    <w:tr2bl w:val="nil"/>
                  </w:tcBorders>
                  <w:noWrap w:val="0"/>
                  <w:vAlign w:val="center"/>
                </w:tcPr>
                <w:p w14:paraId="3E51B6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w:t>
                  </w:r>
                </w:p>
              </w:tc>
              <w:tc>
                <w:tcPr>
                  <w:tcW w:w="666" w:type="pct"/>
                  <w:tcBorders>
                    <w:tl2br w:val="nil"/>
                    <w:tr2bl w:val="nil"/>
                  </w:tcBorders>
                  <w:noWrap w:val="0"/>
                  <w:vAlign w:val="center"/>
                </w:tcPr>
                <w:p w14:paraId="1722F6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4403CB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C8EC4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2A62C4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w:t>
                  </w:r>
                </w:p>
              </w:tc>
              <w:tc>
                <w:tcPr>
                  <w:tcW w:w="1039" w:type="pct"/>
                  <w:tcBorders>
                    <w:tl2br w:val="nil"/>
                    <w:tr2bl w:val="nil"/>
                  </w:tcBorders>
                  <w:noWrap w:val="0"/>
                  <w:vAlign w:val="center"/>
                </w:tcPr>
                <w:p w14:paraId="1F2C81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无创呼吸机</w:t>
                  </w:r>
                </w:p>
              </w:tc>
              <w:tc>
                <w:tcPr>
                  <w:tcW w:w="1212" w:type="pct"/>
                  <w:tcBorders>
                    <w:tl2br w:val="nil"/>
                    <w:tr2bl w:val="nil"/>
                  </w:tcBorders>
                  <w:noWrap w:val="0"/>
                  <w:vAlign w:val="center"/>
                </w:tcPr>
                <w:p w14:paraId="5947E6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飞利浦</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V60</w:t>
                  </w:r>
                </w:p>
              </w:tc>
              <w:tc>
                <w:tcPr>
                  <w:tcW w:w="488" w:type="pct"/>
                  <w:tcBorders>
                    <w:tl2br w:val="nil"/>
                    <w:tr2bl w:val="nil"/>
                  </w:tcBorders>
                  <w:noWrap w:val="0"/>
                  <w:vAlign w:val="center"/>
                </w:tcPr>
                <w:p w14:paraId="20E89C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458" w:type="pct"/>
                  <w:tcBorders>
                    <w:tl2br w:val="nil"/>
                    <w:tr2bl w:val="nil"/>
                  </w:tcBorders>
                  <w:noWrap w:val="0"/>
                  <w:vAlign w:val="center"/>
                </w:tcPr>
                <w:p w14:paraId="0040CB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12</w:t>
                  </w:r>
                </w:p>
              </w:tc>
              <w:tc>
                <w:tcPr>
                  <w:tcW w:w="666" w:type="pct"/>
                  <w:tcBorders>
                    <w:tl2br w:val="nil"/>
                    <w:tr2bl w:val="nil"/>
                  </w:tcBorders>
                  <w:noWrap w:val="0"/>
                  <w:vAlign w:val="center"/>
                </w:tcPr>
                <w:p w14:paraId="040AF7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609" w:type="pct"/>
                  <w:vMerge w:val="continue"/>
                  <w:tcBorders>
                    <w:tl2br w:val="nil"/>
                    <w:tr2bl w:val="nil"/>
                  </w:tcBorders>
                  <w:noWrap w:val="0"/>
                  <w:vAlign w:val="center"/>
                </w:tcPr>
                <w:p w14:paraId="106ED6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31DB1E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056666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10</w:t>
                  </w:r>
                </w:p>
              </w:tc>
              <w:tc>
                <w:tcPr>
                  <w:tcW w:w="1039" w:type="pct"/>
                  <w:tcBorders>
                    <w:tl2br w:val="nil"/>
                    <w:tr2bl w:val="nil"/>
                  </w:tcBorders>
                  <w:noWrap w:val="0"/>
                  <w:vAlign w:val="center"/>
                </w:tcPr>
                <w:p w14:paraId="41E809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咳痰机</w:t>
                  </w:r>
                </w:p>
              </w:tc>
              <w:tc>
                <w:tcPr>
                  <w:tcW w:w="1212" w:type="pct"/>
                  <w:tcBorders>
                    <w:tl2br w:val="nil"/>
                    <w:tr2bl w:val="nil"/>
                  </w:tcBorders>
                  <w:noWrap w:val="0"/>
                  <w:vAlign w:val="center"/>
                </w:tcPr>
                <w:p w14:paraId="498932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飞利浦</w:t>
                  </w: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E70</w:t>
                  </w:r>
                </w:p>
              </w:tc>
              <w:tc>
                <w:tcPr>
                  <w:tcW w:w="488" w:type="pct"/>
                  <w:tcBorders>
                    <w:tl2br w:val="nil"/>
                    <w:tr2bl w:val="nil"/>
                  </w:tcBorders>
                  <w:noWrap w:val="0"/>
                  <w:vAlign w:val="center"/>
                </w:tcPr>
                <w:p w14:paraId="644472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458" w:type="pct"/>
                  <w:tcBorders>
                    <w:tl2br w:val="nil"/>
                    <w:tr2bl w:val="nil"/>
                  </w:tcBorders>
                  <w:noWrap w:val="0"/>
                  <w:vAlign w:val="center"/>
                </w:tcPr>
                <w:p w14:paraId="303746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w:t>
                  </w:r>
                </w:p>
              </w:tc>
              <w:tc>
                <w:tcPr>
                  <w:tcW w:w="666" w:type="pct"/>
                  <w:tcBorders>
                    <w:tl2br w:val="nil"/>
                    <w:tr2bl w:val="nil"/>
                  </w:tcBorders>
                  <w:noWrap w:val="0"/>
                  <w:vAlign w:val="center"/>
                </w:tcPr>
                <w:p w14:paraId="53A06C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2F4101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3C0813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06A688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11</w:t>
                  </w:r>
                </w:p>
              </w:tc>
              <w:tc>
                <w:tcPr>
                  <w:tcW w:w="1039" w:type="pct"/>
                  <w:tcBorders>
                    <w:tl2br w:val="nil"/>
                    <w:tr2bl w:val="nil"/>
                  </w:tcBorders>
                  <w:noWrap w:val="0"/>
                  <w:vAlign w:val="center"/>
                </w:tcPr>
                <w:p w14:paraId="1CCAE0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呼吸湿化治疗仪</w:t>
                  </w:r>
                </w:p>
              </w:tc>
              <w:tc>
                <w:tcPr>
                  <w:tcW w:w="1212" w:type="pct"/>
                  <w:tcBorders>
                    <w:tl2br w:val="nil"/>
                    <w:tr2bl w:val="nil"/>
                  </w:tcBorders>
                  <w:noWrap w:val="0"/>
                  <w:vAlign w:val="center"/>
                </w:tcPr>
                <w:p w14:paraId="463767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费雪派克PT101AZ</w:t>
                  </w:r>
                </w:p>
              </w:tc>
              <w:tc>
                <w:tcPr>
                  <w:tcW w:w="488" w:type="pct"/>
                  <w:tcBorders>
                    <w:tl2br w:val="nil"/>
                    <w:tr2bl w:val="nil"/>
                  </w:tcBorders>
                  <w:noWrap w:val="0"/>
                  <w:vAlign w:val="center"/>
                </w:tcPr>
                <w:p w14:paraId="148FEC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35</w:t>
                  </w:r>
                </w:p>
              </w:tc>
              <w:tc>
                <w:tcPr>
                  <w:tcW w:w="458" w:type="pct"/>
                  <w:tcBorders>
                    <w:tl2br w:val="nil"/>
                    <w:tr2bl w:val="nil"/>
                  </w:tcBorders>
                  <w:noWrap w:val="0"/>
                  <w:vAlign w:val="center"/>
                </w:tcPr>
                <w:p w14:paraId="4A1ED1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65</w:t>
                  </w:r>
                </w:p>
              </w:tc>
              <w:tc>
                <w:tcPr>
                  <w:tcW w:w="666" w:type="pct"/>
                  <w:tcBorders>
                    <w:tl2br w:val="nil"/>
                    <w:tr2bl w:val="nil"/>
                  </w:tcBorders>
                  <w:noWrap w:val="0"/>
                  <w:vAlign w:val="center"/>
                </w:tcPr>
                <w:p w14:paraId="50A4E7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+30</w:t>
                  </w:r>
                </w:p>
              </w:tc>
              <w:tc>
                <w:tcPr>
                  <w:tcW w:w="609" w:type="pct"/>
                  <w:vMerge w:val="continue"/>
                  <w:tcBorders>
                    <w:tl2br w:val="nil"/>
                    <w:tr2bl w:val="nil"/>
                  </w:tcBorders>
                  <w:noWrap w:val="0"/>
                  <w:vAlign w:val="center"/>
                </w:tcPr>
                <w:p w14:paraId="3BD022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43D95A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526" w:type="pct"/>
                  <w:tcBorders>
                    <w:tl2br w:val="nil"/>
                    <w:tr2bl w:val="nil"/>
                  </w:tcBorders>
                  <w:noWrap w:val="0"/>
                  <w:vAlign w:val="center"/>
                </w:tcPr>
                <w:p w14:paraId="4013F8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12</w:t>
                  </w:r>
                </w:p>
              </w:tc>
              <w:tc>
                <w:tcPr>
                  <w:tcW w:w="1039" w:type="pct"/>
                  <w:tcBorders>
                    <w:tl2br w:val="nil"/>
                    <w:tr2bl w:val="nil"/>
                  </w:tcBorders>
                  <w:noWrap w:val="0"/>
                  <w:vAlign w:val="center"/>
                </w:tcPr>
                <w:p w14:paraId="4A8C8E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医用控温毯</w:t>
                  </w:r>
                </w:p>
              </w:tc>
              <w:tc>
                <w:tcPr>
                  <w:tcW w:w="1212" w:type="pct"/>
                  <w:tcBorders>
                    <w:tl2br w:val="nil"/>
                    <w:tr2bl w:val="nil"/>
                  </w:tcBorders>
                  <w:noWrap w:val="0"/>
                  <w:vAlign w:val="center"/>
                </w:tcPr>
                <w:p w14:paraId="56BE4D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智杰TCB-500</w:t>
                  </w:r>
                </w:p>
              </w:tc>
              <w:tc>
                <w:tcPr>
                  <w:tcW w:w="488" w:type="pct"/>
                  <w:tcBorders>
                    <w:tl2br w:val="nil"/>
                    <w:tr2bl w:val="nil"/>
                  </w:tcBorders>
                  <w:noWrap w:val="0"/>
                  <w:vAlign w:val="center"/>
                </w:tcPr>
                <w:p w14:paraId="745BF7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5</w:t>
                  </w:r>
                </w:p>
              </w:tc>
              <w:tc>
                <w:tcPr>
                  <w:tcW w:w="458" w:type="pct"/>
                  <w:tcBorders>
                    <w:tl2br w:val="nil"/>
                    <w:tr2bl w:val="nil"/>
                  </w:tcBorders>
                  <w:noWrap w:val="0"/>
                  <w:vAlign w:val="center"/>
                </w:tcPr>
                <w:p w14:paraId="08B85D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8</w:t>
                  </w:r>
                </w:p>
              </w:tc>
              <w:tc>
                <w:tcPr>
                  <w:tcW w:w="666" w:type="pct"/>
                  <w:tcBorders>
                    <w:tl2br w:val="nil"/>
                    <w:tr2bl w:val="nil"/>
                  </w:tcBorders>
                  <w:noWrap w:val="0"/>
                  <w:vAlign w:val="center"/>
                </w:tcPr>
                <w:p w14:paraId="2723B2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28DC16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503808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644318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13</w:t>
                  </w:r>
                </w:p>
              </w:tc>
              <w:tc>
                <w:tcPr>
                  <w:tcW w:w="1039" w:type="pct"/>
                  <w:tcBorders>
                    <w:tl2br w:val="nil"/>
                    <w:tr2bl w:val="nil"/>
                  </w:tcBorders>
                  <w:noWrap w:val="0"/>
                  <w:vAlign w:val="center"/>
                </w:tcPr>
                <w:p w14:paraId="0416D4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全数字多道心电图机</w:t>
                  </w:r>
                </w:p>
              </w:tc>
              <w:tc>
                <w:tcPr>
                  <w:tcW w:w="1212" w:type="pct"/>
                  <w:tcBorders>
                    <w:tl2br w:val="nil"/>
                    <w:tr2bl w:val="nil"/>
                  </w:tcBorders>
                  <w:noWrap w:val="0"/>
                  <w:vAlign w:val="center"/>
                </w:tcPr>
                <w:p w14:paraId="105FD2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迈瑞BeneHeart R12</w:t>
                  </w:r>
                </w:p>
              </w:tc>
              <w:tc>
                <w:tcPr>
                  <w:tcW w:w="488" w:type="pct"/>
                  <w:tcBorders>
                    <w:tl2br w:val="nil"/>
                    <w:tr2bl w:val="nil"/>
                  </w:tcBorders>
                  <w:noWrap w:val="0"/>
                  <w:vAlign w:val="center"/>
                </w:tcPr>
                <w:p w14:paraId="688072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458" w:type="pct"/>
                  <w:tcBorders>
                    <w:tl2br w:val="nil"/>
                    <w:tr2bl w:val="nil"/>
                  </w:tcBorders>
                  <w:noWrap w:val="0"/>
                  <w:vAlign w:val="center"/>
                </w:tcPr>
                <w:p w14:paraId="266E54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666" w:type="pct"/>
                  <w:tcBorders>
                    <w:tl2br w:val="nil"/>
                    <w:tr2bl w:val="nil"/>
                  </w:tcBorders>
                  <w:noWrap w:val="0"/>
                  <w:vAlign w:val="center"/>
                </w:tcPr>
                <w:p w14:paraId="7A2EB2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4F5E18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689D4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5C1E4B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14</w:t>
                  </w:r>
                </w:p>
              </w:tc>
              <w:tc>
                <w:tcPr>
                  <w:tcW w:w="1039" w:type="pct"/>
                  <w:tcBorders>
                    <w:tl2br w:val="nil"/>
                    <w:tr2bl w:val="nil"/>
                  </w:tcBorders>
                  <w:noWrap w:val="0"/>
                  <w:vAlign w:val="center"/>
                </w:tcPr>
                <w:p w14:paraId="78F1EC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中心监护系统</w:t>
                  </w:r>
                </w:p>
              </w:tc>
              <w:tc>
                <w:tcPr>
                  <w:tcW w:w="1212" w:type="pct"/>
                  <w:tcBorders>
                    <w:tl2br w:val="nil"/>
                    <w:tr2bl w:val="nil"/>
                  </w:tcBorders>
                  <w:noWrap w:val="0"/>
                  <w:vAlign w:val="center"/>
                </w:tcPr>
                <w:p w14:paraId="157626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迈瑞BeneVision</w:t>
                  </w:r>
                </w:p>
              </w:tc>
              <w:tc>
                <w:tcPr>
                  <w:tcW w:w="488" w:type="pct"/>
                  <w:tcBorders>
                    <w:tl2br w:val="nil"/>
                    <w:tr2bl w:val="nil"/>
                  </w:tcBorders>
                  <w:noWrap w:val="0"/>
                  <w:vAlign w:val="center"/>
                </w:tcPr>
                <w:p w14:paraId="12BEC6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5</w:t>
                  </w:r>
                </w:p>
              </w:tc>
              <w:tc>
                <w:tcPr>
                  <w:tcW w:w="458" w:type="pct"/>
                  <w:tcBorders>
                    <w:tl2br w:val="nil"/>
                    <w:tr2bl w:val="nil"/>
                  </w:tcBorders>
                  <w:noWrap w:val="0"/>
                  <w:vAlign w:val="center"/>
                </w:tcPr>
                <w:p w14:paraId="13ECA8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8</w:t>
                  </w:r>
                </w:p>
              </w:tc>
              <w:tc>
                <w:tcPr>
                  <w:tcW w:w="666" w:type="pct"/>
                  <w:tcBorders>
                    <w:tl2br w:val="nil"/>
                    <w:tr2bl w:val="nil"/>
                  </w:tcBorders>
                  <w:noWrap w:val="0"/>
                  <w:vAlign w:val="center"/>
                </w:tcPr>
                <w:p w14:paraId="52F7B9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1EF1C0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15B765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27C852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15</w:t>
                  </w:r>
                </w:p>
              </w:tc>
              <w:tc>
                <w:tcPr>
                  <w:tcW w:w="1039" w:type="pct"/>
                  <w:tcBorders>
                    <w:tl2br w:val="nil"/>
                    <w:tr2bl w:val="nil"/>
                  </w:tcBorders>
                  <w:noWrap w:val="0"/>
                  <w:vAlign w:val="center"/>
                </w:tcPr>
                <w:p w14:paraId="529010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医用转运平车</w:t>
                  </w:r>
                </w:p>
              </w:tc>
              <w:tc>
                <w:tcPr>
                  <w:tcW w:w="1212" w:type="pct"/>
                  <w:tcBorders>
                    <w:tl2br w:val="nil"/>
                    <w:tr2bl w:val="nil"/>
                  </w:tcBorders>
                  <w:noWrap w:val="0"/>
                  <w:vAlign w:val="center"/>
                </w:tcPr>
                <w:p w14:paraId="273B52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天奥QC-3C</w:t>
                  </w:r>
                </w:p>
              </w:tc>
              <w:tc>
                <w:tcPr>
                  <w:tcW w:w="488" w:type="pct"/>
                  <w:tcBorders>
                    <w:tl2br w:val="nil"/>
                    <w:tr2bl w:val="nil"/>
                  </w:tcBorders>
                  <w:noWrap w:val="0"/>
                  <w:vAlign w:val="center"/>
                </w:tcPr>
                <w:p w14:paraId="6B162E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458" w:type="pct"/>
                  <w:tcBorders>
                    <w:tl2br w:val="nil"/>
                    <w:tr2bl w:val="nil"/>
                  </w:tcBorders>
                  <w:noWrap w:val="0"/>
                  <w:vAlign w:val="center"/>
                </w:tcPr>
                <w:p w14:paraId="0B46AF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666" w:type="pct"/>
                  <w:tcBorders>
                    <w:tl2br w:val="nil"/>
                    <w:tr2bl w:val="nil"/>
                  </w:tcBorders>
                  <w:noWrap w:val="0"/>
                  <w:vAlign w:val="center"/>
                </w:tcPr>
                <w:p w14:paraId="747B89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0803D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4D1BD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341B88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16</w:t>
                  </w:r>
                </w:p>
              </w:tc>
              <w:tc>
                <w:tcPr>
                  <w:tcW w:w="1039" w:type="pct"/>
                  <w:tcBorders>
                    <w:tl2br w:val="nil"/>
                    <w:tr2bl w:val="nil"/>
                  </w:tcBorders>
                  <w:noWrap w:val="0"/>
                  <w:vAlign w:val="center"/>
                </w:tcPr>
                <w:p w14:paraId="0827E2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抢救车</w:t>
                  </w:r>
                </w:p>
              </w:tc>
              <w:tc>
                <w:tcPr>
                  <w:tcW w:w="1212" w:type="pct"/>
                  <w:tcBorders>
                    <w:tl2br w:val="nil"/>
                    <w:tr2bl w:val="nil"/>
                  </w:tcBorders>
                  <w:noWrap w:val="0"/>
                  <w:vAlign w:val="center"/>
                </w:tcPr>
                <w:p w14:paraId="30CC9F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天奥YC-20-J-02090</w:t>
                  </w:r>
                </w:p>
              </w:tc>
              <w:tc>
                <w:tcPr>
                  <w:tcW w:w="488" w:type="pct"/>
                  <w:tcBorders>
                    <w:tl2br w:val="nil"/>
                    <w:tr2bl w:val="nil"/>
                  </w:tcBorders>
                  <w:noWrap w:val="0"/>
                  <w:vAlign w:val="center"/>
                </w:tcPr>
                <w:p w14:paraId="5083C2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458" w:type="pct"/>
                  <w:tcBorders>
                    <w:tl2br w:val="nil"/>
                    <w:tr2bl w:val="nil"/>
                  </w:tcBorders>
                  <w:noWrap w:val="0"/>
                  <w:vAlign w:val="center"/>
                </w:tcPr>
                <w:p w14:paraId="1A5341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w:t>
                  </w:r>
                </w:p>
              </w:tc>
              <w:tc>
                <w:tcPr>
                  <w:tcW w:w="666" w:type="pct"/>
                  <w:tcBorders>
                    <w:tl2br w:val="nil"/>
                    <w:tr2bl w:val="nil"/>
                  </w:tcBorders>
                  <w:noWrap w:val="0"/>
                  <w:vAlign w:val="center"/>
                </w:tcPr>
                <w:p w14:paraId="2D1E45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w:t>
                  </w:r>
                </w:p>
              </w:tc>
              <w:tc>
                <w:tcPr>
                  <w:tcW w:w="609" w:type="pct"/>
                  <w:vMerge w:val="continue"/>
                  <w:tcBorders>
                    <w:tl2br w:val="nil"/>
                    <w:tr2bl w:val="nil"/>
                  </w:tcBorders>
                  <w:noWrap w:val="0"/>
                  <w:vAlign w:val="center"/>
                </w:tcPr>
                <w:p w14:paraId="5BBA4B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66662E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539936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17</w:t>
                  </w:r>
                </w:p>
              </w:tc>
              <w:tc>
                <w:tcPr>
                  <w:tcW w:w="1039" w:type="pct"/>
                  <w:tcBorders>
                    <w:tl2br w:val="nil"/>
                    <w:tr2bl w:val="nil"/>
                  </w:tcBorders>
                  <w:noWrap w:val="0"/>
                  <w:vAlign w:val="center"/>
                </w:tcPr>
                <w:p w14:paraId="439850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医用推车</w:t>
                  </w:r>
                </w:p>
              </w:tc>
              <w:tc>
                <w:tcPr>
                  <w:tcW w:w="1212" w:type="pct"/>
                  <w:tcBorders>
                    <w:tl2br w:val="nil"/>
                    <w:tr2bl w:val="nil"/>
                  </w:tcBorders>
                  <w:noWrap w:val="0"/>
                  <w:vAlign w:val="center"/>
                </w:tcPr>
                <w:p w14:paraId="05F4F4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天奥YC-60-J-06017</w:t>
                  </w:r>
                </w:p>
              </w:tc>
              <w:tc>
                <w:tcPr>
                  <w:tcW w:w="488" w:type="pct"/>
                  <w:tcBorders>
                    <w:tl2br w:val="nil"/>
                    <w:tr2bl w:val="nil"/>
                  </w:tcBorders>
                  <w:noWrap w:val="0"/>
                  <w:vAlign w:val="center"/>
                </w:tcPr>
                <w:p w14:paraId="36B0F6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15</w:t>
                  </w:r>
                </w:p>
              </w:tc>
              <w:tc>
                <w:tcPr>
                  <w:tcW w:w="458" w:type="pct"/>
                  <w:tcBorders>
                    <w:tl2br w:val="nil"/>
                    <w:tr2bl w:val="nil"/>
                  </w:tcBorders>
                  <w:noWrap w:val="0"/>
                  <w:vAlign w:val="center"/>
                </w:tcPr>
                <w:p w14:paraId="091159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30</w:t>
                  </w:r>
                </w:p>
              </w:tc>
              <w:tc>
                <w:tcPr>
                  <w:tcW w:w="666" w:type="pct"/>
                  <w:tcBorders>
                    <w:tl2br w:val="nil"/>
                    <w:tr2bl w:val="nil"/>
                  </w:tcBorders>
                  <w:noWrap w:val="0"/>
                  <w:vAlign w:val="center"/>
                </w:tcPr>
                <w:p w14:paraId="3BC2EB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+15</w:t>
                  </w:r>
                </w:p>
              </w:tc>
              <w:tc>
                <w:tcPr>
                  <w:tcW w:w="609" w:type="pct"/>
                  <w:vMerge w:val="continue"/>
                  <w:tcBorders>
                    <w:tl2br w:val="nil"/>
                    <w:tr2bl w:val="nil"/>
                  </w:tcBorders>
                  <w:noWrap w:val="0"/>
                  <w:vAlign w:val="center"/>
                </w:tcPr>
                <w:p w14:paraId="71F69A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B8518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209FE8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18</w:t>
                  </w:r>
                </w:p>
              </w:tc>
              <w:tc>
                <w:tcPr>
                  <w:tcW w:w="1039" w:type="pct"/>
                  <w:tcBorders>
                    <w:tl2br w:val="nil"/>
                    <w:tr2bl w:val="nil"/>
                  </w:tcBorders>
                  <w:shd w:val="clear" w:color="auto" w:fill="auto"/>
                  <w:noWrap w:val="0"/>
                  <w:vAlign w:val="center"/>
                </w:tcPr>
                <w:p w14:paraId="1636B3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空气波压力循环治疗仪</w:t>
                  </w:r>
                </w:p>
              </w:tc>
              <w:tc>
                <w:tcPr>
                  <w:tcW w:w="1212" w:type="pct"/>
                  <w:tcBorders>
                    <w:tl2br w:val="nil"/>
                    <w:tr2bl w:val="nil"/>
                  </w:tcBorders>
                  <w:shd w:val="clear" w:color="auto" w:fill="auto"/>
                  <w:noWrap w:val="0"/>
                  <w:vAlign w:val="center"/>
                </w:tcPr>
                <w:p w14:paraId="3D9EB2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华伟HW-1602</w:t>
                  </w:r>
                </w:p>
              </w:tc>
              <w:tc>
                <w:tcPr>
                  <w:tcW w:w="488" w:type="pct"/>
                  <w:tcBorders>
                    <w:tl2br w:val="nil"/>
                    <w:tr2bl w:val="nil"/>
                  </w:tcBorders>
                  <w:shd w:val="clear" w:color="auto" w:fill="auto"/>
                  <w:noWrap w:val="0"/>
                  <w:vAlign w:val="center"/>
                </w:tcPr>
                <w:p w14:paraId="45CDE2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458" w:type="pct"/>
                  <w:tcBorders>
                    <w:tl2br w:val="nil"/>
                    <w:tr2bl w:val="nil"/>
                  </w:tcBorders>
                  <w:shd w:val="clear" w:color="auto" w:fill="auto"/>
                  <w:noWrap w:val="0"/>
                  <w:vAlign w:val="center"/>
                </w:tcPr>
                <w:p w14:paraId="4ADA5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66" w:type="pct"/>
                  <w:tcBorders>
                    <w:tl2br w:val="nil"/>
                    <w:tr2bl w:val="nil"/>
                  </w:tcBorders>
                  <w:shd w:val="clear" w:color="auto" w:fill="auto"/>
                  <w:noWrap w:val="0"/>
                  <w:vAlign w:val="center"/>
                </w:tcPr>
                <w:p w14:paraId="5D89A6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restart"/>
                  <w:tcBorders>
                    <w:tl2br w:val="nil"/>
                    <w:tr2bl w:val="nil"/>
                  </w:tcBorders>
                  <w:shd w:val="clear" w:color="auto" w:fill="auto"/>
                  <w:noWrap w:val="0"/>
                  <w:vAlign w:val="center"/>
                </w:tcPr>
                <w:p w14:paraId="43EAD0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9号楼1层</w:t>
                  </w:r>
                </w:p>
              </w:tc>
            </w:tr>
            <w:tr w14:paraId="6F2346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6" w:type="pct"/>
                  <w:tcBorders>
                    <w:tl2br w:val="nil"/>
                    <w:tr2bl w:val="nil"/>
                  </w:tcBorders>
                  <w:noWrap w:val="0"/>
                  <w:vAlign w:val="center"/>
                </w:tcPr>
                <w:p w14:paraId="5BA89A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19</w:t>
                  </w:r>
                </w:p>
              </w:tc>
              <w:tc>
                <w:tcPr>
                  <w:tcW w:w="1039" w:type="pct"/>
                  <w:tcBorders>
                    <w:tl2br w:val="nil"/>
                    <w:tr2bl w:val="nil"/>
                  </w:tcBorders>
                  <w:shd w:val="clear" w:color="auto" w:fill="auto"/>
                  <w:noWrap w:val="0"/>
                  <w:vAlign w:val="center"/>
                </w:tcPr>
                <w:p w14:paraId="4C3A28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神经和肌肉刺激理疗仪</w:t>
                  </w:r>
                </w:p>
              </w:tc>
              <w:tc>
                <w:tcPr>
                  <w:tcW w:w="1212" w:type="pct"/>
                  <w:tcBorders>
                    <w:tl2br w:val="nil"/>
                    <w:tr2bl w:val="nil"/>
                  </w:tcBorders>
                  <w:shd w:val="clear" w:color="auto" w:fill="auto"/>
                  <w:noWrap w:val="0"/>
                  <w:vAlign w:val="center"/>
                </w:tcPr>
                <w:p w14:paraId="697BCC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DJO 5900</w:t>
                  </w:r>
                </w:p>
              </w:tc>
              <w:tc>
                <w:tcPr>
                  <w:tcW w:w="488" w:type="pct"/>
                  <w:tcBorders>
                    <w:tl2br w:val="nil"/>
                    <w:tr2bl w:val="nil"/>
                  </w:tcBorders>
                  <w:shd w:val="clear" w:color="auto" w:fill="auto"/>
                  <w:noWrap w:val="0"/>
                  <w:vAlign w:val="center"/>
                </w:tcPr>
                <w:p w14:paraId="4664B8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458" w:type="pct"/>
                  <w:tcBorders>
                    <w:tl2br w:val="nil"/>
                    <w:tr2bl w:val="nil"/>
                  </w:tcBorders>
                  <w:shd w:val="clear" w:color="auto" w:fill="auto"/>
                  <w:noWrap w:val="0"/>
                  <w:vAlign w:val="center"/>
                </w:tcPr>
                <w:p w14:paraId="18F319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66" w:type="pct"/>
                  <w:tcBorders>
                    <w:tl2br w:val="nil"/>
                    <w:tr2bl w:val="nil"/>
                  </w:tcBorders>
                  <w:shd w:val="clear" w:color="auto" w:fill="auto"/>
                  <w:noWrap w:val="0"/>
                  <w:vAlign w:val="center"/>
                </w:tcPr>
                <w:p w14:paraId="4DC63C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noWrap w:val="0"/>
                  <w:vAlign w:val="center"/>
                </w:tcPr>
                <w:p w14:paraId="3D4E34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59934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17E0EA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20</w:t>
                  </w:r>
                </w:p>
              </w:tc>
              <w:tc>
                <w:tcPr>
                  <w:tcW w:w="0" w:type="auto"/>
                  <w:tcBorders>
                    <w:tl2br w:val="nil"/>
                    <w:tr2bl w:val="nil"/>
                  </w:tcBorders>
                  <w:shd w:val="clear" w:color="auto" w:fill="auto"/>
                  <w:vAlign w:val="center"/>
                </w:tcPr>
                <w:p w14:paraId="78D058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磁刺激仪</w:t>
                  </w:r>
                </w:p>
              </w:tc>
              <w:tc>
                <w:tcPr>
                  <w:tcW w:w="0" w:type="auto"/>
                  <w:tcBorders>
                    <w:tl2br w:val="nil"/>
                    <w:tr2bl w:val="nil"/>
                  </w:tcBorders>
                  <w:shd w:val="clear" w:color="auto" w:fill="auto"/>
                  <w:vAlign w:val="center"/>
                </w:tcPr>
                <w:p w14:paraId="4D742D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奥赛福OSF-6</w:t>
                  </w:r>
                </w:p>
              </w:tc>
              <w:tc>
                <w:tcPr>
                  <w:tcW w:w="0" w:type="auto"/>
                  <w:tcBorders>
                    <w:tl2br w:val="nil"/>
                    <w:tr2bl w:val="nil"/>
                  </w:tcBorders>
                  <w:shd w:val="clear" w:color="auto" w:fill="auto"/>
                  <w:vAlign w:val="center"/>
                </w:tcPr>
                <w:p w14:paraId="1C2F9F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591096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587B80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238806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5A1D1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3E142D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21</w:t>
                  </w:r>
                </w:p>
              </w:tc>
              <w:tc>
                <w:tcPr>
                  <w:tcW w:w="0" w:type="auto"/>
                  <w:tcBorders>
                    <w:tl2br w:val="nil"/>
                    <w:tr2bl w:val="nil"/>
                  </w:tcBorders>
                  <w:shd w:val="clear" w:color="auto" w:fill="auto"/>
                  <w:vAlign w:val="center"/>
                </w:tcPr>
                <w:p w14:paraId="666F53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病人监护仪</w:t>
                  </w:r>
                </w:p>
              </w:tc>
              <w:tc>
                <w:tcPr>
                  <w:tcW w:w="0" w:type="auto"/>
                  <w:tcBorders>
                    <w:tl2br w:val="nil"/>
                    <w:tr2bl w:val="nil"/>
                  </w:tcBorders>
                  <w:shd w:val="clear" w:color="auto" w:fill="auto"/>
                  <w:vAlign w:val="center"/>
                </w:tcPr>
                <w:p w14:paraId="11874F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迈瑞CPM 10C</w:t>
                  </w:r>
                </w:p>
              </w:tc>
              <w:tc>
                <w:tcPr>
                  <w:tcW w:w="0" w:type="auto"/>
                  <w:tcBorders>
                    <w:tl2br w:val="nil"/>
                    <w:tr2bl w:val="nil"/>
                  </w:tcBorders>
                  <w:shd w:val="clear" w:color="auto" w:fill="auto"/>
                  <w:vAlign w:val="center"/>
                </w:tcPr>
                <w:p w14:paraId="66D9FB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1C365F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2EA2B4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66F380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75BB62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75EC51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22</w:t>
                  </w:r>
                </w:p>
              </w:tc>
              <w:tc>
                <w:tcPr>
                  <w:tcW w:w="0" w:type="auto"/>
                  <w:tcBorders>
                    <w:tl2br w:val="nil"/>
                    <w:tr2bl w:val="nil"/>
                  </w:tcBorders>
                  <w:shd w:val="clear" w:color="auto" w:fill="auto"/>
                  <w:vAlign w:val="center"/>
                </w:tcPr>
                <w:p w14:paraId="18E2CE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疼痛光疗仪</w:t>
                  </w:r>
                </w:p>
              </w:tc>
              <w:tc>
                <w:tcPr>
                  <w:tcW w:w="0" w:type="auto"/>
                  <w:tcBorders>
                    <w:tl2br w:val="nil"/>
                    <w:tr2bl w:val="nil"/>
                  </w:tcBorders>
                  <w:shd w:val="clear" w:color="auto" w:fill="auto"/>
                  <w:vAlign w:val="center"/>
                </w:tcPr>
                <w:p w14:paraId="4C0FAB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翔宇XYG-500IB</w:t>
                  </w:r>
                </w:p>
              </w:tc>
              <w:tc>
                <w:tcPr>
                  <w:tcW w:w="0" w:type="auto"/>
                  <w:tcBorders>
                    <w:tl2br w:val="nil"/>
                    <w:tr2bl w:val="nil"/>
                  </w:tcBorders>
                  <w:shd w:val="clear" w:color="auto" w:fill="auto"/>
                  <w:vAlign w:val="center"/>
                </w:tcPr>
                <w:p w14:paraId="1940C7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4BDA51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615D52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09F1B7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7A22DE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484142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23</w:t>
                  </w:r>
                </w:p>
              </w:tc>
              <w:tc>
                <w:tcPr>
                  <w:tcW w:w="0" w:type="auto"/>
                  <w:tcBorders>
                    <w:tl2br w:val="nil"/>
                    <w:tr2bl w:val="nil"/>
                  </w:tcBorders>
                  <w:shd w:val="clear" w:color="auto" w:fill="auto"/>
                  <w:vAlign w:val="center"/>
                </w:tcPr>
                <w:p w14:paraId="303771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电脑中频治疗仪</w:t>
                  </w:r>
                </w:p>
              </w:tc>
              <w:tc>
                <w:tcPr>
                  <w:tcW w:w="0" w:type="auto"/>
                  <w:tcBorders>
                    <w:tl2br w:val="nil"/>
                    <w:tr2bl w:val="nil"/>
                  </w:tcBorders>
                  <w:shd w:val="clear" w:color="auto" w:fill="auto"/>
                  <w:vAlign w:val="center"/>
                </w:tcPr>
                <w:p w14:paraId="078A34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翔宇XYZP-ID</w:t>
                  </w:r>
                </w:p>
              </w:tc>
              <w:tc>
                <w:tcPr>
                  <w:tcW w:w="0" w:type="auto"/>
                  <w:tcBorders>
                    <w:tl2br w:val="nil"/>
                    <w:tr2bl w:val="nil"/>
                  </w:tcBorders>
                  <w:shd w:val="clear" w:color="auto" w:fill="auto"/>
                  <w:vAlign w:val="center"/>
                </w:tcPr>
                <w:p w14:paraId="1F2DC6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48D2FC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4D5E10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18171C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8481D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1EF407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24</w:t>
                  </w:r>
                </w:p>
              </w:tc>
              <w:tc>
                <w:tcPr>
                  <w:tcW w:w="0" w:type="auto"/>
                  <w:tcBorders>
                    <w:tl2br w:val="nil"/>
                    <w:tr2bl w:val="nil"/>
                  </w:tcBorders>
                  <w:shd w:val="clear" w:color="auto" w:fill="auto"/>
                  <w:vAlign w:val="center"/>
                </w:tcPr>
                <w:p w14:paraId="683D0C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四肢联动康复训练仪</w:t>
                  </w:r>
                </w:p>
              </w:tc>
              <w:tc>
                <w:tcPr>
                  <w:tcW w:w="0" w:type="auto"/>
                  <w:tcBorders>
                    <w:tl2br w:val="nil"/>
                    <w:tr2bl w:val="nil"/>
                  </w:tcBorders>
                  <w:shd w:val="clear" w:color="auto" w:fill="auto"/>
                  <w:vAlign w:val="center"/>
                </w:tcPr>
                <w:p w14:paraId="26C517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NNT-LE-E001A</w:t>
                  </w:r>
                </w:p>
              </w:tc>
              <w:tc>
                <w:tcPr>
                  <w:tcW w:w="0" w:type="auto"/>
                  <w:tcBorders>
                    <w:tl2br w:val="nil"/>
                    <w:tr2bl w:val="nil"/>
                  </w:tcBorders>
                  <w:shd w:val="clear" w:color="auto" w:fill="auto"/>
                  <w:vAlign w:val="center"/>
                </w:tcPr>
                <w:p w14:paraId="3E5CCF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3AD99C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1565C1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6789D7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57D35F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24FDFE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25</w:t>
                  </w:r>
                </w:p>
              </w:tc>
              <w:tc>
                <w:tcPr>
                  <w:tcW w:w="0" w:type="auto"/>
                  <w:tcBorders>
                    <w:tl2br w:val="nil"/>
                    <w:tr2bl w:val="nil"/>
                  </w:tcBorders>
                  <w:shd w:val="clear" w:color="auto" w:fill="auto"/>
                  <w:vAlign w:val="center"/>
                </w:tcPr>
                <w:p w14:paraId="49A844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半自动体外除颤仪</w:t>
                  </w:r>
                </w:p>
              </w:tc>
              <w:tc>
                <w:tcPr>
                  <w:tcW w:w="0" w:type="auto"/>
                  <w:tcBorders>
                    <w:tl2br w:val="nil"/>
                    <w:tr2bl w:val="nil"/>
                  </w:tcBorders>
                  <w:shd w:val="clear" w:color="auto" w:fill="auto"/>
                  <w:vAlign w:val="center"/>
                </w:tcPr>
                <w:p w14:paraId="537AF4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迈瑞BeneHeart S2</w:t>
                  </w:r>
                </w:p>
              </w:tc>
              <w:tc>
                <w:tcPr>
                  <w:tcW w:w="0" w:type="auto"/>
                  <w:tcBorders>
                    <w:tl2br w:val="nil"/>
                    <w:tr2bl w:val="nil"/>
                  </w:tcBorders>
                  <w:shd w:val="clear" w:color="auto" w:fill="auto"/>
                  <w:vAlign w:val="center"/>
                </w:tcPr>
                <w:p w14:paraId="097B3E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7E577E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2C3B93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0958F2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377D3B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65EB7F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26</w:t>
                  </w:r>
                </w:p>
              </w:tc>
              <w:tc>
                <w:tcPr>
                  <w:tcW w:w="0" w:type="auto"/>
                  <w:tcBorders>
                    <w:tl2br w:val="nil"/>
                    <w:tr2bl w:val="nil"/>
                  </w:tcBorders>
                  <w:shd w:val="clear" w:color="auto" w:fill="auto"/>
                  <w:vAlign w:val="center"/>
                </w:tcPr>
                <w:p w14:paraId="0863EF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全数字多道心电图机</w:t>
                  </w:r>
                </w:p>
              </w:tc>
              <w:tc>
                <w:tcPr>
                  <w:tcW w:w="0" w:type="auto"/>
                  <w:tcBorders>
                    <w:tl2br w:val="nil"/>
                    <w:tr2bl w:val="nil"/>
                  </w:tcBorders>
                  <w:shd w:val="clear" w:color="auto" w:fill="auto"/>
                  <w:vAlign w:val="center"/>
                </w:tcPr>
                <w:p w14:paraId="104761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迈瑞BeneHeart R70</w:t>
                  </w:r>
                </w:p>
              </w:tc>
              <w:tc>
                <w:tcPr>
                  <w:tcW w:w="0" w:type="auto"/>
                  <w:tcBorders>
                    <w:tl2br w:val="nil"/>
                    <w:tr2bl w:val="nil"/>
                  </w:tcBorders>
                  <w:shd w:val="clear" w:color="auto" w:fill="auto"/>
                  <w:vAlign w:val="center"/>
                </w:tcPr>
                <w:p w14:paraId="75FACD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62ADE1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0" w:type="auto"/>
                  <w:tcBorders>
                    <w:tl2br w:val="nil"/>
                    <w:tr2bl w:val="nil"/>
                  </w:tcBorders>
                  <w:shd w:val="clear" w:color="auto" w:fill="auto"/>
                  <w:vAlign w:val="center"/>
                </w:tcPr>
                <w:p w14:paraId="49C86C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w:t>
                  </w:r>
                </w:p>
              </w:tc>
              <w:tc>
                <w:tcPr>
                  <w:tcW w:w="609" w:type="pct"/>
                  <w:vMerge w:val="continue"/>
                  <w:tcBorders>
                    <w:tl2br w:val="nil"/>
                    <w:tr2bl w:val="nil"/>
                  </w:tcBorders>
                  <w:shd w:val="clear" w:color="auto" w:fill="auto"/>
                  <w:vAlign w:val="center"/>
                </w:tcPr>
                <w:p w14:paraId="556A50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1B8FD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455B35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27</w:t>
                  </w:r>
                </w:p>
              </w:tc>
              <w:tc>
                <w:tcPr>
                  <w:tcW w:w="0" w:type="auto"/>
                  <w:tcBorders>
                    <w:tl2br w:val="nil"/>
                    <w:tr2bl w:val="nil"/>
                  </w:tcBorders>
                  <w:shd w:val="clear" w:color="auto" w:fill="auto"/>
                  <w:vAlign w:val="center"/>
                </w:tcPr>
                <w:p w14:paraId="2084F7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体外除颤监护仪</w:t>
                  </w:r>
                </w:p>
              </w:tc>
              <w:tc>
                <w:tcPr>
                  <w:tcW w:w="0" w:type="auto"/>
                  <w:tcBorders>
                    <w:tl2br w:val="nil"/>
                    <w:tr2bl w:val="nil"/>
                  </w:tcBorders>
                  <w:shd w:val="clear" w:color="auto" w:fill="auto"/>
                  <w:vAlign w:val="center"/>
                </w:tcPr>
                <w:p w14:paraId="44B744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迈瑞BeneHeart D20C</w:t>
                  </w:r>
                </w:p>
              </w:tc>
              <w:tc>
                <w:tcPr>
                  <w:tcW w:w="0" w:type="auto"/>
                  <w:tcBorders>
                    <w:tl2br w:val="nil"/>
                    <w:tr2bl w:val="nil"/>
                  </w:tcBorders>
                  <w:shd w:val="clear" w:color="auto" w:fill="auto"/>
                  <w:vAlign w:val="center"/>
                </w:tcPr>
                <w:p w14:paraId="18AEF2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3B5A0A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4F3125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66B59B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C60F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144A67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28</w:t>
                  </w:r>
                </w:p>
              </w:tc>
              <w:tc>
                <w:tcPr>
                  <w:tcW w:w="0" w:type="auto"/>
                  <w:tcBorders>
                    <w:tl2br w:val="nil"/>
                    <w:tr2bl w:val="nil"/>
                  </w:tcBorders>
                  <w:shd w:val="clear" w:color="auto" w:fill="auto"/>
                  <w:vAlign w:val="center"/>
                </w:tcPr>
                <w:p w14:paraId="1CFBD4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上下肢运动康复训练机</w:t>
                  </w:r>
                </w:p>
              </w:tc>
              <w:tc>
                <w:tcPr>
                  <w:tcW w:w="0" w:type="auto"/>
                  <w:tcBorders>
                    <w:tl2br w:val="nil"/>
                    <w:tr2bl w:val="nil"/>
                  </w:tcBorders>
                  <w:shd w:val="clear" w:color="auto" w:fill="auto"/>
                  <w:vAlign w:val="center"/>
                </w:tcPr>
                <w:p w14:paraId="424314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人来RLMP401</w:t>
                  </w:r>
                </w:p>
              </w:tc>
              <w:tc>
                <w:tcPr>
                  <w:tcW w:w="0" w:type="auto"/>
                  <w:tcBorders>
                    <w:tl2br w:val="nil"/>
                    <w:tr2bl w:val="nil"/>
                  </w:tcBorders>
                  <w:shd w:val="clear" w:color="auto" w:fill="auto"/>
                  <w:vAlign w:val="center"/>
                </w:tcPr>
                <w:p w14:paraId="53DBED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6C7A08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42ABB9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3DA6C0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162E6A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390E39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29</w:t>
                  </w:r>
                </w:p>
              </w:tc>
              <w:tc>
                <w:tcPr>
                  <w:tcW w:w="0" w:type="auto"/>
                  <w:tcBorders>
                    <w:tl2br w:val="nil"/>
                    <w:tr2bl w:val="nil"/>
                  </w:tcBorders>
                  <w:shd w:val="clear" w:color="auto" w:fill="auto"/>
                  <w:vAlign w:val="center"/>
                </w:tcPr>
                <w:p w14:paraId="1727F0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电动多功能理疗床</w:t>
                  </w:r>
                </w:p>
              </w:tc>
              <w:tc>
                <w:tcPr>
                  <w:tcW w:w="0" w:type="auto"/>
                  <w:tcBorders>
                    <w:tl2br w:val="nil"/>
                    <w:tr2bl w:val="nil"/>
                  </w:tcBorders>
                  <w:shd w:val="clear" w:color="auto" w:fill="auto"/>
                  <w:vAlign w:val="center"/>
                </w:tcPr>
                <w:p w14:paraId="731DE5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黄山EL02</w:t>
                  </w:r>
                </w:p>
              </w:tc>
              <w:tc>
                <w:tcPr>
                  <w:tcW w:w="0" w:type="auto"/>
                  <w:tcBorders>
                    <w:tl2br w:val="nil"/>
                    <w:tr2bl w:val="nil"/>
                  </w:tcBorders>
                  <w:shd w:val="clear" w:color="auto" w:fill="auto"/>
                  <w:vAlign w:val="center"/>
                </w:tcPr>
                <w:p w14:paraId="5AD30A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0B856F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0" w:type="auto"/>
                  <w:tcBorders>
                    <w:tl2br w:val="nil"/>
                    <w:tr2bl w:val="nil"/>
                  </w:tcBorders>
                  <w:shd w:val="clear" w:color="auto" w:fill="auto"/>
                  <w:vAlign w:val="center"/>
                </w:tcPr>
                <w:p w14:paraId="1D02FB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+4</w:t>
                  </w:r>
                </w:p>
              </w:tc>
              <w:tc>
                <w:tcPr>
                  <w:tcW w:w="609" w:type="pct"/>
                  <w:vMerge w:val="continue"/>
                  <w:tcBorders>
                    <w:tl2br w:val="nil"/>
                    <w:tr2bl w:val="nil"/>
                  </w:tcBorders>
                  <w:shd w:val="clear" w:color="auto" w:fill="auto"/>
                  <w:vAlign w:val="center"/>
                </w:tcPr>
                <w:p w14:paraId="34B0F5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41E011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43A691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30</w:t>
                  </w:r>
                </w:p>
              </w:tc>
              <w:tc>
                <w:tcPr>
                  <w:tcW w:w="0" w:type="auto"/>
                  <w:tcBorders>
                    <w:tl2br w:val="nil"/>
                    <w:tr2bl w:val="nil"/>
                  </w:tcBorders>
                  <w:shd w:val="clear" w:color="auto" w:fill="auto"/>
                  <w:vAlign w:val="center"/>
                </w:tcPr>
                <w:p w14:paraId="7CF871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换药车</w:t>
                  </w:r>
                </w:p>
              </w:tc>
              <w:tc>
                <w:tcPr>
                  <w:tcW w:w="0" w:type="auto"/>
                  <w:tcBorders>
                    <w:tl2br w:val="nil"/>
                    <w:tr2bl w:val="nil"/>
                  </w:tcBorders>
                  <w:shd w:val="clear" w:color="auto" w:fill="auto"/>
                  <w:vAlign w:val="center"/>
                </w:tcPr>
                <w:p w14:paraId="74D626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JDEFY234/B</w:t>
                  </w:r>
                </w:p>
              </w:tc>
              <w:tc>
                <w:tcPr>
                  <w:tcW w:w="0" w:type="auto"/>
                  <w:tcBorders>
                    <w:tl2br w:val="nil"/>
                    <w:tr2bl w:val="nil"/>
                  </w:tcBorders>
                  <w:shd w:val="clear" w:color="auto" w:fill="auto"/>
                  <w:vAlign w:val="center"/>
                </w:tcPr>
                <w:p w14:paraId="48CA3B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48C3F5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577563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5CDFB9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1E246E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67B600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31</w:t>
                  </w:r>
                </w:p>
              </w:tc>
              <w:tc>
                <w:tcPr>
                  <w:tcW w:w="0" w:type="auto"/>
                  <w:tcBorders>
                    <w:tl2br w:val="nil"/>
                    <w:tr2bl w:val="nil"/>
                  </w:tcBorders>
                  <w:shd w:val="clear" w:color="auto" w:fill="auto"/>
                  <w:vAlign w:val="center"/>
                </w:tcPr>
                <w:p w14:paraId="7428C0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高频电刀</w:t>
                  </w:r>
                </w:p>
              </w:tc>
              <w:tc>
                <w:tcPr>
                  <w:tcW w:w="0" w:type="auto"/>
                  <w:tcBorders>
                    <w:tl2br w:val="nil"/>
                    <w:tr2bl w:val="nil"/>
                  </w:tcBorders>
                  <w:shd w:val="clear" w:color="auto" w:fill="auto"/>
                  <w:vAlign w:val="center"/>
                </w:tcPr>
                <w:p w14:paraId="6BCBA2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60-2450-220</w:t>
                  </w:r>
                </w:p>
              </w:tc>
              <w:tc>
                <w:tcPr>
                  <w:tcW w:w="0" w:type="auto"/>
                  <w:tcBorders>
                    <w:tl2br w:val="nil"/>
                    <w:tr2bl w:val="nil"/>
                  </w:tcBorders>
                  <w:shd w:val="clear" w:color="auto" w:fill="auto"/>
                  <w:vAlign w:val="center"/>
                </w:tcPr>
                <w:p w14:paraId="79E7F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299CA9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213007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65012F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3A229F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434895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32</w:t>
                  </w:r>
                </w:p>
              </w:tc>
              <w:tc>
                <w:tcPr>
                  <w:tcW w:w="0" w:type="auto"/>
                  <w:tcBorders>
                    <w:tl2br w:val="nil"/>
                    <w:tr2bl w:val="nil"/>
                  </w:tcBorders>
                  <w:shd w:val="clear" w:color="auto" w:fill="auto"/>
                  <w:vAlign w:val="center"/>
                </w:tcPr>
                <w:p w14:paraId="26ADCE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智能疼痛治疗仪</w:t>
                  </w:r>
                </w:p>
              </w:tc>
              <w:tc>
                <w:tcPr>
                  <w:tcW w:w="0" w:type="auto"/>
                  <w:tcBorders>
                    <w:tl2br w:val="nil"/>
                    <w:tr2bl w:val="nil"/>
                  </w:tcBorders>
                  <w:shd w:val="clear" w:color="auto" w:fill="auto"/>
                  <w:vAlign w:val="center"/>
                </w:tcPr>
                <w:p w14:paraId="1C3A98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XYG-500IB</w:t>
                  </w:r>
                </w:p>
              </w:tc>
              <w:tc>
                <w:tcPr>
                  <w:tcW w:w="0" w:type="auto"/>
                  <w:tcBorders>
                    <w:tl2br w:val="nil"/>
                    <w:tr2bl w:val="nil"/>
                  </w:tcBorders>
                  <w:shd w:val="clear" w:color="auto" w:fill="auto"/>
                  <w:vAlign w:val="center"/>
                </w:tcPr>
                <w:p w14:paraId="5A38CC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p>
              </w:tc>
              <w:tc>
                <w:tcPr>
                  <w:tcW w:w="0" w:type="auto"/>
                  <w:tcBorders>
                    <w:tl2br w:val="nil"/>
                    <w:tr2bl w:val="nil"/>
                  </w:tcBorders>
                  <w:shd w:val="clear" w:color="auto" w:fill="auto"/>
                  <w:vAlign w:val="center"/>
                </w:tcPr>
                <w:p w14:paraId="6E9CB0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0" w:type="auto"/>
                  <w:tcBorders>
                    <w:tl2br w:val="nil"/>
                    <w:tr2bl w:val="nil"/>
                  </w:tcBorders>
                  <w:shd w:val="clear" w:color="auto" w:fill="auto"/>
                  <w:vAlign w:val="center"/>
                </w:tcPr>
                <w:p w14:paraId="035859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+1</w:t>
                  </w:r>
                </w:p>
              </w:tc>
              <w:tc>
                <w:tcPr>
                  <w:tcW w:w="609" w:type="pct"/>
                  <w:vMerge w:val="continue"/>
                  <w:tcBorders>
                    <w:tl2br w:val="nil"/>
                    <w:tr2bl w:val="nil"/>
                  </w:tcBorders>
                  <w:shd w:val="clear" w:color="auto" w:fill="auto"/>
                  <w:vAlign w:val="center"/>
                </w:tcPr>
                <w:p w14:paraId="0B9DB2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bl>
          <w:p w14:paraId="231068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3、原辅材料清单</w:t>
            </w:r>
          </w:p>
          <w:p w14:paraId="4DC211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不设实验室，检验科常规血液、尿液等生化指标化验主要使用快速检测试剂盒，血液、血清和化学检验分析中使用试剂盒，试剂盒成套购入，试剂盒中的试剂直接放入仪器，一次性使用，检验后试剂盒集中收集作为医疗废物处置，不使用有毒有害及挥发性化学试剂。</w:t>
            </w:r>
          </w:p>
          <w:p w14:paraId="231C39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本项目原辅材料及用量见下表。</w:t>
            </w:r>
          </w:p>
          <w:p w14:paraId="78BA66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表2-</w:t>
            </w:r>
            <w:r>
              <w:rPr>
                <w:rFonts w:hint="eastAsia" w:cs="Times New Roman" w:eastAsiaTheme="minorEastAsia"/>
                <w:b/>
                <w:bCs/>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 xml:space="preserve"> 主要</w:t>
            </w:r>
            <w:r>
              <w:rPr>
                <w:rFonts w:hint="eastAsia" w:cs="Times New Roman" w:eastAsiaTheme="minorEastAsia"/>
                <w:b/>
                <w:bCs/>
                <w:color w:val="000000" w:themeColor="text1"/>
                <w:sz w:val="21"/>
                <w:szCs w:val="21"/>
                <w:highlight w:val="none"/>
                <w:lang w:val="en-US" w:eastAsia="zh-CN"/>
                <w14:textFill>
                  <w14:solidFill>
                    <w14:schemeClr w14:val="tx1"/>
                  </w14:solidFill>
                </w14:textFill>
              </w:rPr>
              <w:t>原辅材料及消耗</w:t>
            </w:r>
            <w:r>
              <w:rPr>
                <w:rFonts w:hint="default"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一览表</w:t>
            </w:r>
          </w:p>
          <w:tbl>
            <w:tblPr>
              <w:tblStyle w:val="16"/>
              <w:tblW w:w="850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786"/>
              <w:gridCol w:w="427"/>
              <w:gridCol w:w="846"/>
              <w:gridCol w:w="1342"/>
              <w:gridCol w:w="1342"/>
              <w:gridCol w:w="1233"/>
              <w:gridCol w:w="427"/>
              <w:gridCol w:w="428"/>
            </w:tblGrid>
            <w:tr w14:paraId="2F7FD9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5DC682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rPr>
                  </w:pPr>
                  <w:r>
                    <w:rPr>
                      <w:rFonts w:hint="default" w:ascii="Times New Roman" w:hAnsi="Times New Roman" w:eastAsia="宋体" w:cs="Times New Roman"/>
                      <w:b/>
                      <w:bCs/>
                      <w:i w:val="0"/>
                      <w:iCs w:val="0"/>
                      <w:color w:val="000000"/>
                      <w:kern w:val="0"/>
                      <w:sz w:val="21"/>
                      <w:szCs w:val="21"/>
                      <w:highlight w:val="none"/>
                      <w:u w:val="none"/>
                      <w:lang w:val="en-US" w:eastAsia="zh-CN" w:bidi="ar"/>
                    </w:rPr>
                    <w:t>原辅料名称</w:t>
                  </w:r>
                </w:p>
              </w:tc>
              <w:tc>
                <w:tcPr>
                  <w:tcW w:w="0" w:type="auto"/>
                  <w:tcBorders>
                    <w:tl2br w:val="nil"/>
                    <w:tr2bl w:val="nil"/>
                  </w:tcBorders>
                  <w:noWrap w:val="0"/>
                  <w:vAlign w:val="center"/>
                </w:tcPr>
                <w:p w14:paraId="3892EB0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规格</w:t>
                  </w:r>
                </w:p>
              </w:tc>
              <w:tc>
                <w:tcPr>
                  <w:tcW w:w="0" w:type="auto"/>
                  <w:tcBorders>
                    <w:tl2br w:val="nil"/>
                    <w:tr2bl w:val="nil"/>
                  </w:tcBorders>
                  <w:noWrap w:val="0"/>
                  <w:vAlign w:val="center"/>
                </w:tcPr>
                <w:p w14:paraId="105CB54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物态</w:t>
                  </w:r>
                </w:p>
              </w:tc>
              <w:tc>
                <w:tcPr>
                  <w:tcW w:w="0" w:type="auto"/>
                  <w:tcBorders>
                    <w:tl2br w:val="nil"/>
                    <w:tr2bl w:val="nil"/>
                  </w:tcBorders>
                  <w:noWrap w:val="0"/>
                  <w:vAlign w:val="center"/>
                </w:tcPr>
                <w:p w14:paraId="1470F9D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rPr>
                  </w:pPr>
                  <w:r>
                    <w:rPr>
                      <w:rFonts w:hint="default" w:ascii="Times New Roman" w:hAnsi="Times New Roman" w:eastAsia="宋体" w:cs="Times New Roman"/>
                      <w:b/>
                      <w:bCs/>
                      <w:i w:val="0"/>
                      <w:iCs w:val="0"/>
                      <w:color w:val="000000"/>
                      <w:kern w:val="0"/>
                      <w:sz w:val="21"/>
                      <w:szCs w:val="21"/>
                      <w:highlight w:val="none"/>
                      <w:u w:val="none"/>
                      <w:lang w:val="en-US" w:eastAsia="zh-CN" w:bidi="ar"/>
                    </w:rPr>
                    <w:t>扩建前用量</w:t>
                  </w:r>
                </w:p>
              </w:tc>
              <w:tc>
                <w:tcPr>
                  <w:tcW w:w="0" w:type="auto"/>
                  <w:tcBorders>
                    <w:tl2br w:val="nil"/>
                    <w:tr2bl w:val="nil"/>
                  </w:tcBorders>
                  <w:noWrap w:val="0"/>
                  <w:vAlign w:val="center"/>
                </w:tcPr>
                <w:p w14:paraId="1D4C808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扩建后用量</w:t>
                  </w:r>
                </w:p>
              </w:tc>
              <w:tc>
                <w:tcPr>
                  <w:tcW w:w="0" w:type="auto"/>
                  <w:tcBorders>
                    <w:tl2br w:val="nil"/>
                    <w:tr2bl w:val="nil"/>
                  </w:tcBorders>
                  <w:noWrap w:val="0"/>
                  <w:vAlign w:val="center"/>
                </w:tcPr>
                <w:p w14:paraId="5309A50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变化量</w:t>
                  </w:r>
                </w:p>
              </w:tc>
              <w:tc>
                <w:tcPr>
                  <w:tcW w:w="0" w:type="auto"/>
                  <w:tcBorders>
                    <w:tl2br w:val="nil"/>
                    <w:tr2bl w:val="nil"/>
                  </w:tcBorders>
                  <w:noWrap w:val="0"/>
                  <w:vAlign w:val="center"/>
                </w:tcPr>
                <w:p w14:paraId="36A5DF6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最大储存量</w:t>
                  </w:r>
                </w:p>
              </w:tc>
              <w:tc>
                <w:tcPr>
                  <w:tcW w:w="0" w:type="auto"/>
                  <w:tcBorders>
                    <w:tl2br w:val="nil"/>
                    <w:tr2bl w:val="nil"/>
                  </w:tcBorders>
                  <w:noWrap w:val="0"/>
                  <w:vAlign w:val="center"/>
                </w:tcPr>
                <w:p w14:paraId="5C61D3C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单位</w:t>
                  </w:r>
                </w:p>
              </w:tc>
              <w:tc>
                <w:tcPr>
                  <w:tcW w:w="0" w:type="auto"/>
                  <w:tcBorders>
                    <w:tl2br w:val="nil"/>
                    <w:tr2bl w:val="nil"/>
                  </w:tcBorders>
                  <w:noWrap w:val="0"/>
                  <w:vAlign w:val="center"/>
                </w:tcPr>
                <w:p w14:paraId="1A6F10E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val="0"/>
                      <w:sz w:val="21"/>
                      <w:szCs w:val="21"/>
                      <w:highlight w:val="no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存放位置</w:t>
                  </w:r>
                </w:p>
              </w:tc>
            </w:tr>
            <w:tr w14:paraId="040FF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2F829F4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医用帽子</w:t>
                  </w:r>
                </w:p>
              </w:tc>
              <w:tc>
                <w:tcPr>
                  <w:tcW w:w="0" w:type="auto"/>
                  <w:tcBorders>
                    <w:tl2br w:val="nil"/>
                    <w:tr2bl w:val="nil"/>
                  </w:tcBorders>
                  <w:noWrap w:val="0"/>
                  <w:vAlign w:val="center"/>
                </w:tcPr>
                <w:p w14:paraId="6295FBA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20个/包,250包/箱</w:t>
                  </w:r>
                </w:p>
              </w:tc>
              <w:tc>
                <w:tcPr>
                  <w:tcW w:w="0" w:type="auto"/>
                  <w:tcBorders>
                    <w:tl2br w:val="nil"/>
                    <w:tr2bl w:val="nil"/>
                  </w:tcBorders>
                  <w:noWrap w:val="0"/>
                  <w:vAlign w:val="center"/>
                </w:tcPr>
                <w:p w14:paraId="5D3217D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4BFD1BB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5460</w:t>
                  </w:r>
                </w:p>
              </w:tc>
              <w:tc>
                <w:tcPr>
                  <w:tcW w:w="1342" w:type="dxa"/>
                  <w:tcBorders>
                    <w:tl2br w:val="nil"/>
                    <w:tr2bl w:val="nil"/>
                  </w:tcBorders>
                  <w:noWrap w:val="0"/>
                  <w:vAlign w:val="center"/>
                </w:tcPr>
                <w:p w14:paraId="06AFAB4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8720</w:t>
                  </w:r>
                </w:p>
              </w:tc>
              <w:tc>
                <w:tcPr>
                  <w:tcW w:w="1342" w:type="dxa"/>
                  <w:tcBorders>
                    <w:tl2br w:val="nil"/>
                    <w:tr2bl w:val="nil"/>
                  </w:tcBorders>
                  <w:noWrap w:val="0"/>
                  <w:vAlign w:val="center"/>
                </w:tcPr>
                <w:p w14:paraId="3C2F31D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+3260</w:t>
                  </w:r>
                </w:p>
              </w:tc>
              <w:tc>
                <w:tcPr>
                  <w:tcW w:w="1233" w:type="dxa"/>
                  <w:tcBorders>
                    <w:tl2br w:val="nil"/>
                    <w:tr2bl w:val="nil"/>
                  </w:tcBorders>
                  <w:noWrap w:val="0"/>
                  <w:vAlign w:val="center"/>
                </w:tcPr>
                <w:p w14:paraId="56C2451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6000</w:t>
                  </w:r>
                </w:p>
              </w:tc>
              <w:tc>
                <w:tcPr>
                  <w:tcW w:w="0" w:type="auto"/>
                  <w:tcBorders>
                    <w:tl2br w:val="nil"/>
                    <w:tr2bl w:val="nil"/>
                  </w:tcBorders>
                  <w:noWrap w:val="0"/>
                  <w:vAlign w:val="center"/>
                </w:tcPr>
                <w:p w14:paraId="67E1989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0" w:type="auto"/>
                  <w:tcBorders>
                    <w:tl2br w:val="nil"/>
                    <w:tr2bl w:val="nil"/>
                  </w:tcBorders>
                  <w:noWrap w:val="0"/>
                  <w:vAlign w:val="center"/>
                </w:tcPr>
                <w:p w14:paraId="355E3AA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68D76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1AE83FC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医用口罩</w:t>
                  </w:r>
                </w:p>
              </w:tc>
              <w:tc>
                <w:tcPr>
                  <w:tcW w:w="0" w:type="auto"/>
                  <w:tcBorders>
                    <w:tl2br w:val="nil"/>
                    <w:tr2bl w:val="nil"/>
                  </w:tcBorders>
                  <w:noWrap w:val="0"/>
                  <w:vAlign w:val="center"/>
                </w:tcPr>
                <w:p w14:paraId="0AD99F7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17*17cm</w:t>
                  </w:r>
                </w:p>
              </w:tc>
              <w:tc>
                <w:tcPr>
                  <w:tcW w:w="0" w:type="auto"/>
                  <w:tcBorders>
                    <w:tl2br w:val="nil"/>
                    <w:tr2bl w:val="nil"/>
                  </w:tcBorders>
                  <w:noWrap w:val="0"/>
                  <w:vAlign w:val="center"/>
                </w:tcPr>
                <w:p w14:paraId="4DA77C2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2A38E84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132820</w:t>
                  </w:r>
                </w:p>
              </w:tc>
              <w:tc>
                <w:tcPr>
                  <w:tcW w:w="1342" w:type="dxa"/>
                  <w:tcBorders>
                    <w:tl2br w:val="nil"/>
                    <w:tr2bl w:val="nil"/>
                  </w:tcBorders>
                  <w:noWrap w:val="0"/>
                  <w:vAlign w:val="center"/>
                </w:tcPr>
                <w:p w14:paraId="5C3C6F5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168720</w:t>
                  </w:r>
                </w:p>
              </w:tc>
              <w:tc>
                <w:tcPr>
                  <w:tcW w:w="1342" w:type="dxa"/>
                  <w:tcBorders>
                    <w:tl2br w:val="nil"/>
                    <w:tr2bl w:val="nil"/>
                  </w:tcBorders>
                  <w:noWrap w:val="0"/>
                  <w:vAlign w:val="center"/>
                </w:tcPr>
                <w:p w14:paraId="4CAA8C3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+35900</w:t>
                  </w:r>
                </w:p>
              </w:tc>
              <w:tc>
                <w:tcPr>
                  <w:tcW w:w="1233" w:type="dxa"/>
                  <w:tcBorders>
                    <w:tl2br w:val="nil"/>
                    <w:tr2bl w:val="nil"/>
                  </w:tcBorders>
                  <w:noWrap w:val="0"/>
                  <w:vAlign w:val="center"/>
                </w:tcPr>
                <w:p w14:paraId="0210F03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24000</w:t>
                  </w:r>
                </w:p>
              </w:tc>
              <w:tc>
                <w:tcPr>
                  <w:tcW w:w="0" w:type="auto"/>
                  <w:tcBorders>
                    <w:tl2br w:val="nil"/>
                    <w:tr2bl w:val="nil"/>
                  </w:tcBorders>
                  <w:noWrap w:val="0"/>
                  <w:vAlign w:val="center"/>
                </w:tcPr>
                <w:p w14:paraId="403A5B5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0" w:type="auto"/>
                  <w:tcBorders>
                    <w:tl2br w:val="nil"/>
                    <w:tr2bl w:val="nil"/>
                  </w:tcBorders>
                  <w:noWrap w:val="0"/>
                  <w:vAlign w:val="center"/>
                </w:tcPr>
                <w:p w14:paraId="3EF3009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17EAFC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1EDB1DD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医用手套</w:t>
                  </w:r>
                </w:p>
              </w:tc>
              <w:tc>
                <w:tcPr>
                  <w:tcW w:w="0" w:type="auto"/>
                  <w:tcBorders>
                    <w:tl2br w:val="nil"/>
                    <w:tr2bl w:val="nil"/>
                  </w:tcBorders>
                  <w:noWrap w:val="0"/>
                  <w:vAlign w:val="center"/>
                </w:tcPr>
                <w:p w14:paraId="1EAC52B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50双/盒,20盒/箱M,乳胶,粉麻面</w:t>
                  </w:r>
                </w:p>
              </w:tc>
              <w:tc>
                <w:tcPr>
                  <w:tcW w:w="0" w:type="auto"/>
                  <w:tcBorders>
                    <w:tl2br w:val="nil"/>
                    <w:tr2bl w:val="nil"/>
                  </w:tcBorders>
                  <w:noWrap w:val="0"/>
                  <w:vAlign w:val="center"/>
                </w:tcPr>
                <w:p w14:paraId="284C5D3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28C0F7F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1770</w:t>
                  </w:r>
                </w:p>
              </w:tc>
              <w:tc>
                <w:tcPr>
                  <w:tcW w:w="1342" w:type="dxa"/>
                  <w:tcBorders>
                    <w:tl2br w:val="nil"/>
                    <w:tr2bl w:val="nil"/>
                  </w:tcBorders>
                  <w:noWrap w:val="0"/>
                  <w:vAlign w:val="center"/>
                </w:tcPr>
                <w:p w14:paraId="08DEFE4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2656</w:t>
                  </w:r>
                </w:p>
              </w:tc>
              <w:tc>
                <w:tcPr>
                  <w:tcW w:w="1342" w:type="dxa"/>
                  <w:tcBorders>
                    <w:tl2br w:val="nil"/>
                    <w:tr2bl w:val="nil"/>
                  </w:tcBorders>
                  <w:noWrap w:val="0"/>
                  <w:vAlign w:val="center"/>
                </w:tcPr>
                <w:p w14:paraId="153E9A4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+886</w:t>
                  </w:r>
                </w:p>
              </w:tc>
              <w:tc>
                <w:tcPr>
                  <w:tcW w:w="1233" w:type="dxa"/>
                  <w:tcBorders>
                    <w:tl2br w:val="nil"/>
                    <w:tr2bl w:val="nil"/>
                  </w:tcBorders>
                  <w:noWrap w:val="0"/>
                  <w:vAlign w:val="center"/>
                </w:tcPr>
                <w:p w14:paraId="1C95AF6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350</w:t>
                  </w:r>
                </w:p>
              </w:tc>
              <w:tc>
                <w:tcPr>
                  <w:tcW w:w="0" w:type="auto"/>
                  <w:tcBorders>
                    <w:tl2br w:val="nil"/>
                    <w:tr2bl w:val="nil"/>
                  </w:tcBorders>
                  <w:noWrap w:val="0"/>
                  <w:vAlign w:val="center"/>
                </w:tcPr>
                <w:p w14:paraId="58967E3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盒</w:t>
                  </w:r>
                </w:p>
              </w:tc>
              <w:tc>
                <w:tcPr>
                  <w:tcW w:w="0" w:type="auto"/>
                  <w:tcBorders>
                    <w:tl2br w:val="nil"/>
                    <w:tr2bl w:val="nil"/>
                  </w:tcBorders>
                  <w:noWrap w:val="0"/>
                  <w:vAlign w:val="center"/>
                </w:tcPr>
                <w:p w14:paraId="18C07B5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687EEA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3DEB17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医用棉签</w:t>
                  </w:r>
                </w:p>
              </w:tc>
              <w:tc>
                <w:tcPr>
                  <w:tcW w:w="0" w:type="auto"/>
                  <w:tcBorders>
                    <w:tl2br w:val="nil"/>
                    <w:tr2bl w:val="nil"/>
                  </w:tcBorders>
                  <w:noWrap w:val="0"/>
                  <w:vAlign w:val="center"/>
                </w:tcPr>
                <w:p w14:paraId="5113A91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4支/袋,240袋/包,50包/箱</w:t>
                  </w:r>
                </w:p>
              </w:tc>
              <w:tc>
                <w:tcPr>
                  <w:tcW w:w="0" w:type="auto"/>
                  <w:tcBorders>
                    <w:tl2br w:val="nil"/>
                    <w:tr2bl w:val="nil"/>
                  </w:tcBorders>
                  <w:noWrap w:val="0"/>
                  <w:vAlign w:val="center"/>
                </w:tcPr>
                <w:p w14:paraId="1B0F0E4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1D1FBFD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145440</w:t>
                  </w:r>
                </w:p>
              </w:tc>
              <w:tc>
                <w:tcPr>
                  <w:tcW w:w="1342" w:type="dxa"/>
                  <w:tcBorders>
                    <w:tl2br w:val="nil"/>
                    <w:tr2bl w:val="nil"/>
                  </w:tcBorders>
                  <w:noWrap w:val="0"/>
                  <w:vAlign w:val="center"/>
                </w:tcPr>
                <w:p w14:paraId="32CAB15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198680</w:t>
                  </w:r>
                </w:p>
              </w:tc>
              <w:tc>
                <w:tcPr>
                  <w:tcW w:w="1342" w:type="dxa"/>
                  <w:tcBorders>
                    <w:tl2br w:val="nil"/>
                    <w:tr2bl w:val="nil"/>
                  </w:tcBorders>
                  <w:noWrap w:val="0"/>
                  <w:vAlign w:val="center"/>
                </w:tcPr>
                <w:p w14:paraId="1DD3F06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+53240</w:t>
                  </w:r>
                </w:p>
              </w:tc>
              <w:tc>
                <w:tcPr>
                  <w:tcW w:w="1233" w:type="dxa"/>
                  <w:tcBorders>
                    <w:tl2br w:val="nil"/>
                    <w:tr2bl w:val="nil"/>
                  </w:tcBorders>
                  <w:noWrap w:val="0"/>
                  <w:vAlign w:val="center"/>
                </w:tcPr>
                <w:p w14:paraId="05E7EB0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69360</w:t>
                  </w:r>
                </w:p>
              </w:tc>
              <w:tc>
                <w:tcPr>
                  <w:tcW w:w="0" w:type="auto"/>
                  <w:tcBorders>
                    <w:tl2br w:val="nil"/>
                    <w:tr2bl w:val="nil"/>
                  </w:tcBorders>
                  <w:noWrap w:val="0"/>
                  <w:vAlign w:val="center"/>
                </w:tcPr>
                <w:p w14:paraId="7BAA52D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袋</w:t>
                  </w:r>
                </w:p>
              </w:tc>
              <w:tc>
                <w:tcPr>
                  <w:tcW w:w="0" w:type="auto"/>
                  <w:tcBorders>
                    <w:tl2br w:val="nil"/>
                    <w:tr2bl w:val="nil"/>
                  </w:tcBorders>
                  <w:noWrap w:val="0"/>
                  <w:vAlign w:val="center"/>
                </w:tcPr>
                <w:p w14:paraId="03D3F66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18E1A3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3078B52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酒精棉片</w:t>
                  </w:r>
                </w:p>
              </w:tc>
              <w:tc>
                <w:tcPr>
                  <w:tcW w:w="0" w:type="auto"/>
                  <w:tcBorders>
                    <w:tl2br w:val="nil"/>
                    <w:tr2bl w:val="nil"/>
                  </w:tcBorders>
                  <w:noWrap w:val="0"/>
                  <w:vAlign w:val="center"/>
                </w:tcPr>
                <w:p w14:paraId="719D47A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60mm*60mm，100片/盒，100盒/箱MP-02型</w:t>
                  </w:r>
                </w:p>
              </w:tc>
              <w:tc>
                <w:tcPr>
                  <w:tcW w:w="0" w:type="auto"/>
                  <w:tcBorders>
                    <w:tl2br w:val="nil"/>
                    <w:tr2bl w:val="nil"/>
                  </w:tcBorders>
                  <w:noWrap w:val="0"/>
                  <w:vAlign w:val="center"/>
                </w:tcPr>
                <w:p w14:paraId="35CF9F0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778EE92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1414</w:t>
                  </w:r>
                </w:p>
              </w:tc>
              <w:tc>
                <w:tcPr>
                  <w:tcW w:w="1342" w:type="dxa"/>
                  <w:tcBorders>
                    <w:tl2br w:val="nil"/>
                    <w:tr2bl w:val="nil"/>
                  </w:tcBorders>
                  <w:noWrap w:val="0"/>
                  <w:vAlign w:val="center"/>
                </w:tcPr>
                <w:p w14:paraId="29204F2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1934</w:t>
                  </w:r>
                </w:p>
              </w:tc>
              <w:tc>
                <w:tcPr>
                  <w:tcW w:w="1342" w:type="dxa"/>
                  <w:tcBorders>
                    <w:tl2br w:val="nil"/>
                    <w:tr2bl w:val="nil"/>
                  </w:tcBorders>
                  <w:noWrap w:val="0"/>
                  <w:vAlign w:val="center"/>
                </w:tcPr>
                <w:p w14:paraId="05241C3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+520</w:t>
                  </w:r>
                </w:p>
              </w:tc>
              <w:tc>
                <w:tcPr>
                  <w:tcW w:w="1233" w:type="dxa"/>
                  <w:tcBorders>
                    <w:tl2br w:val="nil"/>
                    <w:tr2bl w:val="nil"/>
                  </w:tcBorders>
                  <w:noWrap w:val="0"/>
                  <w:vAlign w:val="center"/>
                </w:tcPr>
                <w:p w14:paraId="7059E52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0" w:type="auto"/>
                  <w:tcBorders>
                    <w:tl2br w:val="nil"/>
                    <w:tr2bl w:val="nil"/>
                  </w:tcBorders>
                  <w:noWrap w:val="0"/>
                  <w:vAlign w:val="center"/>
                </w:tcPr>
                <w:p w14:paraId="16519D1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盒</w:t>
                  </w:r>
                </w:p>
              </w:tc>
              <w:tc>
                <w:tcPr>
                  <w:tcW w:w="0" w:type="auto"/>
                  <w:tcBorders>
                    <w:tl2br w:val="nil"/>
                    <w:tr2bl w:val="nil"/>
                  </w:tcBorders>
                  <w:noWrap w:val="0"/>
                  <w:vAlign w:val="center"/>
                </w:tcPr>
                <w:p w14:paraId="283D599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危化品库</w:t>
                  </w:r>
                </w:p>
              </w:tc>
            </w:tr>
            <w:tr w14:paraId="0103EC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99D86E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输液器</w:t>
                  </w:r>
                </w:p>
              </w:tc>
              <w:tc>
                <w:tcPr>
                  <w:tcW w:w="0" w:type="auto"/>
                  <w:tcBorders>
                    <w:tl2br w:val="nil"/>
                    <w:tr2bl w:val="nil"/>
                  </w:tcBorders>
                  <w:noWrap w:val="0"/>
                  <w:vAlign w:val="center"/>
                </w:tcPr>
                <w:p w14:paraId="43C13C3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6号针(PT-23B/5-13CZ),双插</w:t>
                  </w:r>
                </w:p>
              </w:tc>
              <w:tc>
                <w:tcPr>
                  <w:tcW w:w="0" w:type="auto"/>
                  <w:tcBorders>
                    <w:tl2br w:val="nil"/>
                    <w:tr2bl w:val="nil"/>
                  </w:tcBorders>
                  <w:noWrap w:val="0"/>
                  <w:vAlign w:val="center"/>
                </w:tcPr>
                <w:p w14:paraId="0149811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1F1154C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46050</w:t>
                  </w:r>
                </w:p>
              </w:tc>
              <w:tc>
                <w:tcPr>
                  <w:tcW w:w="1342" w:type="dxa"/>
                  <w:tcBorders>
                    <w:tl2br w:val="nil"/>
                    <w:tr2bl w:val="nil"/>
                  </w:tcBorders>
                  <w:noWrap w:val="0"/>
                  <w:vAlign w:val="center"/>
                </w:tcPr>
                <w:p w14:paraId="6B54908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69399</w:t>
                  </w:r>
                </w:p>
              </w:tc>
              <w:tc>
                <w:tcPr>
                  <w:tcW w:w="1342" w:type="dxa"/>
                  <w:tcBorders>
                    <w:tl2br w:val="nil"/>
                    <w:tr2bl w:val="nil"/>
                  </w:tcBorders>
                  <w:noWrap w:val="0"/>
                  <w:vAlign w:val="center"/>
                </w:tcPr>
                <w:p w14:paraId="79E319E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+23349</w:t>
                  </w:r>
                </w:p>
              </w:tc>
              <w:tc>
                <w:tcPr>
                  <w:tcW w:w="1233" w:type="dxa"/>
                  <w:tcBorders>
                    <w:tl2br w:val="nil"/>
                    <w:tr2bl w:val="nil"/>
                  </w:tcBorders>
                  <w:noWrap w:val="0"/>
                  <w:vAlign w:val="center"/>
                </w:tcPr>
                <w:p w14:paraId="0951FA8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7480</w:t>
                  </w:r>
                </w:p>
              </w:tc>
              <w:tc>
                <w:tcPr>
                  <w:tcW w:w="0" w:type="auto"/>
                  <w:tcBorders>
                    <w:tl2br w:val="nil"/>
                    <w:tr2bl w:val="nil"/>
                  </w:tcBorders>
                  <w:noWrap w:val="0"/>
                  <w:vAlign w:val="center"/>
                </w:tcPr>
                <w:p w14:paraId="04936FC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支</w:t>
                  </w:r>
                </w:p>
              </w:tc>
              <w:tc>
                <w:tcPr>
                  <w:tcW w:w="0" w:type="auto"/>
                  <w:tcBorders>
                    <w:tl2br w:val="nil"/>
                    <w:tr2bl w:val="nil"/>
                  </w:tcBorders>
                  <w:noWrap w:val="0"/>
                  <w:vAlign w:val="center"/>
                </w:tcPr>
                <w:p w14:paraId="06B32A6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220B0A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2B0E11E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注射器</w:t>
                  </w:r>
                </w:p>
              </w:tc>
              <w:tc>
                <w:tcPr>
                  <w:tcW w:w="0" w:type="auto"/>
                  <w:tcBorders>
                    <w:tl2br w:val="nil"/>
                    <w:tr2bl w:val="nil"/>
                  </w:tcBorders>
                  <w:noWrap w:val="0"/>
                  <w:vAlign w:val="center"/>
                </w:tcPr>
                <w:p w14:paraId="5970D89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10mL</w:t>
                  </w:r>
                </w:p>
              </w:tc>
              <w:tc>
                <w:tcPr>
                  <w:tcW w:w="0" w:type="auto"/>
                  <w:tcBorders>
                    <w:tl2br w:val="nil"/>
                    <w:tr2bl w:val="nil"/>
                  </w:tcBorders>
                  <w:noWrap w:val="0"/>
                  <w:vAlign w:val="center"/>
                </w:tcPr>
                <w:p w14:paraId="69C153A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0978E11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81600</w:t>
                  </w:r>
                </w:p>
              </w:tc>
              <w:tc>
                <w:tcPr>
                  <w:tcW w:w="1342" w:type="dxa"/>
                  <w:tcBorders>
                    <w:tl2br w:val="nil"/>
                    <w:tr2bl w:val="nil"/>
                  </w:tcBorders>
                  <w:noWrap w:val="0"/>
                  <w:vAlign w:val="center"/>
                </w:tcPr>
                <w:p w14:paraId="586E71F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124200</w:t>
                  </w:r>
                </w:p>
              </w:tc>
              <w:tc>
                <w:tcPr>
                  <w:tcW w:w="1342" w:type="dxa"/>
                  <w:tcBorders>
                    <w:tl2br w:val="nil"/>
                    <w:tr2bl w:val="nil"/>
                  </w:tcBorders>
                  <w:noWrap w:val="0"/>
                  <w:vAlign w:val="center"/>
                </w:tcPr>
                <w:p w14:paraId="3CF4678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+42600</w:t>
                  </w:r>
                </w:p>
              </w:tc>
              <w:tc>
                <w:tcPr>
                  <w:tcW w:w="1233" w:type="dxa"/>
                  <w:tcBorders>
                    <w:tl2br w:val="nil"/>
                    <w:tr2bl w:val="nil"/>
                  </w:tcBorders>
                  <w:noWrap w:val="0"/>
                  <w:vAlign w:val="center"/>
                </w:tcPr>
                <w:p w14:paraId="6802E83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23600</w:t>
                  </w:r>
                </w:p>
              </w:tc>
              <w:tc>
                <w:tcPr>
                  <w:tcW w:w="0" w:type="auto"/>
                  <w:tcBorders>
                    <w:tl2br w:val="nil"/>
                    <w:tr2bl w:val="nil"/>
                  </w:tcBorders>
                  <w:noWrap w:val="0"/>
                  <w:vAlign w:val="center"/>
                </w:tcPr>
                <w:p w14:paraId="6D069DE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支</w:t>
                  </w:r>
                </w:p>
              </w:tc>
              <w:tc>
                <w:tcPr>
                  <w:tcW w:w="0" w:type="auto"/>
                  <w:tcBorders>
                    <w:tl2br w:val="nil"/>
                    <w:tr2bl w:val="nil"/>
                  </w:tcBorders>
                  <w:noWrap w:val="0"/>
                  <w:vAlign w:val="center"/>
                </w:tcPr>
                <w:p w14:paraId="38D5F9E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4EC4F2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777779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医用输液贴</w:t>
                  </w:r>
                </w:p>
              </w:tc>
              <w:tc>
                <w:tcPr>
                  <w:tcW w:w="0" w:type="auto"/>
                  <w:tcBorders>
                    <w:tl2br w:val="nil"/>
                    <w:tr2bl w:val="nil"/>
                  </w:tcBorders>
                  <w:noWrap w:val="0"/>
                  <w:vAlign w:val="center"/>
                </w:tcPr>
                <w:p w14:paraId="1378871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70*35mm</w:t>
                  </w:r>
                </w:p>
              </w:tc>
              <w:tc>
                <w:tcPr>
                  <w:tcW w:w="0" w:type="auto"/>
                  <w:tcBorders>
                    <w:tl2br w:val="nil"/>
                    <w:tr2bl w:val="nil"/>
                  </w:tcBorders>
                  <w:noWrap w:val="0"/>
                  <w:vAlign w:val="center"/>
                </w:tcPr>
                <w:p w14:paraId="62D6BB7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4843F95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63</w:t>
                  </w:r>
                </w:p>
              </w:tc>
              <w:tc>
                <w:tcPr>
                  <w:tcW w:w="1342" w:type="dxa"/>
                  <w:tcBorders>
                    <w:tl2br w:val="nil"/>
                    <w:tr2bl w:val="nil"/>
                  </w:tcBorders>
                  <w:noWrap w:val="0"/>
                  <w:vAlign w:val="center"/>
                </w:tcPr>
                <w:p w14:paraId="5217136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1342" w:type="dxa"/>
                  <w:tcBorders>
                    <w:tl2br w:val="nil"/>
                    <w:tr2bl w:val="nil"/>
                  </w:tcBorders>
                  <w:noWrap w:val="0"/>
                  <w:vAlign w:val="center"/>
                </w:tcPr>
                <w:p w14:paraId="3DD1010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233" w:type="dxa"/>
                  <w:tcBorders>
                    <w:tl2br w:val="nil"/>
                    <w:tr2bl w:val="nil"/>
                  </w:tcBorders>
                  <w:noWrap w:val="0"/>
                  <w:vAlign w:val="center"/>
                </w:tcPr>
                <w:p w14:paraId="089D7CA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0" w:type="auto"/>
                  <w:tcBorders>
                    <w:tl2br w:val="nil"/>
                    <w:tr2bl w:val="nil"/>
                  </w:tcBorders>
                  <w:noWrap w:val="0"/>
                  <w:vAlign w:val="center"/>
                </w:tcPr>
                <w:p w14:paraId="340DDFD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盒</w:t>
                  </w:r>
                </w:p>
              </w:tc>
              <w:tc>
                <w:tcPr>
                  <w:tcW w:w="0" w:type="auto"/>
                  <w:tcBorders>
                    <w:tl2br w:val="nil"/>
                    <w:tr2bl w:val="nil"/>
                  </w:tcBorders>
                  <w:noWrap w:val="0"/>
                  <w:vAlign w:val="center"/>
                </w:tcPr>
                <w:p w14:paraId="1CEA2A1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647CB5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A4373D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医用纱布</w:t>
                  </w:r>
                </w:p>
              </w:tc>
              <w:tc>
                <w:tcPr>
                  <w:tcW w:w="0" w:type="auto"/>
                  <w:tcBorders>
                    <w:tl2br w:val="nil"/>
                    <w:tr2bl w:val="nil"/>
                  </w:tcBorders>
                  <w:noWrap w:val="0"/>
                  <w:vAlign w:val="center"/>
                </w:tcPr>
                <w:p w14:paraId="778293A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I型8CM*8CM*8P,5片/袋,40袋/包,30包/箱</w:t>
                  </w:r>
                </w:p>
              </w:tc>
              <w:tc>
                <w:tcPr>
                  <w:tcW w:w="0" w:type="auto"/>
                  <w:tcBorders>
                    <w:tl2br w:val="nil"/>
                    <w:tr2bl w:val="nil"/>
                  </w:tcBorders>
                  <w:noWrap w:val="0"/>
                  <w:vAlign w:val="center"/>
                </w:tcPr>
                <w:p w14:paraId="0F22B54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77E1F51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40680</w:t>
                  </w:r>
                </w:p>
              </w:tc>
              <w:tc>
                <w:tcPr>
                  <w:tcW w:w="1342" w:type="dxa"/>
                  <w:tcBorders>
                    <w:tl2br w:val="nil"/>
                    <w:tr2bl w:val="nil"/>
                  </w:tcBorders>
                  <w:noWrap w:val="0"/>
                  <w:vAlign w:val="center"/>
                </w:tcPr>
                <w:p w14:paraId="1238A91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56080</w:t>
                  </w:r>
                </w:p>
              </w:tc>
              <w:tc>
                <w:tcPr>
                  <w:tcW w:w="1342" w:type="dxa"/>
                  <w:tcBorders>
                    <w:tl2br w:val="nil"/>
                    <w:tr2bl w:val="nil"/>
                  </w:tcBorders>
                  <w:noWrap w:val="0"/>
                  <w:vAlign w:val="center"/>
                </w:tcPr>
                <w:p w14:paraId="0EE68F2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+15400</w:t>
                  </w:r>
                </w:p>
              </w:tc>
              <w:tc>
                <w:tcPr>
                  <w:tcW w:w="1233" w:type="dxa"/>
                  <w:tcBorders>
                    <w:tl2br w:val="nil"/>
                    <w:tr2bl w:val="nil"/>
                  </w:tcBorders>
                  <w:noWrap w:val="0"/>
                  <w:vAlign w:val="center"/>
                </w:tcPr>
                <w:p w14:paraId="129DDBC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42000</w:t>
                  </w:r>
                </w:p>
              </w:tc>
              <w:tc>
                <w:tcPr>
                  <w:tcW w:w="0" w:type="auto"/>
                  <w:tcBorders>
                    <w:tl2br w:val="nil"/>
                    <w:tr2bl w:val="nil"/>
                  </w:tcBorders>
                  <w:noWrap w:val="0"/>
                  <w:vAlign w:val="center"/>
                </w:tcPr>
                <w:p w14:paraId="553CB72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片</w:t>
                  </w:r>
                </w:p>
              </w:tc>
              <w:tc>
                <w:tcPr>
                  <w:tcW w:w="0" w:type="auto"/>
                  <w:tcBorders>
                    <w:tl2br w:val="nil"/>
                    <w:tr2bl w:val="nil"/>
                  </w:tcBorders>
                  <w:noWrap w:val="0"/>
                  <w:vAlign w:val="center"/>
                </w:tcPr>
                <w:p w14:paraId="1580B9C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797127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9455FB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洗手液</w:t>
                  </w:r>
                </w:p>
              </w:tc>
              <w:tc>
                <w:tcPr>
                  <w:tcW w:w="0" w:type="auto"/>
                  <w:tcBorders>
                    <w:tl2br w:val="nil"/>
                    <w:tr2bl w:val="nil"/>
                  </w:tcBorders>
                  <w:noWrap w:val="0"/>
                  <w:vAlign w:val="center"/>
                </w:tcPr>
                <w:p w14:paraId="7C6F42A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0" w:type="auto"/>
                  <w:tcBorders>
                    <w:tl2br w:val="nil"/>
                    <w:tr2bl w:val="nil"/>
                  </w:tcBorders>
                  <w:noWrap w:val="0"/>
                  <w:vAlign w:val="center"/>
                </w:tcPr>
                <w:p w14:paraId="2C711F4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0" w:type="auto"/>
                  <w:tcBorders>
                    <w:tl2br w:val="nil"/>
                    <w:tr2bl w:val="nil"/>
                  </w:tcBorders>
                  <w:noWrap w:val="0"/>
                  <w:vAlign w:val="center"/>
                </w:tcPr>
                <w:p w14:paraId="69307C4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1325</w:t>
                  </w:r>
                </w:p>
              </w:tc>
              <w:tc>
                <w:tcPr>
                  <w:tcW w:w="1342" w:type="dxa"/>
                  <w:tcBorders>
                    <w:tl2br w:val="nil"/>
                    <w:tr2bl w:val="nil"/>
                  </w:tcBorders>
                  <w:noWrap w:val="0"/>
                  <w:vAlign w:val="center"/>
                </w:tcPr>
                <w:p w14:paraId="0DFC6FA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2015</w:t>
                  </w:r>
                </w:p>
              </w:tc>
              <w:tc>
                <w:tcPr>
                  <w:tcW w:w="1342" w:type="dxa"/>
                  <w:tcBorders>
                    <w:tl2br w:val="nil"/>
                    <w:tr2bl w:val="nil"/>
                  </w:tcBorders>
                  <w:noWrap w:val="0"/>
                  <w:vAlign w:val="center"/>
                </w:tcPr>
                <w:p w14:paraId="3C8DC28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+690</w:t>
                  </w:r>
                </w:p>
              </w:tc>
              <w:tc>
                <w:tcPr>
                  <w:tcW w:w="1233" w:type="dxa"/>
                  <w:tcBorders>
                    <w:tl2br w:val="nil"/>
                    <w:tr2bl w:val="nil"/>
                  </w:tcBorders>
                  <w:noWrap w:val="0"/>
                  <w:vAlign w:val="center"/>
                </w:tcPr>
                <w:p w14:paraId="1D6763A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288</w:t>
                  </w:r>
                </w:p>
              </w:tc>
              <w:tc>
                <w:tcPr>
                  <w:tcW w:w="0" w:type="auto"/>
                  <w:tcBorders>
                    <w:tl2br w:val="nil"/>
                    <w:tr2bl w:val="nil"/>
                  </w:tcBorders>
                  <w:noWrap w:val="0"/>
                  <w:vAlign w:val="center"/>
                </w:tcPr>
                <w:p w14:paraId="20F23CA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瓶</w:t>
                  </w:r>
                </w:p>
              </w:tc>
              <w:tc>
                <w:tcPr>
                  <w:tcW w:w="0" w:type="auto"/>
                  <w:tcBorders>
                    <w:tl2br w:val="nil"/>
                    <w:tr2bl w:val="nil"/>
                  </w:tcBorders>
                  <w:noWrap w:val="0"/>
                  <w:vAlign w:val="center"/>
                </w:tcPr>
                <w:p w14:paraId="17DE979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114812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B43828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84消毒液</w:t>
                  </w:r>
                </w:p>
              </w:tc>
              <w:tc>
                <w:tcPr>
                  <w:tcW w:w="0" w:type="auto"/>
                  <w:tcBorders>
                    <w:tl2br w:val="nil"/>
                    <w:tr2bl w:val="nil"/>
                  </w:tcBorders>
                  <w:noWrap w:val="0"/>
                  <w:vAlign w:val="center"/>
                </w:tcPr>
                <w:p w14:paraId="6340506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3.785升*4</w:t>
                  </w:r>
                </w:p>
              </w:tc>
              <w:tc>
                <w:tcPr>
                  <w:tcW w:w="0" w:type="auto"/>
                  <w:tcBorders>
                    <w:tl2br w:val="nil"/>
                    <w:tr2bl w:val="nil"/>
                  </w:tcBorders>
                  <w:noWrap w:val="0"/>
                  <w:vAlign w:val="center"/>
                </w:tcPr>
                <w:p w14:paraId="310C0EB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0" w:type="auto"/>
                  <w:tcBorders>
                    <w:tl2br w:val="nil"/>
                    <w:tr2bl w:val="nil"/>
                  </w:tcBorders>
                  <w:noWrap w:val="0"/>
                  <w:vAlign w:val="center"/>
                </w:tcPr>
                <w:p w14:paraId="131F63B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30</w:t>
                  </w:r>
                </w:p>
              </w:tc>
              <w:tc>
                <w:tcPr>
                  <w:tcW w:w="1342" w:type="dxa"/>
                  <w:tcBorders>
                    <w:tl2br w:val="nil"/>
                    <w:tr2bl w:val="nil"/>
                  </w:tcBorders>
                  <w:noWrap w:val="0"/>
                  <w:vAlign w:val="center"/>
                </w:tcPr>
                <w:p w14:paraId="6CEC8DE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342" w:type="dxa"/>
                  <w:tcBorders>
                    <w:tl2br w:val="nil"/>
                    <w:tr2bl w:val="nil"/>
                  </w:tcBorders>
                  <w:noWrap w:val="0"/>
                  <w:vAlign w:val="center"/>
                </w:tcPr>
                <w:p w14:paraId="520EB3B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233" w:type="dxa"/>
                  <w:tcBorders>
                    <w:tl2br w:val="nil"/>
                    <w:tr2bl w:val="nil"/>
                  </w:tcBorders>
                  <w:noWrap w:val="0"/>
                  <w:vAlign w:val="center"/>
                </w:tcPr>
                <w:p w14:paraId="147C11F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l2br w:val="nil"/>
                    <w:tr2bl w:val="nil"/>
                  </w:tcBorders>
                  <w:noWrap w:val="0"/>
                  <w:vAlign w:val="center"/>
                </w:tcPr>
                <w:p w14:paraId="3049D31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箱</w:t>
                  </w:r>
                </w:p>
              </w:tc>
              <w:tc>
                <w:tcPr>
                  <w:tcW w:w="0" w:type="auto"/>
                  <w:tcBorders>
                    <w:tl2br w:val="nil"/>
                    <w:tr2bl w:val="nil"/>
                  </w:tcBorders>
                  <w:noWrap w:val="0"/>
                  <w:vAlign w:val="center"/>
                </w:tcPr>
                <w:p w14:paraId="0445906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eastAsia" w:cs="Times New Roman"/>
                      <w:i w:val="0"/>
                      <w:iCs w:val="0"/>
                      <w:color w:val="000000"/>
                      <w:kern w:val="0"/>
                      <w:sz w:val="21"/>
                      <w:szCs w:val="21"/>
                      <w:highlight w:val="none"/>
                      <w:u w:val="none"/>
                      <w:lang w:val="en-US" w:eastAsia="zh-CN" w:bidi="ar"/>
                    </w:rPr>
                    <w:t>医疗库</w:t>
                  </w:r>
                </w:p>
              </w:tc>
            </w:tr>
            <w:tr w14:paraId="221F96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368B28B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碘伏消毒液</w:t>
                  </w:r>
                </w:p>
              </w:tc>
              <w:tc>
                <w:tcPr>
                  <w:tcW w:w="0" w:type="auto"/>
                  <w:tcBorders>
                    <w:tl2br w:val="nil"/>
                    <w:tr2bl w:val="nil"/>
                  </w:tcBorders>
                  <w:noWrap w:val="0"/>
                  <w:vAlign w:val="center"/>
                </w:tcPr>
                <w:p w14:paraId="77D7C41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0" w:type="auto"/>
                  <w:tcBorders>
                    <w:tl2br w:val="nil"/>
                    <w:tr2bl w:val="nil"/>
                  </w:tcBorders>
                  <w:noWrap w:val="0"/>
                  <w:vAlign w:val="center"/>
                </w:tcPr>
                <w:p w14:paraId="3B827E9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0" w:type="auto"/>
                  <w:tcBorders>
                    <w:tl2br w:val="nil"/>
                    <w:tr2bl w:val="nil"/>
                  </w:tcBorders>
                  <w:noWrap w:val="0"/>
                  <w:vAlign w:val="center"/>
                </w:tcPr>
                <w:p w14:paraId="44017BD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434</w:t>
                  </w:r>
                </w:p>
              </w:tc>
              <w:tc>
                <w:tcPr>
                  <w:tcW w:w="1342" w:type="dxa"/>
                  <w:tcBorders>
                    <w:tl2br w:val="nil"/>
                    <w:tr2bl w:val="nil"/>
                  </w:tcBorders>
                  <w:noWrap w:val="0"/>
                  <w:vAlign w:val="center"/>
                </w:tcPr>
                <w:p w14:paraId="39FCD38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518</w:t>
                  </w:r>
                </w:p>
              </w:tc>
              <w:tc>
                <w:tcPr>
                  <w:tcW w:w="1342" w:type="dxa"/>
                  <w:tcBorders>
                    <w:tl2br w:val="nil"/>
                    <w:tr2bl w:val="nil"/>
                  </w:tcBorders>
                  <w:noWrap w:val="0"/>
                  <w:vAlign w:val="center"/>
                </w:tcPr>
                <w:p w14:paraId="7C7AD02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1233" w:type="dxa"/>
                  <w:tcBorders>
                    <w:tl2br w:val="nil"/>
                    <w:tr2bl w:val="nil"/>
                  </w:tcBorders>
                  <w:noWrap w:val="0"/>
                  <w:vAlign w:val="center"/>
                </w:tcPr>
                <w:p w14:paraId="012A875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l2br w:val="nil"/>
                    <w:tr2bl w:val="nil"/>
                  </w:tcBorders>
                  <w:noWrap w:val="0"/>
                  <w:vAlign w:val="center"/>
                </w:tcPr>
                <w:p w14:paraId="215B753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瓶</w:t>
                  </w:r>
                </w:p>
              </w:tc>
              <w:tc>
                <w:tcPr>
                  <w:tcW w:w="0" w:type="auto"/>
                  <w:tcBorders>
                    <w:tl2br w:val="nil"/>
                    <w:tr2bl w:val="nil"/>
                  </w:tcBorders>
                  <w:noWrap w:val="0"/>
                  <w:vAlign w:val="center"/>
                </w:tcPr>
                <w:p w14:paraId="42E4D44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6380B2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07BA5E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利器盒</w:t>
                  </w:r>
                </w:p>
              </w:tc>
              <w:tc>
                <w:tcPr>
                  <w:tcW w:w="0" w:type="auto"/>
                  <w:tcBorders>
                    <w:tl2br w:val="nil"/>
                    <w:tr2bl w:val="nil"/>
                  </w:tcBorders>
                  <w:noWrap w:val="0"/>
                  <w:vAlign w:val="center"/>
                </w:tcPr>
                <w:p w14:paraId="3C8AC04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0" w:type="auto"/>
                  <w:tcBorders>
                    <w:tl2br w:val="nil"/>
                    <w:tr2bl w:val="nil"/>
                  </w:tcBorders>
                  <w:noWrap w:val="0"/>
                  <w:vAlign w:val="center"/>
                </w:tcPr>
                <w:p w14:paraId="6B58CE2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53D58C6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1948</w:t>
                  </w:r>
                </w:p>
              </w:tc>
              <w:tc>
                <w:tcPr>
                  <w:tcW w:w="1342" w:type="dxa"/>
                  <w:tcBorders>
                    <w:tl2br w:val="nil"/>
                    <w:tr2bl w:val="nil"/>
                  </w:tcBorders>
                  <w:noWrap w:val="0"/>
                  <w:vAlign w:val="center"/>
                </w:tcPr>
                <w:p w14:paraId="3208884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3095</w:t>
                  </w:r>
                </w:p>
              </w:tc>
              <w:tc>
                <w:tcPr>
                  <w:tcW w:w="1342" w:type="dxa"/>
                  <w:tcBorders>
                    <w:tl2br w:val="nil"/>
                    <w:tr2bl w:val="nil"/>
                  </w:tcBorders>
                  <w:noWrap w:val="0"/>
                  <w:vAlign w:val="center"/>
                </w:tcPr>
                <w:p w14:paraId="1E64488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+1147</w:t>
                  </w:r>
                </w:p>
              </w:tc>
              <w:tc>
                <w:tcPr>
                  <w:tcW w:w="1233" w:type="dxa"/>
                  <w:tcBorders>
                    <w:tl2br w:val="nil"/>
                    <w:tr2bl w:val="nil"/>
                  </w:tcBorders>
                  <w:noWrap w:val="0"/>
                  <w:vAlign w:val="center"/>
                </w:tcPr>
                <w:p w14:paraId="5F470F5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0" w:type="auto"/>
                  <w:tcBorders>
                    <w:tl2br w:val="nil"/>
                    <w:tr2bl w:val="nil"/>
                  </w:tcBorders>
                  <w:noWrap w:val="0"/>
                  <w:vAlign w:val="center"/>
                </w:tcPr>
                <w:p w14:paraId="2B1B67D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个</w:t>
                  </w:r>
                </w:p>
              </w:tc>
              <w:tc>
                <w:tcPr>
                  <w:tcW w:w="0" w:type="auto"/>
                  <w:tcBorders>
                    <w:tl2br w:val="nil"/>
                    <w:tr2bl w:val="nil"/>
                  </w:tcBorders>
                  <w:noWrap w:val="0"/>
                  <w:vAlign w:val="center"/>
                </w:tcPr>
                <w:p w14:paraId="6C81F1E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38EC36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1D1C94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止血带</w:t>
                  </w:r>
                </w:p>
              </w:tc>
              <w:tc>
                <w:tcPr>
                  <w:tcW w:w="0" w:type="auto"/>
                  <w:tcBorders>
                    <w:tl2br w:val="nil"/>
                    <w:tr2bl w:val="nil"/>
                  </w:tcBorders>
                  <w:noWrap w:val="0"/>
                  <w:vAlign w:val="center"/>
                </w:tcPr>
                <w:p w14:paraId="04D0D7E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点连式,(BGD-1)</w:t>
                  </w:r>
                </w:p>
              </w:tc>
              <w:tc>
                <w:tcPr>
                  <w:tcW w:w="0" w:type="auto"/>
                  <w:tcBorders>
                    <w:tl2br w:val="nil"/>
                    <w:tr2bl w:val="nil"/>
                  </w:tcBorders>
                  <w:noWrap w:val="0"/>
                  <w:vAlign w:val="center"/>
                </w:tcPr>
                <w:p w14:paraId="6E927FE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3892DFF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1228</w:t>
                  </w:r>
                </w:p>
              </w:tc>
              <w:tc>
                <w:tcPr>
                  <w:tcW w:w="1342" w:type="dxa"/>
                  <w:tcBorders>
                    <w:tl2br w:val="nil"/>
                    <w:tr2bl w:val="nil"/>
                  </w:tcBorders>
                  <w:noWrap w:val="0"/>
                  <w:vAlign w:val="center"/>
                </w:tcPr>
                <w:p w14:paraId="47CC6CE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1400</w:t>
                  </w:r>
                </w:p>
              </w:tc>
              <w:tc>
                <w:tcPr>
                  <w:tcW w:w="1342" w:type="dxa"/>
                  <w:tcBorders>
                    <w:tl2br w:val="nil"/>
                    <w:tr2bl w:val="nil"/>
                  </w:tcBorders>
                  <w:noWrap w:val="0"/>
                  <w:vAlign w:val="center"/>
                </w:tcPr>
                <w:p w14:paraId="0D07E53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+172</w:t>
                  </w:r>
                </w:p>
              </w:tc>
              <w:tc>
                <w:tcPr>
                  <w:tcW w:w="1233" w:type="dxa"/>
                  <w:tcBorders>
                    <w:tl2br w:val="nil"/>
                    <w:tr2bl w:val="nil"/>
                  </w:tcBorders>
                  <w:noWrap w:val="0"/>
                  <w:vAlign w:val="center"/>
                </w:tcPr>
                <w:p w14:paraId="536EC80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0" w:type="auto"/>
                  <w:tcBorders>
                    <w:tl2br w:val="nil"/>
                    <w:tr2bl w:val="nil"/>
                  </w:tcBorders>
                  <w:noWrap w:val="0"/>
                  <w:vAlign w:val="center"/>
                </w:tcPr>
                <w:p w14:paraId="108A738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盒</w:t>
                  </w:r>
                </w:p>
              </w:tc>
              <w:tc>
                <w:tcPr>
                  <w:tcW w:w="0" w:type="auto"/>
                  <w:tcBorders>
                    <w:tl2br w:val="nil"/>
                    <w:tr2bl w:val="nil"/>
                  </w:tcBorders>
                  <w:noWrap w:val="0"/>
                  <w:vAlign w:val="center"/>
                </w:tcPr>
                <w:p w14:paraId="4A145FC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290209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0414E1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75%酒精</w:t>
                  </w:r>
                </w:p>
              </w:tc>
              <w:tc>
                <w:tcPr>
                  <w:tcW w:w="0" w:type="auto"/>
                  <w:tcBorders>
                    <w:tl2br w:val="nil"/>
                    <w:tr2bl w:val="nil"/>
                  </w:tcBorders>
                  <w:noWrap w:val="0"/>
                  <w:vAlign w:val="center"/>
                </w:tcPr>
                <w:p w14:paraId="160BBC5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60mL75%</w:t>
                  </w:r>
                </w:p>
              </w:tc>
              <w:tc>
                <w:tcPr>
                  <w:tcW w:w="0" w:type="auto"/>
                  <w:tcBorders>
                    <w:tl2br w:val="nil"/>
                    <w:tr2bl w:val="nil"/>
                  </w:tcBorders>
                  <w:noWrap w:val="0"/>
                  <w:vAlign w:val="center"/>
                </w:tcPr>
                <w:p w14:paraId="40D88D2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0" w:type="auto"/>
                  <w:tcBorders>
                    <w:tl2br w:val="nil"/>
                    <w:tr2bl w:val="nil"/>
                  </w:tcBorders>
                  <w:noWrap w:val="0"/>
                  <w:vAlign w:val="center"/>
                </w:tcPr>
                <w:p w14:paraId="781B503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1073</w:t>
                  </w:r>
                </w:p>
              </w:tc>
              <w:tc>
                <w:tcPr>
                  <w:tcW w:w="1342" w:type="dxa"/>
                  <w:tcBorders>
                    <w:tl2br w:val="nil"/>
                    <w:tr2bl w:val="nil"/>
                  </w:tcBorders>
                  <w:noWrap w:val="0"/>
                  <w:vAlign w:val="center"/>
                </w:tcPr>
                <w:p w14:paraId="66EA260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1634</w:t>
                  </w:r>
                </w:p>
              </w:tc>
              <w:tc>
                <w:tcPr>
                  <w:tcW w:w="1342" w:type="dxa"/>
                  <w:tcBorders>
                    <w:tl2br w:val="nil"/>
                    <w:tr2bl w:val="nil"/>
                  </w:tcBorders>
                  <w:noWrap w:val="0"/>
                  <w:vAlign w:val="center"/>
                </w:tcPr>
                <w:p w14:paraId="024C86C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+561</w:t>
                  </w:r>
                </w:p>
              </w:tc>
              <w:tc>
                <w:tcPr>
                  <w:tcW w:w="1233" w:type="dxa"/>
                  <w:tcBorders>
                    <w:tl2br w:val="nil"/>
                    <w:tr2bl w:val="nil"/>
                  </w:tcBorders>
                  <w:noWrap w:val="0"/>
                  <w:vAlign w:val="center"/>
                </w:tcPr>
                <w:p w14:paraId="2713BBC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0" w:type="auto"/>
                  <w:tcBorders>
                    <w:tl2br w:val="nil"/>
                    <w:tr2bl w:val="nil"/>
                  </w:tcBorders>
                  <w:noWrap w:val="0"/>
                  <w:vAlign w:val="center"/>
                </w:tcPr>
                <w:p w14:paraId="581FC7F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瓶</w:t>
                  </w:r>
                </w:p>
              </w:tc>
              <w:tc>
                <w:tcPr>
                  <w:tcW w:w="0" w:type="auto"/>
                  <w:tcBorders>
                    <w:tl2br w:val="nil"/>
                    <w:tr2bl w:val="nil"/>
                  </w:tcBorders>
                  <w:noWrap w:val="0"/>
                  <w:vAlign w:val="center"/>
                </w:tcPr>
                <w:p w14:paraId="31F6F5E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危化品库</w:t>
                  </w:r>
                </w:p>
              </w:tc>
            </w:tr>
            <w:tr w14:paraId="1BD5D6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BBCFAC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次氯酸钠溶液</w:t>
                  </w:r>
                </w:p>
              </w:tc>
              <w:tc>
                <w:tcPr>
                  <w:tcW w:w="0" w:type="auto"/>
                  <w:tcBorders>
                    <w:tl2br w:val="nil"/>
                    <w:tr2bl w:val="nil"/>
                  </w:tcBorders>
                  <w:noWrap w:val="0"/>
                  <w:vAlign w:val="center"/>
                </w:tcPr>
                <w:p w14:paraId="295CE03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w:t>
                  </w:r>
                </w:p>
              </w:tc>
              <w:tc>
                <w:tcPr>
                  <w:tcW w:w="0" w:type="auto"/>
                  <w:tcBorders>
                    <w:tl2br w:val="nil"/>
                    <w:tr2bl w:val="nil"/>
                  </w:tcBorders>
                  <w:noWrap w:val="0"/>
                  <w:vAlign w:val="center"/>
                </w:tcPr>
                <w:p w14:paraId="6C971D3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液体</w:t>
                  </w:r>
                </w:p>
              </w:tc>
              <w:tc>
                <w:tcPr>
                  <w:tcW w:w="0" w:type="auto"/>
                  <w:tcBorders>
                    <w:tl2br w:val="nil"/>
                    <w:tr2bl w:val="nil"/>
                  </w:tcBorders>
                  <w:noWrap w:val="0"/>
                  <w:vAlign w:val="center"/>
                </w:tcPr>
                <w:p w14:paraId="00F54C6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10</w:t>
                  </w:r>
                </w:p>
              </w:tc>
              <w:tc>
                <w:tcPr>
                  <w:tcW w:w="1342" w:type="dxa"/>
                  <w:tcBorders>
                    <w:tl2br w:val="nil"/>
                    <w:tr2bl w:val="nil"/>
                  </w:tcBorders>
                  <w:noWrap w:val="0"/>
                  <w:vAlign w:val="center"/>
                </w:tcPr>
                <w:p w14:paraId="3EEC58F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1342" w:type="dxa"/>
                  <w:tcBorders>
                    <w:tl2br w:val="nil"/>
                    <w:tr2bl w:val="nil"/>
                  </w:tcBorders>
                  <w:noWrap w:val="0"/>
                  <w:vAlign w:val="center"/>
                </w:tcPr>
                <w:p w14:paraId="0027058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w:t>
                  </w:r>
                </w:p>
              </w:tc>
              <w:tc>
                <w:tcPr>
                  <w:tcW w:w="1233" w:type="dxa"/>
                  <w:tcBorders>
                    <w:tl2br w:val="nil"/>
                    <w:tr2bl w:val="nil"/>
                  </w:tcBorders>
                  <w:noWrap w:val="0"/>
                  <w:vAlign w:val="center"/>
                </w:tcPr>
                <w:p w14:paraId="44D8D60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c>
                <w:tcPr>
                  <w:tcW w:w="0" w:type="auto"/>
                  <w:tcBorders>
                    <w:tl2br w:val="nil"/>
                    <w:tr2bl w:val="nil"/>
                  </w:tcBorders>
                  <w:noWrap w:val="0"/>
                  <w:vAlign w:val="center"/>
                </w:tcPr>
                <w:p w14:paraId="332C04C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吨</w:t>
                  </w:r>
                </w:p>
              </w:tc>
              <w:tc>
                <w:tcPr>
                  <w:tcW w:w="428" w:type="dxa"/>
                  <w:tcBorders>
                    <w:tl2br w:val="nil"/>
                    <w:tr2bl w:val="nil"/>
                  </w:tcBorders>
                  <w:noWrap w:val="0"/>
                  <w:vAlign w:val="center"/>
                </w:tcPr>
                <w:p w14:paraId="0379B521">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09C33A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3825BCA8">
                  <w:pPr>
                    <w:keepNext w:val="0"/>
                    <w:keepLines w:val="0"/>
                    <w:widowControl/>
                    <w:suppressLineNumbers w:val="0"/>
                    <w:spacing w:before="0" w:beforeAutospacing="0" w:after="0" w:afterAutospacing="0" w:line="240" w:lineRule="auto"/>
                    <w:ind w:left="0" w:right="0" w:firstLine="0" w:firstLineChars="0"/>
                    <w:jc w:val="center"/>
                    <w:textAlignment w:val="bottom"/>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PAC</w:t>
                  </w:r>
                </w:p>
              </w:tc>
              <w:tc>
                <w:tcPr>
                  <w:tcW w:w="0" w:type="auto"/>
                  <w:tcBorders>
                    <w:tl2br w:val="nil"/>
                    <w:tr2bl w:val="nil"/>
                  </w:tcBorders>
                  <w:noWrap w:val="0"/>
                  <w:vAlign w:val="center"/>
                </w:tcPr>
                <w:p w14:paraId="4583E03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7DA1FFF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6CCD34C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0.3</w:t>
                  </w:r>
                </w:p>
              </w:tc>
              <w:tc>
                <w:tcPr>
                  <w:tcW w:w="1342" w:type="dxa"/>
                  <w:tcBorders>
                    <w:tl2br w:val="nil"/>
                    <w:tr2bl w:val="nil"/>
                  </w:tcBorders>
                  <w:noWrap w:val="0"/>
                  <w:vAlign w:val="center"/>
                </w:tcPr>
                <w:p w14:paraId="4F4C50A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p>
              </w:tc>
              <w:tc>
                <w:tcPr>
                  <w:tcW w:w="1342" w:type="dxa"/>
                  <w:tcBorders>
                    <w:tl2br w:val="nil"/>
                    <w:tr2bl w:val="nil"/>
                  </w:tcBorders>
                  <w:noWrap w:val="0"/>
                  <w:vAlign w:val="center"/>
                </w:tcPr>
                <w:p w14:paraId="55BE483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+0.7</w:t>
                  </w:r>
                </w:p>
              </w:tc>
              <w:tc>
                <w:tcPr>
                  <w:tcW w:w="1233" w:type="dxa"/>
                  <w:tcBorders>
                    <w:tl2br w:val="nil"/>
                    <w:tr2bl w:val="nil"/>
                  </w:tcBorders>
                  <w:noWrap w:val="0"/>
                  <w:vAlign w:val="center"/>
                </w:tcPr>
                <w:p w14:paraId="088E734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0" w:type="auto"/>
                  <w:tcBorders>
                    <w:tl2br w:val="nil"/>
                    <w:tr2bl w:val="nil"/>
                  </w:tcBorders>
                  <w:noWrap w:val="0"/>
                  <w:vAlign w:val="center"/>
                </w:tcPr>
                <w:p w14:paraId="32B2CB4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吨</w:t>
                  </w:r>
                </w:p>
              </w:tc>
              <w:tc>
                <w:tcPr>
                  <w:tcW w:w="428" w:type="dxa"/>
                  <w:tcBorders>
                    <w:tl2br w:val="nil"/>
                    <w:tr2bl w:val="nil"/>
                  </w:tcBorders>
                  <w:noWrap w:val="0"/>
                  <w:vAlign w:val="center"/>
                </w:tcPr>
                <w:p w14:paraId="4644091B">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675D33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E27F576">
                  <w:pPr>
                    <w:keepNext w:val="0"/>
                    <w:keepLines w:val="0"/>
                    <w:widowControl/>
                    <w:suppressLineNumbers w:val="0"/>
                    <w:spacing w:before="0" w:beforeAutospacing="0" w:after="0" w:afterAutospacing="0" w:line="240" w:lineRule="auto"/>
                    <w:ind w:left="0" w:right="0" w:firstLine="0" w:firstLineChars="0"/>
                    <w:jc w:val="center"/>
                    <w:textAlignment w:val="bottom"/>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PAM</w:t>
                  </w:r>
                </w:p>
              </w:tc>
              <w:tc>
                <w:tcPr>
                  <w:tcW w:w="0" w:type="auto"/>
                  <w:tcBorders>
                    <w:tl2br w:val="nil"/>
                    <w:tr2bl w:val="nil"/>
                  </w:tcBorders>
                  <w:noWrap w:val="0"/>
                  <w:vAlign w:val="center"/>
                </w:tcPr>
                <w:p w14:paraId="2295B3D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7D8819B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3B8A82BA">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0.1</w:t>
                  </w:r>
                </w:p>
              </w:tc>
              <w:tc>
                <w:tcPr>
                  <w:tcW w:w="1342" w:type="dxa"/>
                  <w:tcBorders>
                    <w:tl2br w:val="nil"/>
                    <w:tr2bl w:val="nil"/>
                  </w:tcBorders>
                  <w:noWrap w:val="0"/>
                  <w:vAlign w:val="center"/>
                </w:tcPr>
                <w:p w14:paraId="0A82785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w:t>
                  </w:r>
                </w:p>
              </w:tc>
              <w:tc>
                <w:tcPr>
                  <w:tcW w:w="1342" w:type="dxa"/>
                  <w:tcBorders>
                    <w:tl2br w:val="nil"/>
                    <w:tr2bl w:val="nil"/>
                  </w:tcBorders>
                  <w:noWrap w:val="0"/>
                  <w:vAlign w:val="center"/>
                </w:tcPr>
                <w:p w14:paraId="0B5ADD5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w:t>
                  </w:r>
                </w:p>
              </w:tc>
              <w:tc>
                <w:tcPr>
                  <w:tcW w:w="1233" w:type="dxa"/>
                  <w:tcBorders>
                    <w:tl2br w:val="nil"/>
                    <w:tr2bl w:val="nil"/>
                  </w:tcBorders>
                  <w:noWrap w:val="0"/>
                  <w:vAlign w:val="center"/>
                </w:tcPr>
                <w:p w14:paraId="41658C8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0" w:type="auto"/>
                  <w:tcBorders>
                    <w:tl2br w:val="nil"/>
                    <w:tr2bl w:val="nil"/>
                  </w:tcBorders>
                  <w:noWrap w:val="0"/>
                  <w:vAlign w:val="center"/>
                </w:tcPr>
                <w:p w14:paraId="166E600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吨</w:t>
                  </w:r>
                </w:p>
              </w:tc>
              <w:tc>
                <w:tcPr>
                  <w:tcW w:w="428" w:type="dxa"/>
                  <w:tcBorders>
                    <w:tl2br w:val="nil"/>
                    <w:tr2bl w:val="nil"/>
                  </w:tcBorders>
                  <w:noWrap w:val="0"/>
                  <w:vAlign w:val="center"/>
                </w:tcPr>
                <w:p w14:paraId="5F778043">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556194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1763D98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二氧化氯</w:t>
                  </w:r>
                </w:p>
              </w:tc>
              <w:tc>
                <w:tcPr>
                  <w:tcW w:w="0" w:type="auto"/>
                  <w:tcBorders>
                    <w:tl2br w:val="nil"/>
                    <w:tr2bl w:val="nil"/>
                  </w:tcBorders>
                  <w:noWrap w:val="0"/>
                  <w:vAlign w:val="center"/>
                </w:tcPr>
                <w:p w14:paraId="030F208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47278621">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7779F10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w:t>
                  </w:r>
                </w:p>
              </w:tc>
              <w:tc>
                <w:tcPr>
                  <w:tcW w:w="1342" w:type="dxa"/>
                  <w:tcBorders>
                    <w:tl2br w:val="nil"/>
                    <w:tr2bl w:val="nil"/>
                  </w:tcBorders>
                  <w:noWrap w:val="0"/>
                  <w:vAlign w:val="center"/>
                </w:tcPr>
                <w:p w14:paraId="77E3E0E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0.0336</w:t>
                  </w:r>
                </w:p>
              </w:tc>
              <w:tc>
                <w:tcPr>
                  <w:tcW w:w="1342" w:type="dxa"/>
                  <w:tcBorders>
                    <w:tl2br w:val="nil"/>
                    <w:tr2bl w:val="nil"/>
                  </w:tcBorders>
                  <w:noWrap w:val="0"/>
                  <w:vAlign w:val="center"/>
                </w:tcPr>
                <w:p w14:paraId="5122F8A6">
                  <w:pPr>
                    <w:keepNext w:val="0"/>
                    <w:keepLines w:val="0"/>
                    <w:widowControl/>
                    <w:suppressLineNumbers w:val="0"/>
                    <w:spacing w:before="0" w:beforeAutospacing="0" w:after="0" w:afterAutospacing="0" w:line="240" w:lineRule="auto"/>
                    <w:ind w:left="0" w:right="0" w:firstLine="0" w:firstLineChars="0"/>
                    <w:jc w:val="center"/>
                    <w:textAlignment w:val="bottom"/>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+0.0336</w:t>
                  </w:r>
                </w:p>
              </w:tc>
              <w:tc>
                <w:tcPr>
                  <w:tcW w:w="1233" w:type="dxa"/>
                  <w:tcBorders>
                    <w:tl2br w:val="nil"/>
                    <w:tr2bl w:val="nil"/>
                  </w:tcBorders>
                  <w:noWrap w:val="0"/>
                  <w:vAlign w:val="center"/>
                </w:tcPr>
                <w:p w14:paraId="5770353F">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w:t>
                  </w:r>
                </w:p>
              </w:tc>
              <w:tc>
                <w:tcPr>
                  <w:tcW w:w="0" w:type="auto"/>
                  <w:tcBorders>
                    <w:tl2br w:val="nil"/>
                    <w:tr2bl w:val="nil"/>
                  </w:tcBorders>
                  <w:shd w:val="clear" w:color="auto" w:fill="auto"/>
                  <w:noWrap w:val="0"/>
                  <w:vAlign w:val="center"/>
                </w:tcPr>
                <w:p w14:paraId="5C9EC4A1">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eastAsia"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吨</w:t>
                  </w:r>
                </w:p>
              </w:tc>
              <w:tc>
                <w:tcPr>
                  <w:tcW w:w="428" w:type="dxa"/>
                  <w:tcBorders>
                    <w:tl2br w:val="nil"/>
                    <w:tr2bl w:val="nil"/>
                  </w:tcBorders>
                  <w:shd w:val="clear" w:color="auto" w:fill="auto"/>
                  <w:noWrap w:val="0"/>
                  <w:vAlign w:val="center"/>
                </w:tcPr>
                <w:p w14:paraId="5B8D5079">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医疗库</w:t>
                  </w:r>
                </w:p>
              </w:tc>
            </w:tr>
            <w:tr w14:paraId="1D38F7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AC4B0D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注射液</w:t>
                  </w:r>
                </w:p>
              </w:tc>
              <w:tc>
                <w:tcPr>
                  <w:tcW w:w="0" w:type="auto"/>
                  <w:tcBorders>
                    <w:tl2br w:val="nil"/>
                    <w:tr2bl w:val="nil"/>
                  </w:tcBorders>
                  <w:noWrap w:val="0"/>
                  <w:vAlign w:val="center"/>
                </w:tcPr>
                <w:p w14:paraId="37DFC43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6F0AEB7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液体</w:t>
                  </w:r>
                </w:p>
              </w:tc>
              <w:tc>
                <w:tcPr>
                  <w:tcW w:w="0" w:type="auto"/>
                  <w:tcBorders>
                    <w:tl2br w:val="nil"/>
                    <w:tr2bl w:val="nil"/>
                  </w:tcBorders>
                  <w:noWrap w:val="0"/>
                  <w:vAlign w:val="center"/>
                </w:tcPr>
                <w:p w14:paraId="7069237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1300</w:t>
                  </w:r>
                </w:p>
              </w:tc>
              <w:tc>
                <w:tcPr>
                  <w:tcW w:w="1342" w:type="dxa"/>
                  <w:tcBorders>
                    <w:tl2br w:val="nil"/>
                    <w:tr2bl w:val="nil"/>
                  </w:tcBorders>
                  <w:noWrap w:val="0"/>
                  <w:vAlign w:val="center"/>
                </w:tcPr>
                <w:p w14:paraId="5726D0A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3000</w:t>
                  </w:r>
                </w:p>
              </w:tc>
              <w:tc>
                <w:tcPr>
                  <w:tcW w:w="1342" w:type="dxa"/>
                  <w:tcBorders>
                    <w:tl2br w:val="nil"/>
                    <w:tr2bl w:val="nil"/>
                  </w:tcBorders>
                  <w:noWrap w:val="0"/>
                  <w:vAlign w:val="center"/>
                </w:tcPr>
                <w:p w14:paraId="5B5EC55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+1700</w:t>
                  </w:r>
                </w:p>
              </w:tc>
              <w:tc>
                <w:tcPr>
                  <w:tcW w:w="1233" w:type="dxa"/>
                  <w:tcBorders>
                    <w:tl2br w:val="nil"/>
                    <w:tr2bl w:val="nil"/>
                  </w:tcBorders>
                  <w:noWrap w:val="0"/>
                  <w:vAlign w:val="center"/>
                </w:tcPr>
                <w:p w14:paraId="00C5EDA1">
                  <w:pPr>
                    <w:keepNext w:val="0"/>
                    <w:keepLines w:val="0"/>
                    <w:widowControl/>
                    <w:suppressLineNumbers w:val="0"/>
                    <w:spacing w:before="0" w:beforeAutospacing="0" w:after="0" w:afterAutospacing="0" w:line="240" w:lineRule="auto"/>
                    <w:ind w:left="0" w:right="0" w:firstLine="0" w:firstLineChars="0"/>
                    <w:jc w:val="center"/>
                    <w:textAlignment w:val="bottom"/>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300</w:t>
                  </w:r>
                </w:p>
              </w:tc>
              <w:tc>
                <w:tcPr>
                  <w:tcW w:w="0" w:type="auto"/>
                  <w:tcBorders>
                    <w:tl2br w:val="nil"/>
                    <w:tr2bl w:val="nil"/>
                  </w:tcBorders>
                  <w:noWrap w:val="0"/>
                  <w:vAlign w:val="center"/>
                </w:tcPr>
                <w:p w14:paraId="6C110A3B">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支</w:t>
                  </w:r>
                </w:p>
              </w:tc>
              <w:tc>
                <w:tcPr>
                  <w:tcW w:w="428" w:type="dxa"/>
                  <w:tcBorders>
                    <w:tl2br w:val="nil"/>
                    <w:tr2bl w:val="nil"/>
                  </w:tcBorders>
                  <w:noWrap w:val="0"/>
                  <w:vAlign w:val="center"/>
                </w:tcPr>
                <w:p w14:paraId="0B5A563B">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药房</w:t>
                  </w:r>
                </w:p>
              </w:tc>
            </w:tr>
            <w:tr w14:paraId="46DA23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E72912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中成药</w:t>
                  </w:r>
                </w:p>
              </w:tc>
              <w:tc>
                <w:tcPr>
                  <w:tcW w:w="0" w:type="auto"/>
                  <w:tcBorders>
                    <w:tl2br w:val="nil"/>
                    <w:tr2bl w:val="nil"/>
                  </w:tcBorders>
                  <w:noWrap w:val="0"/>
                  <w:vAlign w:val="center"/>
                </w:tcPr>
                <w:p w14:paraId="685D1940">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6D6CC09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255A7032">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800</w:t>
                  </w:r>
                </w:p>
              </w:tc>
              <w:tc>
                <w:tcPr>
                  <w:tcW w:w="1342" w:type="dxa"/>
                  <w:tcBorders>
                    <w:tl2br w:val="nil"/>
                    <w:tr2bl w:val="nil"/>
                  </w:tcBorders>
                  <w:noWrap w:val="0"/>
                  <w:vAlign w:val="center"/>
                </w:tcPr>
                <w:p w14:paraId="069F2D4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940</w:t>
                  </w:r>
                </w:p>
              </w:tc>
              <w:tc>
                <w:tcPr>
                  <w:tcW w:w="1342" w:type="dxa"/>
                  <w:tcBorders>
                    <w:tl2br w:val="nil"/>
                    <w:tr2bl w:val="nil"/>
                  </w:tcBorders>
                  <w:noWrap w:val="0"/>
                  <w:vAlign w:val="center"/>
                </w:tcPr>
                <w:p w14:paraId="449DDF4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+140</w:t>
                  </w:r>
                </w:p>
              </w:tc>
              <w:tc>
                <w:tcPr>
                  <w:tcW w:w="1233" w:type="dxa"/>
                  <w:tcBorders>
                    <w:tl2br w:val="nil"/>
                    <w:tr2bl w:val="nil"/>
                  </w:tcBorders>
                  <w:noWrap w:val="0"/>
                  <w:vAlign w:val="center"/>
                </w:tcPr>
                <w:p w14:paraId="5D52BD0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0" w:type="auto"/>
                  <w:tcBorders>
                    <w:tl2br w:val="nil"/>
                    <w:tr2bl w:val="nil"/>
                  </w:tcBorders>
                  <w:noWrap w:val="0"/>
                  <w:vAlign w:val="center"/>
                </w:tcPr>
                <w:p w14:paraId="3FB941E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盒</w:t>
                  </w:r>
                </w:p>
              </w:tc>
              <w:tc>
                <w:tcPr>
                  <w:tcW w:w="428" w:type="dxa"/>
                  <w:tcBorders>
                    <w:tl2br w:val="nil"/>
                    <w:tr2bl w:val="nil"/>
                  </w:tcBorders>
                  <w:noWrap w:val="0"/>
                  <w:vAlign w:val="center"/>
                </w:tcPr>
                <w:p w14:paraId="3C7B3E1B">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药房</w:t>
                  </w:r>
                </w:p>
              </w:tc>
            </w:tr>
            <w:tr w14:paraId="1C9084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5E1B738">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西药</w:t>
                  </w:r>
                </w:p>
              </w:tc>
              <w:tc>
                <w:tcPr>
                  <w:tcW w:w="0" w:type="auto"/>
                  <w:tcBorders>
                    <w:tl2br w:val="nil"/>
                    <w:tr2bl w:val="nil"/>
                  </w:tcBorders>
                  <w:noWrap w:val="0"/>
                  <w:vAlign w:val="center"/>
                </w:tcPr>
                <w:p w14:paraId="695BF937">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0" w:type="auto"/>
                  <w:tcBorders>
                    <w:tl2br w:val="nil"/>
                    <w:tr2bl w:val="nil"/>
                  </w:tcBorders>
                  <w:noWrap w:val="0"/>
                  <w:vAlign w:val="center"/>
                </w:tcPr>
                <w:p w14:paraId="236320A6">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固态</w:t>
                  </w:r>
                </w:p>
              </w:tc>
              <w:tc>
                <w:tcPr>
                  <w:tcW w:w="0" w:type="auto"/>
                  <w:tcBorders>
                    <w:tl2br w:val="nil"/>
                    <w:tr2bl w:val="nil"/>
                  </w:tcBorders>
                  <w:noWrap w:val="0"/>
                  <w:vAlign w:val="center"/>
                </w:tcPr>
                <w:p w14:paraId="74473689">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1000</w:t>
                  </w:r>
                </w:p>
              </w:tc>
              <w:tc>
                <w:tcPr>
                  <w:tcW w:w="1342" w:type="dxa"/>
                  <w:tcBorders>
                    <w:tl2br w:val="nil"/>
                    <w:tr2bl w:val="nil"/>
                  </w:tcBorders>
                  <w:noWrap w:val="0"/>
                  <w:vAlign w:val="center"/>
                </w:tcPr>
                <w:p w14:paraId="0620718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1140</w:t>
                  </w:r>
                </w:p>
              </w:tc>
              <w:tc>
                <w:tcPr>
                  <w:tcW w:w="1342" w:type="dxa"/>
                  <w:tcBorders>
                    <w:tl2br w:val="nil"/>
                    <w:tr2bl w:val="nil"/>
                  </w:tcBorders>
                  <w:noWrap w:val="0"/>
                  <w:vAlign w:val="center"/>
                </w:tcPr>
                <w:p w14:paraId="339EF35D">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+140</w:t>
                  </w:r>
                </w:p>
              </w:tc>
              <w:tc>
                <w:tcPr>
                  <w:tcW w:w="1233" w:type="dxa"/>
                  <w:tcBorders>
                    <w:tl2br w:val="nil"/>
                    <w:tr2bl w:val="nil"/>
                  </w:tcBorders>
                  <w:noWrap w:val="0"/>
                  <w:vAlign w:val="center"/>
                </w:tcPr>
                <w:p w14:paraId="0AA2CE53">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0" w:type="auto"/>
                  <w:tcBorders>
                    <w:tl2br w:val="nil"/>
                    <w:tr2bl w:val="nil"/>
                  </w:tcBorders>
                  <w:noWrap w:val="0"/>
                  <w:vAlign w:val="center"/>
                </w:tcPr>
                <w:p w14:paraId="11238944">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盒</w:t>
                  </w:r>
                </w:p>
              </w:tc>
              <w:tc>
                <w:tcPr>
                  <w:tcW w:w="428" w:type="dxa"/>
                  <w:tcBorders>
                    <w:tl2br w:val="nil"/>
                    <w:tr2bl w:val="nil"/>
                  </w:tcBorders>
                  <w:noWrap w:val="0"/>
                  <w:vAlign w:val="center"/>
                </w:tcPr>
                <w:p w14:paraId="0C825F45">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药房</w:t>
                  </w:r>
                </w:p>
              </w:tc>
            </w:tr>
            <w:tr w14:paraId="48934A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0"/>
                  <w:vAlign w:val="center"/>
                </w:tcPr>
                <w:p w14:paraId="3FC468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除臭剂</w:t>
                  </w:r>
                </w:p>
              </w:tc>
              <w:tc>
                <w:tcPr>
                  <w:tcW w:w="0" w:type="auto"/>
                  <w:tcBorders>
                    <w:tl2br w:val="nil"/>
                    <w:tr2bl w:val="nil"/>
                  </w:tcBorders>
                  <w:shd w:val="clear" w:color="auto" w:fill="auto"/>
                  <w:noWrap w:val="0"/>
                  <w:vAlign w:val="center"/>
                </w:tcPr>
                <w:p w14:paraId="1AD0DD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25kg/桶</w:t>
                  </w:r>
                </w:p>
              </w:tc>
              <w:tc>
                <w:tcPr>
                  <w:tcW w:w="0" w:type="auto"/>
                  <w:tcBorders>
                    <w:tl2br w:val="nil"/>
                    <w:tr2bl w:val="nil"/>
                  </w:tcBorders>
                  <w:shd w:val="clear" w:color="auto" w:fill="auto"/>
                  <w:noWrap w:val="0"/>
                  <w:vAlign w:val="center"/>
                </w:tcPr>
                <w:p w14:paraId="459407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液态</w:t>
                  </w:r>
                </w:p>
              </w:tc>
              <w:tc>
                <w:tcPr>
                  <w:tcW w:w="0" w:type="auto"/>
                  <w:tcBorders>
                    <w:tl2br w:val="nil"/>
                    <w:tr2bl w:val="nil"/>
                  </w:tcBorders>
                  <w:shd w:val="clear" w:color="auto" w:fill="auto"/>
                  <w:noWrap w:val="0"/>
                  <w:vAlign w:val="center"/>
                </w:tcPr>
                <w:p w14:paraId="65B239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0</w:t>
                  </w:r>
                </w:p>
              </w:tc>
              <w:tc>
                <w:tcPr>
                  <w:tcW w:w="1342" w:type="dxa"/>
                  <w:tcBorders>
                    <w:tl2br w:val="nil"/>
                    <w:tr2bl w:val="nil"/>
                  </w:tcBorders>
                  <w:shd w:val="clear" w:color="auto" w:fill="auto"/>
                  <w:noWrap w:val="0"/>
                  <w:vAlign w:val="center"/>
                </w:tcPr>
                <w:p w14:paraId="48EFB1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0.2</w:t>
                  </w:r>
                </w:p>
              </w:tc>
              <w:tc>
                <w:tcPr>
                  <w:tcW w:w="1342" w:type="dxa"/>
                  <w:tcBorders>
                    <w:tl2br w:val="nil"/>
                    <w:tr2bl w:val="nil"/>
                  </w:tcBorders>
                  <w:noWrap w:val="0"/>
                  <w:vAlign w:val="center"/>
                </w:tcPr>
                <w:p w14:paraId="7AF1E805">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w:t>
                  </w:r>
                </w:p>
              </w:tc>
              <w:tc>
                <w:tcPr>
                  <w:tcW w:w="1233" w:type="dxa"/>
                  <w:tcBorders>
                    <w:tl2br w:val="nil"/>
                    <w:tr2bl w:val="nil"/>
                  </w:tcBorders>
                  <w:noWrap w:val="0"/>
                  <w:vAlign w:val="center"/>
                </w:tcPr>
                <w:p w14:paraId="3FF3513E">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0.025</w:t>
                  </w:r>
                </w:p>
              </w:tc>
              <w:tc>
                <w:tcPr>
                  <w:tcW w:w="0" w:type="auto"/>
                  <w:tcBorders>
                    <w:tl2br w:val="nil"/>
                    <w:tr2bl w:val="nil"/>
                  </w:tcBorders>
                  <w:noWrap w:val="0"/>
                  <w:vAlign w:val="center"/>
                </w:tcPr>
                <w:p w14:paraId="3348232C">
                  <w:pPr>
                    <w:keepNext w:val="0"/>
                    <w:keepLines w:val="0"/>
                    <w:widowControl/>
                    <w:suppressLineNumbers w:val="0"/>
                    <w:spacing w:before="0" w:beforeAutospacing="0" w:after="0" w:afterAutospacing="0" w:line="240" w:lineRule="auto"/>
                    <w:ind w:left="0" w:right="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吨</w:t>
                  </w:r>
                </w:p>
              </w:tc>
              <w:tc>
                <w:tcPr>
                  <w:tcW w:w="428" w:type="dxa"/>
                  <w:tcBorders>
                    <w:tl2br w:val="nil"/>
                    <w:tr2bl w:val="nil"/>
                  </w:tcBorders>
                  <w:noWrap w:val="0"/>
                  <w:vAlign w:val="center"/>
                </w:tcPr>
                <w:p w14:paraId="12D7522C">
                  <w:pPr>
                    <w:keepNext w:val="0"/>
                    <w:keepLines w:val="0"/>
                    <w:widowControl/>
                    <w:suppressLineNumbers w:val="0"/>
                    <w:spacing w:before="0" w:beforeAutospacing="0" w:after="0" w:afterAutospacing="0" w:line="240" w:lineRule="auto"/>
                    <w:ind w:left="0" w:leftChars="0" w:right="0" w:rightChars="0" w:firstLine="0" w:firstLineChars="0"/>
                    <w:jc w:val="center"/>
                    <w:textAlignment w:val="bottom"/>
                    <w:rPr>
                      <w:rFonts w:hint="default"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医疗库</w:t>
                  </w:r>
                </w:p>
              </w:tc>
            </w:tr>
          </w:tbl>
          <w:p w14:paraId="369D50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本项目使用的化学品性质如下表所示。</w:t>
            </w:r>
          </w:p>
          <w:p w14:paraId="651C5B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表2-5 主要试剂理化性质表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116"/>
              <w:gridCol w:w="6694"/>
            </w:tblGrid>
            <w:tr w14:paraId="4C6737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5FB671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序号</w:t>
                  </w:r>
                </w:p>
              </w:tc>
              <w:tc>
                <w:tcPr>
                  <w:tcW w:w="1084" w:type="dxa"/>
                  <w:tcBorders>
                    <w:tl2br w:val="nil"/>
                    <w:tr2bl w:val="nil"/>
                  </w:tcBorders>
                  <w:vAlign w:val="center"/>
                </w:tcPr>
                <w:p w14:paraId="0BD1A6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名称</w:t>
                  </w:r>
                </w:p>
              </w:tc>
              <w:tc>
                <w:tcPr>
                  <w:tcW w:w="6503" w:type="dxa"/>
                  <w:tcBorders>
                    <w:tl2br w:val="nil"/>
                    <w:tr2bl w:val="nil"/>
                  </w:tcBorders>
                  <w:vAlign w:val="center"/>
                </w:tcPr>
                <w:p w14:paraId="21CC3E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理化性质</w:t>
                  </w:r>
                </w:p>
              </w:tc>
            </w:tr>
            <w:tr w14:paraId="4F0627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257333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1084" w:type="dxa"/>
                  <w:tcBorders>
                    <w:tl2br w:val="nil"/>
                    <w:tr2bl w:val="nil"/>
                  </w:tcBorders>
                  <w:vAlign w:val="center"/>
                </w:tcPr>
                <w:p w14:paraId="6BAC11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乙醇</w:t>
                  </w:r>
                </w:p>
              </w:tc>
              <w:tc>
                <w:tcPr>
                  <w:tcW w:w="6503" w:type="dxa"/>
                  <w:tcBorders>
                    <w:tl2br w:val="nil"/>
                    <w:tr2bl w:val="nil"/>
                  </w:tcBorders>
                  <w:vAlign w:val="center"/>
                </w:tcPr>
                <w:p w14:paraId="70AB73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分子式：C</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H</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O；分子量：46.07；CAS号：64-17-5</w:t>
                  </w:r>
                </w:p>
                <w:p w14:paraId="7A3FC5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外观与性状：无色液体，有酒香</w:t>
                  </w:r>
                </w:p>
                <w:p w14:paraId="7A3E30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熔点：-114.1℃；沸点：78.3℃；相对密度（水=1）：0.79</w:t>
                  </w:r>
                </w:p>
                <w:p w14:paraId="470B2E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溶解性：与水混溶，可混溶于醚、氯仿、甘油等多数有机溶剂</w:t>
                  </w:r>
                </w:p>
                <w:p w14:paraId="5D9A16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燃爆危险：易燃，其蒸气与空气可形成爆炸性混合物</w:t>
                  </w:r>
                </w:p>
                <w:p w14:paraId="3CC3ED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急性毒性：LD</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：7060mg/kg（兔经口）；</w:t>
                  </w:r>
                </w:p>
                <w:p w14:paraId="4CA85B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LC</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：37620mg/m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（大鼠吸入，10h）</w:t>
                  </w:r>
                </w:p>
              </w:tc>
            </w:tr>
            <w:tr w14:paraId="1470D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1E7FB5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1084" w:type="dxa"/>
                  <w:tcBorders>
                    <w:tl2br w:val="nil"/>
                    <w:tr2bl w:val="nil"/>
                  </w:tcBorders>
                  <w:vAlign w:val="center"/>
                </w:tcPr>
                <w:p w14:paraId="1F0214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碘伏</w:t>
                  </w:r>
                </w:p>
              </w:tc>
              <w:tc>
                <w:tcPr>
                  <w:tcW w:w="6503" w:type="dxa"/>
                  <w:tcBorders>
                    <w:tl2br w:val="nil"/>
                    <w:tr2bl w:val="nil"/>
                  </w:tcBorders>
                  <w:vAlign w:val="center"/>
                </w:tcPr>
                <w:p w14:paraId="7BD327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碘伏是单质碘与聚乙烯吡咯烷酮（Povidone）的不定型结合物。聚乙烯吡咯烷酮可溶解分散9%~12%的碘，此时呈现紫黑色液体。但医用碘伏通常浓度较低（1%或以下），呈现浅棕色。</w:t>
                  </w:r>
                </w:p>
                <w:p w14:paraId="7F405E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急性毒性：LD</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：14g/kg（大鼠经口），22g/kg（小鼠经口）。</w:t>
                  </w:r>
                </w:p>
              </w:tc>
            </w:tr>
            <w:tr w14:paraId="6A5681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731BFB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1084" w:type="dxa"/>
                  <w:tcBorders>
                    <w:tl2br w:val="nil"/>
                    <w:tr2bl w:val="nil"/>
                  </w:tcBorders>
                  <w:vAlign w:val="center"/>
                </w:tcPr>
                <w:p w14:paraId="42E140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84消毒液</w:t>
                  </w:r>
                </w:p>
                <w:p w14:paraId="7DF1B5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（次氯酸钠）</w:t>
                  </w:r>
                </w:p>
              </w:tc>
              <w:tc>
                <w:tcPr>
                  <w:tcW w:w="6503" w:type="dxa"/>
                  <w:tcBorders>
                    <w:tl2br w:val="nil"/>
                    <w:tr2bl w:val="nil"/>
                  </w:tcBorders>
                  <w:vAlign w:val="center"/>
                </w:tcPr>
                <w:p w14:paraId="0EAB0B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84消毒液主要消毒成分为次氯酸钠，有效氯含量为5.5%~6.5%，是无色或淡黄色液体，有刺激性气味。空气中的二氧化碳溶解于84消毒液中，与次氯酸钠反应生成具有漂白作用的次氯酸，从而发挥其消毒作用。次氯酸钠是一种无机物，化学式为NaClO，是最普通的家庭洗涤中的“氯”漂白剂。分子量74.44，熔点-6℃，沸点102.2℃，水溶性：可溶，密度：1200k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外观为微黄色溶液，有似氯气的气味。应用：水的净化，用作消毒剂、纸浆漂白，医药工业中用制氯胺。危险性类别：腐蚀品，侵入途径：吸入、食入、皮肤接触吸收。健康危害：经常用手接触本品的工人，手掌大量出汗，指甲变薄，毛发脱落。本品有致敏作用。本品与盐酸混合放出的氯气有可能引起中毒。环境危害：无明显污染。燃爆危险：本品不燃，具腐蚀性，可致人体灼伤，具有致敏性。</w:t>
                  </w:r>
                </w:p>
              </w:tc>
            </w:tr>
            <w:tr w14:paraId="7CEE1E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01611C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w:t>
                  </w:r>
                </w:p>
              </w:tc>
              <w:tc>
                <w:tcPr>
                  <w:tcW w:w="1084" w:type="dxa"/>
                  <w:tcBorders>
                    <w:tl2br w:val="nil"/>
                    <w:tr2bl w:val="nil"/>
                  </w:tcBorders>
                  <w:vAlign w:val="center"/>
                </w:tcPr>
                <w:p w14:paraId="4E5ECE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次氯酸钠</w:t>
                  </w:r>
                </w:p>
              </w:tc>
              <w:tc>
                <w:tcPr>
                  <w:tcW w:w="6503" w:type="dxa"/>
                  <w:tcBorders>
                    <w:tl2br w:val="nil"/>
                    <w:tr2bl w:val="nil"/>
                  </w:tcBorders>
                  <w:vAlign w:val="center"/>
                </w:tcPr>
                <w:p w14:paraId="33AB71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分子式：NaClO，分子量：74.44；CAS号：7681-52-9</w:t>
                  </w:r>
                </w:p>
                <w:p w14:paraId="1442A3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外观与性状：微黄色溶液，有似氯气的气味</w:t>
                  </w:r>
                </w:p>
                <w:p w14:paraId="451678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沸点：102.2℃；相对密度（水=1）：1.10；</w:t>
                  </w:r>
                </w:p>
                <w:p w14:paraId="1689E2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燃爆危险：不燃；不稳定，见光分解；具有腐蚀性</w:t>
                  </w:r>
                </w:p>
                <w:p w14:paraId="64FFE0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急性毒性：LD</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：8500mg/kg（小鼠经口）；LC</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：无资料</w:t>
                  </w:r>
                </w:p>
              </w:tc>
            </w:tr>
            <w:tr w14:paraId="082906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1E8646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w:t>
                  </w:r>
                </w:p>
              </w:tc>
              <w:tc>
                <w:tcPr>
                  <w:tcW w:w="1084" w:type="dxa"/>
                  <w:tcBorders>
                    <w:tl2br w:val="nil"/>
                    <w:tr2bl w:val="nil"/>
                  </w:tcBorders>
                  <w:vAlign w:val="center"/>
                </w:tcPr>
                <w:p w14:paraId="401371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auto"/>
                      <w:kern w:val="0"/>
                      <w:sz w:val="21"/>
                      <w:szCs w:val="21"/>
                      <w:highlight w:val="none"/>
                      <w:u w:val="none"/>
                      <w:lang w:val="en-US" w:eastAsia="zh-CN" w:bidi="ar"/>
                    </w:rPr>
                    <w:t>PAC</w:t>
                  </w:r>
                </w:p>
              </w:tc>
              <w:tc>
                <w:tcPr>
                  <w:tcW w:w="6503" w:type="dxa"/>
                  <w:tcBorders>
                    <w:tl2br w:val="nil"/>
                    <w:tr2bl w:val="nil"/>
                  </w:tcBorders>
                  <w:vAlign w:val="center"/>
                </w:tcPr>
                <w:p w14:paraId="2F1F6D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成分为聚合氯化铝（PAC），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支除水中色质SS、COD、BOD及砷、汞等重金属离子，该产品广泛用于饮用水、工业用水和污水处理领域。</w:t>
                  </w:r>
                </w:p>
              </w:tc>
            </w:tr>
            <w:tr w14:paraId="1F50E0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08C8AA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6</w:t>
                  </w:r>
                </w:p>
              </w:tc>
              <w:tc>
                <w:tcPr>
                  <w:tcW w:w="1084" w:type="dxa"/>
                  <w:tcBorders>
                    <w:tl2br w:val="nil"/>
                    <w:tr2bl w:val="nil"/>
                  </w:tcBorders>
                  <w:vAlign w:val="center"/>
                </w:tcPr>
                <w:p w14:paraId="1FBEF7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PAM</w:t>
                  </w:r>
                </w:p>
              </w:tc>
              <w:tc>
                <w:tcPr>
                  <w:tcW w:w="6503" w:type="dxa"/>
                  <w:tcBorders>
                    <w:tl2br w:val="nil"/>
                    <w:tr2bl w:val="nil"/>
                  </w:tcBorders>
                  <w:vAlign w:val="center"/>
                </w:tcPr>
                <w:p w14:paraId="5B6274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成分为聚丙烯酰胺（</w:t>
                  </w:r>
                  <w:r>
                    <w:rPr>
                      <w:rFonts w:hint="default" w:ascii="Times New Roman" w:hAnsi="Times New Roman" w:eastAsia="宋体" w:cs="Times New Roman"/>
                      <w:i w:val="0"/>
                      <w:iCs w:val="0"/>
                      <w:color w:val="auto"/>
                      <w:kern w:val="0"/>
                      <w:sz w:val="21"/>
                      <w:szCs w:val="21"/>
                      <w:highlight w:val="none"/>
                      <w:u w:val="none"/>
                      <w:lang w:val="en-US" w:eastAsia="zh-CN" w:bidi="ar"/>
                    </w:rPr>
                    <w:t>PAM</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），颜色呈白色粉末或小颗粒状物。该产品</w:t>
                  </w:r>
                  <w:r>
                    <w:rPr>
                      <w:rFonts w:hint="default" w:ascii="Times New Roman" w:hAnsi="Times New Roman" w:eastAsia="宋体" w:cs="Times New Roman"/>
                      <w:i w:val="0"/>
                      <w:iCs w:val="0"/>
                      <w:caps w:val="0"/>
                      <w:color w:val="333333"/>
                      <w:spacing w:val="0"/>
                      <w:sz w:val="21"/>
                      <w:szCs w:val="21"/>
                      <w:highlight w:val="none"/>
                      <w:shd w:val="clear" w:fill="FFFFFF"/>
                    </w:rPr>
                    <w:t>是一种线状的有机高分子聚合物，同时也是一种高分子水处理絮凝剂产品，专门可以吸附水中的悬浮颗粒，在颗粒之间起链接架桥作用，使细颗粒形成比较大的絮团，并且加快了沉淀的速度。这一过程称之为絮凝，因其中良好的絮凝效果</w:t>
                  </w:r>
                  <w:r>
                    <w:rPr>
                      <w:rFonts w:hint="default" w:ascii="Times New Roman" w:hAnsi="Times New Roman" w:eastAsia="宋体" w:cs="Times New Roman"/>
                      <w:i w:val="0"/>
                      <w:iCs w:val="0"/>
                      <w:color w:val="auto"/>
                      <w:kern w:val="0"/>
                      <w:sz w:val="21"/>
                      <w:szCs w:val="21"/>
                      <w:highlight w:val="none"/>
                      <w:u w:val="none"/>
                      <w:lang w:val="en-US" w:eastAsia="zh-CN" w:bidi="ar"/>
                    </w:rPr>
                    <w:t>PAM</w:t>
                  </w:r>
                  <w:r>
                    <w:rPr>
                      <w:rFonts w:hint="default" w:ascii="Times New Roman" w:hAnsi="Times New Roman" w:eastAsia="宋体" w:cs="Times New Roman"/>
                      <w:i w:val="0"/>
                      <w:iCs w:val="0"/>
                      <w:caps w:val="0"/>
                      <w:color w:val="333333"/>
                      <w:spacing w:val="0"/>
                      <w:sz w:val="21"/>
                      <w:szCs w:val="21"/>
                      <w:highlight w:val="none"/>
                      <w:shd w:val="clear" w:fill="FFFFFF"/>
                    </w:rPr>
                    <w:t>作为水处理的絮凝剂并且被广泛用于污水处理。</w:t>
                  </w:r>
                </w:p>
              </w:tc>
            </w:tr>
            <w:tr w14:paraId="7BEBA9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1" w:type="dxa"/>
                  <w:tcBorders>
                    <w:tl2br w:val="nil"/>
                    <w:tr2bl w:val="nil"/>
                  </w:tcBorders>
                  <w:vAlign w:val="center"/>
                </w:tcPr>
                <w:p w14:paraId="79FE86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w:t>
                  </w:r>
                </w:p>
              </w:tc>
              <w:tc>
                <w:tcPr>
                  <w:tcW w:w="1084" w:type="dxa"/>
                  <w:tcBorders>
                    <w:tl2br w:val="nil"/>
                    <w:tr2bl w:val="nil"/>
                  </w:tcBorders>
                  <w:vAlign w:val="center"/>
                </w:tcPr>
                <w:p w14:paraId="338B65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二氧化氯</w:t>
                  </w:r>
                </w:p>
              </w:tc>
              <w:tc>
                <w:tcPr>
                  <w:tcW w:w="6503" w:type="dxa"/>
                  <w:tcBorders>
                    <w:tl2br w:val="nil"/>
                    <w:tr2bl w:val="nil"/>
                  </w:tcBorders>
                  <w:vAlign w:val="center"/>
                </w:tcPr>
                <w:p w14:paraId="5D03B1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二氧化氯（C</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l</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O</w:t>
                  </w:r>
                  <w:r>
                    <w:rPr>
                      <w:rFonts w:hint="eastAsia"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）是一种活化的消毒产品。它在干燥、未溶解的状态下性质相对稳定，但其核心成分和遇水反应释放出的二氧化氯气体，依然保留了强氧化性、腐蚀性及潜在爆炸风险等危险特性</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r>
          </w:tbl>
          <w:p w14:paraId="3D07BA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4、平面布置</w:t>
            </w:r>
          </w:p>
          <w:p w14:paraId="295DEB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本项目租用北京市昌平区南邵镇景荣街2号院3号楼-1至8层、</w:t>
            </w:r>
            <w:r>
              <w:rPr>
                <w:rFonts w:hint="eastAsia"/>
                <w:color w:val="000000" w:themeColor="text1"/>
                <w:highlight w:val="none"/>
                <w:lang w:val="en-US" w:eastAsia="zh-CN"/>
                <w14:textFill>
                  <w14:solidFill>
                    <w14:schemeClr w14:val="tx1"/>
                  </w14:solidFill>
                </w14:textFill>
              </w:rPr>
              <w:t>文智路17号院9号楼1层北侧区域</w:t>
            </w:r>
            <w:r>
              <w:rPr>
                <w:rFonts w:hint="eastAsia" w:cs="Times New Roman" w:eastAsiaTheme="minorEastAsia"/>
                <w:b w:val="0"/>
                <w:bCs w:val="0"/>
                <w:color w:val="000000" w:themeColor="text1"/>
                <w:sz w:val="24"/>
                <w:highlight w:val="none"/>
                <w:lang w:val="en-US" w:eastAsia="zh-CN"/>
                <w14:textFill>
                  <w14:solidFill>
                    <w14:schemeClr w14:val="tx1"/>
                  </w14:solidFill>
                </w14:textFill>
              </w:rPr>
              <w:t>，共1层，总建筑面积22529.71m</w:t>
            </w:r>
            <w:r>
              <w:rPr>
                <w:rFonts w:hint="eastAsia" w:cs="Times New Roman" w:eastAsiaTheme="minorEastAsia"/>
                <w:b w:val="0"/>
                <w:bCs w:val="0"/>
                <w:color w:val="000000" w:themeColor="text1"/>
                <w:sz w:val="24"/>
                <w:highlight w:val="none"/>
                <w:vertAlign w:val="superscript"/>
                <w:lang w:val="en-US" w:eastAsia="zh-CN"/>
                <w14:textFill>
                  <w14:solidFill>
                    <w14:schemeClr w14:val="tx1"/>
                  </w14:solidFill>
                </w14:textFill>
              </w:rPr>
              <w:t>2</w:t>
            </w:r>
            <w:r>
              <w:rPr>
                <w:rFonts w:hint="eastAsia" w:cs="Times New Roman" w:eastAsiaTheme="minorEastAsia"/>
                <w:b w:val="0"/>
                <w:bCs w:val="0"/>
                <w:color w:val="000000" w:themeColor="text1"/>
                <w:sz w:val="24"/>
                <w:highlight w:val="none"/>
                <w:lang w:val="en-US" w:eastAsia="zh-CN"/>
                <w14:textFill>
                  <w14:solidFill>
                    <w14:schemeClr w14:val="tx1"/>
                  </w14:solidFill>
                </w14:textFill>
              </w:rPr>
              <w:t>，房屋经营专科医院。医院主要设置有全科医疗科、皮肤科、外科、妇产科、眼科、耳鼻咽喉科、口腔科、精神科、急诊医学科、康复医学科、疼痛科、医学检验科、医学影像科、中医科</w:t>
            </w:r>
            <w:r>
              <w:rPr>
                <w:rFonts w:hint="eastAsia" w:eastAsiaTheme="minorEastAsia"/>
                <w:color w:val="000000" w:themeColor="text1"/>
                <w:highlight w:val="none"/>
                <w14:textFill>
                  <w14:solidFill>
                    <w14:schemeClr w14:val="tx1"/>
                  </w14:solidFill>
                </w14:textFill>
              </w:rPr>
              <w:t>。</w:t>
            </w:r>
          </w:p>
          <w:p w14:paraId="408FC9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项目平面布置详见附图4。</w:t>
            </w:r>
          </w:p>
          <w:p w14:paraId="29EDEA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5、周边关系</w:t>
            </w:r>
          </w:p>
          <w:p w14:paraId="07239A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项目租用北京市昌平区南邵镇景荣街2号院3号楼6至8层、</w:t>
            </w:r>
            <w:r>
              <w:rPr>
                <w:rFonts w:hint="eastAsia"/>
                <w:color w:val="000000" w:themeColor="text1"/>
                <w:highlight w:val="none"/>
                <w:lang w:val="en-US" w:eastAsia="zh-CN"/>
                <w14:textFill>
                  <w14:solidFill>
                    <w14:schemeClr w14:val="tx1"/>
                  </w14:solidFill>
                </w14:textFill>
              </w:rPr>
              <w:t>文智路17号院9号楼1层北侧区域</w:t>
            </w:r>
            <w:r>
              <w:rPr>
                <w:rFonts w:hint="eastAsia" w:cs="Times New Roman" w:eastAsiaTheme="minorEastAsia"/>
                <w:b w:val="0"/>
                <w:bCs w:val="0"/>
                <w:color w:val="000000" w:themeColor="text1"/>
                <w:sz w:val="24"/>
                <w:highlight w:val="none"/>
                <w:lang w:val="en-US" w:eastAsia="zh-CN"/>
                <w14:textFill>
                  <w14:solidFill>
                    <w14:schemeClr w14:val="tx1"/>
                  </w14:solidFill>
                </w14:textFill>
              </w:rPr>
              <w:t>。3号楼9-11层为护理区域；9号楼地上2层-10层为文化设施，1层南侧为护理区域。</w:t>
            </w:r>
          </w:p>
          <w:p w14:paraId="5B4163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景荣街2号院3号楼6至8层西侧40m为南丰路，北侧40m为南环南路，东侧、南侧16m为泰康之家京燕园。</w:t>
            </w:r>
          </w:p>
          <w:p w14:paraId="7DBE5F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文智路17号院9号楼1层北侧区域</w:t>
            </w:r>
            <w:r>
              <w:rPr>
                <w:rFonts w:hint="eastAsia" w:cs="Times New Roman" w:eastAsiaTheme="minorEastAsia"/>
                <w:b w:val="0"/>
                <w:bCs w:val="0"/>
                <w:color w:val="000000" w:themeColor="text1"/>
                <w:sz w:val="24"/>
                <w:highlight w:val="none"/>
                <w:lang w:val="en-US" w:eastAsia="zh-CN"/>
                <w14:textFill>
                  <w14:solidFill>
                    <w14:schemeClr w14:val="tx1"/>
                  </w14:solidFill>
                </w14:textFill>
              </w:rPr>
              <w:t>西侧32m为南丰路、北侧24m为闲置办公楼，南侧紧邻护理区域，东侧17m为招商都会湾四期。</w:t>
            </w:r>
          </w:p>
          <w:p w14:paraId="0F074D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本项目周边关系详见附图2。</w:t>
            </w:r>
          </w:p>
          <w:p w14:paraId="566800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6、公用工程</w:t>
            </w:r>
          </w:p>
          <w:p w14:paraId="06E977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（1）给排水</w:t>
            </w:r>
          </w:p>
          <w:p w14:paraId="09EBF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1）给水</w:t>
            </w:r>
          </w:p>
          <w:p w14:paraId="48E3D3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本项目专科医院用水量依据《建筑给水排水设计标准》（GB50015-2019）中相关数据进行估算。</w:t>
            </w:r>
          </w:p>
          <w:p w14:paraId="400EFB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用水环节主要包括病房（住院患者、病房医务人员）用水、门诊（门诊患者、门诊医务人员）用水、行政人员用水、卫生清洁用水，其中：门诊患者、住院病房、医务人员用水均包括医疗用水和生活用水。给水来源于市政给水管网统一提供，医技科室如口腔科、检验科等不使用纯水。</w:t>
            </w:r>
          </w:p>
          <w:p w14:paraId="18F203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本项目用水情况详见下表。</w:t>
            </w:r>
          </w:p>
          <w:p w14:paraId="1DD12C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表2-6 项目用水情况一览表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2"/>
              <w:gridCol w:w="431"/>
              <w:gridCol w:w="1562"/>
              <w:gridCol w:w="1167"/>
              <w:gridCol w:w="1248"/>
              <w:gridCol w:w="1364"/>
              <w:gridCol w:w="1652"/>
              <w:gridCol w:w="645"/>
            </w:tblGrid>
            <w:tr w14:paraId="667FFE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tcBorders>
                    <w:tl2br w:val="nil"/>
                    <w:tr2bl w:val="nil"/>
                  </w:tcBorders>
                  <w:vAlign w:val="center"/>
                </w:tcPr>
                <w:p w14:paraId="2B9F0B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楼号</w:t>
                  </w:r>
                </w:p>
              </w:tc>
              <w:tc>
                <w:tcPr>
                  <w:tcW w:w="1993" w:type="dxa"/>
                  <w:gridSpan w:val="2"/>
                  <w:tcBorders>
                    <w:tl2br w:val="nil"/>
                    <w:tr2bl w:val="nil"/>
                  </w:tcBorders>
                  <w:vAlign w:val="center"/>
                </w:tcPr>
                <w:p w14:paraId="370E1B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用水项目</w:t>
                  </w:r>
                </w:p>
              </w:tc>
              <w:tc>
                <w:tcPr>
                  <w:tcW w:w="1167" w:type="dxa"/>
                  <w:tcBorders>
                    <w:tl2br w:val="nil"/>
                    <w:tr2bl w:val="nil"/>
                  </w:tcBorders>
                  <w:vAlign w:val="center"/>
                </w:tcPr>
                <w:p w14:paraId="2E0941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用水定额</w:t>
                  </w:r>
                </w:p>
              </w:tc>
              <w:tc>
                <w:tcPr>
                  <w:tcW w:w="1248" w:type="dxa"/>
                  <w:tcBorders>
                    <w:tl2br w:val="nil"/>
                    <w:tr2bl w:val="nil"/>
                  </w:tcBorders>
                  <w:vAlign w:val="center"/>
                </w:tcPr>
                <w:p w14:paraId="199D60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规模</w:t>
                  </w:r>
                </w:p>
              </w:tc>
              <w:tc>
                <w:tcPr>
                  <w:tcW w:w="1364" w:type="dxa"/>
                  <w:tcBorders>
                    <w:tl2br w:val="nil"/>
                    <w:tr2bl w:val="nil"/>
                  </w:tcBorders>
                  <w:vAlign w:val="center"/>
                </w:tcPr>
                <w:p w14:paraId="76491A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日用水量m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/d</w:t>
                  </w:r>
                </w:p>
              </w:tc>
              <w:tc>
                <w:tcPr>
                  <w:tcW w:w="1652" w:type="dxa"/>
                  <w:tcBorders>
                    <w:tl2br w:val="nil"/>
                    <w:tr2bl w:val="nil"/>
                  </w:tcBorders>
                  <w:vAlign w:val="center"/>
                </w:tcPr>
                <w:p w14:paraId="5D54C5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年用水量m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645" w:type="dxa"/>
                  <w:tcBorders>
                    <w:tl2br w:val="nil"/>
                    <w:tr2bl w:val="nil"/>
                  </w:tcBorders>
                  <w:vAlign w:val="center"/>
                </w:tcPr>
                <w:p w14:paraId="7BC02E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备注</w:t>
                  </w:r>
                </w:p>
              </w:tc>
            </w:tr>
            <w:tr w14:paraId="5F3FEF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restart"/>
                  <w:tcBorders>
                    <w:tl2br w:val="nil"/>
                    <w:tr2bl w:val="nil"/>
                  </w:tcBorders>
                  <w:vAlign w:val="center"/>
                </w:tcPr>
                <w:p w14:paraId="2B177A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3号楼</w:t>
                  </w:r>
                </w:p>
              </w:tc>
              <w:tc>
                <w:tcPr>
                  <w:tcW w:w="431" w:type="dxa"/>
                  <w:vMerge w:val="restart"/>
                  <w:tcBorders>
                    <w:tl2br w:val="nil"/>
                    <w:tr2bl w:val="nil"/>
                  </w:tcBorders>
                  <w:vAlign w:val="center"/>
                </w:tcPr>
                <w:p w14:paraId="003A35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病房</w:t>
                  </w:r>
                </w:p>
              </w:tc>
              <w:tc>
                <w:tcPr>
                  <w:tcW w:w="1562" w:type="dxa"/>
                  <w:tcBorders>
                    <w:tl2br w:val="nil"/>
                    <w:tr2bl w:val="nil"/>
                  </w:tcBorders>
                  <w:vAlign w:val="center"/>
                </w:tcPr>
                <w:p w14:paraId="16720E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住院患者</w:t>
                  </w:r>
                </w:p>
              </w:tc>
              <w:tc>
                <w:tcPr>
                  <w:tcW w:w="1167" w:type="dxa"/>
                  <w:tcBorders>
                    <w:tl2br w:val="nil"/>
                    <w:tr2bl w:val="nil"/>
                  </w:tcBorders>
                  <w:vAlign w:val="center"/>
                </w:tcPr>
                <w:p w14:paraId="3CB76C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130</w:t>
                  </w:r>
                  <w:r>
                    <w:rPr>
                      <w:rFonts w:hint="default" w:ascii="Times New Roman" w:hAnsi="Times New Roman" w:eastAsia="宋体" w:cs="Times New Roman"/>
                      <w:color w:val="000000" w:themeColor="text1"/>
                      <w:sz w:val="21"/>
                      <w:szCs w:val="21"/>
                      <w:highlight w:val="none"/>
                      <w14:textFill>
                        <w14:solidFill>
                          <w14:schemeClr w14:val="tx1"/>
                        </w14:solidFill>
                      </w14:textFill>
                    </w:rPr>
                    <w:t>L/床·d</w:t>
                  </w:r>
                </w:p>
              </w:tc>
              <w:tc>
                <w:tcPr>
                  <w:tcW w:w="1248" w:type="dxa"/>
                  <w:tcBorders>
                    <w:tl2br w:val="nil"/>
                    <w:tr2bl w:val="nil"/>
                  </w:tcBorders>
                  <w:vAlign w:val="center"/>
                </w:tcPr>
                <w:p w14:paraId="0589FF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221</w:t>
                  </w:r>
                  <w:r>
                    <w:rPr>
                      <w:rFonts w:hint="default" w:ascii="Times New Roman" w:hAnsi="Times New Roman" w:eastAsia="宋体" w:cs="Times New Roman"/>
                      <w:color w:val="000000" w:themeColor="text1"/>
                      <w:sz w:val="21"/>
                      <w:szCs w:val="21"/>
                      <w:highlight w:val="none"/>
                      <w14:textFill>
                        <w14:solidFill>
                          <w14:schemeClr w14:val="tx1"/>
                        </w14:solidFill>
                      </w14:textFill>
                    </w:rPr>
                    <w:t>床</w:t>
                  </w:r>
                </w:p>
              </w:tc>
              <w:tc>
                <w:tcPr>
                  <w:tcW w:w="1364" w:type="dxa"/>
                  <w:tcBorders>
                    <w:tl2br w:val="nil"/>
                    <w:tr2bl w:val="nil"/>
                  </w:tcBorders>
                  <w:vAlign w:val="center"/>
                </w:tcPr>
                <w:p w14:paraId="0EA580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28.73</w:t>
                  </w:r>
                </w:p>
              </w:tc>
              <w:tc>
                <w:tcPr>
                  <w:tcW w:w="1652" w:type="dxa"/>
                  <w:tcBorders>
                    <w:tl2br w:val="nil"/>
                    <w:tr2bl w:val="nil"/>
                  </w:tcBorders>
                  <w:vAlign w:val="center"/>
                </w:tcPr>
                <w:p w14:paraId="60B1E7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10486.45</w:t>
                  </w:r>
                </w:p>
              </w:tc>
              <w:tc>
                <w:tcPr>
                  <w:tcW w:w="645" w:type="dxa"/>
                  <w:tcBorders>
                    <w:tl2br w:val="nil"/>
                    <w:tr2bl w:val="nil"/>
                  </w:tcBorders>
                  <w:vAlign w:val="center"/>
                </w:tcPr>
                <w:p w14:paraId="50E905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365d</w:t>
                  </w:r>
                </w:p>
              </w:tc>
            </w:tr>
            <w:tr w14:paraId="581296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4DF7C0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31" w:type="dxa"/>
                  <w:vMerge w:val="continue"/>
                  <w:tcBorders>
                    <w:tl2br w:val="nil"/>
                    <w:tr2bl w:val="nil"/>
                  </w:tcBorders>
                  <w:vAlign w:val="center"/>
                </w:tcPr>
                <w:p w14:paraId="546DF5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562" w:type="dxa"/>
                  <w:tcBorders>
                    <w:tl2br w:val="nil"/>
                    <w:tr2bl w:val="nil"/>
                  </w:tcBorders>
                  <w:vAlign w:val="center"/>
                </w:tcPr>
                <w:p w14:paraId="4E99B5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病房医务人员</w:t>
                  </w:r>
                </w:p>
              </w:tc>
              <w:tc>
                <w:tcPr>
                  <w:tcW w:w="1167" w:type="dxa"/>
                  <w:tcBorders>
                    <w:tl2br w:val="nil"/>
                    <w:tr2bl w:val="nil"/>
                  </w:tcBorders>
                  <w:vAlign w:val="center"/>
                </w:tcPr>
                <w:p w14:paraId="5EDF9E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130</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vAlign w:val="center"/>
                </w:tcPr>
                <w:p w14:paraId="5DD05F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242</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p>
              </w:tc>
              <w:tc>
                <w:tcPr>
                  <w:tcW w:w="1364" w:type="dxa"/>
                  <w:tcBorders>
                    <w:tl2br w:val="nil"/>
                    <w:tr2bl w:val="nil"/>
                  </w:tcBorders>
                  <w:vAlign w:val="center"/>
                </w:tcPr>
                <w:p w14:paraId="1C5DF3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31.46</w:t>
                  </w:r>
                </w:p>
              </w:tc>
              <w:tc>
                <w:tcPr>
                  <w:tcW w:w="1652" w:type="dxa"/>
                  <w:tcBorders>
                    <w:tl2br w:val="nil"/>
                    <w:tr2bl w:val="nil"/>
                  </w:tcBorders>
                  <w:vAlign w:val="center"/>
                </w:tcPr>
                <w:p w14:paraId="4A3C36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9438</w:t>
                  </w:r>
                </w:p>
              </w:tc>
              <w:tc>
                <w:tcPr>
                  <w:tcW w:w="645" w:type="dxa"/>
                  <w:tcBorders>
                    <w:tl2br w:val="nil"/>
                    <w:tr2bl w:val="nil"/>
                  </w:tcBorders>
                  <w:vAlign w:val="center"/>
                </w:tcPr>
                <w:p w14:paraId="2F5FED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300d</w:t>
                  </w:r>
                </w:p>
              </w:tc>
            </w:tr>
            <w:tr w14:paraId="457A7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38CABF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31" w:type="dxa"/>
                  <w:vMerge w:val="restart"/>
                  <w:tcBorders>
                    <w:tl2br w:val="nil"/>
                    <w:tr2bl w:val="nil"/>
                  </w:tcBorders>
                  <w:vAlign w:val="center"/>
                </w:tcPr>
                <w:p w14:paraId="2C0A51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w:t>
                  </w:r>
                </w:p>
              </w:tc>
              <w:tc>
                <w:tcPr>
                  <w:tcW w:w="1562" w:type="dxa"/>
                  <w:tcBorders>
                    <w:tl2br w:val="nil"/>
                    <w:tr2bl w:val="nil"/>
                  </w:tcBorders>
                  <w:vAlign w:val="center"/>
                </w:tcPr>
                <w:p w14:paraId="59CAE6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门诊患者</w:t>
                  </w:r>
                </w:p>
              </w:tc>
              <w:tc>
                <w:tcPr>
                  <w:tcW w:w="1167" w:type="dxa"/>
                  <w:tcBorders>
                    <w:tl2br w:val="nil"/>
                    <w:tr2bl w:val="nil"/>
                  </w:tcBorders>
                  <w:vAlign w:val="center"/>
                </w:tcPr>
                <w:p w14:paraId="5A2976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vAlign w:val="center"/>
                </w:tcPr>
                <w:p w14:paraId="38B431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325</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p>
              </w:tc>
              <w:tc>
                <w:tcPr>
                  <w:tcW w:w="1364" w:type="dxa"/>
                  <w:tcBorders>
                    <w:tl2br w:val="nil"/>
                    <w:tr2bl w:val="nil"/>
                  </w:tcBorders>
                  <w:vAlign w:val="center"/>
                </w:tcPr>
                <w:p w14:paraId="3085DE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1.95</w:t>
                  </w:r>
                </w:p>
              </w:tc>
              <w:tc>
                <w:tcPr>
                  <w:tcW w:w="1652" w:type="dxa"/>
                  <w:tcBorders>
                    <w:tl2br w:val="nil"/>
                    <w:tr2bl w:val="nil"/>
                  </w:tcBorders>
                  <w:vAlign w:val="center"/>
                </w:tcPr>
                <w:p w14:paraId="498910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711.75</w:t>
                  </w:r>
                </w:p>
              </w:tc>
              <w:tc>
                <w:tcPr>
                  <w:tcW w:w="645" w:type="dxa"/>
                  <w:tcBorders>
                    <w:tl2br w:val="nil"/>
                    <w:tr2bl w:val="nil"/>
                  </w:tcBorders>
                  <w:vAlign w:val="center"/>
                </w:tcPr>
                <w:p w14:paraId="5A1F55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365d</w:t>
                  </w:r>
                </w:p>
              </w:tc>
            </w:tr>
            <w:tr w14:paraId="3A5EE6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386A2D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31" w:type="dxa"/>
                  <w:vMerge w:val="continue"/>
                  <w:tcBorders>
                    <w:tl2br w:val="nil"/>
                    <w:tr2bl w:val="nil"/>
                  </w:tcBorders>
                  <w:vAlign w:val="center"/>
                </w:tcPr>
                <w:p w14:paraId="670FAA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562" w:type="dxa"/>
                  <w:tcBorders>
                    <w:tl2br w:val="nil"/>
                    <w:tr2bl w:val="nil"/>
                  </w:tcBorders>
                  <w:vAlign w:val="center"/>
                </w:tcPr>
                <w:p w14:paraId="68A604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门诊医务人员</w:t>
                  </w:r>
                </w:p>
              </w:tc>
              <w:tc>
                <w:tcPr>
                  <w:tcW w:w="1167" w:type="dxa"/>
                  <w:tcBorders>
                    <w:tl2br w:val="nil"/>
                    <w:tr2bl w:val="nil"/>
                  </w:tcBorders>
                  <w:vAlign w:val="center"/>
                </w:tcPr>
                <w:p w14:paraId="5B7AF8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vAlign w:val="center"/>
                </w:tcPr>
                <w:p w14:paraId="2C111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63</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p>
              </w:tc>
              <w:tc>
                <w:tcPr>
                  <w:tcW w:w="1364" w:type="dxa"/>
                  <w:tcBorders>
                    <w:tl2br w:val="nil"/>
                    <w:tr2bl w:val="nil"/>
                  </w:tcBorders>
                  <w:vAlign w:val="center"/>
                </w:tcPr>
                <w:p w14:paraId="01F3E1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3.78</w:t>
                  </w:r>
                </w:p>
              </w:tc>
              <w:tc>
                <w:tcPr>
                  <w:tcW w:w="1652" w:type="dxa"/>
                  <w:tcBorders>
                    <w:tl2br w:val="nil"/>
                    <w:tr2bl w:val="nil"/>
                  </w:tcBorders>
                  <w:vAlign w:val="center"/>
                </w:tcPr>
                <w:p w14:paraId="2E8CA6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1134</w:t>
                  </w:r>
                </w:p>
              </w:tc>
              <w:tc>
                <w:tcPr>
                  <w:tcW w:w="645" w:type="dxa"/>
                  <w:tcBorders>
                    <w:tl2br w:val="nil"/>
                    <w:tr2bl w:val="nil"/>
                  </w:tcBorders>
                  <w:vAlign w:val="center"/>
                </w:tcPr>
                <w:p w14:paraId="4051E7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300d</w:t>
                  </w:r>
                </w:p>
              </w:tc>
            </w:tr>
            <w:tr w14:paraId="687B94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2F2D0B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993" w:type="dxa"/>
                  <w:gridSpan w:val="2"/>
                  <w:tcBorders>
                    <w:tl2br w:val="nil"/>
                    <w:tr2bl w:val="nil"/>
                  </w:tcBorders>
                  <w:vAlign w:val="center"/>
                </w:tcPr>
                <w:p w14:paraId="6AE842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行政人员</w:t>
                  </w:r>
                </w:p>
              </w:tc>
              <w:tc>
                <w:tcPr>
                  <w:tcW w:w="1167" w:type="dxa"/>
                  <w:tcBorders>
                    <w:tl2br w:val="nil"/>
                    <w:tr2bl w:val="nil"/>
                  </w:tcBorders>
                  <w:vAlign w:val="center"/>
                </w:tcPr>
                <w:p w14:paraId="1D2B2E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vAlign w:val="center"/>
                </w:tcPr>
                <w:p w14:paraId="32D338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22人</w:t>
                  </w:r>
                </w:p>
              </w:tc>
              <w:tc>
                <w:tcPr>
                  <w:tcW w:w="1364" w:type="dxa"/>
                  <w:tcBorders>
                    <w:tl2br w:val="nil"/>
                    <w:tr2bl w:val="nil"/>
                  </w:tcBorders>
                  <w:vAlign w:val="center"/>
                </w:tcPr>
                <w:p w14:paraId="4C6F9E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1.1</w:t>
                  </w:r>
                </w:p>
              </w:tc>
              <w:tc>
                <w:tcPr>
                  <w:tcW w:w="1652" w:type="dxa"/>
                  <w:tcBorders>
                    <w:tl2br w:val="nil"/>
                    <w:tr2bl w:val="nil"/>
                  </w:tcBorders>
                  <w:vAlign w:val="center"/>
                </w:tcPr>
                <w:p w14:paraId="5AB617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330</w:t>
                  </w:r>
                </w:p>
              </w:tc>
              <w:tc>
                <w:tcPr>
                  <w:tcW w:w="645" w:type="dxa"/>
                  <w:tcBorders>
                    <w:tl2br w:val="nil"/>
                    <w:tr2bl w:val="nil"/>
                  </w:tcBorders>
                  <w:vAlign w:val="center"/>
                </w:tcPr>
                <w:p w14:paraId="391811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300d</w:t>
                  </w:r>
                </w:p>
              </w:tc>
            </w:tr>
            <w:tr w14:paraId="5D4514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0DFF38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993" w:type="dxa"/>
                  <w:gridSpan w:val="2"/>
                  <w:tcBorders>
                    <w:tl2br w:val="nil"/>
                    <w:tr2bl w:val="nil"/>
                  </w:tcBorders>
                  <w:vAlign w:val="center"/>
                </w:tcPr>
                <w:p w14:paraId="5BBE4C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卫生清洁用水</w:t>
                  </w:r>
                </w:p>
              </w:tc>
              <w:tc>
                <w:tcPr>
                  <w:tcW w:w="1167" w:type="dxa"/>
                  <w:tcBorders>
                    <w:tl2br w:val="nil"/>
                    <w:tr2bl w:val="nil"/>
                  </w:tcBorders>
                  <w:vAlign w:val="center"/>
                </w:tcPr>
                <w:p w14:paraId="78F6C8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0.5</w:t>
                  </w:r>
                  <w:r>
                    <w:rPr>
                      <w:rFonts w:hint="default" w:ascii="Times New Roman" w:hAnsi="Times New Roman" w:eastAsia="宋体" w:cs="Times New Roman"/>
                      <w:color w:val="000000" w:themeColor="text1"/>
                      <w:sz w:val="21"/>
                      <w:szCs w:val="21"/>
                      <w:highlight w:val="none"/>
                      <w14:textFill>
                        <w14:solidFill>
                          <w14:schemeClr w14:val="tx1"/>
                        </w14:solidFill>
                      </w14:textFill>
                    </w:rPr>
                    <w:t>L/m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248" w:type="dxa"/>
                  <w:tcBorders>
                    <w:tl2br w:val="nil"/>
                    <w:tr2bl w:val="nil"/>
                  </w:tcBorders>
                  <w:vAlign w:val="center"/>
                </w:tcPr>
                <w:p w14:paraId="713705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5697.87</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364" w:type="dxa"/>
                  <w:tcBorders>
                    <w:tl2br w:val="nil"/>
                    <w:tr2bl w:val="nil"/>
                  </w:tcBorders>
                  <w:vAlign w:val="center"/>
                </w:tcPr>
                <w:p w14:paraId="1CAC20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2.85</w:t>
                  </w:r>
                </w:p>
              </w:tc>
              <w:tc>
                <w:tcPr>
                  <w:tcW w:w="1652" w:type="dxa"/>
                  <w:tcBorders>
                    <w:tl2br w:val="nil"/>
                    <w:tr2bl w:val="nil"/>
                  </w:tcBorders>
                  <w:vAlign w:val="center"/>
                </w:tcPr>
                <w:p w14:paraId="653110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1040.25</w:t>
                  </w:r>
                </w:p>
              </w:tc>
              <w:tc>
                <w:tcPr>
                  <w:tcW w:w="645" w:type="dxa"/>
                  <w:tcBorders>
                    <w:tl2br w:val="nil"/>
                    <w:tr2bl w:val="nil"/>
                  </w:tcBorders>
                  <w:vAlign w:val="center"/>
                </w:tcPr>
                <w:p w14:paraId="137792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365d</w:t>
                  </w:r>
                </w:p>
              </w:tc>
            </w:tr>
            <w:tr w14:paraId="7FB564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432" w:type="dxa"/>
                  <w:vMerge w:val="restart"/>
                  <w:tcBorders>
                    <w:tl2br w:val="nil"/>
                    <w:tr2bl w:val="nil"/>
                  </w:tcBorders>
                  <w:vAlign w:val="center"/>
                </w:tcPr>
                <w:p w14:paraId="7E7F13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9号楼</w:t>
                  </w:r>
                </w:p>
              </w:tc>
              <w:tc>
                <w:tcPr>
                  <w:tcW w:w="431" w:type="dxa"/>
                  <w:vMerge w:val="restart"/>
                  <w:tcBorders>
                    <w:tl2br w:val="nil"/>
                    <w:tr2bl w:val="nil"/>
                  </w:tcBorders>
                  <w:vAlign w:val="center"/>
                </w:tcPr>
                <w:p w14:paraId="44F796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w:t>
                  </w:r>
                </w:p>
              </w:tc>
              <w:tc>
                <w:tcPr>
                  <w:tcW w:w="1562" w:type="dxa"/>
                  <w:tcBorders>
                    <w:tl2br w:val="nil"/>
                    <w:tr2bl w:val="nil"/>
                  </w:tcBorders>
                  <w:vAlign w:val="center"/>
                </w:tcPr>
                <w:p w14:paraId="0013B6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门诊患者</w:t>
                  </w:r>
                </w:p>
              </w:tc>
              <w:tc>
                <w:tcPr>
                  <w:tcW w:w="1167" w:type="dxa"/>
                  <w:tcBorders>
                    <w:tl2br w:val="nil"/>
                    <w:tr2bl w:val="nil"/>
                  </w:tcBorders>
                  <w:shd w:val="clear" w:color="auto" w:fill="auto"/>
                  <w:vAlign w:val="center"/>
                </w:tcPr>
                <w:p w14:paraId="3F3AE1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shd w:val="clear" w:color="auto" w:fill="auto"/>
                  <w:vAlign w:val="center"/>
                </w:tcPr>
                <w:p w14:paraId="0B4630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p>
              </w:tc>
              <w:tc>
                <w:tcPr>
                  <w:tcW w:w="1364" w:type="dxa"/>
                  <w:tcBorders>
                    <w:tl2br w:val="nil"/>
                    <w:tr2bl w:val="nil"/>
                  </w:tcBorders>
                  <w:vAlign w:val="center"/>
                </w:tcPr>
                <w:p w14:paraId="79D88B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0.12</w:t>
                  </w:r>
                </w:p>
              </w:tc>
              <w:tc>
                <w:tcPr>
                  <w:tcW w:w="1652" w:type="dxa"/>
                  <w:tcBorders>
                    <w:tl2br w:val="nil"/>
                    <w:tr2bl w:val="nil"/>
                  </w:tcBorders>
                  <w:vAlign w:val="center"/>
                </w:tcPr>
                <w:p w14:paraId="5652A0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43.8</w:t>
                  </w:r>
                </w:p>
              </w:tc>
              <w:tc>
                <w:tcPr>
                  <w:tcW w:w="645" w:type="dxa"/>
                  <w:tcBorders>
                    <w:tl2br w:val="nil"/>
                    <w:tr2bl w:val="nil"/>
                  </w:tcBorders>
                  <w:vAlign w:val="center"/>
                </w:tcPr>
                <w:p w14:paraId="451B35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365d</w:t>
                  </w:r>
                </w:p>
              </w:tc>
            </w:tr>
            <w:tr w14:paraId="5AD99A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432" w:type="dxa"/>
                  <w:vMerge w:val="continue"/>
                  <w:tcBorders>
                    <w:tl2br w:val="nil"/>
                    <w:tr2bl w:val="nil"/>
                  </w:tcBorders>
                  <w:vAlign w:val="center"/>
                </w:tcPr>
                <w:p w14:paraId="0C58F7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p>
              </w:tc>
              <w:tc>
                <w:tcPr>
                  <w:tcW w:w="431" w:type="dxa"/>
                  <w:vMerge w:val="continue"/>
                  <w:tcBorders>
                    <w:tl2br w:val="nil"/>
                    <w:tr2bl w:val="nil"/>
                  </w:tcBorders>
                  <w:vAlign w:val="center"/>
                </w:tcPr>
                <w:p w14:paraId="65256A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p>
              </w:tc>
              <w:tc>
                <w:tcPr>
                  <w:tcW w:w="1562" w:type="dxa"/>
                  <w:tcBorders>
                    <w:tl2br w:val="nil"/>
                    <w:tr2bl w:val="nil"/>
                  </w:tcBorders>
                  <w:vAlign w:val="center"/>
                </w:tcPr>
                <w:p w14:paraId="091254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门诊医务人员</w:t>
                  </w:r>
                </w:p>
              </w:tc>
              <w:tc>
                <w:tcPr>
                  <w:tcW w:w="1167" w:type="dxa"/>
                  <w:tcBorders>
                    <w:tl2br w:val="nil"/>
                    <w:tr2bl w:val="nil"/>
                  </w:tcBorders>
                  <w:shd w:val="clear" w:color="auto" w:fill="auto"/>
                  <w:vAlign w:val="center"/>
                </w:tcPr>
                <w:p w14:paraId="3AF145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shd w:val="clear" w:color="auto" w:fill="auto"/>
                  <w:vAlign w:val="center"/>
                </w:tcPr>
                <w:p w14:paraId="1C2B07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p>
              </w:tc>
              <w:tc>
                <w:tcPr>
                  <w:tcW w:w="1364" w:type="dxa"/>
                  <w:tcBorders>
                    <w:tl2br w:val="nil"/>
                    <w:tr2bl w:val="nil"/>
                  </w:tcBorders>
                  <w:vAlign w:val="center"/>
                </w:tcPr>
                <w:p w14:paraId="1682E4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0.6</w:t>
                  </w:r>
                </w:p>
              </w:tc>
              <w:tc>
                <w:tcPr>
                  <w:tcW w:w="1652" w:type="dxa"/>
                  <w:tcBorders>
                    <w:tl2br w:val="nil"/>
                    <w:tr2bl w:val="nil"/>
                  </w:tcBorders>
                  <w:vAlign w:val="center"/>
                </w:tcPr>
                <w:p w14:paraId="64E4D4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180</w:t>
                  </w:r>
                </w:p>
              </w:tc>
              <w:tc>
                <w:tcPr>
                  <w:tcW w:w="645" w:type="dxa"/>
                  <w:tcBorders>
                    <w:tl2br w:val="nil"/>
                    <w:tr2bl w:val="nil"/>
                  </w:tcBorders>
                  <w:vAlign w:val="center"/>
                </w:tcPr>
                <w:p w14:paraId="38EB90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300d</w:t>
                  </w:r>
                </w:p>
              </w:tc>
            </w:tr>
            <w:tr w14:paraId="437735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55D8D4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993" w:type="dxa"/>
                  <w:gridSpan w:val="2"/>
                  <w:tcBorders>
                    <w:tl2br w:val="nil"/>
                    <w:tr2bl w:val="nil"/>
                  </w:tcBorders>
                  <w:vAlign w:val="center"/>
                </w:tcPr>
                <w:p w14:paraId="754660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行政人员</w:t>
                  </w:r>
                </w:p>
              </w:tc>
              <w:tc>
                <w:tcPr>
                  <w:tcW w:w="1167" w:type="dxa"/>
                  <w:tcBorders>
                    <w:tl2br w:val="nil"/>
                    <w:tr2bl w:val="nil"/>
                  </w:tcBorders>
                  <w:shd w:val="clear" w:color="auto" w:fill="auto"/>
                  <w:vAlign w:val="center"/>
                </w:tcPr>
                <w:p w14:paraId="0A889D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highlight w:val="none"/>
                      <w14:textFill>
                        <w14:solidFill>
                          <w14:schemeClr w14:val="tx1"/>
                        </w14:solidFill>
                      </w14:textFill>
                    </w:rPr>
                    <w:t>L/人·d</w:t>
                  </w:r>
                </w:p>
              </w:tc>
              <w:tc>
                <w:tcPr>
                  <w:tcW w:w="1248" w:type="dxa"/>
                  <w:tcBorders>
                    <w:tl2br w:val="nil"/>
                    <w:tr2bl w:val="nil"/>
                  </w:tcBorders>
                  <w:shd w:val="clear" w:color="auto" w:fill="auto"/>
                  <w:vAlign w:val="center"/>
                </w:tcPr>
                <w:p w14:paraId="5F1184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5人</w:t>
                  </w:r>
                </w:p>
              </w:tc>
              <w:tc>
                <w:tcPr>
                  <w:tcW w:w="1364" w:type="dxa"/>
                  <w:tcBorders>
                    <w:tl2br w:val="nil"/>
                    <w:tr2bl w:val="nil"/>
                  </w:tcBorders>
                  <w:shd w:val="clear" w:color="auto" w:fill="auto"/>
                  <w:vAlign w:val="center"/>
                </w:tcPr>
                <w:p w14:paraId="2BEF4D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0.25</w:t>
                  </w:r>
                </w:p>
              </w:tc>
              <w:tc>
                <w:tcPr>
                  <w:tcW w:w="1652" w:type="dxa"/>
                  <w:tcBorders>
                    <w:tl2br w:val="nil"/>
                    <w:tr2bl w:val="nil"/>
                  </w:tcBorders>
                  <w:vAlign w:val="center"/>
                </w:tcPr>
                <w:p w14:paraId="4701A6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75</w:t>
                  </w:r>
                </w:p>
              </w:tc>
              <w:tc>
                <w:tcPr>
                  <w:tcW w:w="645" w:type="dxa"/>
                  <w:tcBorders>
                    <w:tl2br w:val="nil"/>
                    <w:tr2bl w:val="nil"/>
                  </w:tcBorders>
                  <w:vAlign w:val="center"/>
                </w:tcPr>
                <w:p w14:paraId="13602D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300d</w:t>
                  </w:r>
                </w:p>
              </w:tc>
            </w:tr>
            <w:tr w14:paraId="7DB626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2" w:type="dxa"/>
                  <w:vMerge w:val="continue"/>
                  <w:tcBorders>
                    <w:tl2br w:val="nil"/>
                    <w:tr2bl w:val="nil"/>
                  </w:tcBorders>
                  <w:vAlign w:val="center"/>
                </w:tcPr>
                <w:p w14:paraId="74610E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993" w:type="dxa"/>
                  <w:gridSpan w:val="2"/>
                  <w:tcBorders>
                    <w:tl2br w:val="nil"/>
                    <w:tr2bl w:val="nil"/>
                  </w:tcBorders>
                  <w:vAlign w:val="center"/>
                </w:tcPr>
                <w:p w14:paraId="6E53A7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卫生清洁用水</w:t>
                  </w:r>
                </w:p>
              </w:tc>
              <w:tc>
                <w:tcPr>
                  <w:tcW w:w="1167" w:type="dxa"/>
                  <w:tcBorders>
                    <w:tl2br w:val="nil"/>
                    <w:tr2bl w:val="nil"/>
                  </w:tcBorders>
                  <w:shd w:val="clear" w:color="auto" w:fill="auto"/>
                  <w:vAlign w:val="center"/>
                </w:tcPr>
                <w:p w14:paraId="17C9F1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0.5</w:t>
                  </w:r>
                  <w:r>
                    <w:rPr>
                      <w:rFonts w:hint="default" w:ascii="Times New Roman" w:hAnsi="Times New Roman" w:eastAsia="宋体" w:cs="Times New Roman"/>
                      <w:color w:val="000000" w:themeColor="text1"/>
                      <w:sz w:val="21"/>
                      <w:szCs w:val="21"/>
                      <w:highlight w:val="none"/>
                      <w14:textFill>
                        <w14:solidFill>
                          <w14:schemeClr w14:val="tx1"/>
                        </w14:solidFill>
                      </w14:textFill>
                    </w:rPr>
                    <w:t>L/m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248" w:type="dxa"/>
                  <w:tcBorders>
                    <w:tl2br w:val="nil"/>
                    <w:tr2bl w:val="nil"/>
                  </w:tcBorders>
                  <w:shd w:val="clear" w:color="auto" w:fill="auto"/>
                  <w:vAlign w:val="center"/>
                </w:tcPr>
                <w:p w14:paraId="577BB4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364.2</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364" w:type="dxa"/>
                  <w:tcBorders>
                    <w:tl2br w:val="nil"/>
                    <w:tr2bl w:val="nil"/>
                  </w:tcBorders>
                  <w:shd w:val="clear" w:color="auto" w:fill="auto"/>
                  <w:vAlign w:val="center"/>
                </w:tcPr>
                <w:p w14:paraId="4E6582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0.18</w:t>
                  </w:r>
                </w:p>
              </w:tc>
              <w:tc>
                <w:tcPr>
                  <w:tcW w:w="1652" w:type="dxa"/>
                  <w:tcBorders>
                    <w:tl2br w:val="nil"/>
                    <w:tr2bl w:val="nil"/>
                  </w:tcBorders>
                  <w:vAlign w:val="center"/>
                </w:tcPr>
                <w:p w14:paraId="44E67F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65.7</w:t>
                  </w:r>
                </w:p>
              </w:tc>
              <w:tc>
                <w:tcPr>
                  <w:tcW w:w="645" w:type="dxa"/>
                  <w:tcBorders>
                    <w:tl2br w:val="nil"/>
                    <w:tr2bl w:val="nil"/>
                  </w:tcBorders>
                  <w:vAlign w:val="center"/>
                </w:tcPr>
                <w:p w14:paraId="7754C3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365d</w:t>
                  </w:r>
                </w:p>
              </w:tc>
            </w:tr>
            <w:tr w14:paraId="400CE1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40" w:type="dxa"/>
                  <w:gridSpan w:val="5"/>
                  <w:tcBorders>
                    <w:tl2br w:val="nil"/>
                    <w:tr2bl w:val="nil"/>
                  </w:tcBorders>
                  <w:vAlign w:val="center"/>
                </w:tcPr>
                <w:p w14:paraId="76DC97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总用水量</w:t>
                  </w:r>
                </w:p>
              </w:tc>
              <w:tc>
                <w:tcPr>
                  <w:tcW w:w="1364" w:type="dxa"/>
                  <w:tcBorders>
                    <w:tl2br w:val="nil"/>
                    <w:tr2bl w:val="nil"/>
                  </w:tcBorders>
                  <w:vAlign w:val="center"/>
                </w:tcPr>
                <w:p w14:paraId="39EB46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71.02</w:t>
                  </w:r>
                </w:p>
              </w:tc>
              <w:tc>
                <w:tcPr>
                  <w:tcW w:w="1652" w:type="dxa"/>
                  <w:tcBorders>
                    <w:tl2br w:val="nil"/>
                    <w:tr2bl w:val="nil"/>
                  </w:tcBorders>
                  <w:vAlign w:val="center"/>
                </w:tcPr>
                <w:p w14:paraId="6A1842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21645.45</w:t>
                  </w:r>
                </w:p>
              </w:tc>
              <w:tc>
                <w:tcPr>
                  <w:tcW w:w="645" w:type="dxa"/>
                  <w:tcBorders>
                    <w:tl2br w:val="nil"/>
                    <w:tr2bl w:val="nil"/>
                  </w:tcBorders>
                  <w:vAlign w:val="center"/>
                </w:tcPr>
                <w:p w14:paraId="7F419C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r>
          </w:tbl>
          <w:p w14:paraId="104FCF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2）排水</w:t>
            </w:r>
          </w:p>
          <w:p w14:paraId="2E4023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本项目排水包括病房废水、门诊废水、行政人员废水、卫生清洁废水等。全部废水均作为医疗废水排入化粪池+污水处理设施处理后，经市政管网汇入昌平污水处理厂。项目废水排放情况详见下表。</w:t>
            </w:r>
          </w:p>
          <w:p w14:paraId="232A68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本项目不设发热门诊、传染门诊等，不涉及特殊医疗废水。</w:t>
            </w:r>
          </w:p>
          <w:p w14:paraId="33DA0B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lang w:val="en-US" w:eastAsia="zh-CN"/>
                <w14:textFill>
                  <w14:solidFill>
                    <w14:schemeClr w14:val="tx1"/>
                  </w14:solidFill>
                </w14:textFill>
              </w:rPr>
              <w:t>表2-7 项目排水情况一览表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448"/>
              <w:gridCol w:w="556"/>
              <w:gridCol w:w="1004"/>
              <w:gridCol w:w="1405"/>
              <w:gridCol w:w="1405"/>
              <w:gridCol w:w="818"/>
              <w:gridCol w:w="1204"/>
              <w:gridCol w:w="1182"/>
            </w:tblGrid>
            <w:tr w14:paraId="17F692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tcBorders>
                    <w:tl2br w:val="nil"/>
                    <w:tr2bl w:val="nil"/>
                  </w:tcBorders>
                  <w:vAlign w:val="center"/>
                </w:tcPr>
                <w:p w14:paraId="6A0326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楼号</w:t>
                  </w:r>
                </w:p>
              </w:tc>
              <w:tc>
                <w:tcPr>
                  <w:tcW w:w="2008" w:type="dxa"/>
                  <w:gridSpan w:val="3"/>
                  <w:tcBorders>
                    <w:tl2br w:val="nil"/>
                    <w:tr2bl w:val="nil"/>
                  </w:tcBorders>
                  <w:vAlign w:val="center"/>
                </w:tcPr>
                <w:p w14:paraId="4EA700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排水明细</w:t>
                  </w:r>
                </w:p>
              </w:tc>
              <w:tc>
                <w:tcPr>
                  <w:tcW w:w="1405" w:type="dxa"/>
                  <w:tcBorders>
                    <w:tl2br w:val="nil"/>
                    <w:tr2bl w:val="nil"/>
                  </w:tcBorders>
                  <w:vAlign w:val="center"/>
                </w:tcPr>
                <w:p w14:paraId="195E76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日用水量m</w:t>
                  </w:r>
                  <w:r>
                    <w:rPr>
                      <w:rFonts w:hint="eastAsia" w:cs="Times New Roman" w:eastAsiaTheme="minorEastAsia"/>
                      <w:b/>
                      <w:bCs/>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/d</w:t>
                  </w:r>
                </w:p>
              </w:tc>
              <w:tc>
                <w:tcPr>
                  <w:tcW w:w="1405" w:type="dxa"/>
                  <w:tcBorders>
                    <w:tl2br w:val="nil"/>
                    <w:tr2bl w:val="nil"/>
                  </w:tcBorders>
                  <w:vAlign w:val="center"/>
                </w:tcPr>
                <w:p w14:paraId="2B963C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年用水量m</w:t>
                  </w:r>
                  <w:r>
                    <w:rPr>
                      <w:rFonts w:hint="eastAsia" w:cs="Times New Roman" w:eastAsiaTheme="minorEastAsia"/>
                      <w:b/>
                      <w:bCs/>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/a</w:t>
                  </w:r>
                </w:p>
              </w:tc>
              <w:tc>
                <w:tcPr>
                  <w:tcW w:w="818" w:type="dxa"/>
                  <w:tcBorders>
                    <w:tl2br w:val="nil"/>
                    <w:tr2bl w:val="nil"/>
                  </w:tcBorders>
                  <w:vAlign w:val="center"/>
                </w:tcPr>
                <w:p w14:paraId="029732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排放系数</w:t>
                  </w:r>
                </w:p>
              </w:tc>
              <w:tc>
                <w:tcPr>
                  <w:tcW w:w="1204" w:type="dxa"/>
                  <w:tcBorders>
                    <w:tl2br w:val="nil"/>
                    <w:tr2bl w:val="nil"/>
                  </w:tcBorders>
                  <w:vAlign w:val="center"/>
                </w:tcPr>
                <w:p w14:paraId="5BB87B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日排水量m</w:t>
                  </w:r>
                  <w:r>
                    <w:rPr>
                      <w:rFonts w:hint="eastAsia" w:cs="Times New Roman" w:eastAsiaTheme="minorEastAsia"/>
                      <w:b/>
                      <w:bCs/>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/d</w:t>
                  </w:r>
                </w:p>
              </w:tc>
              <w:tc>
                <w:tcPr>
                  <w:tcW w:w="1182" w:type="dxa"/>
                  <w:tcBorders>
                    <w:tl2br w:val="nil"/>
                    <w:tr2bl w:val="nil"/>
                  </w:tcBorders>
                  <w:vAlign w:val="center"/>
                </w:tcPr>
                <w:p w14:paraId="367BBC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年排水量m</w:t>
                  </w:r>
                  <w:r>
                    <w:rPr>
                      <w:rFonts w:hint="eastAsia" w:cs="Times New Roman" w:eastAsiaTheme="minorEastAsia"/>
                      <w:b/>
                      <w:bCs/>
                      <w:color w:val="000000" w:themeColor="text1"/>
                      <w:sz w:val="21"/>
                      <w:szCs w:val="21"/>
                      <w:highlight w:val="none"/>
                      <w:vertAlign w:val="superscript"/>
                      <w:lang w:val="en-US" w:eastAsia="zh-CN"/>
                      <w14:textFill>
                        <w14:solidFill>
                          <w14:schemeClr w14:val="tx1"/>
                        </w14:solidFill>
                      </w14:textFill>
                    </w:rPr>
                    <w:t>3</w:t>
                  </w:r>
                  <w:r>
                    <w:rPr>
                      <w:rFonts w:hint="eastAsia" w:cs="Times New Roman" w:eastAsiaTheme="minorEastAsia"/>
                      <w:b/>
                      <w:bCs/>
                      <w:color w:val="000000" w:themeColor="text1"/>
                      <w:sz w:val="21"/>
                      <w:szCs w:val="21"/>
                      <w:highlight w:val="none"/>
                      <w:vertAlign w:val="baseline"/>
                      <w:lang w:val="en-US" w:eastAsia="zh-CN"/>
                      <w14:textFill>
                        <w14:solidFill>
                          <w14:schemeClr w14:val="tx1"/>
                        </w14:solidFill>
                      </w14:textFill>
                    </w:rPr>
                    <w:t>/a</w:t>
                  </w:r>
                </w:p>
              </w:tc>
            </w:tr>
            <w:tr w14:paraId="676272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9" w:type="dxa"/>
                  <w:vMerge w:val="restart"/>
                  <w:tcBorders>
                    <w:tl2br w:val="nil"/>
                    <w:tr2bl w:val="nil"/>
                  </w:tcBorders>
                  <w:vAlign w:val="center"/>
                </w:tcPr>
                <w:p w14:paraId="47D469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3号楼</w:t>
                  </w:r>
                </w:p>
              </w:tc>
              <w:tc>
                <w:tcPr>
                  <w:tcW w:w="448" w:type="dxa"/>
                  <w:vMerge w:val="restart"/>
                  <w:tcBorders>
                    <w:tl2br w:val="nil"/>
                    <w:tr2bl w:val="nil"/>
                  </w:tcBorders>
                  <w:vAlign w:val="center"/>
                </w:tcPr>
                <w:p w14:paraId="330C37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病房</w:t>
                  </w:r>
                </w:p>
              </w:tc>
              <w:tc>
                <w:tcPr>
                  <w:tcW w:w="1560" w:type="dxa"/>
                  <w:gridSpan w:val="2"/>
                  <w:tcBorders>
                    <w:tl2br w:val="nil"/>
                    <w:tr2bl w:val="nil"/>
                  </w:tcBorders>
                  <w:vAlign w:val="center"/>
                </w:tcPr>
                <w:p w14:paraId="0E1617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住院患者</w:t>
                  </w:r>
                </w:p>
              </w:tc>
              <w:tc>
                <w:tcPr>
                  <w:tcW w:w="1405" w:type="dxa"/>
                  <w:tcBorders>
                    <w:tl2br w:val="nil"/>
                    <w:tr2bl w:val="nil"/>
                  </w:tcBorders>
                  <w:vAlign w:val="center"/>
                </w:tcPr>
                <w:p w14:paraId="656EFF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28.73</w:t>
                  </w:r>
                </w:p>
              </w:tc>
              <w:tc>
                <w:tcPr>
                  <w:tcW w:w="1405" w:type="dxa"/>
                  <w:tcBorders>
                    <w:tl2br w:val="nil"/>
                    <w:tr2bl w:val="nil"/>
                  </w:tcBorders>
                  <w:vAlign w:val="center"/>
                </w:tcPr>
                <w:p w14:paraId="609319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10486.45</w:t>
                  </w:r>
                </w:p>
              </w:tc>
              <w:tc>
                <w:tcPr>
                  <w:tcW w:w="818" w:type="dxa"/>
                  <w:tcBorders>
                    <w:tl2br w:val="nil"/>
                    <w:tr2bl w:val="nil"/>
                  </w:tcBorders>
                  <w:vAlign w:val="center"/>
                </w:tcPr>
                <w:p w14:paraId="16A2A3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6CF1B4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25.857</w:t>
                  </w:r>
                </w:p>
              </w:tc>
              <w:tc>
                <w:tcPr>
                  <w:tcW w:w="1182" w:type="dxa"/>
                  <w:tcBorders>
                    <w:tl2br w:val="nil"/>
                    <w:tr2bl w:val="nil"/>
                  </w:tcBorders>
                  <w:vAlign w:val="center"/>
                </w:tcPr>
                <w:p w14:paraId="160033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9437.805</w:t>
                  </w:r>
                </w:p>
              </w:tc>
            </w:tr>
            <w:tr w14:paraId="06F6AE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425567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48" w:type="dxa"/>
                  <w:vMerge w:val="continue"/>
                  <w:tcBorders>
                    <w:tl2br w:val="nil"/>
                    <w:tr2bl w:val="nil"/>
                  </w:tcBorders>
                  <w:vAlign w:val="center"/>
                </w:tcPr>
                <w:p w14:paraId="3D50C6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560" w:type="dxa"/>
                  <w:gridSpan w:val="2"/>
                  <w:tcBorders>
                    <w:tl2br w:val="nil"/>
                    <w:tr2bl w:val="nil"/>
                  </w:tcBorders>
                  <w:vAlign w:val="center"/>
                </w:tcPr>
                <w:p w14:paraId="4DFF37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病房医务人员</w:t>
                  </w:r>
                </w:p>
              </w:tc>
              <w:tc>
                <w:tcPr>
                  <w:tcW w:w="1405" w:type="dxa"/>
                  <w:tcBorders>
                    <w:tl2br w:val="nil"/>
                    <w:tr2bl w:val="nil"/>
                  </w:tcBorders>
                  <w:vAlign w:val="center"/>
                </w:tcPr>
                <w:p w14:paraId="19442B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31.46</w:t>
                  </w:r>
                </w:p>
              </w:tc>
              <w:tc>
                <w:tcPr>
                  <w:tcW w:w="1405" w:type="dxa"/>
                  <w:tcBorders>
                    <w:tl2br w:val="nil"/>
                    <w:tr2bl w:val="nil"/>
                  </w:tcBorders>
                  <w:vAlign w:val="center"/>
                </w:tcPr>
                <w:p w14:paraId="4EF391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9438</w:t>
                  </w:r>
                </w:p>
              </w:tc>
              <w:tc>
                <w:tcPr>
                  <w:tcW w:w="818" w:type="dxa"/>
                  <w:tcBorders>
                    <w:tl2br w:val="nil"/>
                    <w:tr2bl w:val="nil"/>
                  </w:tcBorders>
                  <w:vAlign w:val="center"/>
                </w:tcPr>
                <w:p w14:paraId="15EA0F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40312F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28.314</w:t>
                  </w:r>
                </w:p>
              </w:tc>
              <w:tc>
                <w:tcPr>
                  <w:tcW w:w="1182" w:type="dxa"/>
                  <w:tcBorders>
                    <w:tl2br w:val="nil"/>
                    <w:tr2bl w:val="nil"/>
                  </w:tcBorders>
                  <w:vAlign w:val="center"/>
                </w:tcPr>
                <w:p w14:paraId="4D6532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8494.2</w:t>
                  </w:r>
                </w:p>
              </w:tc>
            </w:tr>
            <w:tr w14:paraId="1067BD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1AB94D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48" w:type="dxa"/>
                  <w:vMerge w:val="restart"/>
                  <w:tcBorders>
                    <w:tl2br w:val="nil"/>
                    <w:tr2bl w:val="nil"/>
                  </w:tcBorders>
                  <w:vAlign w:val="center"/>
                </w:tcPr>
                <w:p w14:paraId="2C0E95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门诊</w:t>
                  </w:r>
                </w:p>
              </w:tc>
              <w:tc>
                <w:tcPr>
                  <w:tcW w:w="1560" w:type="dxa"/>
                  <w:gridSpan w:val="2"/>
                  <w:tcBorders>
                    <w:tl2br w:val="nil"/>
                    <w:tr2bl w:val="nil"/>
                  </w:tcBorders>
                  <w:vAlign w:val="center"/>
                </w:tcPr>
                <w:p w14:paraId="219F61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门诊患者</w:t>
                  </w:r>
                </w:p>
              </w:tc>
              <w:tc>
                <w:tcPr>
                  <w:tcW w:w="1405" w:type="dxa"/>
                  <w:tcBorders>
                    <w:tl2br w:val="nil"/>
                    <w:tr2bl w:val="nil"/>
                  </w:tcBorders>
                  <w:vAlign w:val="center"/>
                </w:tcPr>
                <w:p w14:paraId="755C3A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1.95</w:t>
                  </w:r>
                </w:p>
              </w:tc>
              <w:tc>
                <w:tcPr>
                  <w:tcW w:w="1405" w:type="dxa"/>
                  <w:tcBorders>
                    <w:tl2br w:val="nil"/>
                    <w:tr2bl w:val="nil"/>
                  </w:tcBorders>
                  <w:vAlign w:val="center"/>
                </w:tcPr>
                <w:p w14:paraId="3CAE1B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711.75</w:t>
                  </w:r>
                </w:p>
              </w:tc>
              <w:tc>
                <w:tcPr>
                  <w:tcW w:w="818" w:type="dxa"/>
                  <w:tcBorders>
                    <w:tl2br w:val="nil"/>
                    <w:tr2bl w:val="nil"/>
                  </w:tcBorders>
                  <w:vAlign w:val="center"/>
                </w:tcPr>
                <w:p w14:paraId="51CDA0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3008E2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1.755</w:t>
                  </w:r>
                </w:p>
              </w:tc>
              <w:tc>
                <w:tcPr>
                  <w:tcW w:w="1182" w:type="dxa"/>
                  <w:tcBorders>
                    <w:tl2br w:val="nil"/>
                    <w:tr2bl w:val="nil"/>
                  </w:tcBorders>
                  <w:vAlign w:val="center"/>
                </w:tcPr>
                <w:p w14:paraId="649A71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640.575</w:t>
                  </w:r>
                </w:p>
              </w:tc>
            </w:tr>
            <w:tr w14:paraId="412293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59FF4A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48" w:type="dxa"/>
                  <w:vMerge w:val="continue"/>
                  <w:tcBorders>
                    <w:tl2br w:val="nil"/>
                    <w:tr2bl w:val="nil"/>
                  </w:tcBorders>
                  <w:vAlign w:val="center"/>
                </w:tcPr>
                <w:p w14:paraId="30DF74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560" w:type="dxa"/>
                  <w:gridSpan w:val="2"/>
                  <w:tcBorders>
                    <w:tl2br w:val="nil"/>
                    <w:tr2bl w:val="nil"/>
                  </w:tcBorders>
                  <w:vAlign w:val="center"/>
                </w:tcPr>
                <w:p w14:paraId="587B33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门诊医务人员</w:t>
                  </w:r>
                </w:p>
              </w:tc>
              <w:tc>
                <w:tcPr>
                  <w:tcW w:w="1405" w:type="dxa"/>
                  <w:tcBorders>
                    <w:tl2br w:val="nil"/>
                    <w:tr2bl w:val="nil"/>
                  </w:tcBorders>
                  <w:vAlign w:val="center"/>
                </w:tcPr>
                <w:p w14:paraId="650409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3.78</w:t>
                  </w:r>
                </w:p>
              </w:tc>
              <w:tc>
                <w:tcPr>
                  <w:tcW w:w="1405" w:type="dxa"/>
                  <w:tcBorders>
                    <w:tl2br w:val="nil"/>
                    <w:tr2bl w:val="nil"/>
                  </w:tcBorders>
                  <w:vAlign w:val="center"/>
                </w:tcPr>
                <w:p w14:paraId="223BBC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1134</w:t>
                  </w:r>
                </w:p>
              </w:tc>
              <w:tc>
                <w:tcPr>
                  <w:tcW w:w="818" w:type="dxa"/>
                  <w:tcBorders>
                    <w:tl2br w:val="nil"/>
                    <w:tr2bl w:val="nil"/>
                  </w:tcBorders>
                  <w:vAlign w:val="center"/>
                </w:tcPr>
                <w:p w14:paraId="3A166D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3535D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3.402</w:t>
                  </w:r>
                </w:p>
              </w:tc>
              <w:tc>
                <w:tcPr>
                  <w:tcW w:w="1182" w:type="dxa"/>
                  <w:tcBorders>
                    <w:tl2br w:val="nil"/>
                    <w:tr2bl w:val="nil"/>
                  </w:tcBorders>
                  <w:vAlign w:val="center"/>
                </w:tcPr>
                <w:p w14:paraId="0BC965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1020.6</w:t>
                  </w:r>
                </w:p>
              </w:tc>
            </w:tr>
            <w:tr w14:paraId="412E98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19D9B8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008" w:type="dxa"/>
                  <w:gridSpan w:val="3"/>
                  <w:tcBorders>
                    <w:tl2br w:val="nil"/>
                    <w:tr2bl w:val="nil"/>
                  </w:tcBorders>
                  <w:vAlign w:val="center"/>
                </w:tcPr>
                <w:p w14:paraId="19D3DB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行政人员</w:t>
                  </w:r>
                </w:p>
              </w:tc>
              <w:tc>
                <w:tcPr>
                  <w:tcW w:w="1405" w:type="dxa"/>
                  <w:tcBorders>
                    <w:tl2br w:val="nil"/>
                    <w:tr2bl w:val="nil"/>
                  </w:tcBorders>
                  <w:vAlign w:val="center"/>
                </w:tcPr>
                <w:p w14:paraId="07704E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1.1</w:t>
                  </w:r>
                </w:p>
              </w:tc>
              <w:tc>
                <w:tcPr>
                  <w:tcW w:w="1405" w:type="dxa"/>
                  <w:tcBorders>
                    <w:tl2br w:val="nil"/>
                    <w:tr2bl w:val="nil"/>
                  </w:tcBorders>
                  <w:vAlign w:val="center"/>
                </w:tcPr>
                <w:p w14:paraId="335964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330</w:t>
                  </w:r>
                </w:p>
              </w:tc>
              <w:tc>
                <w:tcPr>
                  <w:tcW w:w="818" w:type="dxa"/>
                  <w:tcBorders>
                    <w:tl2br w:val="nil"/>
                    <w:tr2bl w:val="nil"/>
                  </w:tcBorders>
                  <w:vAlign w:val="center"/>
                </w:tcPr>
                <w:p w14:paraId="2CE624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10BAFE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0.99</w:t>
                  </w:r>
                </w:p>
              </w:tc>
              <w:tc>
                <w:tcPr>
                  <w:tcW w:w="1182" w:type="dxa"/>
                  <w:tcBorders>
                    <w:tl2br w:val="nil"/>
                    <w:tr2bl w:val="nil"/>
                  </w:tcBorders>
                  <w:vAlign w:val="center"/>
                </w:tcPr>
                <w:p w14:paraId="36DBF3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297</w:t>
                  </w:r>
                </w:p>
              </w:tc>
            </w:tr>
            <w:tr w14:paraId="17E77A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48B247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008" w:type="dxa"/>
                  <w:gridSpan w:val="3"/>
                  <w:tcBorders>
                    <w:tl2br w:val="nil"/>
                    <w:tr2bl w:val="nil"/>
                  </w:tcBorders>
                  <w:vAlign w:val="center"/>
                </w:tcPr>
                <w:p w14:paraId="3B1399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卫生清洁</w:t>
                  </w:r>
                </w:p>
              </w:tc>
              <w:tc>
                <w:tcPr>
                  <w:tcW w:w="1405" w:type="dxa"/>
                  <w:tcBorders>
                    <w:tl2br w:val="nil"/>
                    <w:tr2bl w:val="nil"/>
                  </w:tcBorders>
                  <w:vAlign w:val="center"/>
                </w:tcPr>
                <w:p w14:paraId="037355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2.85</w:t>
                  </w:r>
                </w:p>
              </w:tc>
              <w:tc>
                <w:tcPr>
                  <w:tcW w:w="1405" w:type="dxa"/>
                  <w:tcBorders>
                    <w:tl2br w:val="nil"/>
                    <w:tr2bl w:val="nil"/>
                  </w:tcBorders>
                  <w:vAlign w:val="center"/>
                </w:tcPr>
                <w:p w14:paraId="7BB9B9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1040.25</w:t>
                  </w:r>
                </w:p>
              </w:tc>
              <w:tc>
                <w:tcPr>
                  <w:tcW w:w="818" w:type="dxa"/>
                  <w:tcBorders>
                    <w:tl2br w:val="nil"/>
                    <w:tr2bl w:val="nil"/>
                  </w:tcBorders>
                  <w:vAlign w:val="center"/>
                </w:tcPr>
                <w:p w14:paraId="61C6C1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72BACF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2.565</w:t>
                  </w:r>
                </w:p>
              </w:tc>
              <w:tc>
                <w:tcPr>
                  <w:tcW w:w="1182" w:type="dxa"/>
                  <w:tcBorders>
                    <w:tl2br w:val="nil"/>
                    <w:tr2bl w:val="nil"/>
                  </w:tcBorders>
                  <w:vAlign w:val="center"/>
                </w:tcPr>
                <w:p w14:paraId="3B640A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936.225</w:t>
                  </w:r>
                </w:p>
              </w:tc>
            </w:tr>
            <w:tr w14:paraId="281C46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restart"/>
                  <w:tcBorders>
                    <w:tl2br w:val="nil"/>
                    <w:tr2bl w:val="nil"/>
                  </w:tcBorders>
                  <w:vAlign w:val="center"/>
                </w:tcPr>
                <w:p w14:paraId="246E0A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9号楼</w:t>
                  </w:r>
                </w:p>
              </w:tc>
              <w:tc>
                <w:tcPr>
                  <w:tcW w:w="1004" w:type="dxa"/>
                  <w:gridSpan w:val="2"/>
                  <w:vMerge w:val="restart"/>
                  <w:tcBorders>
                    <w:tl2br w:val="nil"/>
                    <w:tr2bl w:val="nil"/>
                  </w:tcBorders>
                  <w:vAlign w:val="center"/>
                </w:tcPr>
                <w:p w14:paraId="1A4819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门诊</w:t>
                  </w:r>
                </w:p>
              </w:tc>
              <w:tc>
                <w:tcPr>
                  <w:tcW w:w="1004" w:type="dxa"/>
                  <w:tcBorders>
                    <w:tl2br w:val="nil"/>
                    <w:tr2bl w:val="nil"/>
                  </w:tcBorders>
                  <w:vAlign w:val="center"/>
                </w:tcPr>
                <w:p w14:paraId="2B8220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门诊患者</w:t>
                  </w:r>
                </w:p>
              </w:tc>
              <w:tc>
                <w:tcPr>
                  <w:tcW w:w="1405" w:type="dxa"/>
                  <w:tcBorders>
                    <w:tl2br w:val="nil"/>
                    <w:tr2bl w:val="nil"/>
                  </w:tcBorders>
                  <w:vAlign w:val="center"/>
                </w:tcPr>
                <w:p w14:paraId="7E0A41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0.12</w:t>
                  </w:r>
                </w:p>
              </w:tc>
              <w:tc>
                <w:tcPr>
                  <w:tcW w:w="1405" w:type="dxa"/>
                  <w:tcBorders>
                    <w:tl2br w:val="nil"/>
                    <w:tr2bl w:val="nil"/>
                  </w:tcBorders>
                  <w:vAlign w:val="center"/>
                </w:tcPr>
                <w:p w14:paraId="348784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43.8</w:t>
                  </w:r>
                </w:p>
              </w:tc>
              <w:tc>
                <w:tcPr>
                  <w:tcW w:w="818" w:type="dxa"/>
                  <w:tcBorders>
                    <w:tl2br w:val="nil"/>
                    <w:tr2bl w:val="nil"/>
                  </w:tcBorders>
                  <w:vAlign w:val="center"/>
                </w:tcPr>
                <w:p w14:paraId="1EE9EA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073F2C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0.108</w:t>
                  </w:r>
                </w:p>
              </w:tc>
              <w:tc>
                <w:tcPr>
                  <w:tcW w:w="1182" w:type="dxa"/>
                  <w:tcBorders>
                    <w:tl2br w:val="nil"/>
                    <w:tr2bl w:val="nil"/>
                  </w:tcBorders>
                  <w:vAlign w:val="center"/>
                </w:tcPr>
                <w:p w14:paraId="5C8985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39.42</w:t>
                  </w:r>
                </w:p>
              </w:tc>
            </w:tr>
            <w:tr w14:paraId="356C92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385077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004" w:type="dxa"/>
                  <w:gridSpan w:val="2"/>
                  <w:vMerge w:val="continue"/>
                  <w:tcBorders>
                    <w:tl2br w:val="nil"/>
                    <w:tr2bl w:val="nil"/>
                  </w:tcBorders>
                  <w:vAlign w:val="center"/>
                </w:tcPr>
                <w:p w14:paraId="786B66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004" w:type="dxa"/>
                  <w:tcBorders>
                    <w:tl2br w:val="nil"/>
                    <w:tr2bl w:val="nil"/>
                  </w:tcBorders>
                  <w:vAlign w:val="center"/>
                </w:tcPr>
                <w:p w14:paraId="7B180B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门诊医务人员</w:t>
                  </w:r>
                </w:p>
              </w:tc>
              <w:tc>
                <w:tcPr>
                  <w:tcW w:w="1405" w:type="dxa"/>
                  <w:tcBorders>
                    <w:tl2br w:val="nil"/>
                    <w:tr2bl w:val="nil"/>
                  </w:tcBorders>
                  <w:vAlign w:val="center"/>
                </w:tcPr>
                <w:p w14:paraId="5C7625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0.6</w:t>
                  </w:r>
                </w:p>
              </w:tc>
              <w:tc>
                <w:tcPr>
                  <w:tcW w:w="1405" w:type="dxa"/>
                  <w:tcBorders>
                    <w:tl2br w:val="nil"/>
                    <w:tr2bl w:val="nil"/>
                  </w:tcBorders>
                  <w:vAlign w:val="center"/>
                </w:tcPr>
                <w:p w14:paraId="2E4605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180</w:t>
                  </w:r>
                </w:p>
              </w:tc>
              <w:tc>
                <w:tcPr>
                  <w:tcW w:w="818" w:type="dxa"/>
                  <w:tcBorders>
                    <w:tl2br w:val="nil"/>
                    <w:tr2bl w:val="nil"/>
                  </w:tcBorders>
                  <w:vAlign w:val="center"/>
                </w:tcPr>
                <w:p w14:paraId="49E406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5BB887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0.54</w:t>
                  </w:r>
                </w:p>
              </w:tc>
              <w:tc>
                <w:tcPr>
                  <w:tcW w:w="1182" w:type="dxa"/>
                  <w:tcBorders>
                    <w:tl2br w:val="nil"/>
                    <w:tr2bl w:val="nil"/>
                  </w:tcBorders>
                  <w:vAlign w:val="center"/>
                </w:tcPr>
                <w:p w14:paraId="5DDD54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162</w:t>
                  </w:r>
                </w:p>
              </w:tc>
            </w:tr>
            <w:tr w14:paraId="5FDCF4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1768EE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008" w:type="dxa"/>
                  <w:gridSpan w:val="3"/>
                  <w:tcBorders>
                    <w:tl2br w:val="nil"/>
                    <w:tr2bl w:val="nil"/>
                  </w:tcBorders>
                  <w:vAlign w:val="center"/>
                </w:tcPr>
                <w:p w14:paraId="1AA6F1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行政人员</w:t>
                  </w:r>
                </w:p>
              </w:tc>
              <w:tc>
                <w:tcPr>
                  <w:tcW w:w="1405" w:type="dxa"/>
                  <w:tcBorders>
                    <w:tl2br w:val="nil"/>
                    <w:tr2bl w:val="nil"/>
                  </w:tcBorders>
                  <w:vAlign w:val="center"/>
                </w:tcPr>
                <w:p w14:paraId="64D05D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0.25</w:t>
                  </w:r>
                </w:p>
              </w:tc>
              <w:tc>
                <w:tcPr>
                  <w:tcW w:w="1405" w:type="dxa"/>
                  <w:tcBorders>
                    <w:tl2br w:val="nil"/>
                    <w:tr2bl w:val="nil"/>
                  </w:tcBorders>
                  <w:vAlign w:val="center"/>
                </w:tcPr>
                <w:p w14:paraId="51D551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75</w:t>
                  </w:r>
                </w:p>
              </w:tc>
              <w:tc>
                <w:tcPr>
                  <w:tcW w:w="818" w:type="dxa"/>
                  <w:tcBorders>
                    <w:tl2br w:val="nil"/>
                    <w:tr2bl w:val="nil"/>
                  </w:tcBorders>
                  <w:vAlign w:val="center"/>
                </w:tcPr>
                <w:p w14:paraId="4D3091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500196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0.225</w:t>
                  </w:r>
                </w:p>
              </w:tc>
              <w:tc>
                <w:tcPr>
                  <w:tcW w:w="1182" w:type="dxa"/>
                  <w:tcBorders>
                    <w:tl2br w:val="nil"/>
                    <w:tr2bl w:val="nil"/>
                  </w:tcBorders>
                  <w:vAlign w:val="center"/>
                </w:tcPr>
                <w:p w14:paraId="2473DA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67.5</w:t>
                  </w:r>
                </w:p>
              </w:tc>
            </w:tr>
            <w:tr w14:paraId="5BC14C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9" w:type="dxa"/>
                  <w:vMerge w:val="continue"/>
                  <w:tcBorders>
                    <w:tl2br w:val="nil"/>
                    <w:tr2bl w:val="nil"/>
                  </w:tcBorders>
                  <w:vAlign w:val="center"/>
                </w:tcPr>
                <w:p w14:paraId="1D06E8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p>
              </w:tc>
              <w:tc>
                <w:tcPr>
                  <w:tcW w:w="2008" w:type="dxa"/>
                  <w:gridSpan w:val="3"/>
                  <w:tcBorders>
                    <w:tl2br w:val="nil"/>
                    <w:tr2bl w:val="nil"/>
                  </w:tcBorders>
                  <w:vAlign w:val="center"/>
                </w:tcPr>
                <w:p w14:paraId="62B093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卫生清洁用水</w:t>
                  </w:r>
                </w:p>
              </w:tc>
              <w:tc>
                <w:tcPr>
                  <w:tcW w:w="1405" w:type="dxa"/>
                  <w:tcBorders>
                    <w:tl2br w:val="nil"/>
                    <w:tr2bl w:val="nil"/>
                  </w:tcBorders>
                  <w:vAlign w:val="center"/>
                </w:tcPr>
                <w:p w14:paraId="612E96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0.18</w:t>
                  </w:r>
                </w:p>
              </w:tc>
              <w:tc>
                <w:tcPr>
                  <w:tcW w:w="1405" w:type="dxa"/>
                  <w:tcBorders>
                    <w:tl2br w:val="nil"/>
                    <w:tr2bl w:val="nil"/>
                  </w:tcBorders>
                  <w:vAlign w:val="center"/>
                </w:tcPr>
                <w:p w14:paraId="3D123A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65.7</w:t>
                  </w:r>
                </w:p>
              </w:tc>
              <w:tc>
                <w:tcPr>
                  <w:tcW w:w="818" w:type="dxa"/>
                  <w:tcBorders>
                    <w:tl2br w:val="nil"/>
                    <w:tr2bl w:val="nil"/>
                  </w:tcBorders>
                  <w:vAlign w:val="center"/>
                </w:tcPr>
                <w:p w14:paraId="247B9C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90%</w:t>
                  </w:r>
                </w:p>
              </w:tc>
              <w:tc>
                <w:tcPr>
                  <w:tcW w:w="1204" w:type="dxa"/>
                  <w:tcBorders>
                    <w:tl2br w:val="nil"/>
                    <w:tr2bl w:val="nil"/>
                  </w:tcBorders>
                  <w:vAlign w:val="center"/>
                </w:tcPr>
                <w:p w14:paraId="34D809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0.162</w:t>
                  </w:r>
                </w:p>
              </w:tc>
              <w:tc>
                <w:tcPr>
                  <w:tcW w:w="1182" w:type="dxa"/>
                  <w:tcBorders>
                    <w:tl2br w:val="nil"/>
                    <w:tr2bl w:val="nil"/>
                  </w:tcBorders>
                  <w:vAlign w:val="center"/>
                </w:tcPr>
                <w:p w14:paraId="32790B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59.13</w:t>
                  </w:r>
                </w:p>
              </w:tc>
            </w:tr>
            <w:tr w14:paraId="72066C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97" w:type="dxa"/>
                  <w:gridSpan w:val="6"/>
                  <w:tcBorders>
                    <w:tl2br w:val="nil"/>
                    <w:tr2bl w:val="nil"/>
                  </w:tcBorders>
                  <w:vAlign w:val="center"/>
                </w:tcPr>
                <w:p w14:paraId="6CBB82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总排水量</w:t>
                  </w:r>
                </w:p>
              </w:tc>
              <w:tc>
                <w:tcPr>
                  <w:tcW w:w="818" w:type="dxa"/>
                  <w:tcBorders>
                    <w:tl2br w:val="nil"/>
                    <w:tr2bl w:val="nil"/>
                  </w:tcBorders>
                  <w:vAlign w:val="center"/>
                </w:tcPr>
                <w:p w14:paraId="721951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1204" w:type="dxa"/>
                  <w:tcBorders>
                    <w:tl2br w:val="nil"/>
                    <w:tr2bl w:val="nil"/>
                  </w:tcBorders>
                  <w:vAlign w:val="center"/>
                </w:tcPr>
                <w:p w14:paraId="34A4DB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63.918</w:t>
                  </w:r>
                </w:p>
              </w:tc>
              <w:tc>
                <w:tcPr>
                  <w:tcW w:w="1182" w:type="dxa"/>
                  <w:tcBorders>
                    <w:tl2br w:val="nil"/>
                    <w:tr2bl w:val="nil"/>
                  </w:tcBorders>
                  <w:vAlign w:val="center"/>
                </w:tcPr>
                <w:p w14:paraId="0EF1AF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sz w:val="21"/>
                      <w:szCs w:val="21"/>
                      <w:highlight w:val="none"/>
                      <w:vertAlign w:val="baseline"/>
                      <w:lang w:val="en-US" w:eastAsia="zh-CN"/>
                      <w14:textFill>
                        <w14:solidFill>
                          <w14:schemeClr w14:val="tx1"/>
                        </w14:solidFill>
                      </w14:textFill>
                    </w:rPr>
                    <w:t>21154.455</w:t>
                  </w:r>
                </w:p>
              </w:tc>
            </w:tr>
          </w:tbl>
          <w:p w14:paraId="0371B9E3">
            <w:pPr>
              <w:pStyle w:val="13"/>
              <w:keepNext w:val="0"/>
              <w:keepLines w:val="0"/>
              <w:suppressLineNumbers w:val="0"/>
              <w:spacing w:beforeAutospacing="0" w:afterAutospacing="0"/>
              <w:ind w:left="0"/>
              <w:jc w:val="center"/>
              <w:rPr>
                <w:rFonts w:hint="default" w:ascii="Times New Roman" w:hAnsi="Times New Roman" w:eastAsia="宋体" w:cs="Times New Roman"/>
                <w:sz w:val="24"/>
                <w:highlight w:val="none"/>
              </w:rPr>
            </w:pPr>
            <w:r>
              <w:rPr>
                <w:rFonts w:hint="default" w:ascii="Times New Roman" w:hAnsi="Times New Roman" w:eastAsia="宋体" w:cs="Times New Roman"/>
                <w:highlight w:val="none"/>
              </w:rPr>
              <w:object>
                <v:shape id="_x0000_i1025" o:spt="75" type="#_x0000_t75" style="height:446.75pt;width:419.85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9" r:id="rId19">
                  <o:LockedField>false</o:LockedField>
                </o:OLEObject>
              </w:object>
            </w:r>
            <w:r>
              <w:rPr>
                <w:rFonts w:hint="default" w:ascii="Times New Roman" w:hAnsi="Times New Roman" w:eastAsia="宋体" w:cs="Times New Roman"/>
                <w:b/>
                <w:bCs/>
                <w:sz w:val="21"/>
                <w:szCs w:val="16"/>
                <w:highlight w:val="none"/>
              </w:rPr>
              <w:t>图2-</w:t>
            </w:r>
            <w:r>
              <w:rPr>
                <w:rFonts w:hint="default" w:ascii="Times New Roman" w:hAnsi="Times New Roman" w:eastAsia="宋体" w:cs="Times New Roman"/>
                <w:b/>
                <w:bCs/>
                <w:sz w:val="21"/>
                <w:szCs w:val="16"/>
                <w:highlight w:val="none"/>
                <w:lang w:val="en-US" w:eastAsia="zh-CN"/>
              </w:rPr>
              <w:t>1本项目</w:t>
            </w:r>
            <w:r>
              <w:rPr>
                <w:rFonts w:hint="default" w:ascii="Times New Roman" w:hAnsi="Times New Roman" w:eastAsia="宋体" w:cs="Times New Roman"/>
                <w:b/>
                <w:bCs/>
                <w:sz w:val="21"/>
                <w:szCs w:val="16"/>
                <w:highlight w:val="none"/>
              </w:rPr>
              <w:t>水平衡图（t/a）</w:t>
            </w:r>
          </w:p>
          <w:p w14:paraId="611A091F">
            <w:pPr>
              <w:keepNext w:val="0"/>
              <w:keepLines w:val="0"/>
              <w:suppressLineNumbers w:val="0"/>
              <w:adjustRightInd w:val="0"/>
              <w:snapToGrid w:val="0"/>
              <w:spacing w:before="72" w:beforeLines="30" w:beforeAutospacing="0" w:after="0" w:afterAutospacing="0" w:line="360" w:lineRule="auto"/>
              <w:ind w:left="0" w:right="0"/>
              <w:jc w:val="center"/>
              <w:rPr>
                <w:rFonts w:hint="default" w:ascii="Times New Roman" w:hAnsi="Times New Roman" w:eastAsia="宋体" w:cs="Times New Roman"/>
                <w:b/>
                <w:bCs/>
                <w:sz w:val="24"/>
                <w:highlight w:val="none"/>
              </w:rPr>
            </w:pPr>
            <w:r>
              <w:rPr>
                <w:rFonts w:hint="default" w:ascii="Times New Roman" w:hAnsi="Times New Roman" w:eastAsia="宋体" w:cs="Times New Roman"/>
                <w:highlight w:val="none"/>
              </w:rPr>
              <w:object>
                <v:shape id="_x0000_i1026" o:spt="75" type="#_x0000_t75" style="height:446.75pt;width:419.85pt;" o:ole="t" filled="f" o:preferrelative="t" stroked="f" coordsize="21600,21600">
                  <v:path/>
                  <v:fill on="f" focussize="0,0"/>
                  <v:stroke on="f"/>
                  <v:imagedata r:id="rId22" o:title=""/>
                  <o:lock v:ext="edit" aspectratio="f"/>
                  <w10:wrap type="none"/>
                  <w10:anchorlock/>
                </v:shape>
                <o:OLEObject Type="Embed" ProgID="Visio.Drawing.15" ShapeID="_x0000_i1026" DrawAspect="Content" ObjectID="_1468075730" r:id="rId21">
                  <o:LockedField>false</o:LockedField>
                </o:OLEObject>
              </w:object>
            </w:r>
            <w:r>
              <w:rPr>
                <w:rFonts w:hint="default" w:ascii="Times New Roman" w:hAnsi="Times New Roman" w:eastAsia="宋体" w:cs="Times New Roman"/>
                <w:b/>
                <w:bCs/>
                <w:sz w:val="21"/>
                <w:szCs w:val="21"/>
                <w:highlight w:val="none"/>
              </w:rPr>
              <w:t>图2-2</w:t>
            </w:r>
            <w:r>
              <w:rPr>
                <w:rFonts w:hint="default" w:ascii="Times New Roman" w:hAnsi="Times New Roman" w:eastAsia="宋体" w:cs="Times New Roman"/>
                <w:b/>
                <w:bCs/>
                <w:sz w:val="21"/>
                <w:szCs w:val="21"/>
                <w:highlight w:val="none"/>
                <w:lang w:val="en-US" w:eastAsia="zh-CN"/>
              </w:rPr>
              <w:t>全厂</w:t>
            </w:r>
            <w:r>
              <w:rPr>
                <w:rFonts w:hint="default" w:ascii="Times New Roman" w:hAnsi="Times New Roman" w:eastAsia="宋体" w:cs="Times New Roman"/>
                <w:b/>
                <w:bCs/>
                <w:sz w:val="21"/>
                <w:szCs w:val="21"/>
                <w:highlight w:val="none"/>
              </w:rPr>
              <w:t>水平衡图（t/a）</w:t>
            </w:r>
          </w:p>
          <w:p w14:paraId="4D6C88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（2）供电</w:t>
            </w:r>
          </w:p>
          <w:p w14:paraId="08D03C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本项目用电引自</w:t>
            </w:r>
            <w:r>
              <w:rPr>
                <w:rFonts w:hint="eastAsia"/>
                <w:color w:val="000000" w:themeColor="text1"/>
                <w:highlight w:val="none"/>
                <w:lang w:val="en-US" w:eastAsia="zh-CN"/>
                <w14:textFill>
                  <w14:solidFill>
                    <w14:schemeClr w14:val="tx1"/>
                  </w14:solidFill>
                </w14:textFill>
              </w:rPr>
              <w:t>社区</w:t>
            </w:r>
            <w:r>
              <w:rPr>
                <w:rFonts w:hint="eastAsia" w:cs="Times New Roman" w:eastAsiaTheme="minorEastAsia"/>
                <w:b w:val="0"/>
                <w:bCs w:val="0"/>
                <w:color w:val="000000" w:themeColor="text1"/>
                <w:sz w:val="24"/>
                <w:highlight w:val="none"/>
                <w:lang w:val="en-US" w:eastAsia="zh-CN"/>
                <w14:textFill>
                  <w14:solidFill>
                    <w14:schemeClr w14:val="tx1"/>
                  </w14:solidFill>
                </w14:textFill>
              </w:rPr>
              <w:t>市政电网，电力供应充足，可以满足项目需求。</w:t>
            </w:r>
          </w:p>
          <w:p w14:paraId="630B58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（3）供暖、制冷</w:t>
            </w:r>
          </w:p>
          <w:p w14:paraId="506FB2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本项目冬季供暖依托市政集中供暖，夏季制冷依托社区中央空调。</w:t>
            </w:r>
          </w:p>
        </w:tc>
      </w:tr>
      <w:tr w14:paraId="75AB78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1" w:type="pct"/>
            <w:tcBorders>
              <w:tl2br w:val="nil"/>
              <w:tr2bl w:val="nil"/>
            </w:tcBorders>
            <w:vAlign w:val="center"/>
          </w:tcPr>
          <w:p w14:paraId="2E541F8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highlight w:val="none"/>
                <w14:textFill>
                  <w14:solidFill>
                    <w14:schemeClr w14:val="tx1"/>
                  </w14:solidFill>
                </w14:textFill>
              </w:rPr>
            </w:pPr>
            <w:r>
              <w:rPr>
                <w:rFonts w:hint="default" w:ascii="Times New Roman" w:hAnsi="Times New Roman" w:cs="Times New Roman" w:eastAsiaTheme="minorEastAsia"/>
                <w:b w:val="0"/>
                <w:bCs w:val="0"/>
                <w:color w:val="000000" w:themeColor="text1"/>
                <w:highlight w:val="none"/>
                <w14:textFill>
                  <w14:solidFill>
                    <w14:schemeClr w14:val="tx1"/>
                  </w14:solidFill>
                </w14:textFill>
              </w:rPr>
              <w:t>工艺流程和产排污环节</w:t>
            </w:r>
          </w:p>
        </w:tc>
        <w:tc>
          <w:tcPr>
            <w:tcW w:w="4618" w:type="pct"/>
            <w:tcBorders>
              <w:tl2br w:val="nil"/>
              <w:tr2bl w:val="nil"/>
            </w:tcBorders>
            <w:vAlign w:val="center"/>
          </w:tcPr>
          <w:p w14:paraId="29E69A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1、施工期</w:t>
            </w:r>
          </w:p>
          <w:p w14:paraId="0DC711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本项目利用现有</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建筑</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，不新增占地，不涉及土建工程。施工期间主要工程内容为房屋内部改造和设备安装，施工过程中会产生废气、废水、噪声和固体废物。施工期工艺流程及产污环节见下图。</w:t>
            </w:r>
          </w:p>
          <w:p w14:paraId="485F75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default"/>
                <w:b/>
                <w:color w:val="000000" w:themeColor="text1"/>
                <w:sz w:val="21"/>
                <w:szCs w:val="21"/>
                <w:highlight w:val="none"/>
                <w14:textFill>
                  <w14:solidFill>
                    <w14:schemeClr w14:val="tx1"/>
                  </w14:solidFill>
                </w14:textFill>
              </w:rPr>
              <mc:AlternateContent>
                <mc:Choice Requires="wpc">
                  <w:drawing>
                    <wp:inline distT="0" distB="0" distL="0" distR="0">
                      <wp:extent cx="3190875" cy="1247775"/>
                      <wp:effectExtent l="0" t="0" r="0" b="0"/>
                      <wp:docPr id="467" name="画布 4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 name="文本框 2563"/>
                              <wps:cNvSpPr txBox="1">
                                <a:spLocks noChangeArrowheads="1"/>
                              </wps:cNvSpPr>
                              <wps:spPr bwMode="auto">
                                <a:xfrm>
                                  <a:off x="2607310" y="842645"/>
                                  <a:ext cx="342265" cy="297180"/>
                                </a:xfrm>
                                <a:prstGeom prst="rect">
                                  <a:avLst/>
                                </a:prstGeom>
                                <a:noFill/>
                                <a:ln w="9525">
                                  <a:solidFill>
                                    <a:srgbClr val="000000"/>
                                  </a:solidFill>
                                  <a:miter lim="800000"/>
                                </a:ln>
                              </wps:spPr>
                              <wps:txbx>
                                <w:txbxContent>
                                  <w:p w14:paraId="648CB560">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竣工</w:t>
                                    </w:r>
                                  </w:p>
                                </w:txbxContent>
                              </wps:txbx>
                              <wps:bodyPr rot="0" vert="horz" wrap="square" lIns="0" tIns="45720" rIns="0" bIns="45720" anchor="t" anchorCtr="0" upright="1">
                                <a:noAutofit/>
                              </wps:bodyPr>
                            </wps:wsp>
                            <wps:wsp>
                              <wps:cNvPr id="11" name="文本框 2564"/>
                              <wps:cNvSpPr txBox="1">
                                <a:spLocks noChangeArrowheads="1"/>
                              </wps:cNvSpPr>
                              <wps:spPr bwMode="auto">
                                <a:xfrm>
                                  <a:off x="1736725" y="837565"/>
                                  <a:ext cx="626110" cy="297815"/>
                                </a:xfrm>
                                <a:prstGeom prst="rect">
                                  <a:avLst/>
                                </a:prstGeom>
                                <a:noFill/>
                                <a:ln w="9525">
                                  <a:solidFill>
                                    <a:srgbClr val="000000"/>
                                  </a:solidFill>
                                  <a:miter lim="800000"/>
                                </a:ln>
                              </wps:spPr>
                              <wps:txbx>
                                <w:txbxContent>
                                  <w:p w14:paraId="5E4104F4">
                                    <w:pPr>
                                      <w:keepNext w:val="0"/>
                                      <w:keepLines w:val="0"/>
                                      <w:pageBreakBefore w:val="0"/>
                                      <w:widowControl w:val="0"/>
                                      <w:kinsoku/>
                                      <w:wordWrap/>
                                      <w:overflowPunct/>
                                      <w:topLinePunct w:val="0"/>
                                      <w:bidi w:val="0"/>
                                      <w:adjustRightInd w:val="0"/>
                                      <w:snapToGrid w:val="0"/>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场地清理</w:t>
                                    </w:r>
                                  </w:p>
                                </w:txbxContent>
                              </wps:txbx>
                              <wps:bodyPr rot="0" vert="horz" wrap="square" lIns="0" tIns="45720" rIns="0" bIns="45720" anchor="t" anchorCtr="0" upright="1">
                                <a:noAutofit/>
                              </wps:bodyPr>
                            </wps:wsp>
                            <wps:wsp>
                              <wps:cNvPr id="32" name="文本框 2565"/>
                              <wps:cNvSpPr txBox="1">
                                <a:spLocks noChangeArrowheads="1"/>
                              </wps:cNvSpPr>
                              <wps:spPr bwMode="auto">
                                <a:xfrm>
                                  <a:off x="1095375" y="838835"/>
                                  <a:ext cx="400685" cy="297815"/>
                                </a:xfrm>
                                <a:prstGeom prst="rect">
                                  <a:avLst/>
                                </a:prstGeom>
                                <a:noFill/>
                                <a:ln w="9525">
                                  <a:solidFill>
                                    <a:srgbClr val="000000"/>
                                  </a:solidFill>
                                  <a:miter lim="800000"/>
                                </a:ln>
                              </wps:spPr>
                              <wps:txbx>
                                <w:txbxContent>
                                  <w:p w14:paraId="4FBD7B9F">
                                    <w:pPr>
                                      <w:keepNext w:val="0"/>
                                      <w:keepLines w:val="0"/>
                                      <w:pageBreakBefore w:val="0"/>
                                      <w:widowControl w:val="0"/>
                                      <w:kinsoku/>
                                      <w:wordWrap/>
                                      <w:overflowPunct/>
                                      <w:topLinePunct w:val="0"/>
                                      <w:bidi w:val="0"/>
                                      <w:adjustRightInd w:val="0"/>
                                      <w:snapToGrid w:val="0"/>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装修</w:t>
                                    </w:r>
                                  </w:p>
                                </w:txbxContent>
                              </wps:txbx>
                              <wps:bodyPr rot="0" vert="horz" wrap="square" lIns="0" tIns="45720" rIns="0" bIns="45720" anchor="t" anchorCtr="0" upright="1">
                                <a:noAutofit/>
                              </wps:bodyPr>
                            </wps:wsp>
                            <wps:wsp>
                              <wps:cNvPr id="43" name="文本框 2566"/>
                              <wps:cNvSpPr txBox="1">
                                <a:spLocks noChangeArrowheads="1"/>
                              </wps:cNvSpPr>
                              <wps:spPr bwMode="auto">
                                <a:xfrm>
                                  <a:off x="228600" y="842645"/>
                                  <a:ext cx="626110" cy="297180"/>
                                </a:xfrm>
                                <a:prstGeom prst="rect">
                                  <a:avLst/>
                                </a:prstGeom>
                                <a:noFill/>
                                <a:ln w="9525">
                                  <a:solidFill>
                                    <a:srgbClr val="000000"/>
                                  </a:solidFill>
                                  <a:miter lim="800000"/>
                                </a:ln>
                              </wps:spPr>
                              <wps:txbx>
                                <w:txbxContent>
                                  <w:p w14:paraId="2E268CB4">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前期准备</w:t>
                                    </w:r>
                                  </w:p>
                                </w:txbxContent>
                              </wps:txbx>
                              <wps:bodyPr rot="0" vert="horz" wrap="square" lIns="0" tIns="45720" rIns="0" bIns="45720" anchor="t" anchorCtr="0" upright="1">
                                <a:noAutofit/>
                              </wps:bodyPr>
                            </wps:wsp>
                            <wps:wsp>
                              <wps:cNvPr id="61" name="直线 2567"/>
                              <wps:cNvCnPr>
                                <a:cxnSpLocks noChangeShapeType="1"/>
                              </wps:cNvCnPr>
                              <wps:spPr bwMode="auto">
                                <a:xfrm>
                                  <a:off x="876935" y="990600"/>
                                  <a:ext cx="228600" cy="635"/>
                                </a:xfrm>
                                <a:prstGeom prst="line">
                                  <a:avLst/>
                                </a:prstGeom>
                                <a:noFill/>
                                <a:ln w="9525">
                                  <a:solidFill>
                                    <a:srgbClr val="000000"/>
                                  </a:solidFill>
                                  <a:round/>
                                  <a:tailEnd type="triangle" w="med" len="med"/>
                                </a:ln>
                              </wps:spPr>
                              <wps:bodyPr/>
                            </wps:wsp>
                            <wps:wsp>
                              <wps:cNvPr id="460" name="直线 2568"/>
                              <wps:cNvCnPr>
                                <a:cxnSpLocks noChangeShapeType="1"/>
                              </wps:cNvCnPr>
                              <wps:spPr bwMode="auto">
                                <a:xfrm>
                                  <a:off x="1498600" y="981710"/>
                                  <a:ext cx="228600" cy="635"/>
                                </a:xfrm>
                                <a:prstGeom prst="line">
                                  <a:avLst/>
                                </a:prstGeom>
                                <a:noFill/>
                                <a:ln w="9525">
                                  <a:solidFill>
                                    <a:srgbClr val="000000"/>
                                  </a:solidFill>
                                  <a:round/>
                                  <a:tailEnd type="triangle" w="med" len="med"/>
                                </a:ln>
                              </wps:spPr>
                              <wps:bodyPr/>
                            </wps:wsp>
                            <wps:wsp>
                              <wps:cNvPr id="461" name="直线 2569"/>
                              <wps:cNvCnPr>
                                <a:cxnSpLocks noChangeShapeType="1"/>
                              </wps:cNvCnPr>
                              <wps:spPr bwMode="auto">
                                <a:xfrm>
                                  <a:off x="2375535" y="990600"/>
                                  <a:ext cx="228600" cy="635"/>
                                </a:xfrm>
                                <a:prstGeom prst="line">
                                  <a:avLst/>
                                </a:prstGeom>
                                <a:noFill/>
                                <a:ln w="9525">
                                  <a:solidFill>
                                    <a:srgbClr val="000000"/>
                                  </a:solidFill>
                                  <a:round/>
                                  <a:tailEnd type="triangle" w="med" len="med"/>
                                </a:ln>
                              </wps:spPr>
                              <wps:bodyPr/>
                            </wps:wsp>
                            <wps:wsp>
                              <wps:cNvPr id="462" name="文本框 2570"/>
                              <wps:cNvSpPr txBox="1">
                                <a:spLocks noChangeArrowheads="1"/>
                              </wps:cNvSpPr>
                              <wps:spPr bwMode="auto">
                                <a:xfrm>
                                  <a:off x="1049655" y="116205"/>
                                  <a:ext cx="1313180" cy="260985"/>
                                </a:xfrm>
                                <a:prstGeom prst="rect">
                                  <a:avLst/>
                                </a:prstGeom>
                                <a:noFill/>
                                <a:ln>
                                  <a:noFill/>
                                </a:ln>
                              </wps:spPr>
                              <wps:txbx>
                                <w:txbxContent>
                                  <w:p w14:paraId="06F54251">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扬尘、噪声、固体废物</w:t>
                                    </w:r>
                                  </w:p>
                                </w:txbxContent>
                              </wps:txbx>
                              <wps:bodyPr rot="0" vert="horz" wrap="square" lIns="0" tIns="45720" rIns="0" bIns="45720" anchor="t" anchorCtr="0" upright="1">
                                <a:noAutofit/>
                              </wps:bodyPr>
                            </wps:wsp>
                            <wps:wsp>
                              <wps:cNvPr id="463" name="直线 2571"/>
                              <wps:cNvCnPr>
                                <a:cxnSpLocks noChangeShapeType="1"/>
                              </wps:cNvCnPr>
                              <wps:spPr bwMode="auto">
                                <a:xfrm flipV="1">
                                  <a:off x="1282700" y="622935"/>
                                  <a:ext cx="635" cy="198120"/>
                                </a:xfrm>
                                <a:prstGeom prst="line">
                                  <a:avLst/>
                                </a:prstGeom>
                                <a:noFill/>
                                <a:ln w="9525">
                                  <a:solidFill>
                                    <a:srgbClr val="000000"/>
                                  </a:solidFill>
                                  <a:prstDash val="dash"/>
                                  <a:round/>
                                  <a:tailEnd type="triangle" w="sm" len="med"/>
                                </a:ln>
                                <a:effectLst/>
                              </wps:spPr>
                              <wps:bodyPr/>
                            </wps:wsp>
                            <wps:wsp>
                              <wps:cNvPr id="464" name="直线 2572"/>
                              <wps:cNvCnPr>
                                <a:cxnSpLocks noChangeShapeType="1"/>
                              </wps:cNvCnPr>
                              <wps:spPr bwMode="auto">
                                <a:xfrm flipV="1">
                                  <a:off x="2047240" y="622935"/>
                                  <a:ext cx="635" cy="198120"/>
                                </a:xfrm>
                                <a:prstGeom prst="line">
                                  <a:avLst/>
                                </a:prstGeom>
                                <a:noFill/>
                                <a:ln w="9525">
                                  <a:solidFill>
                                    <a:srgbClr val="000000"/>
                                  </a:solidFill>
                                  <a:prstDash val="dash"/>
                                  <a:round/>
                                  <a:tailEnd type="triangle" w="sm" len="med"/>
                                </a:ln>
                                <a:effectLst/>
                              </wps:spPr>
                              <wps:bodyPr/>
                            </wps:wsp>
                            <wps:wsp>
                              <wps:cNvPr id="465" name="直线 2573"/>
                              <wps:cNvCnPr>
                                <a:cxnSpLocks noChangeShapeType="1"/>
                              </wps:cNvCnPr>
                              <wps:spPr bwMode="auto">
                                <a:xfrm>
                                  <a:off x="1282700" y="610870"/>
                                  <a:ext cx="773430" cy="635"/>
                                </a:xfrm>
                                <a:prstGeom prst="line">
                                  <a:avLst/>
                                </a:prstGeom>
                                <a:noFill/>
                                <a:ln w="9525">
                                  <a:solidFill>
                                    <a:srgbClr val="000000"/>
                                  </a:solidFill>
                                  <a:prstDash val="dash"/>
                                  <a:round/>
                                </a:ln>
                              </wps:spPr>
                              <wps:bodyPr/>
                            </wps:wsp>
                            <wps:wsp>
                              <wps:cNvPr id="466" name="直线 2574"/>
                              <wps:cNvCnPr>
                                <a:cxnSpLocks noChangeShapeType="1"/>
                              </wps:cNvCnPr>
                              <wps:spPr bwMode="auto">
                                <a:xfrm>
                                  <a:off x="1686560" y="386715"/>
                                  <a:ext cx="635" cy="198120"/>
                                </a:xfrm>
                                <a:prstGeom prst="line">
                                  <a:avLst/>
                                </a:prstGeom>
                                <a:noFill/>
                                <a:ln w="9525">
                                  <a:solidFill>
                                    <a:srgbClr val="000000"/>
                                  </a:solidFill>
                                  <a:prstDash val="dash"/>
                                  <a:round/>
                                  <a:headEnd type="triangle" w="sm" len="med"/>
                                </a:ln>
                              </wps:spPr>
                              <wps:bodyPr/>
                            </wps:wsp>
                          </wpc:wpc>
                        </a:graphicData>
                      </a:graphic>
                    </wp:inline>
                  </w:drawing>
                </mc:Choice>
                <mc:Fallback>
                  <w:pict>
                    <v:group id="_x0000_s1026" o:spid="_x0000_s1026" o:spt="203" style="height:98.25pt;width:251.25pt;" coordsize="3190875,1247775" editas="canvas" o:gfxdata="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">
                      <o:lock v:ext="edit" aspectratio="f"/>
                      <v:shape id="_x0000_s1026" o:spid="_x0000_s1026" style="position:absolute;left:0;top:0;height:1247775;width:3190875;" filled="f" stroked="f" coordsize="21600,21600" o:gfxdata="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">
                        <v:fill on="f" focussize="0,0"/>
                        <v:stroke on="f"/>
                        <v:imagedata o:title=""/>
                        <o:lock v:ext="edit" aspectratio="t"/>
                      </v:shape>
                      <v:shape id="文本框 2563" o:spid="_x0000_s1026" o:spt="202" type="#_x0000_t202" style="position:absolute;left:2607310;top:842645;height:297180;width:342265;" filled="f" stroked="t" coordsize="21600,21600" o:gfxdata="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NH/29MAAAAFAQAADwAAAAAAAAABACAAAAAi&#10;AAAAZHJzL2Rvd25yZXYueG1sUEsBAhQAFAAAAAgAh07iQPCT4RlIAgAAZAQAAA4AAAAAAAAAAQAg&#10;AAAAIgEAAGRycy9lMm9Eb2MueG1sUEsFBgAAAAAGAAYAWQEAANwFAAAAAA==&#10;">
                        <v:fill on="f" focussize="0,0"/>
                        <v:stroke color="#000000" miterlimit="8" joinstyle="miter"/>
                        <v:imagedata o:title=""/>
                        <o:lock v:ext="edit" aspectratio="f"/>
                        <v:textbox inset="0mm,1.27mm,0mm,1.27mm">
                          <w:txbxContent>
                            <w:p w14:paraId="648CB560">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竣工</w:t>
                              </w:r>
                            </w:p>
                          </w:txbxContent>
                        </v:textbox>
                      </v:shape>
                      <v:shape id="文本框 2564" o:spid="_x0000_s1026" o:spt="202" type="#_x0000_t202" style="position:absolute;left:1736725;top:837565;height:297815;width:626110;" filled="f" stroked="t" coordsize="21600,21600" o:gfxdata="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TR/9vTAAAABQEAAA8AAAAAAAAAAQAgAAAAIgAA&#10;AGRycy9kb3ducmV2LnhtbFBLAQIUABQAAAAIAIdO4kAzGu1pRgIAAGQEAAAOAAAAAAAAAAEAIAAA&#10;ACIBAABkcnMvZTJvRG9jLnhtbFBLBQYAAAAABgAGAFkBAADaBQAAAAA=&#10;">
                        <v:fill on="f" focussize="0,0"/>
                        <v:stroke color="#000000" miterlimit="8" joinstyle="miter"/>
                        <v:imagedata o:title=""/>
                        <o:lock v:ext="edit" aspectratio="f"/>
                        <v:textbox inset="0mm,1.27mm,0mm,1.27mm">
                          <w:txbxContent>
                            <w:p w14:paraId="5E4104F4">
                              <w:pPr>
                                <w:keepNext w:val="0"/>
                                <w:keepLines w:val="0"/>
                                <w:pageBreakBefore w:val="0"/>
                                <w:widowControl w:val="0"/>
                                <w:kinsoku/>
                                <w:wordWrap/>
                                <w:overflowPunct/>
                                <w:topLinePunct w:val="0"/>
                                <w:bidi w:val="0"/>
                                <w:adjustRightInd w:val="0"/>
                                <w:snapToGrid w:val="0"/>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场地清理</w:t>
                              </w:r>
                            </w:p>
                          </w:txbxContent>
                        </v:textbox>
                      </v:shape>
                      <v:shape id="文本框 2565" o:spid="_x0000_s1026" o:spt="202" type="#_x0000_t202" style="position:absolute;left:1095375;top:838835;height:297815;width:400685;" filled="f" stroked="t" coordsize="21600,21600" o:gfxdata="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0f/b0wAAAAUBAAAPAAAAAAAAAAEAIAAAACIA&#10;AABkcnMvZG93bnJldi54bWxQSwECFAAUAAAACACHTuJAgaCw6EcCAABkBAAADgAAAAAAAAABACAA&#10;AAAiAQAAZHJzL2Uyb0RvYy54bWxQSwUGAAAAAAYABgBZAQAA2wUAAAAA&#10;">
                        <v:fill on="f" focussize="0,0"/>
                        <v:stroke color="#000000" miterlimit="8" joinstyle="miter"/>
                        <v:imagedata o:title=""/>
                        <o:lock v:ext="edit" aspectratio="f"/>
                        <v:textbox inset="0mm,1.27mm,0mm,1.27mm">
                          <w:txbxContent>
                            <w:p w14:paraId="4FBD7B9F">
                              <w:pPr>
                                <w:keepNext w:val="0"/>
                                <w:keepLines w:val="0"/>
                                <w:pageBreakBefore w:val="0"/>
                                <w:widowControl w:val="0"/>
                                <w:kinsoku/>
                                <w:wordWrap/>
                                <w:overflowPunct/>
                                <w:topLinePunct w:val="0"/>
                                <w:bidi w:val="0"/>
                                <w:adjustRightInd w:val="0"/>
                                <w:snapToGrid w:val="0"/>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装修</w:t>
                              </w:r>
                            </w:p>
                          </w:txbxContent>
                        </v:textbox>
                      </v:shape>
                      <v:shape id="文本框 2566" o:spid="_x0000_s1026" o:spt="202" type="#_x0000_t202" style="position:absolute;left:228600;top:842645;height:297180;width:626110;" filled="f" stroked="t" coordsize="21600,21600" o:gfxdata="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0f/b0wAAAAUBAAAPAAAAAAAAAAEAIAAAACIA&#10;AABkcnMvZG93bnJldi54bWxQSwECFAAUAAAACACHTuJAn4Raa0cCAABjBAAADgAAAAAAAAABACAA&#10;AAAiAQAAZHJzL2Uyb0RvYy54bWxQSwUGAAAAAAYABgBZAQAA2wUAAAAA&#10;">
                        <v:fill on="f" focussize="0,0"/>
                        <v:stroke color="#000000" miterlimit="8" joinstyle="miter"/>
                        <v:imagedata o:title=""/>
                        <o:lock v:ext="edit" aspectratio="f"/>
                        <v:textbox inset="0mm,1.27mm,0mm,1.27mm">
                          <w:txbxContent>
                            <w:p w14:paraId="2E268CB4">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前期准备</w:t>
                              </w:r>
                            </w:p>
                          </w:txbxContent>
                        </v:textbox>
                      </v:shape>
                      <v:line id="直线 2567" o:spid="_x0000_s1026" o:spt="20" style="position:absolute;left:876935;top:990600;height:635;width:228600;" filled="f" stroked="t" coordsize="21600,21600" o:gfxdata="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pPLl1wAAAAUBAAAPAAAAAAAAAAEAIAAAACIAAABkcnMvZG93bnJl&#10;di54bWxQSwECFAAUAAAACACHTuJAYbmoiP4BAADeAwAADgAAAAAAAAABACAAAAAmAQAAZHJzL2Uy&#10;b0RvYy54bWxQSwUGAAAAAAYABgBZAQAAlgUAAAAA&#10;">
                        <v:fill on="f" focussize="0,0"/>
                        <v:stroke color="#000000" joinstyle="round" endarrow="block"/>
                        <v:imagedata o:title=""/>
                        <o:lock v:ext="edit" aspectratio="f"/>
                      </v:line>
                      <v:line id="直线 2568" o:spid="_x0000_s1026" o:spt="20" style="position:absolute;left:1498600;top:981710;height:635;width:228600;" filled="f" stroked="t" coordsize="21600,21600" o:gfxdata="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46Ty5dcAAAAFAQAADwAAAAAAAAABACAAAAAiAAAAZHJzL2Rvd25y&#10;ZXYueG1sUEsBAhQAFAAAAAgAh07iQIXtxyT/AQAA4AMAAA4AAAAAAAAAAQAgAAAAJgEAAGRycy9l&#10;Mm9Eb2MueG1sUEsFBgAAAAAGAAYAWQEAAJcFAAAAAA==&#10;">
                        <v:fill on="f" focussize="0,0"/>
                        <v:stroke color="#000000" joinstyle="round" endarrow="block"/>
                        <v:imagedata o:title=""/>
                        <o:lock v:ext="edit" aspectratio="f"/>
                      </v:line>
                      <v:line id="直线 2569" o:spid="_x0000_s1026" o:spt="20" style="position:absolute;left:2375535;top:990600;height:635;width:228600;" filled="f" stroked="t" coordsize="21600,21600" o:gfxdata="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Ok8uXXAAAABQEAAA8AAAAAAAAAAQAgAAAAIgAAAGRycy9kb3du&#10;cmV2LnhtbFBLAQIUABQAAAAIAIdO4kAX0u5AAAIAAOADAAAOAAAAAAAAAAEAIAAAACYBAABkcnMv&#10;ZTJvRG9jLnhtbFBLBQYAAAAABgAGAFkBAACYBQAAAAA=&#10;">
                        <v:fill on="f" focussize="0,0"/>
                        <v:stroke color="#000000" joinstyle="round" endarrow="block"/>
                        <v:imagedata o:title=""/>
                        <o:lock v:ext="edit" aspectratio="f"/>
                      </v:line>
                      <v:shape id="文本框 2570" o:spid="_x0000_s1026" o:spt="202" type="#_x0000_t202" style="position:absolute;left:1049655;top:116205;height:260985;width:1313180;" filled="f" stroked="f" coordsize="21600,21600" o:gfxdata="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keyGHW&#10;AAAABQEAAA8AAAAAAAAAAQAgAAAAIgAAAGRycy9kb3ducmV2LnhtbFBLAQIUABQAAAAIAIdO4kA/&#10;FgKRIgIAAB0EAAAOAAAAAAAAAAEAIAAAACUBAABkcnMvZTJvRG9jLnhtbFBLBQYAAAAABgAGAFkB&#10;AAC5BQAAAAA=&#10;">
                        <v:fill on="f" focussize="0,0"/>
                        <v:stroke on="f"/>
                        <v:imagedata o:title=""/>
                        <o:lock v:ext="edit" aspectratio="f"/>
                        <v:textbox inset="0mm,1.27mm,0mm,1.27mm">
                          <w:txbxContent>
                            <w:p w14:paraId="06F54251">
                              <w:pPr>
                                <w:keepNext w:val="0"/>
                                <w:keepLines w:val="0"/>
                                <w:pageBreakBefore w:val="0"/>
                                <w:widowControl w:val="0"/>
                                <w:kinsoku/>
                                <w:wordWrap/>
                                <w:overflowPunct/>
                                <w:topLinePunct w:val="0"/>
                                <w:bidi w:val="0"/>
                                <w:adjustRightInd/>
                                <w:snapToGrid/>
                                <w:ind w:firstLine="0" w:firstLineChars="0"/>
                                <w:jc w:val="center"/>
                                <w:textAlignment w:val="auto"/>
                                <w:rPr>
                                  <w:rFonts w:asciiTheme="minorEastAsia" w:hAnsiTheme="minorEastAsia" w:eastAsiaTheme="minorEastAsia"/>
                                  <w:sz w:val="21"/>
                                  <w:szCs w:val="21"/>
                                </w:rPr>
                              </w:pPr>
                              <w:r>
                                <w:rPr>
                                  <w:rFonts w:hint="eastAsia" w:asciiTheme="minorEastAsia" w:hAnsiTheme="minorEastAsia" w:eastAsiaTheme="minorEastAsia"/>
                                  <w:sz w:val="21"/>
                                  <w:szCs w:val="21"/>
                                </w:rPr>
                                <w:t>扬尘、噪声、固体废物</w:t>
                              </w:r>
                            </w:p>
                          </w:txbxContent>
                        </v:textbox>
                      </v:shape>
                      <v:line id="直线 2571" o:spid="_x0000_s1026" o:spt="20" style="position:absolute;left:1282700;top:622935;flip:y;height:198120;width:635;" filled="f" stroked="t" coordsize="21600,21600" o:gfxdata="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xVgenVAAAABQEAAA8A&#10;AAAAAAAAAQAgAAAAIgAAAGRycy9kb3ducmV2LnhtbFBLAQIUABQAAAAIAIdO4kBn8dY4GgIAAA8E&#10;AAAOAAAAAAAAAAEAIAAAACQBAABkcnMvZTJvRG9jLnhtbFBLBQYAAAAABgAGAFkBAACwBQAAAAA=&#10;">
                        <v:fill on="f" focussize="0,0"/>
                        <v:stroke color="#000000" joinstyle="round" dashstyle="dash" endarrow="block" endarrowwidth="narrow"/>
                        <v:imagedata o:title=""/>
                        <o:lock v:ext="edit" aspectratio="f"/>
                      </v:line>
                      <v:line id="直线 2572" o:spid="_x0000_s1026" o:spt="20" style="position:absolute;left:2047240;top:622935;flip:y;height:198120;width:635;" filled="f" stroked="t" coordsize="21600,21600" o:gfxdata="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FWB6dUAAAAFAQAADwAA&#10;AAAAAAABACAAAAAiAAAAZHJzL2Rvd25yZXYueG1sUEsBAhQAFAAAAAgAh07iQFEcMXQZAgAADwQA&#10;AA4AAAAAAAAAAQAgAAAAJAEAAGRycy9lMm9Eb2MueG1sUEsFBgAAAAAGAAYAWQEAAK8FAAAAAA==&#10;">
                        <v:fill on="f" focussize="0,0"/>
                        <v:stroke color="#000000" joinstyle="round" dashstyle="dash" endarrow="block" endarrowwidth="narrow"/>
                        <v:imagedata o:title=""/>
                        <o:lock v:ext="edit" aspectratio="f"/>
                      </v:line>
                      <v:line id="直线 2573" o:spid="_x0000_s1026" o:spt="20" style="position:absolute;left:1282700;top:610870;height:635;width:773430;" filled="f" stroked="t" coordsize="21600,21600" o:gfxdata="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tJiVTUAAAABQEAAA8AAAAAAAAAAQAgAAAAIgAAAGRycy9kb3ducmV2LnhtbFBLAQIUABQA&#10;AAAIAIdO4kDQqymn9AEAAMoDAAAOAAAAAAAAAAEAIAAAACMBAABkcnMvZTJvRG9jLnhtbFBLBQYA&#10;AAAABgAGAFkBAACJBQAAAAA=&#10;">
                        <v:fill on="f" focussize="0,0"/>
                        <v:stroke color="#000000" joinstyle="round" dashstyle="dash"/>
                        <v:imagedata o:title=""/>
                        <o:lock v:ext="edit" aspectratio="f"/>
                      </v:line>
                      <v:line id="直线 2574" o:spid="_x0000_s1026" o:spt="20" style="position:absolute;left:1686560;top:386715;height:198120;width:635;" filled="f" stroked="t" coordsize="21600,21600" o:gfxdata="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DSfOdYAAAAFAQAADwAAAAAAAAABACAA&#10;AAAiAAAAZHJzL2Rvd25yZXYueG1sUEsBAhQAFAAAAAgAh07iQGrwA0APAgAA9wMAAA4AAAAAAAAA&#10;AQAgAAAAJQEAAGRycy9lMm9Eb2MueG1sUEsFBgAAAAAGAAYAWQEAAKYFAAAAAA==&#10;">
                        <v:fill on="f" focussize="0,0"/>
                        <v:stroke color="#000000" joinstyle="round" dashstyle="dash" startarrow="block" startarrowwidth="narrow"/>
                        <v:imagedata o:title=""/>
                        <o:lock v:ext="edit" aspectratio="f"/>
                      </v:line>
                      <w10:wrap type="none"/>
                      <w10:anchorlock/>
                    </v:group>
                  </w:pict>
                </mc:Fallback>
              </mc:AlternateContent>
            </w:r>
          </w:p>
          <w:p w14:paraId="176AFF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图2-2 施工期工艺流程及产排污节点图</w:t>
            </w:r>
          </w:p>
          <w:p w14:paraId="5F0487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2、运营期</w:t>
            </w:r>
          </w:p>
          <w:p w14:paraId="51C6F0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本项目</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专科医院主要从事诊断、住院、治疗等诊疗服务，运营期诊疗流程产排污环节如下：</w:t>
            </w:r>
          </w:p>
          <w:p w14:paraId="7B61A9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drawing>
                <wp:inline distT="0" distB="0" distL="114300" distR="114300">
                  <wp:extent cx="4734560" cy="2590800"/>
                  <wp:effectExtent l="0" t="0" r="0" b="0"/>
                  <wp:docPr id="4" name="ECB019B1-382A-4266-B25C-5B523AA43C14-1" descr="C:/Users/17924/AppData/Local/Temp/wps.tfupK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1" descr="C:/Users/17924/AppData/Local/Temp/wps.tfupKwwps"/>
                          <pic:cNvPicPr>
                            <a:picLocks noChangeAspect="1"/>
                          </pic:cNvPicPr>
                        </pic:nvPicPr>
                        <pic:blipFill>
                          <a:blip r:embed="rId23"/>
                          <a:srcRect t="3554" b="3309"/>
                          <a:stretch>
                            <a:fillRect/>
                          </a:stretch>
                        </pic:blipFill>
                        <pic:spPr>
                          <a:xfrm>
                            <a:off x="0" y="0"/>
                            <a:ext cx="4734560" cy="2590800"/>
                          </a:xfrm>
                          <a:prstGeom prst="rect">
                            <a:avLst/>
                          </a:prstGeom>
                        </pic:spPr>
                      </pic:pic>
                    </a:graphicData>
                  </a:graphic>
                </wp:inline>
              </w:drawing>
            </w:r>
          </w:p>
          <w:p w14:paraId="1777EC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图2-3 本项目运营期工艺流程及产污环节示意图</w:t>
            </w:r>
          </w:p>
          <w:p w14:paraId="36A08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患者到医院挂号后，由医护人员进行分诊叫号。然后进入相应科室进行医生问诊处置。病情轻微的，由医护进行医疗处置后开药离开。复杂的则开具检验化验单进行身体各指标的检验（如验血、验尿等）和诊断（如心电图、彩超等），进而开展各项医学治疗（如针灸、推拿等），处置后取药离开或根据情况安排住院继续疗程，住院治疗完成后出院。</w:t>
            </w:r>
          </w:p>
          <w:p w14:paraId="01C337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医院检验科使用的试剂盒、检测试剂全部为成套材料，上机直接检验，不产生试剂挥发废气，不产生废水。检验过程中使用的试管、离心管等实验器具均为一次性用品，与</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废试剂盒、废检测试剂</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全部作为危险废物进行暂存。</w:t>
            </w:r>
          </w:p>
          <w:p w14:paraId="429461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乙醇作为日常病人患处等消毒使用，医院分散使用的酒精不作为污染源进行控制。</w:t>
            </w:r>
          </w:p>
          <w:p w14:paraId="6CED65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本项目产生的废水均视为医疗污水，</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3号楼</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废水经</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现有</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化粪池+格栅+沉淀+消毒</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”处理后由污水管道排放至市政管网，最终排至</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昌平污水处理厂，9号楼废水经新建“过滤+消毒”</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处理后</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进入社区化粪池后</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由污水管道排放至市政管网，最终排至</w:t>
            </w:r>
            <w:r>
              <w:rPr>
                <w:rFonts w:hint="eastAsia" w:cs="Times New Roman" w:eastAsiaTheme="minorEastAsia"/>
                <w:b w:val="0"/>
                <w:bCs w:val="0"/>
                <w:color w:val="000000" w:themeColor="text1"/>
                <w:sz w:val="24"/>
                <w:szCs w:val="24"/>
                <w:highlight w:val="none"/>
                <w:lang w:val="en-US" w:eastAsia="zh-CN"/>
                <w14:textFill>
                  <w14:solidFill>
                    <w14:schemeClr w14:val="tx1"/>
                  </w14:solidFill>
                </w14:textFill>
              </w:rPr>
              <w:t>昌平污水处理厂</w:t>
            </w: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。医院运行过程中产生的危险废物包括医疗废物和其他危险废物（消毒剂沾染物、污水处理过程产生的栅渣和污泥）。</w:t>
            </w:r>
          </w:p>
          <w:p w14:paraId="6DF8CB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项目主要产污环节见下表。</w:t>
            </w:r>
          </w:p>
          <w:p w14:paraId="6234EF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表2-8 项目污染源与污染因子识别</w:t>
            </w:r>
          </w:p>
          <w:tbl>
            <w:tblPr>
              <w:tblStyle w:val="17"/>
              <w:tblW w:w="825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510"/>
              <w:gridCol w:w="1516"/>
              <w:gridCol w:w="1484"/>
              <w:gridCol w:w="667"/>
              <w:gridCol w:w="3594"/>
            </w:tblGrid>
            <w:tr w14:paraId="5A026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tcBorders>
                    <w:tl2br w:val="nil"/>
                    <w:tr2bl w:val="nil"/>
                  </w:tcBorders>
                  <w:vAlign w:val="center"/>
                </w:tcPr>
                <w:p w14:paraId="38D1C7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类别</w:t>
                  </w:r>
                </w:p>
              </w:tc>
              <w:tc>
                <w:tcPr>
                  <w:tcW w:w="2026" w:type="dxa"/>
                  <w:gridSpan w:val="2"/>
                  <w:tcBorders>
                    <w:tl2br w:val="nil"/>
                    <w:tr2bl w:val="nil"/>
                  </w:tcBorders>
                  <w:vAlign w:val="center"/>
                </w:tcPr>
                <w:p w14:paraId="024FB4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污染源</w:t>
                  </w:r>
                </w:p>
              </w:tc>
              <w:tc>
                <w:tcPr>
                  <w:tcW w:w="1484" w:type="dxa"/>
                  <w:tcBorders>
                    <w:tl2br w:val="nil"/>
                    <w:tr2bl w:val="nil"/>
                  </w:tcBorders>
                  <w:vAlign w:val="center"/>
                </w:tcPr>
                <w:p w14:paraId="2A9715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污染因子</w:t>
                  </w:r>
                </w:p>
              </w:tc>
              <w:tc>
                <w:tcPr>
                  <w:tcW w:w="667" w:type="dxa"/>
                  <w:tcBorders>
                    <w:tl2br w:val="nil"/>
                    <w:tr2bl w:val="nil"/>
                  </w:tcBorders>
                  <w:vAlign w:val="center"/>
                </w:tcPr>
                <w:p w14:paraId="591106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产生特征</w:t>
                  </w:r>
                </w:p>
              </w:tc>
              <w:tc>
                <w:tcPr>
                  <w:tcW w:w="3594" w:type="dxa"/>
                  <w:tcBorders>
                    <w:tl2br w:val="nil"/>
                    <w:tr2bl w:val="nil"/>
                  </w:tcBorders>
                  <w:vAlign w:val="center"/>
                </w:tcPr>
                <w:p w14:paraId="239D70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治理设施</w:t>
                  </w:r>
                </w:p>
              </w:tc>
            </w:tr>
            <w:tr w14:paraId="1E39BB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tcBorders>
                    <w:tl2br w:val="nil"/>
                    <w:tr2bl w:val="nil"/>
                  </w:tcBorders>
                  <w:vAlign w:val="center"/>
                </w:tcPr>
                <w:p w14:paraId="2CC366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废气</w:t>
                  </w:r>
                </w:p>
              </w:tc>
              <w:tc>
                <w:tcPr>
                  <w:tcW w:w="2026" w:type="dxa"/>
                  <w:gridSpan w:val="2"/>
                  <w:tcBorders>
                    <w:tl2br w:val="nil"/>
                    <w:tr2bl w:val="nil"/>
                  </w:tcBorders>
                  <w:vAlign w:val="center"/>
                </w:tcPr>
                <w:p w14:paraId="72CFA5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污水处理设施</w:t>
                  </w:r>
                </w:p>
              </w:tc>
              <w:tc>
                <w:tcPr>
                  <w:tcW w:w="1484" w:type="dxa"/>
                  <w:tcBorders>
                    <w:tl2br w:val="nil"/>
                    <w:tr2bl w:val="nil"/>
                  </w:tcBorders>
                  <w:vAlign w:val="center"/>
                </w:tcPr>
                <w:p w14:paraId="4938F9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H</w:t>
                  </w:r>
                  <w:r>
                    <w:rPr>
                      <w:rFonts w:hint="default" w:ascii="Times New Roman" w:hAnsi="Times New Roman" w:cs="Times New Roman" w:eastAsiaTheme="minorEastAsia"/>
                      <w:b w:val="0"/>
                      <w:bCs w:val="0"/>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S、NH</w:t>
                  </w:r>
                  <w:r>
                    <w:rPr>
                      <w:rFonts w:hint="default" w:ascii="Times New Roman" w:hAnsi="Times New Roman" w:cs="Times New Roman" w:eastAsiaTheme="minorEastAsia"/>
                      <w:b w:val="0"/>
                      <w:bCs w:val="0"/>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、臭气浓度</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、甲烷、氯气</w:t>
                  </w:r>
                </w:p>
              </w:tc>
              <w:tc>
                <w:tcPr>
                  <w:tcW w:w="667" w:type="dxa"/>
                  <w:tcBorders>
                    <w:tl2br w:val="nil"/>
                    <w:tr2bl w:val="nil"/>
                  </w:tcBorders>
                  <w:vAlign w:val="center"/>
                </w:tcPr>
                <w:p w14:paraId="3F2B84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tcBorders>
                    <w:tl2br w:val="nil"/>
                    <w:tr2bl w:val="nil"/>
                  </w:tcBorders>
                  <w:vAlign w:val="center"/>
                </w:tcPr>
                <w:p w14:paraId="46FF79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eastAsiaTheme="minorEastAsia"/>
                      <w:color w:val="000000" w:themeColor="text1"/>
                      <w:sz w:val="21"/>
                      <w:szCs w:val="21"/>
                      <w:highlight w:val="none"/>
                      <w:lang w:val="en-US" w:eastAsia="zh-CN"/>
                      <w14:textFill>
                        <w14:solidFill>
                          <w14:schemeClr w14:val="tx1"/>
                        </w14:solidFill>
                      </w14:textFill>
                    </w:rPr>
                    <w:t>处理构筑物加盖、封闭</w:t>
                  </w:r>
                </w:p>
              </w:tc>
            </w:tr>
            <w:tr w14:paraId="5FED3F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restart"/>
                  <w:tcBorders>
                    <w:tl2br w:val="nil"/>
                    <w:tr2bl w:val="nil"/>
                  </w:tcBorders>
                  <w:vAlign w:val="center"/>
                </w:tcPr>
                <w:p w14:paraId="582A31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废水</w:t>
                  </w:r>
                </w:p>
              </w:tc>
              <w:tc>
                <w:tcPr>
                  <w:tcW w:w="510" w:type="dxa"/>
                  <w:vMerge w:val="restart"/>
                  <w:tcBorders>
                    <w:tl2br w:val="nil"/>
                    <w:tr2bl w:val="nil"/>
                  </w:tcBorders>
                  <w:vAlign w:val="center"/>
                </w:tcPr>
                <w:p w14:paraId="42EA37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医疗废水</w:t>
                  </w:r>
                </w:p>
              </w:tc>
              <w:tc>
                <w:tcPr>
                  <w:tcW w:w="1516" w:type="dxa"/>
                  <w:tcBorders>
                    <w:tl2br w:val="nil"/>
                    <w:tr2bl w:val="nil"/>
                  </w:tcBorders>
                  <w:vAlign w:val="center"/>
                </w:tcPr>
                <w:p w14:paraId="2C1F35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门诊废水</w:t>
                  </w:r>
                </w:p>
              </w:tc>
              <w:tc>
                <w:tcPr>
                  <w:tcW w:w="1484" w:type="dxa"/>
                  <w:vMerge w:val="restart"/>
                  <w:tcBorders>
                    <w:tl2br w:val="nil"/>
                    <w:tr2bl w:val="nil"/>
                  </w:tcBorders>
                  <w:vAlign w:val="center"/>
                </w:tcPr>
                <w:p w14:paraId="3B7E47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pH值、COD、BOD</w:t>
                  </w:r>
                  <w:r>
                    <w:rPr>
                      <w:rFonts w:hint="default" w:ascii="Times New Roman" w:hAnsi="Times New Roman" w:cs="Times New Roman" w:eastAsiaTheme="minorEastAsia"/>
                      <w:b w:val="0"/>
                      <w:bCs w:val="0"/>
                      <w:color w:val="000000" w:themeColor="text1"/>
                      <w:sz w:val="21"/>
                      <w:szCs w:val="21"/>
                      <w:highlight w:val="none"/>
                      <w:vertAlign w:val="subscript"/>
                      <w:lang w:val="en-US" w:eastAsia="zh-CN"/>
                      <w14:textFill>
                        <w14:solidFill>
                          <w14:schemeClr w14:val="tx1"/>
                        </w14:solidFill>
                      </w14:textFill>
                    </w:rPr>
                    <w:t>5</w:t>
                  </w: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、SS、</w:t>
                  </w: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氨氮</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粪大肠菌群数、</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总余氯</w:t>
                  </w:r>
                </w:p>
              </w:tc>
              <w:tc>
                <w:tcPr>
                  <w:tcW w:w="667" w:type="dxa"/>
                  <w:tcBorders>
                    <w:tl2br w:val="nil"/>
                    <w:tr2bl w:val="nil"/>
                  </w:tcBorders>
                  <w:vAlign w:val="center"/>
                </w:tcPr>
                <w:p w14:paraId="12AA61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restart"/>
                  <w:tcBorders>
                    <w:tl2br w:val="nil"/>
                    <w:tr2bl w:val="nil"/>
                  </w:tcBorders>
                  <w:vAlign w:val="center"/>
                </w:tcPr>
                <w:p w14:paraId="660ED7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3号楼废水经现有“</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化粪池+格栅+沉淀+消毒</w:t>
                  </w: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”处理后由污水管道排放至市政管网，最终排至</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昌平污水处理厂</w:t>
                  </w: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，9号楼废水经新建“过滤+消毒”处理后由污水管道排放至市政管网，最终排至</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昌平污水处理厂</w:t>
                  </w:r>
                </w:p>
              </w:tc>
            </w:tr>
            <w:tr w14:paraId="73DC3A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0E228A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vAlign w:val="center"/>
                </w:tcPr>
                <w:p w14:paraId="4C812C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516" w:type="dxa"/>
                  <w:tcBorders>
                    <w:tl2br w:val="nil"/>
                    <w:tr2bl w:val="nil"/>
                  </w:tcBorders>
                  <w:vAlign w:val="center"/>
                </w:tcPr>
                <w:p w14:paraId="633F7F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病房废水</w:t>
                  </w:r>
                </w:p>
              </w:tc>
              <w:tc>
                <w:tcPr>
                  <w:tcW w:w="1484" w:type="dxa"/>
                  <w:vMerge w:val="continue"/>
                  <w:tcBorders>
                    <w:tl2br w:val="nil"/>
                    <w:tr2bl w:val="nil"/>
                  </w:tcBorders>
                  <w:vAlign w:val="center"/>
                </w:tcPr>
                <w:p w14:paraId="4BBC43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67" w:type="dxa"/>
                  <w:tcBorders>
                    <w:tl2br w:val="nil"/>
                    <w:tr2bl w:val="nil"/>
                  </w:tcBorders>
                  <w:shd w:val="clear" w:color="auto" w:fill="auto"/>
                  <w:vAlign w:val="center"/>
                </w:tcPr>
                <w:p w14:paraId="0B88BA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continue"/>
                  <w:tcBorders>
                    <w:tl2br w:val="nil"/>
                    <w:tr2bl w:val="nil"/>
                  </w:tcBorders>
                  <w:vAlign w:val="center"/>
                </w:tcPr>
                <w:p w14:paraId="6F3247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7CE84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4B3469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vAlign w:val="center"/>
                </w:tcPr>
                <w:p w14:paraId="425BB6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516" w:type="dxa"/>
                  <w:tcBorders>
                    <w:tl2br w:val="nil"/>
                    <w:tr2bl w:val="nil"/>
                  </w:tcBorders>
                  <w:vAlign w:val="center"/>
                </w:tcPr>
                <w:p w14:paraId="760E96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行政人员废水</w:t>
                  </w:r>
                </w:p>
              </w:tc>
              <w:tc>
                <w:tcPr>
                  <w:tcW w:w="1484" w:type="dxa"/>
                  <w:vMerge w:val="continue"/>
                  <w:tcBorders>
                    <w:tl2br w:val="nil"/>
                    <w:tr2bl w:val="nil"/>
                  </w:tcBorders>
                  <w:vAlign w:val="center"/>
                </w:tcPr>
                <w:p w14:paraId="24DEA5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67" w:type="dxa"/>
                  <w:tcBorders>
                    <w:tl2br w:val="nil"/>
                    <w:tr2bl w:val="nil"/>
                  </w:tcBorders>
                  <w:shd w:val="clear" w:color="auto" w:fill="auto"/>
                  <w:vAlign w:val="center"/>
                </w:tcPr>
                <w:p w14:paraId="64916E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continue"/>
                  <w:tcBorders>
                    <w:tl2br w:val="nil"/>
                    <w:tr2bl w:val="nil"/>
                  </w:tcBorders>
                  <w:vAlign w:val="center"/>
                </w:tcPr>
                <w:p w14:paraId="456A32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2BB454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2D67CA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vAlign w:val="center"/>
                </w:tcPr>
                <w:p w14:paraId="56A2D4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516" w:type="dxa"/>
                  <w:tcBorders>
                    <w:tl2br w:val="nil"/>
                    <w:tr2bl w:val="nil"/>
                  </w:tcBorders>
                  <w:vAlign w:val="center"/>
                </w:tcPr>
                <w:p w14:paraId="418B33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卫生清洁废水</w:t>
                  </w:r>
                </w:p>
              </w:tc>
              <w:tc>
                <w:tcPr>
                  <w:tcW w:w="1484" w:type="dxa"/>
                  <w:vMerge w:val="continue"/>
                  <w:tcBorders>
                    <w:tl2br w:val="nil"/>
                    <w:tr2bl w:val="nil"/>
                  </w:tcBorders>
                  <w:vAlign w:val="center"/>
                </w:tcPr>
                <w:p w14:paraId="2A3BE6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667" w:type="dxa"/>
                  <w:tcBorders>
                    <w:tl2br w:val="nil"/>
                    <w:tr2bl w:val="nil"/>
                  </w:tcBorders>
                  <w:vAlign w:val="center"/>
                </w:tcPr>
                <w:p w14:paraId="3DC92A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continue"/>
                  <w:tcBorders>
                    <w:tl2br w:val="nil"/>
                    <w:tr2bl w:val="nil"/>
                  </w:tcBorders>
                  <w:vAlign w:val="center"/>
                </w:tcPr>
                <w:p w14:paraId="1C8958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41B265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restart"/>
                  <w:tcBorders>
                    <w:tl2br w:val="nil"/>
                    <w:tr2bl w:val="nil"/>
                  </w:tcBorders>
                  <w:vAlign w:val="center"/>
                </w:tcPr>
                <w:p w14:paraId="45EB64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噪声</w:t>
                  </w:r>
                </w:p>
              </w:tc>
              <w:tc>
                <w:tcPr>
                  <w:tcW w:w="2026" w:type="dxa"/>
                  <w:gridSpan w:val="2"/>
                  <w:tcBorders>
                    <w:tl2br w:val="nil"/>
                    <w:tr2bl w:val="nil"/>
                  </w:tcBorders>
                  <w:shd w:val="clear" w:color="auto" w:fill="auto"/>
                  <w:vAlign w:val="center"/>
                </w:tcPr>
                <w:p w14:paraId="2D1FA1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污水处理</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设施（即废水传输泵）</w:t>
                  </w:r>
                </w:p>
              </w:tc>
              <w:tc>
                <w:tcPr>
                  <w:tcW w:w="1484" w:type="dxa"/>
                  <w:tcBorders>
                    <w:tl2br w:val="nil"/>
                    <w:tr2bl w:val="nil"/>
                  </w:tcBorders>
                  <w:shd w:val="clear" w:color="auto" w:fill="auto"/>
                  <w:vAlign w:val="center"/>
                </w:tcPr>
                <w:p w14:paraId="212669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噪声</w:t>
                  </w:r>
                </w:p>
              </w:tc>
              <w:tc>
                <w:tcPr>
                  <w:tcW w:w="667" w:type="dxa"/>
                  <w:tcBorders>
                    <w:tl2br w:val="nil"/>
                    <w:tr2bl w:val="nil"/>
                  </w:tcBorders>
                  <w:shd w:val="clear" w:color="auto" w:fill="auto"/>
                  <w:vAlign w:val="center"/>
                </w:tcPr>
                <w:p w14:paraId="3C32C3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restart"/>
                  <w:tcBorders>
                    <w:tl2br w:val="nil"/>
                    <w:tr2bl w:val="nil"/>
                  </w:tcBorders>
                  <w:vAlign w:val="center"/>
                </w:tcPr>
                <w:p w14:paraId="58B765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选用低噪声设备，基础减振</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、隔声</w:t>
                  </w: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等</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降噪措施</w:t>
                  </w:r>
                </w:p>
              </w:tc>
            </w:tr>
            <w:tr w14:paraId="704F77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7D6EFB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2026" w:type="dxa"/>
                  <w:gridSpan w:val="2"/>
                  <w:tcBorders>
                    <w:tl2br w:val="nil"/>
                    <w:tr2bl w:val="nil"/>
                  </w:tcBorders>
                  <w:shd w:val="clear" w:color="auto" w:fill="auto"/>
                  <w:vAlign w:val="center"/>
                </w:tcPr>
                <w:p w14:paraId="4B3600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新风风机</w:t>
                  </w:r>
                </w:p>
              </w:tc>
              <w:tc>
                <w:tcPr>
                  <w:tcW w:w="1484" w:type="dxa"/>
                  <w:tcBorders>
                    <w:tl2br w:val="nil"/>
                    <w:tr2bl w:val="nil"/>
                  </w:tcBorders>
                  <w:shd w:val="clear" w:color="auto" w:fill="auto"/>
                  <w:vAlign w:val="center"/>
                </w:tcPr>
                <w:p w14:paraId="56CB2E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噪声</w:t>
                  </w:r>
                </w:p>
              </w:tc>
              <w:tc>
                <w:tcPr>
                  <w:tcW w:w="667" w:type="dxa"/>
                  <w:tcBorders>
                    <w:tl2br w:val="nil"/>
                    <w:tr2bl w:val="nil"/>
                  </w:tcBorders>
                  <w:shd w:val="clear" w:color="auto" w:fill="auto"/>
                  <w:vAlign w:val="center"/>
                </w:tcPr>
                <w:p w14:paraId="28B808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continue"/>
                  <w:tcBorders>
                    <w:tl2br w:val="nil"/>
                    <w:tr2bl w:val="nil"/>
                  </w:tcBorders>
                  <w:vAlign w:val="center"/>
                </w:tcPr>
                <w:p w14:paraId="5648ED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0D9C1C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restart"/>
                  <w:tcBorders>
                    <w:tl2br w:val="nil"/>
                    <w:tr2bl w:val="nil"/>
                  </w:tcBorders>
                  <w:vAlign w:val="center"/>
                </w:tcPr>
                <w:p w14:paraId="15C5E2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固体</w:t>
                  </w:r>
                </w:p>
                <w:p w14:paraId="666D03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废物</w:t>
                  </w:r>
                </w:p>
              </w:tc>
              <w:tc>
                <w:tcPr>
                  <w:tcW w:w="2026" w:type="dxa"/>
                  <w:gridSpan w:val="2"/>
                  <w:tcBorders>
                    <w:tl2br w:val="nil"/>
                    <w:tr2bl w:val="nil"/>
                  </w:tcBorders>
                  <w:vAlign w:val="center"/>
                </w:tcPr>
                <w:p w14:paraId="31AA12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生活办公</w:t>
                  </w:r>
                </w:p>
              </w:tc>
              <w:tc>
                <w:tcPr>
                  <w:tcW w:w="1484" w:type="dxa"/>
                  <w:tcBorders>
                    <w:tl2br w:val="nil"/>
                    <w:tr2bl w:val="nil"/>
                  </w:tcBorders>
                  <w:vAlign w:val="center"/>
                </w:tcPr>
                <w:p w14:paraId="47ECD3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生活垃圾</w:t>
                  </w:r>
                </w:p>
              </w:tc>
              <w:tc>
                <w:tcPr>
                  <w:tcW w:w="667" w:type="dxa"/>
                  <w:tcBorders>
                    <w:tl2br w:val="nil"/>
                    <w:tr2bl w:val="nil"/>
                  </w:tcBorders>
                  <w:vAlign w:val="center"/>
                </w:tcPr>
                <w:p w14:paraId="3B7633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tcBorders>
                    <w:tl2br w:val="nil"/>
                    <w:tr2bl w:val="nil"/>
                  </w:tcBorders>
                  <w:vAlign w:val="center"/>
                </w:tcPr>
                <w:p w14:paraId="613823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由环卫部门定期清运处置</w:t>
                  </w:r>
                </w:p>
              </w:tc>
            </w:tr>
            <w:tr w14:paraId="53868B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279CFF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restart"/>
                  <w:tcBorders>
                    <w:tl2br w:val="nil"/>
                    <w:tr2bl w:val="nil"/>
                  </w:tcBorders>
                  <w:vAlign w:val="center"/>
                </w:tcPr>
                <w:p w14:paraId="36F8C9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一般固体废物</w:t>
                  </w:r>
                </w:p>
              </w:tc>
              <w:tc>
                <w:tcPr>
                  <w:tcW w:w="1516" w:type="dxa"/>
                  <w:tcBorders>
                    <w:tl2br w:val="nil"/>
                    <w:tr2bl w:val="nil"/>
                  </w:tcBorders>
                  <w:vAlign w:val="center"/>
                </w:tcPr>
                <w:p w14:paraId="779281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诊室、病房等</w:t>
                  </w:r>
                </w:p>
              </w:tc>
              <w:tc>
                <w:tcPr>
                  <w:tcW w:w="1484" w:type="dxa"/>
                  <w:tcBorders>
                    <w:tl2br w:val="nil"/>
                    <w:tr2bl w:val="nil"/>
                  </w:tcBorders>
                  <w:vAlign w:val="center"/>
                </w:tcPr>
                <w:p w14:paraId="502A1F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eastAsiaTheme="minorEastAsia"/>
                      <w:color w:val="000000" w:themeColor="text1"/>
                      <w:sz w:val="21"/>
                      <w:szCs w:val="21"/>
                      <w:highlight w:val="none"/>
                      <w14:textFill>
                        <w14:solidFill>
                          <w14:schemeClr w14:val="tx1"/>
                        </w14:solidFill>
                      </w14:textFill>
                    </w:rPr>
                    <w:t>无害的医药外包装物</w:t>
                  </w:r>
                </w:p>
              </w:tc>
              <w:tc>
                <w:tcPr>
                  <w:tcW w:w="667" w:type="dxa"/>
                  <w:tcBorders>
                    <w:tl2br w:val="nil"/>
                    <w:tr2bl w:val="nil"/>
                  </w:tcBorders>
                  <w:vAlign w:val="center"/>
                </w:tcPr>
                <w:p w14:paraId="09A3E0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tcBorders>
                    <w:tl2br w:val="nil"/>
                    <w:tr2bl w:val="nil"/>
                  </w:tcBorders>
                  <w:vAlign w:val="center"/>
                </w:tcPr>
                <w:p w14:paraId="373C9B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eastAsiaTheme="minorEastAsia"/>
                      <w:color w:val="000000" w:themeColor="text1"/>
                      <w:sz w:val="21"/>
                      <w:szCs w:val="21"/>
                      <w:highlight w:val="none"/>
                      <w14:textFill>
                        <w14:solidFill>
                          <w14:schemeClr w14:val="tx1"/>
                        </w14:solidFill>
                      </w14:textFill>
                    </w:rPr>
                    <w:t>分类收集后由物资部门回收</w:t>
                  </w:r>
                </w:p>
              </w:tc>
            </w:tr>
            <w:tr w14:paraId="2DBBE3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27B9A8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vAlign w:val="center"/>
                </w:tcPr>
                <w:p w14:paraId="4A666D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1516" w:type="dxa"/>
                  <w:tcBorders>
                    <w:tl2br w:val="nil"/>
                    <w:tr2bl w:val="nil"/>
                  </w:tcBorders>
                  <w:vAlign w:val="center"/>
                </w:tcPr>
                <w:p w14:paraId="7E8F28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诊室、病房等</w:t>
                  </w:r>
                </w:p>
              </w:tc>
              <w:tc>
                <w:tcPr>
                  <w:tcW w:w="1484" w:type="dxa"/>
                  <w:tcBorders>
                    <w:tl2br w:val="nil"/>
                    <w:tr2bl w:val="nil"/>
                  </w:tcBorders>
                  <w:vAlign w:val="center"/>
                </w:tcPr>
                <w:p w14:paraId="222703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eastAsiaTheme="minorEastAsia"/>
                      <w:color w:val="000000" w:themeColor="text1"/>
                      <w:sz w:val="21"/>
                      <w:szCs w:val="21"/>
                      <w:highlight w:val="none"/>
                      <w14:textFill>
                        <w14:solidFill>
                          <w14:schemeClr w14:val="tx1"/>
                        </w14:solidFill>
                      </w14:textFill>
                    </w:rPr>
                    <w:t>未被污染的一次性输液瓶（袋）</w:t>
                  </w:r>
                </w:p>
              </w:tc>
              <w:tc>
                <w:tcPr>
                  <w:tcW w:w="667" w:type="dxa"/>
                  <w:tcBorders>
                    <w:tl2br w:val="nil"/>
                    <w:tr2bl w:val="nil"/>
                  </w:tcBorders>
                  <w:vAlign w:val="center"/>
                </w:tcPr>
                <w:p w14:paraId="4995E4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tcBorders>
                    <w:tl2br w:val="nil"/>
                    <w:tr2bl w:val="nil"/>
                  </w:tcBorders>
                  <w:vAlign w:val="center"/>
                </w:tcPr>
                <w:p w14:paraId="677800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eastAsiaTheme="minorEastAsia"/>
                      <w:color w:val="000000" w:themeColor="text1"/>
                      <w:sz w:val="21"/>
                      <w:szCs w:val="21"/>
                      <w:highlight w:val="none"/>
                      <w14:textFill>
                        <w14:solidFill>
                          <w14:schemeClr w14:val="tx1"/>
                        </w14:solidFill>
                      </w14:textFill>
                    </w:rPr>
                    <w:t>移交回收企业回收</w:t>
                  </w:r>
                </w:p>
              </w:tc>
            </w:tr>
            <w:tr w14:paraId="1F4B2C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3E6280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restart"/>
                  <w:tcBorders>
                    <w:tl2br w:val="nil"/>
                    <w:tr2bl w:val="nil"/>
                  </w:tcBorders>
                  <w:vAlign w:val="center"/>
                </w:tcPr>
                <w:p w14:paraId="5DDF4C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危险废物</w:t>
                  </w:r>
                </w:p>
              </w:tc>
              <w:tc>
                <w:tcPr>
                  <w:tcW w:w="1516" w:type="dxa"/>
                  <w:tcBorders>
                    <w:tl2br w:val="nil"/>
                    <w:tr2bl w:val="nil"/>
                  </w:tcBorders>
                  <w:vAlign w:val="center"/>
                </w:tcPr>
                <w:p w14:paraId="787508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诊室、病房等</w:t>
                  </w:r>
                </w:p>
              </w:tc>
              <w:tc>
                <w:tcPr>
                  <w:tcW w:w="1484" w:type="dxa"/>
                  <w:tcBorders>
                    <w:tl2br w:val="nil"/>
                    <w:tr2bl w:val="nil"/>
                  </w:tcBorders>
                  <w:vAlign w:val="center"/>
                </w:tcPr>
                <w:p w14:paraId="069503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医疗废物</w:t>
                  </w:r>
                </w:p>
              </w:tc>
              <w:tc>
                <w:tcPr>
                  <w:tcW w:w="667" w:type="dxa"/>
                  <w:tcBorders>
                    <w:tl2br w:val="nil"/>
                    <w:tr2bl w:val="nil"/>
                  </w:tcBorders>
                  <w:vAlign w:val="center"/>
                </w:tcPr>
                <w:p w14:paraId="55A73B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restart"/>
                  <w:tcBorders>
                    <w:tl2br w:val="nil"/>
                    <w:tr2bl w:val="nil"/>
                  </w:tcBorders>
                  <w:vAlign w:val="center"/>
                </w:tcPr>
                <w:p w14:paraId="52FF1D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分类收集后暂存于</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医疗</w:t>
                  </w: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废物暂存间，定期委托资质单位转运处置</w:t>
                  </w:r>
                </w:p>
              </w:tc>
            </w:tr>
            <w:tr w14:paraId="22B902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556AEF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shd w:val="clear" w:color="auto" w:fill="auto"/>
                  <w:vAlign w:val="center"/>
                </w:tcPr>
                <w:p w14:paraId="183A15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516" w:type="dxa"/>
                  <w:tcBorders>
                    <w:tl2br w:val="nil"/>
                    <w:tr2bl w:val="nil"/>
                  </w:tcBorders>
                  <w:shd w:val="clear" w:color="auto" w:fill="auto"/>
                  <w:vAlign w:val="center"/>
                </w:tcPr>
                <w:p w14:paraId="0AAE58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诊室、病房等</w:t>
                  </w:r>
                </w:p>
              </w:tc>
              <w:tc>
                <w:tcPr>
                  <w:tcW w:w="1484" w:type="dxa"/>
                  <w:tcBorders>
                    <w:tl2br w:val="nil"/>
                    <w:tr2bl w:val="nil"/>
                  </w:tcBorders>
                  <w:shd w:val="clear" w:color="auto" w:fill="auto"/>
                  <w:vAlign w:val="center"/>
                </w:tcPr>
                <w:p w14:paraId="1321C1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消毒剂沾染物</w:t>
                  </w:r>
                </w:p>
              </w:tc>
              <w:tc>
                <w:tcPr>
                  <w:tcW w:w="667" w:type="dxa"/>
                  <w:tcBorders>
                    <w:tl2br w:val="nil"/>
                    <w:tr2bl w:val="nil"/>
                  </w:tcBorders>
                  <w:vAlign w:val="center"/>
                </w:tcPr>
                <w:p w14:paraId="6831AB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vMerge w:val="continue"/>
                  <w:tcBorders>
                    <w:tl2br w:val="nil"/>
                    <w:tr2bl w:val="nil"/>
                  </w:tcBorders>
                  <w:vAlign w:val="center"/>
                </w:tcPr>
                <w:p w14:paraId="6E8A6B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r>
            <w:tr w14:paraId="774241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dxa"/>
                  <w:vMerge w:val="continue"/>
                  <w:tcBorders>
                    <w:tl2br w:val="nil"/>
                    <w:tr2bl w:val="nil"/>
                  </w:tcBorders>
                  <w:vAlign w:val="center"/>
                </w:tcPr>
                <w:p w14:paraId="4F2F7B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p>
              </w:tc>
              <w:tc>
                <w:tcPr>
                  <w:tcW w:w="510" w:type="dxa"/>
                  <w:vMerge w:val="continue"/>
                  <w:tcBorders>
                    <w:tl2br w:val="nil"/>
                    <w:tr2bl w:val="nil"/>
                  </w:tcBorders>
                  <w:shd w:val="clear" w:color="auto" w:fill="auto"/>
                  <w:vAlign w:val="center"/>
                </w:tcPr>
                <w:p w14:paraId="5A7CB8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1516" w:type="dxa"/>
                  <w:tcBorders>
                    <w:tl2br w:val="nil"/>
                    <w:tr2bl w:val="nil"/>
                  </w:tcBorders>
                  <w:shd w:val="clear" w:color="auto" w:fill="auto"/>
                  <w:vAlign w:val="center"/>
                </w:tcPr>
                <w:p w14:paraId="57502A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化粪池、污水处理设施</w:t>
                  </w:r>
                </w:p>
              </w:tc>
              <w:tc>
                <w:tcPr>
                  <w:tcW w:w="1484" w:type="dxa"/>
                  <w:tcBorders>
                    <w:tl2br w:val="nil"/>
                    <w:tr2bl w:val="nil"/>
                  </w:tcBorders>
                  <w:shd w:val="clear" w:color="auto" w:fill="auto"/>
                  <w:vAlign w:val="center"/>
                </w:tcPr>
                <w:p w14:paraId="14F170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化粪池污泥、栅渣、污水处理设施污泥</w:t>
                  </w:r>
                </w:p>
              </w:tc>
              <w:tc>
                <w:tcPr>
                  <w:tcW w:w="667" w:type="dxa"/>
                  <w:tcBorders>
                    <w:tl2br w:val="nil"/>
                    <w:tr2bl w:val="nil"/>
                  </w:tcBorders>
                  <w:vAlign w:val="center"/>
                </w:tcPr>
                <w:p w14:paraId="0C95EB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间断</w:t>
                  </w:r>
                </w:p>
              </w:tc>
              <w:tc>
                <w:tcPr>
                  <w:tcW w:w="3594" w:type="dxa"/>
                  <w:tcBorders>
                    <w:tl2br w:val="nil"/>
                    <w:tr2bl w:val="nil"/>
                  </w:tcBorders>
                  <w:vAlign w:val="center"/>
                </w:tcPr>
                <w:p w14:paraId="48C07D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定期委托</w:t>
                  </w: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资质单位清掏</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，随清随运，不在院区暂存</w:t>
                  </w:r>
                </w:p>
              </w:tc>
            </w:tr>
          </w:tbl>
          <w:p w14:paraId="4100CA46">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p w14:paraId="4D86EC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pPr>
          </w:p>
        </w:tc>
      </w:tr>
      <w:tr w14:paraId="761CB3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1" w:type="pct"/>
            <w:tcBorders>
              <w:tl2br w:val="nil"/>
              <w:tr2bl w:val="nil"/>
            </w:tcBorders>
            <w:vAlign w:val="center"/>
          </w:tcPr>
          <w:p w14:paraId="3CEEC7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val="0"/>
                <w:bCs w:val="0"/>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b w:val="0"/>
                <w:bCs w:val="0"/>
                <w:color w:val="000000" w:themeColor="text1"/>
                <w:kern w:val="2"/>
                <w:highlight w:val="none"/>
                <w14:textFill>
                  <w14:solidFill>
                    <w14:schemeClr w14:val="tx1"/>
                  </w14:solidFill>
                </w14:textFill>
              </w:rPr>
              <w:t>与项目有关的原有环境污染问题</w:t>
            </w:r>
          </w:p>
        </w:tc>
        <w:tc>
          <w:tcPr>
            <w:tcW w:w="4618" w:type="pct"/>
            <w:tcBorders>
              <w:tl2br w:val="nil"/>
              <w:tr2bl w:val="nil"/>
            </w:tcBorders>
            <w:vAlign w:val="center"/>
          </w:tcPr>
          <w:p w14:paraId="395175DF">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1、现有项目概况及环保手续履行情况</w:t>
            </w:r>
          </w:p>
          <w:p w14:paraId="4222DA31">
            <w:pPr>
              <w:keepNext w:val="0"/>
              <w:keepLines w:val="0"/>
              <w:suppressLineNumbers w:val="0"/>
              <w:spacing w:before="0" w:beforeAutospacing="0" w:after="0" w:afterAutospacing="0"/>
              <w:ind w:left="0" w:right="0"/>
              <w:rPr>
                <w:rFonts w:hint="eastAsia"/>
                <w:highlight w:val="none"/>
                <w:vertAlign w:val="baseline"/>
                <w:lang w:val="en-US" w:eastAsia="zh-CN"/>
              </w:rPr>
            </w:pPr>
            <w:r>
              <w:rPr>
                <w:rFonts w:hint="eastAsia"/>
                <w:highlight w:val="none"/>
                <w:vertAlign w:val="baseline"/>
                <w:lang w:val="en-US" w:eastAsia="zh-CN"/>
              </w:rPr>
              <w:t>①北京泰康燕园康复医院有限公司于2015年11月委托环评单位编制《北京泰康燕园康复医院》（以下简称现有项目），建设地址北京市昌平区南邵镇景荣街2号院3号楼地下一层至五层，该项目已于2015年12月2日取得北京市昌平区环境保护局《关于北京泰康燕园康复医院环境影响报告书的批复》，批复文号：昌环保审字[2015]0487号。并于2019年1月26日取得专家验收意见，通过自主验收。</w:t>
            </w:r>
          </w:p>
          <w:p w14:paraId="1DC092C2">
            <w:pPr>
              <w:pStyle w:val="40"/>
              <w:keepNext w:val="0"/>
              <w:keepLines w:val="0"/>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表2-8 环保手续履行情况一览表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5"/>
              <w:gridCol w:w="1682"/>
              <w:gridCol w:w="1709"/>
              <w:gridCol w:w="1950"/>
              <w:gridCol w:w="1405"/>
            </w:tblGrid>
            <w:tr w14:paraId="5BEE7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5" w:type="dxa"/>
                  <w:tcBorders>
                    <w:tl2br w:val="nil"/>
                    <w:tr2bl w:val="nil"/>
                  </w:tcBorders>
                  <w:vAlign w:val="center"/>
                </w:tcPr>
                <w:p w14:paraId="51235A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lang w:val="zh-CN"/>
                    </w:rPr>
                    <w:t>项目名称</w:t>
                  </w:r>
                </w:p>
              </w:tc>
              <w:tc>
                <w:tcPr>
                  <w:tcW w:w="1682" w:type="dxa"/>
                  <w:tcBorders>
                    <w:tl2br w:val="nil"/>
                    <w:tr2bl w:val="nil"/>
                  </w:tcBorders>
                  <w:vAlign w:val="center"/>
                </w:tcPr>
                <w:p w14:paraId="2C2C03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lang w:val="zh-CN"/>
                    </w:rPr>
                    <w:t>项目地点</w:t>
                  </w:r>
                </w:p>
              </w:tc>
              <w:tc>
                <w:tcPr>
                  <w:tcW w:w="1709" w:type="dxa"/>
                  <w:tcBorders>
                    <w:tl2br w:val="nil"/>
                    <w:tr2bl w:val="nil"/>
                  </w:tcBorders>
                  <w:vAlign w:val="center"/>
                </w:tcPr>
                <w:p w14:paraId="397EE0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lang w:val="zh-CN"/>
                    </w:rPr>
                    <w:t>项目规模</w:t>
                  </w:r>
                </w:p>
              </w:tc>
              <w:tc>
                <w:tcPr>
                  <w:tcW w:w="1950" w:type="dxa"/>
                  <w:tcBorders>
                    <w:tl2br w:val="nil"/>
                    <w:tr2bl w:val="nil"/>
                  </w:tcBorders>
                  <w:vAlign w:val="center"/>
                </w:tcPr>
                <w:p w14:paraId="654C25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lang w:val="zh-CN"/>
                    </w:rPr>
                    <w:t>环评审批</w:t>
                  </w:r>
                </w:p>
              </w:tc>
              <w:tc>
                <w:tcPr>
                  <w:tcW w:w="1405" w:type="dxa"/>
                  <w:tcBorders>
                    <w:tl2br w:val="nil"/>
                    <w:tr2bl w:val="nil"/>
                  </w:tcBorders>
                  <w:vAlign w:val="center"/>
                </w:tcPr>
                <w:p w14:paraId="61191F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lang w:val="zh-CN"/>
                    </w:rPr>
                    <w:t>验收情况</w:t>
                  </w:r>
                </w:p>
              </w:tc>
            </w:tr>
            <w:tr w14:paraId="12C14A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5" w:type="dxa"/>
                  <w:tcBorders>
                    <w:tl2br w:val="nil"/>
                    <w:tr2bl w:val="nil"/>
                  </w:tcBorders>
                  <w:vAlign w:val="center"/>
                </w:tcPr>
                <w:p w14:paraId="5DEC7A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vertAlign w:val="baseline"/>
                      <w:lang w:val="en-US" w:eastAsia="zh-CN"/>
                    </w:rPr>
                  </w:pPr>
                  <w:r>
                    <w:rPr>
                      <w:rFonts w:hint="eastAsia"/>
                      <w:sz w:val="21"/>
                      <w:szCs w:val="21"/>
                      <w:highlight w:val="none"/>
                      <w:lang w:val="zh-CN" w:eastAsia="zh-CN"/>
                    </w:rPr>
                    <w:t>北京泰康燕园康复医院</w:t>
                  </w:r>
                  <w:r>
                    <w:rPr>
                      <w:rFonts w:hint="default"/>
                      <w:sz w:val="21"/>
                      <w:szCs w:val="21"/>
                      <w:highlight w:val="none"/>
                      <w:lang w:val="zh-CN"/>
                    </w:rPr>
                    <w:t>(以下简称</w:t>
                  </w:r>
                  <w:r>
                    <w:rPr>
                      <w:rFonts w:hint="eastAsia"/>
                      <w:sz w:val="21"/>
                      <w:szCs w:val="21"/>
                      <w:highlight w:val="none"/>
                      <w:lang w:val="zh-CN"/>
                    </w:rPr>
                    <w:t>现有项目</w:t>
                  </w:r>
                  <w:r>
                    <w:rPr>
                      <w:rFonts w:hint="default"/>
                      <w:sz w:val="21"/>
                      <w:szCs w:val="21"/>
                      <w:highlight w:val="none"/>
                      <w:lang w:val="zh-CN"/>
                    </w:rPr>
                    <w:t>)</w:t>
                  </w:r>
                </w:p>
              </w:tc>
              <w:tc>
                <w:tcPr>
                  <w:tcW w:w="1682" w:type="dxa"/>
                  <w:tcBorders>
                    <w:tl2br w:val="nil"/>
                    <w:tr2bl w:val="nil"/>
                  </w:tcBorders>
                  <w:vAlign w:val="center"/>
                </w:tcPr>
                <w:p w14:paraId="79C209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vertAlign w:val="baseline"/>
                      <w:lang w:val="en-US" w:eastAsia="zh-CN"/>
                    </w:rPr>
                  </w:pPr>
                  <w:r>
                    <w:rPr>
                      <w:rFonts w:hint="eastAsia"/>
                      <w:sz w:val="21"/>
                      <w:szCs w:val="21"/>
                      <w:highlight w:val="none"/>
                      <w:lang w:val="zh-CN"/>
                    </w:rPr>
                    <w:t>北京市昌平区南邵镇景荣街2号院3号楼</w:t>
                  </w:r>
                  <w:r>
                    <w:rPr>
                      <w:rFonts w:hint="eastAsia"/>
                      <w:sz w:val="21"/>
                      <w:szCs w:val="21"/>
                      <w:highlight w:val="none"/>
                      <w:lang w:val="en-US" w:eastAsia="zh-CN"/>
                    </w:rPr>
                    <w:t>-1—5层</w:t>
                  </w:r>
                </w:p>
              </w:tc>
              <w:tc>
                <w:tcPr>
                  <w:tcW w:w="1709" w:type="dxa"/>
                  <w:tcBorders>
                    <w:tl2br w:val="nil"/>
                    <w:tr2bl w:val="nil"/>
                  </w:tcBorders>
                  <w:vAlign w:val="center"/>
                </w:tcPr>
                <w:p w14:paraId="069F5A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住院病床100张，门诊接待人数80人</w:t>
                  </w:r>
                </w:p>
              </w:tc>
              <w:tc>
                <w:tcPr>
                  <w:tcW w:w="1950" w:type="dxa"/>
                  <w:tcBorders>
                    <w:tl2br w:val="nil"/>
                    <w:tr2bl w:val="nil"/>
                  </w:tcBorders>
                  <w:vAlign w:val="center"/>
                </w:tcPr>
                <w:p w14:paraId="4D1559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lang w:val="zh-CN"/>
                    </w:rPr>
                  </w:pPr>
                  <w:r>
                    <w:rPr>
                      <w:rFonts w:hint="eastAsia"/>
                      <w:sz w:val="21"/>
                      <w:szCs w:val="21"/>
                      <w:highlight w:val="none"/>
                      <w:lang w:val="zh-CN"/>
                    </w:rPr>
                    <w:t>北京市昌平区环境保护局</w:t>
                  </w:r>
                </w:p>
                <w:p w14:paraId="2D54D4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lang w:val="zh-CN"/>
                    </w:rPr>
                  </w:pPr>
                  <w:r>
                    <w:rPr>
                      <w:rFonts w:hint="default"/>
                      <w:sz w:val="21"/>
                      <w:szCs w:val="21"/>
                      <w:highlight w:val="none"/>
                      <w:lang w:val="zh-CN"/>
                    </w:rPr>
                    <w:t>20</w:t>
                  </w:r>
                  <w:r>
                    <w:rPr>
                      <w:rFonts w:hint="eastAsia"/>
                      <w:sz w:val="21"/>
                      <w:szCs w:val="21"/>
                      <w:highlight w:val="none"/>
                      <w:lang w:val="en-US" w:eastAsia="zh-CN"/>
                    </w:rPr>
                    <w:t>15</w:t>
                  </w:r>
                  <w:r>
                    <w:rPr>
                      <w:rFonts w:hint="default"/>
                      <w:sz w:val="21"/>
                      <w:szCs w:val="21"/>
                      <w:highlight w:val="none"/>
                      <w:lang w:val="zh-CN"/>
                    </w:rPr>
                    <w:t>年1</w:t>
                  </w:r>
                  <w:r>
                    <w:rPr>
                      <w:rFonts w:hint="eastAsia"/>
                      <w:sz w:val="21"/>
                      <w:szCs w:val="21"/>
                      <w:highlight w:val="none"/>
                      <w:lang w:val="en-US" w:eastAsia="zh-CN"/>
                    </w:rPr>
                    <w:t>2</w:t>
                  </w:r>
                  <w:r>
                    <w:rPr>
                      <w:rFonts w:hint="default"/>
                      <w:sz w:val="21"/>
                      <w:szCs w:val="21"/>
                      <w:highlight w:val="none"/>
                      <w:lang w:val="zh-CN"/>
                    </w:rPr>
                    <w:t>月2日</w:t>
                  </w:r>
                </w:p>
                <w:p w14:paraId="6A2D9E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vertAlign w:val="baseline"/>
                      <w:lang w:val="en-US" w:eastAsia="zh-CN"/>
                    </w:rPr>
                  </w:pPr>
                  <w:r>
                    <w:rPr>
                      <w:rFonts w:hint="default"/>
                      <w:sz w:val="21"/>
                      <w:szCs w:val="21"/>
                      <w:highlight w:val="none"/>
                      <w:lang w:val="zh-CN"/>
                    </w:rPr>
                    <w:t>文号：</w:t>
                  </w:r>
                  <w:r>
                    <w:rPr>
                      <w:rFonts w:hint="eastAsia"/>
                      <w:sz w:val="21"/>
                      <w:szCs w:val="21"/>
                      <w:highlight w:val="none"/>
                      <w:lang w:val="en-US" w:eastAsia="zh-CN"/>
                    </w:rPr>
                    <w:t>昌</w:t>
                  </w:r>
                  <w:r>
                    <w:rPr>
                      <w:rFonts w:hint="default"/>
                      <w:sz w:val="21"/>
                      <w:szCs w:val="21"/>
                      <w:highlight w:val="none"/>
                      <w:lang w:val="zh-CN"/>
                    </w:rPr>
                    <w:t>环保审字</w:t>
                  </w:r>
                  <w:r>
                    <w:rPr>
                      <w:rFonts w:hint="eastAsia"/>
                      <w:sz w:val="21"/>
                      <w:szCs w:val="21"/>
                      <w:highlight w:val="none"/>
                      <w:lang w:val="zh-CN"/>
                    </w:rPr>
                    <w:t>[</w:t>
                  </w:r>
                  <w:r>
                    <w:rPr>
                      <w:rFonts w:hint="default"/>
                      <w:sz w:val="21"/>
                      <w:szCs w:val="21"/>
                      <w:highlight w:val="none"/>
                      <w:lang w:val="zh-CN"/>
                    </w:rPr>
                    <w:t>20</w:t>
                  </w:r>
                  <w:r>
                    <w:rPr>
                      <w:rFonts w:hint="eastAsia"/>
                      <w:sz w:val="21"/>
                      <w:szCs w:val="21"/>
                      <w:highlight w:val="none"/>
                      <w:lang w:val="en-US" w:eastAsia="zh-CN"/>
                    </w:rPr>
                    <w:t>15</w:t>
                  </w:r>
                  <w:r>
                    <w:rPr>
                      <w:rFonts w:hint="eastAsia"/>
                      <w:sz w:val="21"/>
                      <w:szCs w:val="21"/>
                      <w:highlight w:val="none"/>
                      <w:lang w:val="zh-CN"/>
                    </w:rPr>
                    <w:t>]</w:t>
                  </w:r>
                  <w:r>
                    <w:rPr>
                      <w:rFonts w:hint="default"/>
                      <w:sz w:val="21"/>
                      <w:szCs w:val="21"/>
                      <w:highlight w:val="none"/>
                      <w:lang w:val="zh-CN"/>
                    </w:rPr>
                    <w:t>0</w:t>
                  </w:r>
                  <w:r>
                    <w:rPr>
                      <w:rFonts w:hint="eastAsia"/>
                      <w:sz w:val="21"/>
                      <w:szCs w:val="21"/>
                      <w:highlight w:val="none"/>
                      <w:lang w:val="en-US" w:eastAsia="zh-CN"/>
                    </w:rPr>
                    <w:t>487</w:t>
                  </w:r>
                  <w:r>
                    <w:rPr>
                      <w:rFonts w:hint="default"/>
                      <w:sz w:val="21"/>
                      <w:szCs w:val="21"/>
                      <w:highlight w:val="none"/>
                      <w:lang w:val="zh-CN"/>
                    </w:rPr>
                    <w:t>号</w:t>
                  </w:r>
                </w:p>
              </w:tc>
              <w:tc>
                <w:tcPr>
                  <w:tcW w:w="1405" w:type="dxa"/>
                  <w:tcBorders>
                    <w:tl2br w:val="nil"/>
                    <w:tr2bl w:val="nil"/>
                  </w:tcBorders>
                  <w:vAlign w:val="center"/>
                </w:tcPr>
                <w:p w14:paraId="4EFAF6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vertAlign w:val="baseline"/>
                      <w:lang w:val="en-US" w:eastAsia="zh-CN"/>
                    </w:rPr>
                  </w:pPr>
                  <w:r>
                    <w:rPr>
                      <w:rFonts w:hint="default"/>
                      <w:sz w:val="21"/>
                      <w:szCs w:val="21"/>
                      <w:highlight w:val="none"/>
                      <w:lang w:val="zh-CN"/>
                    </w:rPr>
                    <w:t>20</w:t>
                  </w:r>
                  <w:r>
                    <w:rPr>
                      <w:rFonts w:hint="eastAsia"/>
                      <w:sz w:val="21"/>
                      <w:szCs w:val="21"/>
                      <w:highlight w:val="none"/>
                      <w:lang w:val="en-US" w:eastAsia="zh-CN"/>
                    </w:rPr>
                    <w:t>19</w:t>
                  </w:r>
                  <w:r>
                    <w:rPr>
                      <w:rFonts w:hint="default"/>
                      <w:sz w:val="21"/>
                      <w:szCs w:val="21"/>
                      <w:highlight w:val="none"/>
                      <w:lang w:val="zh-CN"/>
                    </w:rPr>
                    <w:t>年1月</w:t>
                  </w:r>
                  <w:r>
                    <w:rPr>
                      <w:rFonts w:hint="eastAsia"/>
                      <w:sz w:val="21"/>
                      <w:szCs w:val="21"/>
                      <w:highlight w:val="none"/>
                      <w:lang w:val="en-US" w:eastAsia="zh-CN"/>
                    </w:rPr>
                    <w:t>2</w:t>
                  </w:r>
                  <w:r>
                    <w:rPr>
                      <w:rFonts w:hint="default"/>
                      <w:sz w:val="21"/>
                      <w:szCs w:val="21"/>
                      <w:highlight w:val="none"/>
                      <w:lang w:val="zh-CN"/>
                    </w:rPr>
                    <w:t>6日通过自主验收</w:t>
                  </w:r>
                </w:p>
              </w:tc>
            </w:tr>
          </w:tbl>
          <w:p w14:paraId="6F339C8F">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根据《固定污染源排污许可分类管理名录》（2019年版，生态环境部令第11号），现有项目实行排污许可</w:t>
            </w:r>
            <w:r>
              <w:rPr>
                <w:rFonts w:hint="eastAsia"/>
                <w:highlight w:val="none"/>
                <w:vertAlign w:val="baseline"/>
                <w:lang w:val="en-US" w:eastAsia="zh-CN"/>
              </w:rPr>
              <w:t>简化</w:t>
            </w:r>
            <w:r>
              <w:rPr>
                <w:rFonts w:hint="default"/>
                <w:highlight w:val="none"/>
                <w:vertAlign w:val="baseline"/>
                <w:lang w:val="en-US" w:eastAsia="zh-CN"/>
              </w:rPr>
              <w:t>管理。建设单位于202</w:t>
            </w:r>
            <w:r>
              <w:rPr>
                <w:rFonts w:hint="eastAsia"/>
                <w:highlight w:val="none"/>
                <w:vertAlign w:val="baseline"/>
                <w:lang w:val="en-US" w:eastAsia="zh-CN"/>
              </w:rPr>
              <w:t>1</w:t>
            </w:r>
            <w:r>
              <w:rPr>
                <w:rFonts w:hint="default"/>
                <w:highlight w:val="none"/>
                <w:vertAlign w:val="baseline"/>
                <w:lang w:val="en-US" w:eastAsia="zh-CN"/>
              </w:rPr>
              <w:t>年</w:t>
            </w:r>
            <w:r>
              <w:rPr>
                <w:rFonts w:hint="eastAsia"/>
                <w:highlight w:val="none"/>
                <w:vertAlign w:val="baseline"/>
                <w:lang w:val="en-US" w:eastAsia="zh-CN"/>
              </w:rPr>
              <w:t>6</w:t>
            </w:r>
            <w:r>
              <w:rPr>
                <w:rFonts w:hint="default"/>
                <w:highlight w:val="none"/>
                <w:vertAlign w:val="baseline"/>
                <w:lang w:val="en-US" w:eastAsia="zh-CN"/>
              </w:rPr>
              <w:t>月</w:t>
            </w:r>
            <w:r>
              <w:rPr>
                <w:rFonts w:hint="eastAsia"/>
                <w:highlight w:val="none"/>
                <w:vertAlign w:val="baseline"/>
                <w:lang w:val="en-US" w:eastAsia="zh-CN"/>
              </w:rPr>
              <w:t>15</w:t>
            </w:r>
            <w:r>
              <w:rPr>
                <w:rFonts w:hint="default"/>
                <w:highlight w:val="none"/>
                <w:vertAlign w:val="baseline"/>
                <w:lang w:val="en-US" w:eastAsia="zh-CN"/>
              </w:rPr>
              <w:t>日按照相关要求，取得固定污染源排污登记回执（登记编号：</w:t>
            </w:r>
            <w:r>
              <w:rPr>
                <w:rFonts w:hint="eastAsia"/>
                <w:highlight w:val="none"/>
                <w:vertAlign w:val="baseline"/>
                <w:lang w:val="en-US" w:eastAsia="zh-CN"/>
              </w:rPr>
              <w:t>91110114MA002JHF0H001R</w:t>
            </w:r>
            <w:r>
              <w:rPr>
                <w:rFonts w:hint="default"/>
                <w:highlight w:val="none"/>
                <w:vertAlign w:val="baseline"/>
                <w:lang w:val="en-US" w:eastAsia="zh-CN"/>
              </w:rPr>
              <w:t>，有效日期为202</w:t>
            </w:r>
            <w:r>
              <w:rPr>
                <w:rFonts w:hint="eastAsia"/>
                <w:highlight w:val="none"/>
                <w:vertAlign w:val="baseline"/>
                <w:lang w:val="en-US" w:eastAsia="zh-CN"/>
              </w:rPr>
              <w:t>1</w:t>
            </w:r>
            <w:r>
              <w:rPr>
                <w:rFonts w:hint="default"/>
                <w:highlight w:val="none"/>
                <w:vertAlign w:val="baseline"/>
                <w:lang w:val="en-US" w:eastAsia="zh-CN"/>
              </w:rPr>
              <w:t>年</w:t>
            </w:r>
            <w:r>
              <w:rPr>
                <w:rFonts w:hint="eastAsia"/>
                <w:highlight w:val="none"/>
                <w:vertAlign w:val="baseline"/>
                <w:lang w:val="en-US" w:eastAsia="zh-CN"/>
              </w:rPr>
              <w:t>6</w:t>
            </w:r>
            <w:r>
              <w:rPr>
                <w:rFonts w:hint="default"/>
                <w:highlight w:val="none"/>
                <w:vertAlign w:val="baseline"/>
                <w:lang w:val="en-US" w:eastAsia="zh-CN"/>
              </w:rPr>
              <w:t>月</w:t>
            </w:r>
            <w:r>
              <w:rPr>
                <w:rFonts w:hint="eastAsia"/>
                <w:highlight w:val="none"/>
                <w:vertAlign w:val="baseline"/>
                <w:lang w:val="en-US" w:eastAsia="zh-CN"/>
              </w:rPr>
              <w:t>15</w:t>
            </w:r>
            <w:r>
              <w:rPr>
                <w:rFonts w:hint="default"/>
                <w:highlight w:val="none"/>
                <w:vertAlign w:val="baseline"/>
                <w:lang w:val="en-US" w:eastAsia="zh-CN"/>
              </w:rPr>
              <w:t>日至20</w:t>
            </w:r>
            <w:r>
              <w:rPr>
                <w:rFonts w:hint="eastAsia"/>
                <w:highlight w:val="none"/>
                <w:vertAlign w:val="baseline"/>
                <w:lang w:val="en-US" w:eastAsia="zh-CN"/>
              </w:rPr>
              <w:t>26</w:t>
            </w:r>
            <w:r>
              <w:rPr>
                <w:rFonts w:hint="default"/>
                <w:highlight w:val="none"/>
                <w:vertAlign w:val="baseline"/>
                <w:lang w:val="en-US" w:eastAsia="zh-CN"/>
              </w:rPr>
              <w:t>年</w:t>
            </w:r>
            <w:r>
              <w:rPr>
                <w:rFonts w:hint="eastAsia"/>
                <w:highlight w:val="none"/>
                <w:vertAlign w:val="baseline"/>
                <w:lang w:val="en-US" w:eastAsia="zh-CN"/>
              </w:rPr>
              <w:t>6</w:t>
            </w:r>
            <w:r>
              <w:rPr>
                <w:rFonts w:hint="default"/>
                <w:highlight w:val="none"/>
                <w:vertAlign w:val="baseline"/>
                <w:lang w:val="en-US" w:eastAsia="zh-CN"/>
              </w:rPr>
              <w:t>月</w:t>
            </w:r>
            <w:r>
              <w:rPr>
                <w:rFonts w:hint="eastAsia"/>
                <w:highlight w:val="none"/>
                <w:vertAlign w:val="baseline"/>
                <w:lang w:val="en-US" w:eastAsia="zh-CN"/>
              </w:rPr>
              <w:t>14</w:t>
            </w:r>
            <w:r>
              <w:rPr>
                <w:rFonts w:hint="default"/>
                <w:highlight w:val="none"/>
                <w:vertAlign w:val="baseline"/>
                <w:lang w:val="en-US" w:eastAsia="zh-CN"/>
              </w:rPr>
              <w:t>日）。</w:t>
            </w:r>
          </w:p>
          <w:p w14:paraId="18ADCB4B">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2、现有项目污染物排放情况及治理措施</w:t>
            </w:r>
          </w:p>
          <w:p w14:paraId="475CB361">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（1）废气</w:t>
            </w:r>
          </w:p>
          <w:p w14:paraId="7DF5C530">
            <w:pPr>
              <w:keepNext w:val="0"/>
              <w:keepLines w:val="0"/>
              <w:suppressLineNumbers w:val="0"/>
              <w:spacing w:before="0" w:beforeAutospacing="0" w:after="0" w:afterAutospacing="0"/>
              <w:ind w:left="0" w:right="0"/>
              <w:rPr>
                <w:rFonts w:hint="eastAsia"/>
                <w:highlight w:val="none"/>
                <w:vertAlign w:val="baseline"/>
                <w:lang w:val="en-US" w:eastAsia="zh-CN"/>
              </w:rPr>
            </w:pPr>
            <w:r>
              <w:rPr>
                <w:rFonts w:hint="eastAsia"/>
                <w:highlight w:val="none"/>
                <w:vertAlign w:val="baseline"/>
                <w:lang w:val="en-US" w:eastAsia="zh-CN"/>
              </w:rPr>
              <w:t>现有项目废气主要为污水处理过程中产生的臭气，主要成分为氨、硫化氢、氯气、甲烷、臭气浓度，处理过程处于全封闭状态，废气无组织排放。根据2026年3月例行监测报告（报告编号：WQ260301-06-01），无组织废气排放情况见下表。</w:t>
            </w:r>
          </w:p>
          <w:p w14:paraId="61EEE21E">
            <w:pPr>
              <w:pStyle w:val="40"/>
              <w:keepNext w:val="0"/>
              <w:keepLines w:val="0"/>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表2-</w:t>
            </w:r>
            <w:r>
              <w:rPr>
                <w:rFonts w:hint="eastAsia"/>
                <w:highlight w:val="none"/>
                <w:lang w:val="en-US" w:eastAsia="zh-CN"/>
              </w:rPr>
              <w:t>9</w:t>
            </w:r>
            <w:r>
              <w:rPr>
                <w:rFonts w:hint="default"/>
                <w:highlight w:val="none"/>
                <w:lang w:val="en-US" w:eastAsia="zh-CN"/>
              </w:rPr>
              <w:t xml:space="preserve">  </w:t>
            </w:r>
            <w:r>
              <w:rPr>
                <w:rFonts w:hint="eastAsia"/>
                <w:highlight w:val="none"/>
                <w:lang w:val="en-US" w:eastAsia="zh-CN"/>
              </w:rPr>
              <w:t>污水处理站周边无组织废气</w:t>
            </w:r>
            <w:r>
              <w:rPr>
                <w:rFonts w:hint="default"/>
                <w:highlight w:val="none"/>
                <w:lang w:val="en-US" w:eastAsia="zh-CN"/>
              </w:rPr>
              <w:t>排放情况一览表</w:t>
            </w:r>
          </w:p>
          <w:tbl>
            <w:tblPr>
              <w:tblStyle w:val="17"/>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4" w:space="0"/>
              </w:tblBorders>
              <w:tblLayout w:type="autofit"/>
              <w:tblCellMar>
                <w:top w:w="0" w:type="dxa"/>
                <w:left w:w="0" w:type="dxa"/>
                <w:bottom w:w="0" w:type="dxa"/>
                <w:right w:w="0" w:type="dxa"/>
              </w:tblCellMar>
            </w:tblPr>
            <w:tblGrid>
              <w:gridCol w:w="651"/>
              <w:gridCol w:w="1537"/>
              <w:gridCol w:w="2338"/>
              <w:gridCol w:w="1664"/>
              <w:gridCol w:w="575"/>
              <w:gridCol w:w="1733"/>
            </w:tblGrid>
            <w:tr w14:paraId="3B402555">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5C64CA87">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bCs/>
                      <w:sz w:val="21"/>
                      <w:szCs w:val="21"/>
                      <w:highlight w:val="none"/>
                      <w:lang w:val="en-US" w:eastAsia="zh-CN"/>
                    </w:rPr>
                  </w:pPr>
                  <w:r>
                    <w:rPr>
                      <w:rFonts w:hint="eastAsia"/>
                      <w:b/>
                      <w:bCs/>
                      <w:sz w:val="21"/>
                      <w:szCs w:val="21"/>
                      <w:highlight w:val="none"/>
                      <w:lang w:val="en-US" w:eastAsia="zh-CN"/>
                    </w:rPr>
                    <w:t>检测项目</w:t>
                  </w:r>
                </w:p>
              </w:tc>
              <w:tc>
                <w:tcPr>
                  <w:tcW w:w="904" w:type="pct"/>
                  <w:vMerge w:val="restart"/>
                  <w:tcBorders>
                    <w:tl2br w:val="nil"/>
                    <w:tr2bl w:val="nil"/>
                  </w:tcBorders>
                  <w:shd w:val="clear" w:color="auto" w:fill="auto"/>
                  <w:vAlign w:val="center"/>
                </w:tcPr>
                <w:p w14:paraId="1A6389CD">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bCs/>
                      <w:sz w:val="21"/>
                      <w:szCs w:val="21"/>
                      <w:highlight w:val="none"/>
                      <w:lang w:val="en-US" w:eastAsia="zh-CN"/>
                    </w:rPr>
                  </w:pPr>
                  <w:r>
                    <w:rPr>
                      <w:rFonts w:hint="eastAsia"/>
                      <w:b/>
                      <w:bCs/>
                      <w:sz w:val="21"/>
                      <w:szCs w:val="21"/>
                      <w:highlight w:val="none"/>
                      <w:lang w:val="en-US" w:eastAsia="zh-CN"/>
                    </w:rPr>
                    <w:t>检</w:t>
                  </w:r>
                  <w:r>
                    <w:rPr>
                      <w:rFonts w:hint="default"/>
                      <w:b/>
                      <w:bCs/>
                      <w:sz w:val="21"/>
                      <w:szCs w:val="21"/>
                      <w:highlight w:val="none"/>
                    </w:rPr>
                    <w:t>测</w:t>
                  </w:r>
                  <w:r>
                    <w:rPr>
                      <w:rFonts w:hint="eastAsia"/>
                      <w:b/>
                      <w:bCs/>
                      <w:sz w:val="21"/>
                      <w:szCs w:val="21"/>
                      <w:highlight w:val="none"/>
                      <w:lang w:val="en-US" w:eastAsia="zh-CN"/>
                    </w:rPr>
                    <w:t>位置</w:t>
                  </w:r>
                </w:p>
              </w:tc>
              <w:tc>
                <w:tcPr>
                  <w:tcW w:w="2354" w:type="pct"/>
                  <w:gridSpan w:val="2"/>
                  <w:tcBorders>
                    <w:tl2br w:val="nil"/>
                    <w:tr2bl w:val="nil"/>
                  </w:tcBorders>
                  <w:shd w:val="clear" w:color="auto" w:fill="auto"/>
                  <w:vAlign w:val="center"/>
                </w:tcPr>
                <w:p w14:paraId="21BA7F80">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单位周界无组织排放监控点浓度限值</w:t>
                  </w:r>
                </w:p>
              </w:tc>
              <w:tc>
                <w:tcPr>
                  <w:tcW w:w="338" w:type="pct"/>
                  <w:vMerge w:val="restart"/>
                  <w:tcBorders>
                    <w:tl2br w:val="nil"/>
                    <w:tr2bl w:val="nil"/>
                  </w:tcBorders>
                  <w:vAlign w:val="center"/>
                </w:tcPr>
                <w:p w14:paraId="0ABA1EE8">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达标情况</w:t>
                  </w:r>
                </w:p>
              </w:tc>
              <w:tc>
                <w:tcPr>
                  <w:tcW w:w="1019" w:type="pct"/>
                  <w:vMerge w:val="restart"/>
                  <w:tcBorders>
                    <w:tl2br w:val="nil"/>
                    <w:tr2bl w:val="nil"/>
                  </w:tcBorders>
                  <w:vAlign w:val="center"/>
                </w:tcPr>
                <w:p w14:paraId="21404FBF">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标准来源</w:t>
                  </w:r>
                </w:p>
              </w:tc>
            </w:tr>
            <w:tr w14:paraId="71378F3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vAlign w:val="center"/>
                </w:tcPr>
                <w:p w14:paraId="3BD60A79">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p>
              </w:tc>
              <w:tc>
                <w:tcPr>
                  <w:tcW w:w="904" w:type="pct"/>
                  <w:vMerge w:val="continue"/>
                  <w:tcBorders>
                    <w:tl2br w:val="nil"/>
                    <w:tr2bl w:val="nil"/>
                  </w:tcBorders>
                  <w:vAlign w:val="center"/>
                </w:tcPr>
                <w:p w14:paraId="263968DD">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p>
              </w:tc>
              <w:tc>
                <w:tcPr>
                  <w:tcW w:w="1375" w:type="pct"/>
                  <w:tcBorders>
                    <w:tl2br w:val="nil"/>
                    <w:tr2bl w:val="nil"/>
                  </w:tcBorders>
                  <w:shd w:val="clear" w:color="auto" w:fill="auto"/>
                  <w:vAlign w:val="center"/>
                </w:tcPr>
                <w:p w14:paraId="1D5C9615">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eastAsia"/>
                      <w:b/>
                      <w:bCs/>
                      <w:sz w:val="21"/>
                      <w:szCs w:val="21"/>
                      <w:highlight w:val="none"/>
                      <w:lang w:val="en-US" w:eastAsia="zh-CN"/>
                    </w:rPr>
                    <w:t>检测结果</w:t>
                  </w:r>
                  <w:r>
                    <w:rPr>
                      <w:rFonts w:hint="default"/>
                      <w:b/>
                      <w:bCs/>
                      <w:sz w:val="21"/>
                      <w:szCs w:val="21"/>
                      <w:highlight w:val="none"/>
                    </w:rPr>
                    <w:t>mg/m</w:t>
                  </w:r>
                  <w:r>
                    <w:rPr>
                      <w:rFonts w:hint="default"/>
                      <w:b/>
                      <w:bCs/>
                      <w:sz w:val="21"/>
                      <w:szCs w:val="21"/>
                      <w:highlight w:val="none"/>
                      <w:vertAlign w:val="superscript"/>
                    </w:rPr>
                    <w:t>3</w:t>
                  </w:r>
                </w:p>
              </w:tc>
              <w:tc>
                <w:tcPr>
                  <w:tcW w:w="979" w:type="pct"/>
                  <w:tcBorders>
                    <w:tl2br w:val="nil"/>
                    <w:tr2bl w:val="nil"/>
                  </w:tcBorders>
                  <w:shd w:val="clear" w:color="auto" w:fill="auto"/>
                  <w:vAlign w:val="center"/>
                </w:tcPr>
                <w:p w14:paraId="03F65A1B">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标准限值mg/m</w:t>
                  </w:r>
                  <w:r>
                    <w:rPr>
                      <w:rFonts w:hint="default"/>
                      <w:b/>
                      <w:bCs/>
                      <w:sz w:val="21"/>
                      <w:szCs w:val="21"/>
                      <w:highlight w:val="none"/>
                      <w:vertAlign w:val="superscript"/>
                    </w:rPr>
                    <w:t>3</w:t>
                  </w:r>
                </w:p>
              </w:tc>
              <w:tc>
                <w:tcPr>
                  <w:tcW w:w="338" w:type="pct"/>
                  <w:vMerge w:val="continue"/>
                  <w:tcBorders>
                    <w:tl2br w:val="nil"/>
                    <w:tr2bl w:val="nil"/>
                  </w:tcBorders>
                  <w:vAlign w:val="center"/>
                </w:tcPr>
                <w:p w14:paraId="1CEB734F">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p>
              </w:tc>
              <w:tc>
                <w:tcPr>
                  <w:tcW w:w="1019" w:type="pct"/>
                  <w:vMerge w:val="continue"/>
                  <w:tcBorders>
                    <w:tl2br w:val="nil"/>
                    <w:tr2bl w:val="nil"/>
                  </w:tcBorders>
                  <w:vAlign w:val="center"/>
                </w:tcPr>
                <w:p w14:paraId="0FB36BB4">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0B729AE4">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4FB6E155">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氨</w:t>
                  </w:r>
                </w:p>
              </w:tc>
              <w:tc>
                <w:tcPr>
                  <w:tcW w:w="904" w:type="pct"/>
                  <w:tcBorders>
                    <w:tl2br w:val="nil"/>
                    <w:tr2bl w:val="nil"/>
                  </w:tcBorders>
                  <w:shd w:val="clear" w:color="auto" w:fill="auto"/>
                  <w:vAlign w:val="center"/>
                </w:tcPr>
                <w:p w14:paraId="35EF600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上风</w:t>
                  </w:r>
                  <w:r>
                    <w:rPr>
                      <w:rFonts w:hint="eastAsia"/>
                      <w:sz w:val="21"/>
                      <w:szCs w:val="21"/>
                      <w:highlight w:val="none"/>
                      <w:lang w:val="en-US" w:eastAsia="zh-CN"/>
                    </w:rPr>
                    <w:t>01</w:t>
                  </w:r>
                </w:p>
              </w:tc>
              <w:tc>
                <w:tcPr>
                  <w:tcW w:w="1375" w:type="pct"/>
                  <w:tcBorders>
                    <w:tl2br w:val="nil"/>
                    <w:tr2bl w:val="nil"/>
                  </w:tcBorders>
                  <w:shd w:val="clear" w:color="auto" w:fill="auto"/>
                  <w:vAlign w:val="center"/>
                </w:tcPr>
                <w:p w14:paraId="3B42F64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0.</w:t>
                  </w:r>
                  <w:r>
                    <w:rPr>
                      <w:rFonts w:hint="eastAsia"/>
                      <w:sz w:val="21"/>
                      <w:szCs w:val="21"/>
                      <w:highlight w:val="none"/>
                      <w:lang w:val="en-US" w:eastAsia="zh-CN"/>
                    </w:rPr>
                    <w:t>05</w:t>
                  </w:r>
                </w:p>
              </w:tc>
              <w:tc>
                <w:tcPr>
                  <w:tcW w:w="979" w:type="pct"/>
                  <w:vMerge w:val="restart"/>
                  <w:tcBorders>
                    <w:tl2br w:val="nil"/>
                    <w:tr2bl w:val="nil"/>
                  </w:tcBorders>
                  <w:shd w:val="clear" w:color="auto" w:fill="auto"/>
                  <w:vAlign w:val="center"/>
                </w:tcPr>
                <w:p w14:paraId="389D89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sz w:val="21"/>
                      <w:szCs w:val="21"/>
                      <w:highlight w:val="none"/>
                      <w:lang w:val="en-US" w:eastAsia="zh-CN"/>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1.0</w:t>
                  </w:r>
                </w:p>
              </w:tc>
              <w:tc>
                <w:tcPr>
                  <w:tcW w:w="338" w:type="pct"/>
                  <w:tcBorders>
                    <w:tl2br w:val="nil"/>
                    <w:tr2bl w:val="nil"/>
                  </w:tcBorders>
                  <w:shd w:val="clear" w:color="auto" w:fill="auto"/>
                  <w:vAlign w:val="center"/>
                </w:tcPr>
                <w:p w14:paraId="1ACCFF73">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restart"/>
                  <w:tcBorders>
                    <w:tl2br w:val="nil"/>
                    <w:tr2bl w:val="nil"/>
                  </w:tcBorders>
                  <w:vAlign w:val="center"/>
                </w:tcPr>
                <w:p w14:paraId="5C1ACE8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lang w:val="en-US" w:eastAsia="zh-CN"/>
                    </w:rPr>
                    <w:t>《医疗机构水污染物排放标准》（GB18466-2005）中“表3 污水处理站周边大气污染物最高允许浓度限值”）</w:t>
                  </w:r>
                </w:p>
              </w:tc>
            </w:tr>
            <w:tr w14:paraId="16F05334">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166737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02694E51">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下风</w:t>
                  </w:r>
                  <w:r>
                    <w:rPr>
                      <w:rFonts w:hint="eastAsia"/>
                      <w:sz w:val="21"/>
                      <w:szCs w:val="21"/>
                      <w:highlight w:val="none"/>
                      <w:lang w:val="en-US" w:eastAsia="zh-CN"/>
                    </w:rPr>
                    <w:t>02</w:t>
                  </w:r>
                </w:p>
              </w:tc>
              <w:tc>
                <w:tcPr>
                  <w:tcW w:w="1375" w:type="pct"/>
                  <w:tcBorders>
                    <w:tl2br w:val="nil"/>
                    <w:tr2bl w:val="nil"/>
                  </w:tcBorders>
                  <w:shd w:val="clear" w:color="auto" w:fill="auto"/>
                  <w:vAlign w:val="center"/>
                </w:tcPr>
                <w:p w14:paraId="1CEE2D0E">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0.</w:t>
                  </w:r>
                  <w:r>
                    <w:rPr>
                      <w:rFonts w:hint="eastAsia"/>
                      <w:sz w:val="21"/>
                      <w:szCs w:val="21"/>
                      <w:highlight w:val="none"/>
                      <w:lang w:val="en-US" w:eastAsia="zh-CN"/>
                    </w:rPr>
                    <w:t>10</w:t>
                  </w:r>
                </w:p>
              </w:tc>
              <w:tc>
                <w:tcPr>
                  <w:tcW w:w="979" w:type="pct"/>
                  <w:vMerge w:val="continue"/>
                  <w:tcBorders>
                    <w:tl2br w:val="nil"/>
                    <w:tr2bl w:val="nil"/>
                  </w:tcBorders>
                  <w:shd w:val="clear" w:color="auto" w:fill="auto"/>
                  <w:vAlign w:val="center"/>
                </w:tcPr>
                <w:p w14:paraId="78432B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8" w:type="pct"/>
                  <w:tcBorders>
                    <w:tl2br w:val="nil"/>
                    <w:tr2bl w:val="nil"/>
                  </w:tcBorders>
                  <w:shd w:val="clear" w:color="auto" w:fill="auto"/>
                  <w:vAlign w:val="center"/>
                </w:tcPr>
                <w:p w14:paraId="43E2440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5A58ACF7">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61AFFC6D">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5B3881C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21D86A3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下风03</w:t>
                  </w:r>
                </w:p>
              </w:tc>
              <w:tc>
                <w:tcPr>
                  <w:tcW w:w="1375" w:type="pct"/>
                  <w:tcBorders>
                    <w:tl2br w:val="nil"/>
                    <w:tr2bl w:val="nil"/>
                  </w:tcBorders>
                  <w:shd w:val="clear" w:color="auto" w:fill="auto"/>
                  <w:vAlign w:val="center"/>
                </w:tcPr>
                <w:p w14:paraId="066FAA8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0.</w:t>
                  </w:r>
                  <w:r>
                    <w:rPr>
                      <w:rFonts w:hint="eastAsia"/>
                      <w:sz w:val="21"/>
                      <w:szCs w:val="21"/>
                      <w:highlight w:val="none"/>
                      <w:lang w:val="en-US" w:eastAsia="zh-CN"/>
                    </w:rPr>
                    <w:t>11</w:t>
                  </w:r>
                </w:p>
              </w:tc>
              <w:tc>
                <w:tcPr>
                  <w:tcW w:w="979" w:type="pct"/>
                  <w:vMerge w:val="continue"/>
                  <w:tcBorders>
                    <w:tl2br w:val="nil"/>
                    <w:tr2bl w:val="nil"/>
                  </w:tcBorders>
                  <w:shd w:val="clear" w:color="auto" w:fill="auto"/>
                  <w:vAlign w:val="center"/>
                </w:tcPr>
                <w:p w14:paraId="04EDE22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35089A6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261729EC">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64F784F9">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2E1103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3F373B7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下风</w:t>
                  </w:r>
                  <w:r>
                    <w:rPr>
                      <w:rFonts w:hint="eastAsia"/>
                      <w:sz w:val="21"/>
                      <w:szCs w:val="21"/>
                      <w:highlight w:val="none"/>
                      <w:lang w:val="en-US" w:eastAsia="zh-CN"/>
                    </w:rPr>
                    <w:t>04</w:t>
                  </w:r>
                </w:p>
              </w:tc>
              <w:tc>
                <w:tcPr>
                  <w:tcW w:w="1375" w:type="pct"/>
                  <w:tcBorders>
                    <w:tl2br w:val="nil"/>
                    <w:tr2bl w:val="nil"/>
                  </w:tcBorders>
                  <w:shd w:val="clear" w:color="auto" w:fill="auto"/>
                  <w:vAlign w:val="center"/>
                </w:tcPr>
                <w:p w14:paraId="44F1DE7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default"/>
                      <w:sz w:val="21"/>
                      <w:szCs w:val="21"/>
                      <w:highlight w:val="none"/>
                    </w:rPr>
                    <w:t>0.</w:t>
                  </w:r>
                  <w:r>
                    <w:rPr>
                      <w:rFonts w:hint="eastAsia"/>
                      <w:sz w:val="21"/>
                      <w:szCs w:val="21"/>
                      <w:highlight w:val="none"/>
                      <w:lang w:val="en-US" w:eastAsia="zh-CN"/>
                    </w:rPr>
                    <w:t>10</w:t>
                  </w:r>
                </w:p>
              </w:tc>
              <w:tc>
                <w:tcPr>
                  <w:tcW w:w="979" w:type="pct"/>
                  <w:vMerge w:val="continue"/>
                  <w:tcBorders>
                    <w:tl2br w:val="nil"/>
                    <w:tr2bl w:val="nil"/>
                  </w:tcBorders>
                  <w:shd w:val="clear" w:color="auto" w:fill="auto"/>
                  <w:vAlign w:val="center"/>
                </w:tcPr>
                <w:p w14:paraId="0DF11E1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761CAA3A">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44BB6AA8">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6CDC532E">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6F4F24A6">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eastAsia="zh-CN"/>
                    </w:rPr>
                  </w:pPr>
                  <w:r>
                    <w:rPr>
                      <w:rFonts w:hint="eastAsia"/>
                      <w:sz w:val="21"/>
                      <w:szCs w:val="21"/>
                      <w:highlight w:val="none"/>
                      <w:lang w:val="en-US" w:eastAsia="zh-CN"/>
                    </w:rPr>
                    <w:t>硫化氢</w:t>
                  </w:r>
                </w:p>
              </w:tc>
              <w:tc>
                <w:tcPr>
                  <w:tcW w:w="904" w:type="pct"/>
                  <w:tcBorders>
                    <w:tl2br w:val="nil"/>
                    <w:tr2bl w:val="nil"/>
                  </w:tcBorders>
                  <w:shd w:val="clear" w:color="auto" w:fill="auto"/>
                  <w:vAlign w:val="center"/>
                </w:tcPr>
                <w:p w14:paraId="4A3DD56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上风</w:t>
                  </w:r>
                  <w:r>
                    <w:rPr>
                      <w:rFonts w:hint="eastAsia"/>
                      <w:sz w:val="21"/>
                      <w:szCs w:val="21"/>
                      <w:highlight w:val="none"/>
                      <w:lang w:val="en-US" w:eastAsia="zh-CN"/>
                    </w:rPr>
                    <w:t>01</w:t>
                  </w:r>
                </w:p>
              </w:tc>
              <w:tc>
                <w:tcPr>
                  <w:tcW w:w="1375" w:type="pct"/>
                  <w:tcBorders>
                    <w:tl2br w:val="nil"/>
                    <w:tr2bl w:val="nil"/>
                  </w:tcBorders>
                  <w:shd w:val="clear" w:color="auto" w:fill="auto"/>
                  <w:vAlign w:val="center"/>
                </w:tcPr>
                <w:p w14:paraId="4131069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002</w:t>
                  </w:r>
                </w:p>
              </w:tc>
              <w:tc>
                <w:tcPr>
                  <w:tcW w:w="979" w:type="pct"/>
                  <w:vMerge w:val="restart"/>
                  <w:tcBorders>
                    <w:tl2br w:val="nil"/>
                    <w:tr2bl w:val="nil"/>
                  </w:tcBorders>
                  <w:shd w:val="clear" w:color="auto" w:fill="auto"/>
                  <w:vAlign w:val="center"/>
                </w:tcPr>
                <w:p w14:paraId="10D5D85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0.03</w:t>
                  </w:r>
                </w:p>
              </w:tc>
              <w:tc>
                <w:tcPr>
                  <w:tcW w:w="338" w:type="pct"/>
                  <w:tcBorders>
                    <w:tl2br w:val="nil"/>
                    <w:tr2bl w:val="nil"/>
                  </w:tcBorders>
                  <w:shd w:val="clear" w:color="auto" w:fill="auto"/>
                  <w:vAlign w:val="center"/>
                </w:tcPr>
                <w:p w14:paraId="76D88DF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6CCC18B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2AB1C792">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412E6E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1431FDD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02</w:t>
                  </w:r>
                </w:p>
              </w:tc>
              <w:tc>
                <w:tcPr>
                  <w:tcW w:w="1375" w:type="pct"/>
                  <w:tcBorders>
                    <w:tl2br w:val="nil"/>
                    <w:tr2bl w:val="nil"/>
                  </w:tcBorders>
                  <w:shd w:val="clear" w:color="auto" w:fill="auto"/>
                  <w:vAlign w:val="center"/>
                </w:tcPr>
                <w:p w14:paraId="5CE4291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006</w:t>
                  </w:r>
                </w:p>
              </w:tc>
              <w:tc>
                <w:tcPr>
                  <w:tcW w:w="979" w:type="pct"/>
                  <w:vMerge w:val="continue"/>
                  <w:tcBorders>
                    <w:tl2br w:val="nil"/>
                    <w:tr2bl w:val="nil"/>
                  </w:tcBorders>
                  <w:shd w:val="clear" w:color="auto" w:fill="auto"/>
                  <w:vAlign w:val="center"/>
                </w:tcPr>
                <w:p w14:paraId="380997E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63160B8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5FC52F3B">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21E07B03">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5BA38906">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2BCC89E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lang w:val="en-US" w:eastAsia="zh-CN"/>
                    </w:rPr>
                    <w:t>下风03</w:t>
                  </w:r>
                </w:p>
              </w:tc>
              <w:tc>
                <w:tcPr>
                  <w:tcW w:w="1375" w:type="pct"/>
                  <w:tcBorders>
                    <w:tl2br w:val="nil"/>
                    <w:tr2bl w:val="nil"/>
                  </w:tcBorders>
                  <w:shd w:val="clear" w:color="auto" w:fill="auto"/>
                  <w:vAlign w:val="center"/>
                </w:tcPr>
                <w:p w14:paraId="60D2C58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005</w:t>
                  </w:r>
                </w:p>
              </w:tc>
              <w:tc>
                <w:tcPr>
                  <w:tcW w:w="979" w:type="pct"/>
                  <w:vMerge w:val="continue"/>
                  <w:tcBorders>
                    <w:tl2br w:val="nil"/>
                    <w:tr2bl w:val="nil"/>
                  </w:tcBorders>
                  <w:shd w:val="clear" w:color="auto" w:fill="auto"/>
                  <w:vAlign w:val="center"/>
                </w:tcPr>
                <w:p w14:paraId="10F15DE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16AC632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6E6488C9">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1EEFBDCD">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CA5617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6F9856A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04</w:t>
                  </w:r>
                </w:p>
              </w:tc>
              <w:tc>
                <w:tcPr>
                  <w:tcW w:w="1375" w:type="pct"/>
                  <w:tcBorders>
                    <w:tl2br w:val="nil"/>
                    <w:tr2bl w:val="nil"/>
                  </w:tcBorders>
                  <w:shd w:val="clear" w:color="auto" w:fill="auto"/>
                  <w:vAlign w:val="center"/>
                </w:tcPr>
                <w:p w14:paraId="4241822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005</w:t>
                  </w:r>
                </w:p>
              </w:tc>
              <w:tc>
                <w:tcPr>
                  <w:tcW w:w="979" w:type="pct"/>
                  <w:vMerge w:val="continue"/>
                  <w:tcBorders>
                    <w:tl2br w:val="nil"/>
                    <w:tr2bl w:val="nil"/>
                  </w:tcBorders>
                  <w:shd w:val="clear" w:color="auto" w:fill="auto"/>
                  <w:vAlign w:val="center"/>
                </w:tcPr>
                <w:p w14:paraId="662B46F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254E7D66">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4F2D7BB5">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32C0B34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46695C4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氯气</w:t>
                  </w:r>
                </w:p>
              </w:tc>
              <w:tc>
                <w:tcPr>
                  <w:tcW w:w="904" w:type="pct"/>
                  <w:tcBorders>
                    <w:tl2br w:val="nil"/>
                    <w:tr2bl w:val="nil"/>
                  </w:tcBorders>
                  <w:shd w:val="clear" w:color="auto" w:fill="auto"/>
                  <w:vAlign w:val="center"/>
                </w:tcPr>
                <w:p w14:paraId="6C2B8C71">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上风</w:t>
                  </w:r>
                  <w:r>
                    <w:rPr>
                      <w:rFonts w:hint="eastAsia"/>
                      <w:sz w:val="21"/>
                      <w:szCs w:val="21"/>
                      <w:highlight w:val="none"/>
                      <w:lang w:val="en-US" w:eastAsia="zh-CN"/>
                    </w:rPr>
                    <w:t>01</w:t>
                  </w:r>
                </w:p>
              </w:tc>
              <w:tc>
                <w:tcPr>
                  <w:tcW w:w="1375" w:type="pct"/>
                  <w:tcBorders>
                    <w:tl2br w:val="nil"/>
                    <w:tr2bl w:val="nil"/>
                  </w:tcBorders>
                  <w:shd w:val="clear" w:color="auto" w:fill="auto"/>
                  <w:vAlign w:val="center"/>
                </w:tcPr>
                <w:p w14:paraId="28AE4C51">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＜0.03</w:t>
                  </w:r>
                </w:p>
              </w:tc>
              <w:tc>
                <w:tcPr>
                  <w:tcW w:w="979" w:type="pct"/>
                  <w:vMerge w:val="restart"/>
                  <w:tcBorders>
                    <w:tl2br w:val="nil"/>
                    <w:tr2bl w:val="nil"/>
                  </w:tcBorders>
                  <w:shd w:val="clear" w:color="auto" w:fill="auto"/>
                  <w:vAlign w:val="center"/>
                </w:tcPr>
                <w:p w14:paraId="28C35FD5">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0.1</w:t>
                  </w:r>
                </w:p>
              </w:tc>
              <w:tc>
                <w:tcPr>
                  <w:tcW w:w="338" w:type="pct"/>
                  <w:tcBorders>
                    <w:tl2br w:val="nil"/>
                    <w:tr2bl w:val="nil"/>
                  </w:tcBorders>
                  <w:shd w:val="clear" w:color="auto" w:fill="auto"/>
                  <w:vAlign w:val="center"/>
                </w:tcPr>
                <w:p w14:paraId="44906E8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1DAEF8F7">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22DFAA58">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02F1A35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3E4F650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02</w:t>
                  </w:r>
                </w:p>
              </w:tc>
              <w:tc>
                <w:tcPr>
                  <w:tcW w:w="1375" w:type="pct"/>
                  <w:tcBorders>
                    <w:tl2br w:val="nil"/>
                    <w:tr2bl w:val="nil"/>
                  </w:tcBorders>
                  <w:shd w:val="clear" w:color="auto" w:fill="auto"/>
                  <w:vAlign w:val="center"/>
                </w:tcPr>
                <w:p w14:paraId="77A8E36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0.05</w:t>
                  </w:r>
                </w:p>
              </w:tc>
              <w:tc>
                <w:tcPr>
                  <w:tcW w:w="979" w:type="pct"/>
                  <w:vMerge w:val="continue"/>
                  <w:tcBorders>
                    <w:tl2br w:val="nil"/>
                    <w:tr2bl w:val="nil"/>
                  </w:tcBorders>
                  <w:shd w:val="clear" w:color="auto" w:fill="auto"/>
                  <w:vAlign w:val="center"/>
                </w:tcPr>
                <w:p w14:paraId="3363592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5144DFF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00103955">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15DDE588">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73C116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0BCD2E8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lang w:val="en-US" w:eastAsia="zh-CN"/>
                    </w:rPr>
                    <w:t>下风03</w:t>
                  </w:r>
                </w:p>
              </w:tc>
              <w:tc>
                <w:tcPr>
                  <w:tcW w:w="1375" w:type="pct"/>
                  <w:tcBorders>
                    <w:tl2br w:val="nil"/>
                    <w:tr2bl w:val="nil"/>
                  </w:tcBorders>
                  <w:shd w:val="clear" w:color="auto" w:fill="auto"/>
                  <w:vAlign w:val="center"/>
                </w:tcPr>
                <w:p w14:paraId="5E5A58B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0.05</w:t>
                  </w:r>
                </w:p>
              </w:tc>
              <w:tc>
                <w:tcPr>
                  <w:tcW w:w="979" w:type="pct"/>
                  <w:vMerge w:val="continue"/>
                  <w:tcBorders>
                    <w:tl2br w:val="nil"/>
                    <w:tr2bl w:val="nil"/>
                  </w:tcBorders>
                  <w:shd w:val="clear" w:color="auto" w:fill="auto"/>
                  <w:vAlign w:val="center"/>
                </w:tcPr>
                <w:p w14:paraId="2E5EE7F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68791B6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43C40CBE">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4026F0DA">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3778413A">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4FE794D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04</w:t>
                  </w:r>
                </w:p>
              </w:tc>
              <w:tc>
                <w:tcPr>
                  <w:tcW w:w="1375" w:type="pct"/>
                  <w:tcBorders>
                    <w:tl2br w:val="nil"/>
                    <w:tr2bl w:val="nil"/>
                  </w:tcBorders>
                  <w:shd w:val="clear" w:color="auto" w:fill="auto"/>
                  <w:vAlign w:val="center"/>
                </w:tcPr>
                <w:p w14:paraId="2C8B6E8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w:t>
                  </w:r>
                </w:p>
              </w:tc>
              <w:tc>
                <w:tcPr>
                  <w:tcW w:w="979" w:type="pct"/>
                  <w:vMerge w:val="continue"/>
                  <w:tcBorders>
                    <w:tl2br w:val="nil"/>
                    <w:tr2bl w:val="nil"/>
                  </w:tcBorders>
                  <w:shd w:val="clear" w:color="auto" w:fill="auto"/>
                  <w:vAlign w:val="center"/>
                </w:tcPr>
                <w:p w14:paraId="5FBB52E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619A12B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7E97A741">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576A3E5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5A95786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甲烷</w:t>
                  </w:r>
                </w:p>
              </w:tc>
              <w:tc>
                <w:tcPr>
                  <w:tcW w:w="904" w:type="pct"/>
                  <w:tcBorders>
                    <w:tl2br w:val="nil"/>
                    <w:tr2bl w:val="nil"/>
                  </w:tcBorders>
                  <w:shd w:val="clear" w:color="auto" w:fill="auto"/>
                  <w:vAlign w:val="center"/>
                </w:tcPr>
                <w:p w14:paraId="4D8851A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上风</w:t>
                  </w:r>
                  <w:r>
                    <w:rPr>
                      <w:rFonts w:hint="eastAsia"/>
                      <w:sz w:val="21"/>
                      <w:szCs w:val="21"/>
                      <w:highlight w:val="none"/>
                      <w:lang w:val="en-US" w:eastAsia="zh-CN"/>
                    </w:rPr>
                    <w:t>01</w:t>
                  </w:r>
                </w:p>
              </w:tc>
              <w:tc>
                <w:tcPr>
                  <w:tcW w:w="1375" w:type="pct"/>
                  <w:tcBorders>
                    <w:tl2br w:val="nil"/>
                    <w:tr2bl w:val="nil"/>
                  </w:tcBorders>
                  <w:shd w:val="clear" w:color="auto" w:fill="auto"/>
                  <w:vAlign w:val="center"/>
                </w:tcPr>
                <w:p w14:paraId="58B6E6C5">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1.98×10</w:t>
                  </w:r>
                  <w:r>
                    <w:rPr>
                      <w:rFonts w:hint="eastAsia"/>
                      <w:sz w:val="21"/>
                      <w:szCs w:val="21"/>
                      <w:highlight w:val="none"/>
                      <w:vertAlign w:val="superscript"/>
                      <w:lang w:val="en-US" w:eastAsia="zh-CN"/>
                    </w:rPr>
                    <w:t>-4</w:t>
                  </w:r>
                  <w:r>
                    <w:rPr>
                      <w:rFonts w:hint="eastAsia"/>
                      <w:sz w:val="21"/>
                      <w:szCs w:val="21"/>
                      <w:highlight w:val="none"/>
                      <w:vertAlign w:val="baseline"/>
                      <w:lang w:val="en-US" w:eastAsia="zh-CN"/>
                    </w:rPr>
                    <w:t>%</w:t>
                  </w:r>
                </w:p>
              </w:tc>
              <w:tc>
                <w:tcPr>
                  <w:tcW w:w="979" w:type="pct"/>
                  <w:vMerge w:val="restart"/>
                  <w:tcBorders>
                    <w:tl2br w:val="nil"/>
                    <w:tr2bl w:val="nil"/>
                  </w:tcBorders>
                  <w:shd w:val="clear" w:color="auto" w:fill="auto"/>
                  <w:vAlign w:val="center"/>
                </w:tcPr>
                <w:p w14:paraId="18FC262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1</w:t>
                  </w:r>
                  <w:r>
                    <w:rPr>
                      <w:rFonts w:hint="eastAsia"/>
                      <w:sz w:val="21"/>
                      <w:szCs w:val="21"/>
                      <w:highlight w:val="none"/>
                      <w:vertAlign w:val="baseline"/>
                      <w:lang w:val="en-US" w:eastAsia="zh-CN"/>
                    </w:rPr>
                    <w:t>%</w:t>
                  </w:r>
                </w:p>
              </w:tc>
              <w:tc>
                <w:tcPr>
                  <w:tcW w:w="338" w:type="pct"/>
                  <w:tcBorders>
                    <w:tl2br w:val="nil"/>
                    <w:tr2bl w:val="nil"/>
                  </w:tcBorders>
                  <w:shd w:val="clear" w:color="auto" w:fill="auto"/>
                  <w:vAlign w:val="center"/>
                </w:tcPr>
                <w:p w14:paraId="775659D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7C6F5D45">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65BEB295">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4A63FE26">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4213771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02</w:t>
                  </w:r>
                </w:p>
              </w:tc>
              <w:tc>
                <w:tcPr>
                  <w:tcW w:w="1375" w:type="pct"/>
                  <w:tcBorders>
                    <w:tl2br w:val="nil"/>
                    <w:tr2bl w:val="nil"/>
                  </w:tcBorders>
                  <w:shd w:val="clear" w:color="auto" w:fill="auto"/>
                  <w:vAlign w:val="center"/>
                </w:tcPr>
                <w:p w14:paraId="7DDC5B0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3.14×10</w:t>
                  </w:r>
                  <w:r>
                    <w:rPr>
                      <w:rFonts w:hint="eastAsia" w:ascii="Times New Roman" w:hAnsi="Times New Roman" w:eastAsia="宋体" w:cs="Times New Roman"/>
                      <w:sz w:val="21"/>
                      <w:szCs w:val="21"/>
                      <w:highlight w:val="none"/>
                      <w:vertAlign w:val="superscript"/>
                      <w:lang w:val="en-US" w:eastAsia="zh-CN"/>
                    </w:rPr>
                    <w:t>-4</w:t>
                  </w:r>
                  <w:r>
                    <w:rPr>
                      <w:rFonts w:hint="eastAsia"/>
                      <w:sz w:val="21"/>
                      <w:szCs w:val="21"/>
                      <w:highlight w:val="none"/>
                      <w:vertAlign w:val="baseline"/>
                      <w:lang w:val="en-US" w:eastAsia="zh-CN"/>
                    </w:rPr>
                    <w:t>%</w:t>
                  </w:r>
                </w:p>
              </w:tc>
              <w:tc>
                <w:tcPr>
                  <w:tcW w:w="979" w:type="pct"/>
                  <w:vMerge w:val="continue"/>
                  <w:tcBorders>
                    <w:tl2br w:val="nil"/>
                    <w:tr2bl w:val="nil"/>
                  </w:tcBorders>
                  <w:shd w:val="clear" w:color="auto" w:fill="auto"/>
                  <w:vAlign w:val="center"/>
                </w:tcPr>
                <w:p w14:paraId="4DDD694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5CAFD506">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6EF6352F">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3EE8A2FA">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52E7973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60C56505">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lang w:val="en-US" w:eastAsia="zh-CN"/>
                    </w:rPr>
                    <w:t>下风03</w:t>
                  </w:r>
                </w:p>
              </w:tc>
              <w:tc>
                <w:tcPr>
                  <w:tcW w:w="1375" w:type="pct"/>
                  <w:tcBorders>
                    <w:tl2br w:val="nil"/>
                    <w:tr2bl w:val="nil"/>
                  </w:tcBorders>
                  <w:shd w:val="clear" w:color="auto" w:fill="auto"/>
                  <w:vAlign w:val="center"/>
                </w:tcPr>
                <w:p w14:paraId="3462342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3.11×10</w:t>
                  </w:r>
                  <w:r>
                    <w:rPr>
                      <w:rFonts w:hint="eastAsia" w:ascii="Times New Roman" w:hAnsi="Times New Roman" w:eastAsia="宋体" w:cs="Times New Roman"/>
                      <w:sz w:val="21"/>
                      <w:szCs w:val="21"/>
                      <w:highlight w:val="none"/>
                      <w:vertAlign w:val="superscript"/>
                      <w:lang w:val="en-US" w:eastAsia="zh-CN"/>
                    </w:rPr>
                    <w:t>-4</w:t>
                  </w:r>
                  <w:r>
                    <w:rPr>
                      <w:rFonts w:hint="eastAsia"/>
                      <w:sz w:val="21"/>
                      <w:szCs w:val="21"/>
                      <w:highlight w:val="none"/>
                      <w:vertAlign w:val="baseline"/>
                      <w:lang w:val="en-US" w:eastAsia="zh-CN"/>
                    </w:rPr>
                    <w:t>%</w:t>
                  </w:r>
                </w:p>
              </w:tc>
              <w:tc>
                <w:tcPr>
                  <w:tcW w:w="979" w:type="pct"/>
                  <w:vMerge w:val="continue"/>
                  <w:tcBorders>
                    <w:tl2br w:val="nil"/>
                    <w:tr2bl w:val="nil"/>
                  </w:tcBorders>
                  <w:shd w:val="clear" w:color="auto" w:fill="auto"/>
                  <w:vAlign w:val="center"/>
                </w:tcPr>
                <w:p w14:paraId="192643F3">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318907A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1E8B9AF5">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4B6A9EF1">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7F843791">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7F03FA6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04</w:t>
                  </w:r>
                </w:p>
              </w:tc>
              <w:tc>
                <w:tcPr>
                  <w:tcW w:w="1375" w:type="pct"/>
                  <w:tcBorders>
                    <w:tl2br w:val="nil"/>
                    <w:tr2bl w:val="nil"/>
                  </w:tcBorders>
                  <w:shd w:val="clear" w:color="auto" w:fill="auto"/>
                  <w:vAlign w:val="center"/>
                </w:tcPr>
                <w:p w14:paraId="15E5CDC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3.09×10</w:t>
                  </w:r>
                  <w:r>
                    <w:rPr>
                      <w:rFonts w:hint="eastAsia" w:ascii="Times New Roman" w:hAnsi="Times New Roman" w:eastAsia="宋体" w:cs="Times New Roman"/>
                      <w:sz w:val="21"/>
                      <w:szCs w:val="21"/>
                      <w:highlight w:val="none"/>
                      <w:vertAlign w:val="superscript"/>
                      <w:lang w:val="en-US" w:eastAsia="zh-CN"/>
                    </w:rPr>
                    <w:t>-4</w:t>
                  </w:r>
                  <w:r>
                    <w:rPr>
                      <w:rFonts w:hint="eastAsia"/>
                      <w:sz w:val="21"/>
                      <w:szCs w:val="21"/>
                      <w:highlight w:val="none"/>
                      <w:vertAlign w:val="baseline"/>
                      <w:lang w:val="en-US" w:eastAsia="zh-CN"/>
                    </w:rPr>
                    <w:t>%</w:t>
                  </w:r>
                </w:p>
              </w:tc>
              <w:tc>
                <w:tcPr>
                  <w:tcW w:w="979" w:type="pct"/>
                  <w:vMerge w:val="continue"/>
                  <w:tcBorders>
                    <w:tl2br w:val="nil"/>
                    <w:tr2bl w:val="nil"/>
                  </w:tcBorders>
                  <w:shd w:val="clear" w:color="auto" w:fill="auto"/>
                  <w:vAlign w:val="center"/>
                </w:tcPr>
                <w:p w14:paraId="6DFACC3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1D43C157">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505601E1">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32600730">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4604FB31">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54F8A5E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站内</w:t>
                  </w:r>
                </w:p>
              </w:tc>
              <w:tc>
                <w:tcPr>
                  <w:tcW w:w="1375" w:type="pct"/>
                  <w:tcBorders>
                    <w:tl2br w:val="nil"/>
                    <w:tr2bl w:val="nil"/>
                  </w:tcBorders>
                  <w:shd w:val="clear" w:color="auto" w:fill="auto"/>
                  <w:vAlign w:val="center"/>
                </w:tcPr>
                <w:p w14:paraId="5B9D87AC">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5.59×10</w:t>
                  </w:r>
                  <w:r>
                    <w:rPr>
                      <w:rFonts w:hint="eastAsia" w:ascii="Times New Roman" w:hAnsi="Times New Roman" w:eastAsia="宋体" w:cs="Times New Roman"/>
                      <w:sz w:val="21"/>
                      <w:szCs w:val="21"/>
                      <w:highlight w:val="none"/>
                      <w:vertAlign w:val="superscript"/>
                      <w:lang w:val="en-US" w:eastAsia="zh-CN"/>
                    </w:rPr>
                    <w:t>-4</w:t>
                  </w:r>
                  <w:r>
                    <w:rPr>
                      <w:rFonts w:hint="eastAsia"/>
                      <w:sz w:val="21"/>
                      <w:szCs w:val="21"/>
                      <w:highlight w:val="none"/>
                      <w:vertAlign w:val="baseline"/>
                      <w:lang w:val="en-US" w:eastAsia="zh-CN"/>
                    </w:rPr>
                    <w:t>%</w:t>
                  </w:r>
                </w:p>
              </w:tc>
              <w:tc>
                <w:tcPr>
                  <w:tcW w:w="979" w:type="pct"/>
                  <w:vMerge w:val="continue"/>
                  <w:tcBorders>
                    <w:tl2br w:val="nil"/>
                    <w:tr2bl w:val="nil"/>
                  </w:tcBorders>
                  <w:shd w:val="clear" w:color="auto" w:fill="auto"/>
                  <w:vAlign w:val="center"/>
                </w:tcPr>
                <w:p w14:paraId="377B7BDE">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4833D05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7E2F2931">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0398C54A">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restart"/>
                  <w:tcBorders>
                    <w:tl2br w:val="nil"/>
                    <w:tr2bl w:val="nil"/>
                  </w:tcBorders>
                  <w:shd w:val="clear" w:color="auto" w:fill="auto"/>
                  <w:vAlign w:val="center"/>
                </w:tcPr>
                <w:p w14:paraId="5EE3466A">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臭气浓度</w:t>
                  </w:r>
                </w:p>
              </w:tc>
              <w:tc>
                <w:tcPr>
                  <w:tcW w:w="904" w:type="pct"/>
                  <w:tcBorders>
                    <w:tl2br w:val="nil"/>
                    <w:tr2bl w:val="nil"/>
                  </w:tcBorders>
                  <w:shd w:val="clear" w:color="auto" w:fill="auto"/>
                  <w:vAlign w:val="center"/>
                </w:tcPr>
                <w:p w14:paraId="49A7B429">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上风</w:t>
                  </w:r>
                  <w:r>
                    <w:rPr>
                      <w:rFonts w:hint="eastAsia"/>
                      <w:sz w:val="21"/>
                      <w:szCs w:val="21"/>
                      <w:highlight w:val="none"/>
                      <w:lang w:val="en-US" w:eastAsia="zh-CN"/>
                    </w:rPr>
                    <w:t>01</w:t>
                  </w:r>
                </w:p>
              </w:tc>
              <w:tc>
                <w:tcPr>
                  <w:tcW w:w="1375" w:type="pct"/>
                  <w:tcBorders>
                    <w:tl2br w:val="nil"/>
                    <w:tr2bl w:val="nil"/>
                  </w:tcBorders>
                  <w:shd w:val="clear" w:color="auto" w:fill="auto"/>
                  <w:vAlign w:val="center"/>
                </w:tcPr>
                <w:p w14:paraId="2068D01E">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＜10（无量纲）</w:t>
                  </w:r>
                </w:p>
              </w:tc>
              <w:tc>
                <w:tcPr>
                  <w:tcW w:w="979" w:type="pct"/>
                  <w:vMerge w:val="restart"/>
                  <w:tcBorders>
                    <w:tl2br w:val="nil"/>
                    <w:tr2bl w:val="nil"/>
                  </w:tcBorders>
                  <w:shd w:val="clear" w:color="auto" w:fill="auto"/>
                  <w:vAlign w:val="center"/>
                </w:tcPr>
                <w:p w14:paraId="647F6C0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10（无量纲）</w:t>
                  </w:r>
                </w:p>
              </w:tc>
              <w:tc>
                <w:tcPr>
                  <w:tcW w:w="338" w:type="pct"/>
                  <w:tcBorders>
                    <w:tl2br w:val="nil"/>
                    <w:tr2bl w:val="nil"/>
                  </w:tcBorders>
                  <w:shd w:val="clear" w:color="auto" w:fill="auto"/>
                  <w:vAlign w:val="center"/>
                </w:tcPr>
                <w:p w14:paraId="466AFF5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2FA87024">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69CE3E43">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678C9CF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292A703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02</w:t>
                  </w:r>
                </w:p>
              </w:tc>
              <w:tc>
                <w:tcPr>
                  <w:tcW w:w="1375" w:type="pct"/>
                  <w:tcBorders>
                    <w:tl2br w:val="nil"/>
                    <w:tr2bl w:val="nil"/>
                  </w:tcBorders>
                  <w:shd w:val="clear" w:color="auto" w:fill="auto"/>
                  <w:vAlign w:val="center"/>
                </w:tcPr>
                <w:p w14:paraId="26951E73">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＜10（无量纲）</w:t>
                  </w:r>
                </w:p>
              </w:tc>
              <w:tc>
                <w:tcPr>
                  <w:tcW w:w="979" w:type="pct"/>
                  <w:vMerge w:val="continue"/>
                  <w:tcBorders>
                    <w:tl2br w:val="nil"/>
                    <w:tr2bl w:val="nil"/>
                  </w:tcBorders>
                  <w:shd w:val="clear" w:color="auto" w:fill="auto"/>
                  <w:vAlign w:val="center"/>
                </w:tcPr>
                <w:p w14:paraId="1FCBD6AF">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294AAA9E">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1E023A10">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03802188">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2744D670">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305E602E">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lang w:val="en-US" w:eastAsia="zh-CN"/>
                    </w:rPr>
                    <w:t>下风03</w:t>
                  </w:r>
                </w:p>
              </w:tc>
              <w:tc>
                <w:tcPr>
                  <w:tcW w:w="1375" w:type="pct"/>
                  <w:tcBorders>
                    <w:tl2br w:val="nil"/>
                    <w:tr2bl w:val="nil"/>
                  </w:tcBorders>
                  <w:shd w:val="clear" w:color="auto" w:fill="auto"/>
                  <w:vAlign w:val="center"/>
                </w:tcPr>
                <w:p w14:paraId="3543770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sz w:val="21"/>
                      <w:szCs w:val="21"/>
                      <w:highlight w:val="none"/>
                    </w:rPr>
                  </w:pPr>
                  <w:r>
                    <w:rPr>
                      <w:rFonts w:hint="eastAsia"/>
                      <w:sz w:val="21"/>
                      <w:szCs w:val="21"/>
                      <w:highlight w:val="none"/>
                      <w:lang w:val="en-US" w:eastAsia="zh-CN"/>
                    </w:rPr>
                    <w:t>＜10（无量纲）</w:t>
                  </w:r>
                </w:p>
              </w:tc>
              <w:tc>
                <w:tcPr>
                  <w:tcW w:w="979" w:type="pct"/>
                  <w:vMerge w:val="continue"/>
                  <w:tcBorders>
                    <w:tl2br w:val="nil"/>
                    <w:tr2bl w:val="nil"/>
                  </w:tcBorders>
                  <w:shd w:val="clear" w:color="auto" w:fill="auto"/>
                  <w:vAlign w:val="center"/>
                </w:tcPr>
                <w:p w14:paraId="7296E9BB">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5129CBA8">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1FA28012">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r w14:paraId="32F43FE1">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0" w:type="dxa"/>
                  <w:bottom w:w="0" w:type="dxa"/>
                  <w:right w:w="0" w:type="dxa"/>
                </w:tblCellMar>
              </w:tblPrEx>
              <w:trPr>
                <w:trHeight w:val="397" w:hRule="atLeast"/>
                <w:jc w:val="center"/>
              </w:trPr>
              <w:tc>
                <w:tcPr>
                  <w:tcW w:w="383" w:type="pct"/>
                  <w:vMerge w:val="continue"/>
                  <w:tcBorders>
                    <w:tl2br w:val="nil"/>
                    <w:tr2bl w:val="nil"/>
                  </w:tcBorders>
                  <w:shd w:val="clear" w:color="auto" w:fill="auto"/>
                  <w:vAlign w:val="center"/>
                </w:tcPr>
                <w:p w14:paraId="4CDF055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904" w:type="pct"/>
                  <w:tcBorders>
                    <w:tl2br w:val="nil"/>
                    <w:tr2bl w:val="nil"/>
                  </w:tcBorders>
                  <w:shd w:val="clear" w:color="auto" w:fill="auto"/>
                  <w:vAlign w:val="center"/>
                </w:tcPr>
                <w:p w14:paraId="612E1A3D">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下风</w:t>
                  </w:r>
                  <w:r>
                    <w:rPr>
                      <w:rFonts w:hint="eastAsia"/>
                      <w:sz w:val="21"/>
                      <w:szCs w:val="21"/>
                      <w:highlight w:val="none"/>
                      <w:lang w:val="en-US" w:eastAsia="zh-CN"/>
                    </w:rPr>
                    <w:t>04</w:t>
                  </w:r>
                </w:p>
              </w:tc>
              <w:tc>
                <w:tcPr>
                  <w:tcW w:w="1375" w:type="pct"/>
                  <w:tcBorders>
                    <w:tl2br w:val="nil"/>
                    <w:tr2bl w:val="nil"/>
                  </w:tcBorders>
                  <w:shd w:val="clear" w:color="auto" w:fill="auto"/>
                  <w:vAlign w:val="center"/>
                </w:tcPr>
                <w:p w14:paraId="780410C2">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sz w:val="21"/>
                      <w:szCs w:val="21"/>
                      <w:highlight w:val="none"/>
                    </w:rPr>
                  </w:pPr>
                  <w:r>
                    <w:rPr>
                      <w:rFonts w:hint="eastAsia"/>
                      <w:sz w:val="21"/>
                      <w:szCs w:val="21"/>
                      <w:highlight w:val="none"/>
                      <w:lang w:val="en-US" w:eastAsia="zh-CN"/>
                    </w:rPr>
                    <w:t>＜10（无量纲）</w:t>
                  </w:r>
                </w:p>
              </w:tc>
              <w:tc>
                <w:tcPr>
                  <w:tcW w:w="979" w:type="pct"/>
                  <w:vMerge w:val="continue"/>
                  <w:tcBorders>
                    <w:tl2br w:val="nil"/>
                    <w:tr2bl w:val="nil"/>
                  </w:tcBorders>
                  <w:shd w:val="clear" w:color="auto" w:fill="auto"/>
                  <w:vAlign w:val="center"/>
                </w:tcPr>
                <w:p w14:paraId="55D242F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338" w:type="pct"/>
                  <w:tcBorders>
                    <w:tl2br w:val="nil"/>
                    <w:tr2bl w:val="nil"/>
                  </w:tcBorders>
                  <w:shd w:val="clear" w:color="auto" w:fill="auto"/>
                  <w:vAlign w:val="center"/>
                </w:tcPr>
                <w:p w14:paraId="0A0D2AD4">
                  <w:pPr>
                    <w:keepNext w:val="0"/>
                    <w:keepLines w:val="0"/>
                    <w:pageBreakBefore w:val="0"/>
                    <w:widowControl w:val="0"/>
                    <w:suppressLineNumbers w:val="0"/>
                    <w:kinsoku/>
                    <w:overflow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达标</w:t>
                  </w:r>
                </w:p>
              </w:tc>
              <w:tc>
                <w:tcPr>
                  <w:tcW w:w="1019" w:type="pct"/>
                  <w:vMerge w:val="continue"/>
                  <w:tcBorders>
                    <w:tl2br w:val="nil"/>
                    <w:tr2bl w:val="nil"/>
                  </w:tcBorders>
                  <w:vAlign w:val="center"/>
                </w:tcPr>
                <w:p w14:paraId="7E3DB388">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r>
          </w:tbl>
          <w:p w14:paraId="6F625E9F">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根据上表，企业现有</w:t>
            </w:r>
            <w:r>
              <w:rPr>
                <w:rFonts w:hint="eastAsia"/>
                <w:highlight w:val="none"/>
                <w:vertAlign w:val="baseline"/>
                <w:lang w:val="en-US" w:eastAsia="zh-CN"/>
              </w:rPr>
              <w:t>污水处理站周边</w:t>
            </w:r>
            <w:r>
              <w:rPr>
                <w:rFonts w:hint="default"/>
                <w:highlight w:val="none"/>
                <w:vertAlign w:val="baseline"/>
                <w:lang w:val="en-US" w:eastAsia="zh-CN"/>
              </w:rPr>
              <w:t>无组织废气排放满足《医疗机构水污染物排放标准》（GB18466-2005）中表3相应限值，废气可达标排放。</w:t>
            </w:r>
          </w:p>
          <w:p w14:paraId="73810214">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（2）</w:t>
            </w:r>
            <w:r>
              <w:rPr>
                <w:rFonts w:hint="default"/>
                <w:highlight w:val="none"/>
                <w:vertAlign w:val="baseline"/>
                <w:lang w:val="en-US" w:eastAsia="zh-CN"/>
              </w:rPr>
              <w:t>废水</w:t>
            </w:r>
          </w:p>
          <w:p w14:paraId="582E4706">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现有项目产生的废水经位于</w:t>
            </w:r>
            <w:r>
              <w:rPr>
                <w:rFonts w:hint="eastAsia"/>
                <w:highlight w:val="none"/>
                <w:vertAlign w:val="baseline"/>
                <w:lang w:val="en-US" w:eastAsia="zh-CN"/>
              </w:rPr>
              <w:t>3</w:t>
            </w:r>
            <w:r>
              <w:rPr>
                <w:rFonts w:hint="default"/>
                <w:highlight w:val="none"/>
                <w:vertAlign w:val="baseline"/>
                <w:lang w:val="en-US" w:eastAsia="zh-CN"/>
              </w:rPr>
              <w:t>号楼地下一层的一体化污水处理设备处理后与生活污水一同排入园区化粪池，经化粪池处理后通过市政污水管网排入</w:t>
            </w:r>
            <w:r>
              <w:rPr>
                <w:rFonts w:hint="eastAsia"/>
                <w:highlight w:val="none"/>
                <w:vertAlign w:val="baseline"/>
                <w:lang w:val="en-US" w:eastAsia="zh-CN"/>
              </w:rPr>
              <w:t>昌平污水处理厂</w:t>
            </w:r>
            <w:r>
              <w:rPr>
                <w:rFonts w:hint="default"/>
                <w:highlight w:val="none"/>
                <w:vertAlign w:val="baseline"/>
                <w:lang w:val="en-US" w:eastAsia="zh-CN"/>
              </w:rPr>
              <w:t>处理，废水排放量约</w:t>
            </w:r>
            <w:r>
              <w:rPr>
                <w:rFonts w:hint="eastAsia"/>
                <w:highlight w:val="none"/>
                <w:vertAlign w:val="baseline"/>
                <w:lang w:val="en-US" w:eastAsia="zh-CN"/>
              </w:rPr>
              <w:t>10800</w:t>
            </w:r>
            <w:r>
              <w:rPr>
                <w:rFonts w:hint="default"/>
                <w:highlight w:val="none"/>
                <w:vertAlign w:val="baseline"/>
                <w:lang w:val="en-US" w:eastAsia="zh-CN"/>
              </w:rPr>
              <w:t>m</w:t>
            </w:r>
            <w:r>
              <w:rPr>
                <w:rFonts w:hint="default"/>
                <w:highlight w:val="none"/>
                <w:vertAlign w:val="superscript"/>
                <w:lang w:val="en-US" w:eastAsia="zh-CN"/>
              </w:rPr>
              <w:t>3</w:t>
            </w:r>
            <w:r>
              <w:rPr>
                <w:rFonts w:hint="default"/>
                <w:highlight w:val="none"/>
                <w:vertAlign w:val="baseline"/>
                <w:lang w:val="en-US" w:eastAsia="zh-CN"/>
              </w:rPr>
              <w:t>/a</w:t>
            </w:r>
            <w:r>
              <w:rPr>
                <w:rFonts w:hint="default"/>
                <w:highlight w:val="none"/>
                <w:vertAlign w:val="baseline"/>
                <w:lang w:val="en-US" w:eastAsia="zh-CN"/>
              </w:rPr>
              <w:t>。</w:t>
            </w:r>
          </w:p>
          <w:p w14:paraId="214EF829">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现有项目产生的废水均排入</w:t>
            </w:r>
            <w:r>
              <w:rPr>
                <w:rFonts w:hint="eastAsia"/>
                <w:highlight w:val="none"/>
                <w:vertAlign w:val="baseline"/>
                <w:lang w:val="en-US" w:eastAsia="zh-CN"/>
              </w:rPr>
              <w:t>泰康之家京燕园</w:t>
            </w:r>
            <w:r>
              <w:rPr>
                <w:rFonts w:hint="default"/>
                <w:highlight w:val="none"/>
                <w:vertAlign w:val="baseline"/>
                <w:lang w:val="en-US" w:eastAsia="zh-CN"/>
              </w:rPr>
              <w:t>化粪池</w:t>
            </w:r>
            <w:r>
              <w:rPr>
                <w:rFonts w:hint="default"/>
                <w:highlight w:val="none"/>
                <w:vertAlign w:val="baseline"/>
                <w:lang w:val="en-US" w:eastAsia="zh-CN"/>
              </w:rPr>
              <w:t>，因此废水排放情况均使</w:t>
            </w:r>
            <w:r>
              <w:rPr>
                <w:rFonts w:hint="eastAsia"/>
                <w:highlight w:val="none"/>
                <w:vertAlign w:val="baseline"/>
                <w:lang w:val="en-US" w:eastAsia="zh-CN"/>
              </w:rPr>
              <w:t>用现有</w:t>
            </w:r>
            <w:r>
              <w:rPr>
                <w:rFonts w:hint="default"/>
                <w:highlight w:val="none"/>
                <w:vertAlign w:val="baseline"/>
                <w:lang w:val="en-US" w:eastAsia="zh-CN"/>
              </w:rPr>
              <w:t>项目202</w:t>
            </w:r>
            <w:r>
              <w:rPr>
                <w:rFonts w:hint="eastAsia"/>
                <w:highlight w:val="none"/>
                <w:vertAlign w:val="baseline"/>
                <w:lang w:val="en-US" w:eastAsia="zh-CN"/>
              </w:rPr>
              <w:t>6</w:t>
            </w:r>
            <w:r>
              <w:rPr>
                <w:rFonts w:hint="default"/>
                <w:highlight w:val="none"/>
                <w:vertAlign w:val="baseline"/>
                <w:lang w:val="en-US" w:eastAsia="zh-CN"/>
              </w:rPr>
              <w:t>年</w:t>
            </w:r>
            <w:r>
              <w:rPr>
                <w:rFonts w:hint="eastAsia"/>
                <w:highlight w:val="none"/>
                <w:vertAlign w:val="baseline"/>
                <w:lang w:val="en-US" w:eastAsia="zh-CN"/>
              </w:rPr>
              <w:t>3</w:t>
            </w:r>
            <w:r>
              <w:rPr>
                <w:rFonts w:hint="default"/>
                <w:highlight w:val="none"/>
                <w:vertAlign w:val="baseline"/>
                <w:lang w:val="en-US" w:eastAsia="zh-CN"/>
              </w:rPr>
              <w:t>月</w:t>
            </w:r>
            <w:r>
              <w:rPr>
                <w:rFonts w:hint="eastAsia"/>
                <w:highlight w:val="none"/>
                <w:vertAlign w:val="baseline"/>
                <w:lang w:val="en-US" w:eastAsia="zh-CN"/>
              </w:rPr>
              <w:t>例行监测</w:t>
            </w:r>
            <w:r>
              <w:rPr>
                <w:rFonts w:hint="default"/>
                <w:highlight w:val="none"/>
                <w:vertAlign w:val="baseline"/>
                <w:lang w:val="en-US" w:eastAsia="zh-CN"/>
              </w:rPr>
              <w:t>监测报告（报告编号：</w:t>
            </w:r>
            <w:r>
              <w:rPr>
                <w:rFonts w:hint="eastAsia"/>
                <w:highlight w:val="none"/>
                <w:vertAlign w:val="baseline"/>
                <w:lang w:val="en-US" w:eastAsia="zh-CN"/>
              </w:rPr>
              <w:t>2603WS1149</w:t>
            </w:r>
            <w:r>
              <w:rPr>
                <w:rFonts w:hint="default"/>
                <w:highlight w:val="none"/>
                <w:vertAlign w:val="baseline"/>
                <w:lang w:val="en-US" w:eastAsia="zh-CN"/>
              </w:rPr>
              <w:t>）中废水监测数据，监测点位为：</w:t>
            </w:r>
            <w:r>
              <w:rPr>
                <w:rFonts w:hint="eastAsia"/>
                <w:highlight w:val="none"/>
                <w:vertAlign w:val="baseline"/>
                <w:lang w:val="en-US" w:eastAsia="zh-CN"/>
              </w:rPr>
              <w:t>3号楼</w:t>
            </w:r>
            <w:r>
              <w:rPr>
                <w:rFonts w:hint="default"/>
                <w:highlight w:val="none"/>
                <w:vertAlign w:val="baseline"/>
                <w:lang w:val="en-US" w:eastAsia="zh-CN"/>
              </w:rPr>
              <w:t>，废水排放情况见下表。</w:t>
            </w:r>
          </w:p>
          <w:p w14:paraId="1CF7C42E">
            <w:pPr>
              <w:pStyle w:val="40"/>
              <w:keepNext w:val="0"/>
              <w:keepLines w:val="0"/>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表2-1</w:t>
            </w:r>
            <w:r>
              <w:rPr>
                <w:rFonts w:hint="eastAsia"/>
                <w:highlight w:val="none"/>
                <w:lang w:val="en-US" w:eastAsia="zh-CN"/>
              </w:rPr>
              <w:t>0</w:t>
            </w:r>
            <w:r>
              <w:rPr>
                <w:rFonts w:hint="default"/>
                <w:highlight w:val="none"/>
                <w:lang w:val="en-US" w:eastAsia="zh-CN"/>
              </w:rPr>
              <w:t xml:space="preserve">  企业</w:t>
            </w:r>
            <w:r>
              <w:rPr>
                <w:rFonts w:hint="eastAsia"/>
                <w:highlight w:val="none"/>
                <w:lang w:val="en-US" w:eastAsia="zh-CN"/>
              </w:rPr>
              <w:t>现有项目废水</w:t>
            </w:r>
            <w:r>
              <w:rPr>
                <w:rFonts w:hint="default"/>
                <w:highlight w:val="none"/>
                <w:lang w:val="en-US" w:eastAsia="zh-CN"/>
              </w:rPr>
              <w:t>排放情况一览表</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075"/>
              <w:gridCol w:w="1922"/>
              <w:gridCol w:w="1600"/>
              <w:gridCol w:w="1114"/>
              <w:gridCol w:w="1790"/>
            </w:tblGrid>
            <w:tr w14:paraId="732E51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2075" w:type="dxa"/>
                  <w:tcBorders>
                    <w:tl2br w:val="nil"/>
                    <w:tr2bl w:val="nil"/>
                  </w:tcBorders>
                  <w:shd w:val="clear" w:color="auto" w:fill="auto"/>
                  <w:vAlign w:val="center"/>
                </w:tcPr>
                <w:p w14:paraId="164471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b/>
                      <w:bCs/>
                      <w:sz w:val="21"/>
                      <w:szCs w:val="21"/>
                      <w:highlight w:val="none"/>
                    </w:rPr>
                  </w:pPr>
                  <w:r>
                    <w:rPr>
                      <w:rFonts w:hint="default"/>
                      <w:b/>
                      <w:bCs/>
                      <w:sz w:val="21"/>
                      <w:szCs w:val="21"/>
                      <w:highlight w:val="none"/>
                    </w:rPr>
                    <w:t>项目</w:t>
                  </w:r>
                </w:p>
              </w:tc>
              <w:tc>
                <w:tcPr>
                  <w:tcW w:w="1922" w:type="dxa"/>
                  <w:tcBorders>
                    <w:tl2br w:val="nil"/>
                    <w:tr2bl w:val="nil"/>
                  </w:tcBorders>
                  <w:shd w:val="clear" w:color="auto" w:fill="auto"/>
                  <w:vAlign w:val="center"/>
                </w:tcPr>
                <w:p w14:paraId="5AD1F4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b/>
                      <w:bCs/>
                      <w:sz w:val="21"/>
                      <w:szCs w:val="21"/>
                      <w:highlight w:val="none"/>
                    </w:rPr>
                  </w:pPr>
                  <w:r>
                    <w:rPr>
                      <w:rFonts w:hint="eastAsia"/>
                      <w:b/>
                      <w:bCs/>
                      <w:sz w:val="21"/>
                      <w:szCs w:val="21"/>
                      <w:highlight w:val="none"/>
                    </w:rPr>
                    <w:t>平均</w:t>
                  </w:r>
                  <w:r>
                    <w:rPr>
                      <w:rFonts w:hint="default"/>
                      <w:b/>
                      <w:bCs/>
                      <w:sz w:val="21"/>
                      <w:szCs w:val="21"/>
                      <w:highlight w:val="none"/>
                    </w:rPr>
                    <w:t>排放浓度mg/L</w:t>
                  </w:r>
                </w:p>
              </w:tc>
              <w:tc>
                <w:tcPr>
                  <w:tcW w:w="1600" w:type="dxa"/>
                  <w:tcBorders>
                    <w:tl2br w:val="nil"/>
                    <w:tr2bl w:val="nil"/>
                  </w:tcBorders>
                  <w:shd w:val="clear" w:color="auto" w:fill="auto"/>
                  <w:vAlign w:val="center"/>
                </w:tcPr>
                <w:p w14:paraId="43AFB0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b/>
                      <w:bCs/>
                      <w:sz w:val="21"/>
                      <w:szCs w:val="21"/>
                      <w:highlight w:val="none"/>
                    </w:rPr>
                  </w:pPr>
                  <w:r>
                    <w:rPr>
                      <w:rFonts w:hint="default"/>
                      <w:b/>
                      <w:bCs/>
                      <w:sz w:val="21"/>
                      <w:szCs w:val="21"/>
                      <w:highlight w:val="none"/>
                    </w:rPr>
                    <w:t>标准限值mg/L</w:t>
                  </w:r>
                </w:p>
              </w:tc>
              <w:tc>
                <w:tcPr>
                  <w:tcW w:w="1114" w:type="dxa"/>
                  <w:tcBorders>
                    <w:tl2br w:val="nil"/>
                    <w:tr2bl w:val="nil"/>
                  </w:tcBorders>
                  <w:shd w:val="clear" w:color="auto" w:fill="auto"/>
                  <w:vAlign w:val="center"/>
                </w:tcPr>
                <w:p w14:paraId="460C3F0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b/>
                      <w:bCs/>
                      <w:sz w:val="21"/>
                      <w:szCs w:val="21"/>
                      <w:highlight w:val="none"/>
                    </w:rPr>
                  </w:pPr>
                  <w:r>
                    <w:rPr>
                      <w:rFonts w:hint="default"/>
                      <w:b/>
                      <w:bCs/>
                      <w:sz w:val="21"/>
                      <w:szCs w:val="21"/>
                      <w:highlight w:val="none"/>
                    </w:rPr>
                    <w:t>达标情况</w:t>
                  </w:r>
                </w:p>
              </w:tc>
              <w:tc>
                <w:tcPr>
                  <w:tcW w:w="1790" w:type="dxa"/>
                  <w:tcBorders>
                    <w:tl2br w:val="nil"/>
                    <w:tr2bl w:val="nil"/>
                  </w:tcBorders>
                  <w:shd w:val="clear" w:color="auto" w:fill="auto"/>
                  <w:vAlign w:val="center"/>
                </w:tcPr>
                <w:p w14:paraId="5EDA2E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b/>
                      <w:bCs/>
                      <w:sz w:val="21"/>
                      <w:szCs w:val="21"/>
                      <w:highlight w:val="none"/>
                    </w:rPr>
                  </w:pPr>
                  <w:r>
                    <w:rPr>
                      <w:rFonts w:hint="default"/>
                      <w:b/>
                      <w:bCs/>
                      <w:sz w:val="21"/>
                      <w:szCs w:val="21"/>
                      <w:highlight w:val="none"/>
                    </w:rPr>
                    <w:t>标准来源</w:t>
                  </w:r>
                </w:p>
              </w:tc>
            </w:tr>
            <w:tr w14:paraId="7108399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530BCB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pH值（无量纲）</w:t>
                  </w:r>
                </w:p>
              </w:tc>
              <w:tc>
                <w:tcPr>
                  <w:tcW w:w="1922" w:type="dxa"/>
                  <w:tcBorders>
                    <w:tl2br w:val="nil"/>
                    <w:tr2bl w:val="nil"/>
                  </w:tcBorders>
                  <w:shd w:val="clear" w:color="auto" w:fill="auto"/>
                  <w:vAlign w:val="center"/>
                </w:tcPr>
                <w:p w14:paraId="067D36D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eastAsia"/>
                      <w:sz w:val="21"/>
                      <w:szCs w:val="21"/>
                      <w:highlight w:val="none"/>
                      <w:lang w:val="en-US" w:eastAsia="zh-CN"/>
                    </w:rPr>
                    <w:t>7.5</w:t>
                  </w:r>
                  <w:r>
                    <w:rPr>
                      <w:rFonts w:hint="eastAsia"/>
                      <w:sz w:val="21"/>
                      <w:szCs w:val="21"/>
                      <w:highlight w:val="none"/>
                    </w:rPr>
                    <w:t>（无量纲）</w:t>
                  </w:r>
                </w:p>
              </w:tc>
              <w:tc>
                <w:tcPr>
                  <w:tcW w:w="1600" w:type="dxa"/>
                  <w:tcBorders>
                    <w:tl2br w:val="nil"/>
                    <w:tr2bl w:val="nil"/>
                  </w:tcBorders>
                  <w:shd w:val="clear" w:color="auto" w:fill="auto"/>
                  <w:vAlign w:val="center"/>
                </w:tcPr>
                <w:p w14:paraId="0CAE8F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6~9</w:t>
                  </w:r>
                </w:p>
              </w:tc>
              <w:tc>
                <w:tcPr>
                  <w:tcW w:w="1114" w:type="dxa"/>
                  <w:tcBorders>
                    <w:tl2br w:val="nil"/>
                    <w:tr2bl w:val="nil"/>
                  </w:tcBorders>
                  <w:shd w:val="clear" w:color="auto" w:fill="auto"/>
                  <w:vAlign w:val="center"/>
                </w:tcPr>
                <w:p w14:paraId="1FCDC64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restart"/>
                  <w:tcBorders>
                    <w:tl2br w:val="nil"/>
                    <w:tr2bl w:val="nil"/>
                  </w:tcBorders>
                  <w:shd w:val="clear" w:color="auto" w:fill="auto"/>
                  <w:vAlign w:val="center"/>
                </w:tcPr>
                <w:p w14:paraId="452D8D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《医疗机构水污染物排放标准》（GB18466-2005）</w:t>
                  </w:r>
                </w:p>
                <w:p w14:paraId="59DC3C7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表2综合医疗机构和其他医疗机构水污染物排放限值（日均值）中预处理标准</w:t>
                  </w:r>
                </w:p>
              </w:tc>
            </w:tr>
            <w:tr w14:paraId="2D27A6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3C7FBC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BOD（mg/L）</w:t>
                  </w:r>
                </w:p>
              </w:tc>
              <w:tc>
                <w:tcPr>
                  <w:tcW w:w="1922" w:type="dxa"/>
                  <w:tcBorders>
                    <w:tl2br w:val="nil"/>
                    <w:tr2bl w:val="nil"/>
                  </w:tcBorders>
                  <w:vAlign w:val="center"/>
                </w:tcPr>
                <w:p w14:paraId="0861F39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3.2</w:t>
                  </w:r>
                </w:p>
              </w:tc>
              <w:tc>
                <w:tcPr>
                  <w:tcW w:w="1600" w:type="dxa"/>
                  <w:tcBorders>
                    <w:tl2br w:val="nil"/>
                    <w:tr2bl w:val="nil"/>
                  </w:tcBorders>
                  <w:shd w:val="clear" w:color="auto" w:fill="auto"/>
                  <w:vAlign w:val="center"/>
                </w:tcPr>
                <w:p w14:paraId="5161DF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100</w:t>
                  </w:r>
                </w:p>
              </w:tc>
              <w:tc>
                <w:tcPr>
                  <w:tcW w:w="1114" w:type="dxa"/>
                  <w:tcBorders>
                    <w:tl2br w:val="nil"/>
                    <w:tr2bl w:val="nil"/>
                  </w:tcBorders>
                  <w:vAlign w:val="center"/>
                </w:tcPr>
                <w:p w14:paraId="4BE5BD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continue"/>
                  <w:tcBorders>
                    <w:tl2br w:val="nil"/>
                    <w:tr2bl w:val="nil"/>
                  </w:tcBorders>
                  <w:vAlign w:val="center"/>
                </w:tcPr>
                <w:p w14:paraId="47B2B0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p>
              </w:tc>
            </w:tr>
            <w:tr w14:paraId="70F42F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28DFD6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COD</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cr（mg/L）</w:t>
                  </w:r>
                </w:p>
              </w:tc>
              <w:tc>
                <w:tcPr>
                  <w:tcW w:w="1922" w:type="dxa"/>
                  <w:tcBorders>
                    <w:tl2br w:val="nil"/>
                    <w:tr2bl w:val="nil"/>
                  </w:tcBorders>
                  <w:vAlign w:val="center"/>
                </w:tcPr>
                <w:p w14:paraId="7650CF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11</w:t>
                  </w:r>
                </w:p>
              </w:tc>
              <w:tc>
                <w:tcPr>
                  <w:tcW w:w="1600" w:type="dxa"/>
                  <w:tcBorders>
                    <w:tl2br w:val="nil"/>
                    <w:tr2bl w:val="nil"/>
                  </w:tcBorders>
                  <w:shd w:val="clear" w:color="auto" w:fill="auto"/>
                  <w:vAlign w:val="center"/>
                </w:tcPr>
                <w:p w14:paraId="607340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250</w:t>
                  </w:r>
                </w:p>
              </w:tc>
              <w:tc>
                <w:tcPr>
                  <w:tcW w:w="1114" w:type="dxa"/>
                  <w:tcBorders>
                    <w:tl2br w:val="nil"/>
                    <w:tr2bl w:val="nil"/>
                  </w:tcBorders>
                  <w:vAlign w:val="center"/>
                </w:tcPr>
                <w:p w14:paraId="6151FB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continue"/>
                  <w:tcBorders>
                    <w:tl2br w:val="nil"/>
                    <w:tr2bl w:val="nil"/>
                  </w:tcBorders>
                  <w:vAlign w:val="center"/>
                </w:tcPr>
                <w:p w14:paraId="2137B3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p>
              </w:tc>
            </w:tr>
            <w:tr w14:paraId="424258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5336EE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SS（mg/L）</w:t>
                  </w:r>
                </w:p>
              </w:tc>
              <w:tc>
                <w:tcPr>
                  <w:tcW w:w="1922" w:type="dxa"/>
                  <w:tcBorders>
                    <w:tl2br w:val="nil"/>
                    <w:tr2bl w:val="nil"/>
                  </w:tcBorders>
                  <w:vAlign w:val="center"/>
                </w:tcPr>
                <w:p w14:paraId="3FD836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w:t>
                  </w:r>
                </w:p>
              </w:tc>
              <w:tc>
                <w:tcPr>
                  <w:tcW w:w="1600" w:type="dxa"/>
                  <w:tcBorders>
                    <w:tl2br w:val="nil"/>
                    <w:tr2bl w:val="nil"/>
                  </w:tcBorders>
                  <w:shd w:val="clear" w:color="auto" w:fill="auto"/>
                  <w:vAlign w:val="center"/>
                </w:tcPr>
                <w:p w14:paraId="14B6F3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60</w:t>
                  </w:r>
                </w:p>
              </w:tc>
              <w:tc>
                <w:tcPr>
                  <w:tcW w:w="1114" w:type="dxa"/>
                  <w:tcBorders>
                    <w:tl2br w:val="nil"/>
                    <w:tr2bl w:val="nil"/>
                  </w:tcBorders>
                  <w:vAlign w:val="center"/>
                </w:tcPr>
                <w:p w14:paraId="4342EE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continue"/>
                  <w:tcBorders>
                    <w:tl2br w:val="nil"/>
                    <w:tr2bl w:val="nil"/>
                  </w:tcBorders>
                  <w:vAlign w:val="center"/>
                </w:tcPr>
                <w:p w14:paraId="79D02C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p>
              </w:tc>
            </w:tr>
            <w:tr w14:paraId="536BB6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064B19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粪大肠菌群数（MPN/L）</w:t>
                  </w:r>
                </w:p>
              </w:tc>
              <w:tc>
                <w:tcPr>
                  <w:tcW w:w="1922" w:type="dxa"/>
                  <w:tcBorders>
                    <w:tl2br w:val="nil"/>
                    <w:tr2bl w:val="nil"/>
                  </w:tcBorders>
                  <w:vAlign w:val="center"/>
                </w:tcPr>
                <w:p w14:paraId="0A1176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＜20</w:t>
                  </w:r>
                </w:p>
              </w:tc>
              <w:tc>
                <w:tcPr>
                  <w:tcW w:w="1600" w:type="dxa"/>
                  <w:tcBorders>
                    <w:tl2br w:val="nil"/>
                    <w:tr2bl w:val="nil"/>
                  </w:tcBorders>
                  <w:shd w:val="clear" w:color="auto" w:fill="auto"/>
                  <w:vAlign w:val="center"/>
                </w:tcPr>
                <w:p w14:paraId="5AFE5A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5000</w:t>
                  </w:r>
                </w:p>
              </w:tc>
              <w:tc>
                <w:tcPr>
                  <w:tcW w:w="1114" w:type="dxa"/>
                  <w:tcBorders>
                    <w:tl2br w:val="nil"/>
                    <w:tr2bl w:val="nil"/>
                  </w:tcBorders>
                  <w:vAlign w:val="center"/>
                </w:tcPr>
                <w:p w14:paraId="6ADE6D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continue"/>
                  <w:tcBorders>
                    <w:tl2br w:val="nil"/>
                    <w:tr2bl w:val="nil"/>
                  </w:tcBorders>
                  <w:vAlign w:val="center"/>
                </w:tcPr>
                <w:p w14:paraId="7212B9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p>
              </w:tc>
            </w:tr>
            <w:tr w14:paraId="0C0A71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6656E3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总余氯</w:t>
                  </w: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（mg/L）</w:t>
                  </w:r>
                </w:p>
              </w:tc>
              <w:tc>
                <w:tcPr>
                  <w:tcW w:w="1922" w:type="dxa"/>
                  <w:tcBorders>
                    <w:tl2br w:val="nil"/>
                    <w:tr2bl w:val="nil"/>
                  </w:tcBorders>
                  <w:vAlign w:val="center"/>
                </w:tcPr>
                <w:p w14:paraId="2E660B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7.92</w:t>
                  </w:r>
                </w:p>
              </w:tc>
              <w:tc>
                <w:tcPr>
                  <w:tcW w:w="1600" w:type="dxa"/>
                  <w:tcBorders>
                    <w:tl2br w:val="nil"/>
                    <w:tr2bl w:val="nil"/>
                  </w:tcBorders>
                  <w:shd w:val="clear" w:color="auto" w:fill="auto"/>
                  <w:vAlign w:val="center"/>
                </w:tcPr>
                <w:p w14:paraId="1BC47F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2-8</w:t>
                  </w:r>
                </w:p>
              </w:tc>
              <w:tc>
                <w:tcPr>
                  <w:tcW w:w="1114" w:type="dxa"/>
                  <w:tcBorders>
                    <w:tl2br w:val="nil"/>
                    <w:tr2bl w:val="nil"/>
                  </w:tcBorders>
                  <w:vAlign w:val="center"/>
                </w:tcPr>
                <w:p w14:paraId="5C5BF4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vMerge w:val="continue"/>
                  <w:tcBorders>
                    <w:tl2br w:val="nil"/>
                    <w:tr2bl w:val="nil"/>
                  </w:tcBorders>
                  <w:vAlign w:val="center"/>
                </w:tcPr>
                <w:p w14:paraId="4EC238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p>
              </w:tc>
            </w:tr>
            <w:tr w14:paraId="3FD4A9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75" w:type="dxa"/>
                  <w:tcBorders>
                    <w:tl2br w:val="nil"/>
                    <w:tr2bl w:val="nil"/>
                  </w:tcBorders>
                  <w:shd w:val="clear" w:color="auto" w:fill="auto"/>
                  <w:vAlign w:val="center"/>
                </w:tcPr>
                <w:p w14:paraId="07A208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氨氮（mg/L）</w:t>
                  </w:r>
                </w:p>
              </w:tc>
              <w:tc>
                <w:tcPr>
                  <w:tcW w:w="1922" w:type="dxa"/>
                  <w:tcBorders>
                    <w:tl2br w:val="nil"/>
                    <w:tr2bl w:val="nil"/>
                  </w:tcBorders>
                  <w:vAlign w:val="center"/>
                </w:tcPr>
                <w:p w14:paraId="6E1CB6F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eastAsia="宋体"/>
                      <w:sz w:val="21"/>
                      <w:szCs w:val="21"/>
                      <w:highlight w:val="none"/>
                      <w:lang w:val="en-US" w:eastAsia="zh-CN"/>
                    </w:rPr>
                  </w:pPr>
                  <w:r>
                    <w:rPr>
                      <w:rFonts w:hint="default"/>
                      <w:sz w:val="21"/>
                      <w:szCs w:val="21"/>
                      <w:highlight w:val="none"/>
                    </w:rPr>
                    <w:t>0.</w:t>
                  </w:r>
                  <w:r>
                    <w:rPr>
                      <w:rFonts w:hint="eastAsia"/>
                      <w:sz w:val="21"/>
                      <w:szCs w:val="21"/>
                      <w:highlight w:val="none"/>
                      <w:lang w:val="en-US" w:eastAsia="zh-CN"/>
                    </w:rPr>
                    <w:t>029</w:t>
                  </w:r>
                </w:p>
              </w:tc>
              <w:tc>
                <w:tcPr>
                  <w:tcW w:w="1600" w:type="dxa"/>
                  <w:tcBorders>
                    <w:tl2br w:val="nil"/>
                    <w:tr2bl w:val="nil"/>
                  </w:tcBorders>
                  <w:shd w:val="clear" w:color="auto" w:fill="auto"/>
                  <w:vAlign w:val="center"/>
                </w:tcPr>
                <w:p w14:paraId="5EA4EB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45</w:t>
                  </w:r>
                </w:p>
              </w:tc>
              <w:tc>
                <w:tcPr>
                  <w:tcW w:w="1114" w:type="dxa"/>
                  <w:tcBorders>
                    <w:tl2br w:val="nil"/>
                    <w:tr2bl w:val="nil"/>
                  </w:tcBorders>
                  <w:vAlign w:val="center"/>
                </w:tcPr>
                <w:p w14:paraId="77FC42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达标</w:t>
                  </w:r>
                </w:p>
              </w:tc>
              <w:tc>
                <w:tcPr>
                  <w:tcW w:w="1790" w:type="dxa"/>
                  <w:tcBorders>
                    <w:tl2br w:val="nil"/>
                    <w:tr2bl w:val="nil"/>
                  </w:tcBorders>
                  <w:vAlign w:val="center"/>
                </w:tcPr>
                <w:p w14:paraId="239FAD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北京市《水污染物综合排放标准》（DB11/307-2013）表3排入公共污水处理系统的水污染物限值</w:t>
                  </w:r>
                </w:p>
              </w:tc>
            </w:tr>
          </w:tbl>
          <w:p w14:paraId="32697210">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根据上表，现有项目废水排</w:t>
            </w:r>
            <w:r>
              <w:rPr>
                <w:rFonts w:hint="default" w:eastAsia="宋体"/>
                <w:highlight w:val="none"/>
                <w:vertAlign w:val="baseline"/>
                <w:lang w:val="en-US" w:eastAsia="zh-CN"/>
              </w:rPr>
              <w:t>放</w:t>
            </w:r>
            <w:r>
              <w:rPr>
                <w:rFonts w:hint="eastAsia" w:eastAsia="宋体"/>
                <w:highlight w:val="none"/>
                <w:vertAlign w:val="baseline"/>
                <w:lang w:val="en-US" w:eastAsia="zh-CN"/>
              </w:rPr>
              <w:t>pH值、BOD、CODcr、SS、粪大肠菌群数、总余氯</w:t>
            </w:r>
            <w:r>
              <w:rPr>
                <w:rFonts w:hint="default" w:eastAsia="宋体"/>
                <w:highlight w:val="none"/>
                <w:vertAlign w:val="baseline"/>
                <w:lang w:val="en-US" w:eastAsia="zh-CN"/>
              </w:rPr>
              <w:t>满足《医疗机构水污染物排放标准》（GB18466-2005）表2</w:t>
            </w:r>
            <w:r>
              <w:rPr>
                <w:rFonts w:hint="default"/>
                <w:highlight w:val="none"/>
                <w:vertAlign w:val="baseline"/>
                <w:lang w:val="en-US" w:eastAsia="zh-CN"/>
              </w:rPr>
              <w:t>综合医疗机构和其他医疗机构水污染物排放限值（日均值）中预处理标</w:t>
            </w:r>
            <w:r>
              <w:rPr>
                <w:rFonts w:hint="eastAsia"/>
                <w:highlight w:val="none"/>
                <w:vertAlign w:val="baseline"/>
                <w:lang w:val="en-US" w:eastAsia="zh-CN"/>
              </w:rPr>
              <w:t>准</w:t>
            </w:r>
            <w:r>
              <w:rPr>
                <w:rFonts w:hint="default"/>
                <w:highlight w:val="none"/>
                <w:vertAlign w:val="baseline"/>
                <w:lang w:val="en-US" w:eastAsia="zh-CN"/>
              </w:rPr>
              <w:t>，</w:t>
            </w:r>
            <w:r>
              <w:rPr>
                <w:rFonts w:hint="eastAsia"/>
                <w:highlight w:val="none"/>
                <w:vertAlign w:val="baseline"/>
                <w:lang w:val="en-US" w:eastAsia="zh-CN"/>
              </w:rPr>
              <w:t>氨氮满足</w:t>
            </w:r>
            <w:r>
              <w:rPr>
                <w:rFonts w:hint="default"/>
                <w:highlight w:val="none"/>
                <w:vertAlign w:val="baseline"/>
                <w:lang w:val="en-US" w:eastAsia="zh-CN"/>
              </w:rPr>
              <w:t>北京市《水污染物综合排放标准》（DB11/307-2013）表3排入公共污水处理系统的水污染物限值</w:t>
            </w:r>
            <w:r>
              <w:rPr>
                <w:rFonts w:hint="eastAsia"/>
                <w:highlight w:val="none"/>
                <w:vertAlign w:val="baseline"/>
                <w:lang w:val="en-US" w:eastAsia="zh-CN"/>
              </w:rPr>
              <w:t>，</w:t>
            </w:r>
            <w:r>
              <w:rPr>
                <w:rFonts w:hint="default"/>
                <w:highlight w:val="none"/>
                <w:vertAlign w:val="baseline"/>
                <w:lang w:val="en-US" w:eastAsia="zh-CN"/>
              </w:rPr>
              <w:t>废水可达标排放。</w:t>
            </w:r>
          </w:p>
          <w:p w14:paraId="62612BF2">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（3）</w:t>
            </w:r>
            <w:r>
              <w:rPr>
                <w:rFonts w:hint="default"/>
                <w:highlight w:val="none"/>
                <w:vertAlign w:val="baseline"/>
                <w:lang w:val="en-US" w:eastAsia="zh-CN"/>
              </w:rPr>
              <w:t>噪声</w:t>
            </w:r>
          </w:p>
          <w:p w14:paraId="5766145E">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根据现场调查，现有项目噪声主要为实验室设备、风机运行噪声。项目选用低噪声设备，设置基础减振。</w:t>
            </w:r>
          </w:p>
          <w:p w14:paraId="5685FAEA">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w:t>
            </w:r>
            <w:r>
              <w:rPr>
                <w:rFonts w:hint="default"/>
                <w:highlight w:val="none"/>
                <w:vertAlign w:val="baseline"/>
                <w:lang w:val="en-US" w:eastAsia="zh-CN"/>
              </w:rPr>
              <w:t>2024年6月企业自行监测报告（报告编号：ZS2024061803），15号楼项目2024年11月验收监测报告（报告编号：H241028117a），厂界噪声排放情况见下表。</w:t>
            </w:r>
          </w:p>
          <w:p w14:paraId="262DE8A9">
            <w:pPr>
              <w:pStyle w:val="40"/>
              <w:keepNext w:val="0"/>
              <w:keepLines w:val="0"/>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表2-1</w:t>
            </w:r>
            <w:r>
              <w:rPr>
                <w:rFonts w:hint="eastAsia"/>
                <w:highlight w:val="none"/>
                <w:lang w:val="en-US" w:eastAsia="zh-CN"/>
              </w:rPr>
              <w:t>1</w:t>
            </w:r>
            <w:r>
              <w:rPr>
                <w:rFonts w:hint="default"/>
                <w:highlight w:val="none"/>
                <w:lang w:val="en-US" w:eastAsia="zh-CN"/>
              </w:rPr>
              <w:t xml:space="preserve">  企业现有</w:t>
            </w:r>
            <w:r>
              <w:rPr>
                <w:rFonts w:hint="eastAsia"/>
                <w:highlight w:val="none"/>
                <w:lang w:val="en-US" w:eastAsia="zh-CN"/>
              </w:rPr>
              <w:t>工程噪声</w:t>
            </w:r>
            <w:r>
              <w:rPr>
                <w:rFonts w:hint="default"/>
                <w:highlight w:val="none"/>
                <w:lang w:val="en-US" w:eastAsia="zh-CN"/>
              </w:rPr>
              <w:t>排放情况一览表</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4" w:space="0"/>
              </w:tblBorders>
              <w:tblLayout w:type="autofit"/>
              <w:tblCellMar>
                <w:top w:w="0" w:type="dxa"/>
                <w:left w:w="108" w:type="dxa"/>
                <w:bottom w:w="0" w:type="dxa"/>
                <w:right w:w="108" w:type="dxa"/>
              </w:tblCellMar>
            </w:tblPr>
            <w:tblGrid>
              <w:gridCol w:w="1496"/>
              <w:gridCol w:w="1270"/>
              <w:gridCol w:w="1200"/>
              <w:gridCol w:w="1714"/>
              <w:gridCol w:w="1403"/>
              <w:gridCol w:w="1418"/>
            </w:tblGrid>
            <w:tr w14:paraId="4BB3B82A">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PrEx>
              <w:trPr>
                <w:trHeight w:val="397" w:hRule="atLeast"/>
                <w:jc w:val="center"/>
              </w:trPr>
              <w:tc>
                <w:tcPr>
                  <w:tcW w:w="1334" w:type="dxa"/>
                  <w:tcBorders>
                    <w:tl2br w:val="nil"/>
                    <w:tr2bl w:val="nil"/>
                  </w:tcBorders>
                  <w:vAlign w:val="center"/>
                </w:tcPr>
                <w:p w14:paraId="07CF91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检测</w:t>
                  </w:r>
                  <w:r>
                    <w:rPr>
                      <w:rFonts w:hint="eastAsia"/>
                      <w:b/>
                      <w:bCs/>
                      <w:sz w:val="21"/>
                      <w:szCs w:val="21"/>
                      <w:highlight w:val="none"/>
                    </w:rPr>
                    <w:t>时间</w:t>
                  </w:r>
                </w:p>
              </w:tc>
              <w:tc>
                <w:tcPr>
                  <w:tcW w:w="2202" w:type="dxa"/>
                  <w:gridSpan w:val="2"/>
                  <w:tcBorders>
                    <w:tl2br w:val="nil"/>
                    <w:tr2bl w:val="nil"/>
                  </w:tcBorders>
                  <w:vAlign w:val="center"/>
                </w:tcPr>
                <w:p w14:paraId="41170B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default"/>
                      <w:b/>
                      <w:bCs/>
                      <w:sz w:val="21"/>
                      <w:szCs w:val="21"/>
                      <w:highlight w:val="none"/>
                    </w:rPr>
                    <w:t>检测位置</w:t>
                  </w:r>
                </w:p>
              </w:tc>
              <w:tc>
                <w:tcPr>
                  <w:tcW w:w="1528" w:type="dxa"/>
                  <w:tcBorders>
                    <w:tl2br w:val="nil"/>
                    <w:tr2bl w:val="nil"/>
                  </w:tcBorders>
                  <w:vAlign w:val="center"/>
                </w:tcPr>
                <w:p w14:paraId="2C2E7E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eastAsia"/>
                      <w:b/>
                      <w:bCs/>
                      <w:sz w:val="21"/>
                      <w:szCs w:val="21"/>
                      <w:highlight w:val="none"/>
                    </w:rPr>
                    <w:t>最大噪声</w:t>
                  </w:r>
                  <w:r>
                    <w:rPr>
                      <w:rFonts w:hint="default"/>
                      <w:b/>
                      <w:bCs/>
                      <w:sz w:val="21"/>
                      <w:szCs w:val="21"/>
                      <w:highlight w:val="none"/>
                    </w:rPr>
                    <w:t>监测值 (昼间)</w:t>
                  </w:r>
                </w:p>
              </w:tc>
              <w:tc>
                <w:tcPr>
                  <w:tcW w:w="1251" w:type="dxa"/>
                  <w:tcBorders>
                    <w:tl2br w:val="nil"/>
                    <w:tr2bl w:val="nil"/>
                  </w:tcBorders>
                  <w:vAlign w:val="center"/>
                </w:tcPr>
                <w:p w14:paraId="0EAEC8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eastAsia"/>
                      <w:b/>
                      <w:bCs/>
                      <w:sz w:val="21"/>
                      <w:szCs w:val="21"/>
                      <w:highlight w:val="none"/>
                    </w:rPr>
                    <w:t>执行标准(昼间)</w:t>
                  </w:r>
                </w:p>
              </w:tc>
              <w:tc>
                <w:tcPr>
                  <w:tcW w:w="1263" w:type="dxa"/>
                  <w:tcBorders>
                    <w:tl2br w:val="nil"/>
                    <w:tr2bl w:val="nil"/>
                  </w:tcBorders>
                  <w:vAlign w:val="center"/>
                </w:tcPr>
                <w:p w14:paraId="625E03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sz w:val="21"/>
                      <w:szCs w:val="21"/>
                      <w:highlight w:val="none"/>
                    </w:rPr>
                  </w:pPr>
                  <w:r>
                    <w:rPr>
                      <w:rFonts w:hint="eastAsia"/>
                      <w:b/>
                      <w:bCs/>
                      <w:sz w:val="21"/>
                      <w:szCs w:val="21"/>
                      <w:highlight w:val="none"/>
                    </w:rPr>
                    <w:t>达标情况</w:t>
                  </w:r>
                </w:p>
              </w:tc>
            </w:tr>
            <w:tr w14:paraId="2CF2380E">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48ACF1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2024年6月24日</w:t>
                  </w:r>
                </w:p>
              </w:tc>
              <w:tc>
                <w:tcPr>
                  <w:tcW w:w="1132" w:type="dxa"/>
                  <w:vMerge w:val="restart"/>
                  <w:tcBorders>
                    <w:tl2br w:val="nil"/>
                    <w:tr2bl w:val="nil"/>
                  </w:tcBorders>
                  <w:shd w:val="clear" w:color="auto" w:fill="auto"/>
                  <w:vAlign w:val="center"/>
                </w:tcPr>
                <w:p w14:paraId="2DBEAD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全厂</w:t>
                  </w:r>
                </w:p>
              </w:tc>
              <w:tc>
                <w:tcPr>
                  <w:tcW w:w="1070" w:type="dxa"/>
                  <w:tcBorders>
                    <w:tl2br w:val="nil"/>
                    <w:tr2bl w:val="nil"/>
                  </w:tcBorders>
                  <w:shd w:val="clear" w:color="auto" w:fill="auto"/>
                  <w:vAlign w:val="center"/>
                </w:tcPr>
                <w:p w14:paraId="071471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东厂界</w:t>
                  </w:r>
                </w:p>
              </w:tc>
              <w:tc>
                <w:tcPr>
                  <w:tcW w:w="1528" w:type="dxa"/>
                  <w:tcBorders>
                    <w:tl2br w:val="nil"/>
                    <w:tr2bl w:val="nil"/>
                  </w:tcBorders>
                  <w:shd w:val="clear" w:color="auto" w:fill="auto"/>
                  <w:vAlign w:val="center"/>
                </w:tcPr>
                <w:p w14:paraId="3648C6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61</w:t>
                  </w:r>
                </w:p>
              </w:tc>
              <w:tc>
                <w:tcPr>
                  <w:tcW w:w="1251" w:type="dxa"/>
                  <w:tcBorders>
                    <w:tl2br w:val="nil"/>
                    <w:tr2bl w:val="nil"/>
                  </w:tcBorders>
                  <w:vAlign w:val="center"/>
                </w:tcPr>
                <w:p w14:paraId="20E347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65</w:t>
                  </w:r>
                </w:p>
              </w:tc>
              <w:tc>
                <w:tcPr>
                  <w:tcW w:w="1263" w:type="dxa"/>
                  <w:tcBorders>
                    <w:tl2br w:val="nil"/>
                    <w:tr2bl w:val="nil"/>
                  </w:tcBorders>
                  <w:shd w:val="clear" w:color="auto" w:fill="auto"/>
                  <w:vAlign w:val="center"/>
                </w:tcPr>
                <w:p w14:paraId="4A40A4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1D81F057">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35D4E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shd w:val="clear" w:color="auto" w:fill="auto"/>
                  <w:vAlign w:val="center"/>
                </w:tcPr>
                <w:p w14:paraId="0D8EB2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36528D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南厂界</w:t>
                  </w:r>
                </w:p>
              </w:tc>
              <w:tc>
                <w:tcPr>
                  <w:tcW w:w="1528" w:type="dxa"/>
                  <w:tcBorders>
                    <w:tl2br w:val="nil"/>
                    <w:tr2bl w:val="nil"/>
                  </w:tcBorders>
                  <w:shd w:val="clear" w:color="auto" w:fill="auto"/>
                  <w:vAlign w:val="center"/>
                </w:tcPr>
                <w:p w14:paraId="17FDA3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60</w:t>
                  </w:r>
                </w:p>
              </w:tc>
              <w:tc>
                <w:tcPr>
                  <w:tcW w:w="1251" w:type="dxa"/>
                  <w:tcBorders>
                    <w:tl2br w:val="nil"/>
                    <w:tr2bl w:val="nil"/>
                  </w:tcBorders>
                  <w:vAlign w:val="center"/>
                </w:tcPr>
                <w:p w14:paraId="7868D9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70</w:t>
                  </w:r>
                </w:p>
              </w:tc>
              <w:tc>
                <w:tcPr>
                  <w:tcW w:w="1263" w:type="dxa"/>
                  <w:tcBorders>
                    <w:tl2br w:val="nil"/>
                    <w:tr2bl w:val="nil"/>
                  </w:tcBorders>
                  <w:shd w:val="clear" w:color="auto" w:fill="auto"/>
                  <w:vAlign w:val="center"/>
                </w:tcPr>
                <w:p w14:paraId="6969DE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5C16EB81">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CEDEE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shd w:val="clear" w:color="auto" w:fill="auto"/>
                  <w:vAlign w:val="center"/>
                </w:tcPr>
                <w:p w14:paraId="6ED82E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767767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西厂界</w:t>
                  </w:r>
                </w:p>
              </w:tc>
              <w:tc>
                <w:tcPr>
                  <w:tcW w:w="1528" w:type="dxa"/>
                  <w:tcBorders>
                    <w:tl2br w:val="nil"/>
                    <w:tr2bl w:val="nil"/>
                  </w:tcBorders>
                  <w:shd w:val="clear" w:color="auto" w:fill="auto"/>
                  <w:vAlign w:val="center"/>
                </w:tcPr>
                <w:p w14:paraId="5DD2F8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62</w:t>
                  </w:r>
                </w:p>
              </w:tc>
              <w:tc>
                <w:tcPr>
                  <w:tcW w:w="1251" w:type="dxa"/>
                  <w:tcBorders>
                    <w:tl2br w:val="nil"/>
                    <w:tr2bl w:val="nil"/>
                  </w:tcBorders>
                  <w:vAlign w:val="center"/>
                </w:tcPr>
                <w:p w14:paraId="0182EE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65</w:t>
                  </w:r>
                </w:p>
              </w:tc>
              <w:tc>
                <w:tcPr>
                  <w:tcW w:w="1263" w:type="dxa"/>
                  <w:tcBorders>
                    <w:tl2br w:val="nil"/>
                    <w:tr2bl w:val="nil"/>
                  </w:tcBorders>
                  <w:shd w:val="clear" w:color="auto" w:fill="auto"/>
                  <w:vAlign w:val="center"/>
                </w:tcPr>
                <w:p w14:paraId="1702A8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2442A2BD">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65598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shd w:val="clear" w:color="auto" w:fill="auto"/>
                  <w:vAlign w:val="center"/>
                </w:tcPr>
                <w:p w14:paraId="4CCF21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4134DC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北厂界</w:t>
                  </w:r>
                </w:p>
              </w:tc>
              <w:tc>
                <w:tcPr>
                  <w:tcW w:w="1528" w:type="dxa"/>
                  <w:tcBorders>
                    <w:tl2br w:val="nil"/>
                    <w:tr2bl w:val="nil"/>
                  </w:tcBorders>
                  <w:shd w:val="clear" w:color="auto" w:fill="auto"/>
                  <w:vAlign w:val="center"/>
                </w:tcPr>
                <w:p w14:paraId="23F810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61</w:t>
                  </w:r>
                </w:p>
              </w:tc>
              <w:tc>
                <w:tcPr>
                  <w:tcW w:w="1251" w:type="dxa"/>
                  <w:tcBorders>
                    <w:tl2br w:val="nil"/>
                    <w:tr2bl w:val="nil"/>
                  </w:tcBorders>
                  <w:vAlign w:val="center"/>
                </w:tcPr>
                <w:p w14:paraId="7EA255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65</w:t>
                  </w:r>
                </w:p>
              </w:tc>
              <w:tc>
                <w:tcPr>
                  <w:tcW w:w="1263" w:type="dxa"/>
                  <w:tcBorders>
                    <w:tl2br w:val="nil"/>
                    <w:tr2bl w:val="nil"/>
                  </w:tcBorders>
                  <w:shd w:val="clear" w:color="auto" w:fill="auto"/>
                  <w:vAlign w:val="center"/>
                </w:tcPr>
                <w:p w14:paraId="34C5D3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278C3D34">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2B69F4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2024年10月28日~29日</w:t>
                  </w:r>
                </w:p>
              </w:tc>
              <w:tc>
                <w:tcPr>
                  <w:tcW w:w="1132" w:type="dxa"/>
                  <w:vMerge w:val="restart"/>
                  <w:tcBorders>
                    <w:tl2br w:val="nil"/>
                    <w:tr2bl w:val="nil"/>
                  </w:tcBorders>
                  <w:vAlign w:val="center"/>
                </w:tcPr>
                <w:p w14:paraId="1AC7ED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15号楼</w:t>
                  </w:r>
                </w:p>
              </w:tc>
              <w:tc>
                <w:tcPr>
                  <w:tcW w:w="1070" w:type="dxa"/>
                  <w:tcBorders>
                    <w:tl2br w:val="nil"/>
                    <w:tr2bl w:val="nil"/>
                  </w:tcBorders>
                  <w:shd w:val="clear" w:color="auto" w:fill="auto"/>
                  <w:vAlign w:val="center"/>
                </w:tcPr>
                <w:p w14:paraId="02FCD0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东厂界</w:t>
                  </w:r>
                </w:p>
              </w:tc>
              <w:tc>
                <w:tcPr>
                  <w:tcW w:w="1528" w:type="dxa"/>
                  <w:tcBorders>
                    <w:tl2br w:val="nil"/>
                    <w:tr2bl w:val="nil"/>
                  </w:tcBorders>
                  <w:vAlign w:val="center"/>
                </w:tcPr>
                <w:p w14:paraId="37CA9A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51</w:t>
                  </w:r>
                </w:p>
              </w:tc>
              <w:tc>
                <w:tcPr>
                  <w:tcW w:w="1251" w:type="dxa"/>
                  <w:vMerge w:val="restart"/>
                  <w:tcBorders>
                    <w:tl2br w:val="nil"/>
                    <w:tr2bl w:val="nil"/>
                  </w:tcBorders>
                  <w:vAlign w:val="center"/>
                </w:tcPr>
                <w:p w14:paraId="7292FF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65</w:t>
                  </w:r>
                </w:p>
              </w:tc>
              <w:tc>
                <w:tcPr>
                  <w:tcW w:w="1263" w:type="dxa"/>
                  <w:tcBorders>
                    <w:tl2br w:val="nil"/>
                    <w:tr2bl w:val="nil"/>
                  </w:tcBorders>
                  <w:vAlign w:val="center"/>
                </w:tcPr>
                <w:p w14:paraId="0C6C08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428BDA94">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A14B4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vAlign w:val="center"/>
                </w:tcPr>
                <w:p w14:paraId="17511C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1DC716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sz w:val="21"/>
                      <w:szCs w:val="21"/>
                      <w:highlight w:val="none"/>
                      <w:lang w:val="en-US" w:eastAsia="zh-CN"/>
                    </w:rPr>
                  </w:pPr>
                  <w:r>
                    <w:rPr>
                      <w:rFonts w:hint="default"/>
                      <w:sz w:val="21"/>
                      <w:szCs w:val="21"/>
                      <w:highlight w:val="none"/>
                    </w:rPr>
                    <w:t>南厂界</w:t>
                  </w:r>
                </w:p>
              </w:tc>
              <w:tc>
                <w:tcPr>
                  <w:tcW w:w="1528" w:type="dxa"/>
                  <w:tcBorders>
                    <w:tl2br w:val="nil"/>
                    <w:tr2bl w:val="nil"/>
                  </w:tcBorders>
                  <w:vAlign w:val="center"/>
                </w:tcPr>
                <w:p w14:paraId="79C983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52</w:t>
                  </w:r>
                </w:p>
              </w:tc>
              <w:tc>
                <w:tcPr>
                  <w:tcW w:w="1251" w:type="dxa"/>
                  <w:vMerge w:val="continue"/>
                  <w:tcBorders>
                    <w:tl2br w:val="nil"/>
                    <w:tr2bl w:val="nil"/>
                  </w:tcBorders>
                  <w:vAlign w:val="center"/>
                </w:tcPr>
                <w:p w14:paraId="42B7A0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sz w:val="21"/>
                      <w:szCs w:val="21"/>
                      <w:highlight w:val="none"/>
                      <w:lang w:val="en-US" w:eastAsia="zh-CN"/>
                    </w:rPr>
                  </w:pPr>
                </w:p>
              </w:tc>
              <w:tc>
                <w:tcPr>
                  <w:tcW w:w="1263" w:type="dxa"/>
                  <w:tcBorders>
                    <w:tl2br w:val="nil"/>
                    <w:tr2bl w:val="nil"/>
                  </w:tcBorders>
                  <w:vAlign w:val="center"/>
                </w:tcPr>
                <w:p w14:paraId="1996A0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4A58250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A4D3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vAlign w:val="center"/>
                </w:tcPr>
                <w:p w14:paraId="509376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443121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西厂界</w:t>
                  </w:r>
                </w:p>
              </w:tc>
              <w:tc>
                <w:tcPr>
                  <w:tcW w:w="1528" w:type="dxa"/>
                  <w:tcBorders>
                    <w:tl2br w:val="nil"/>
                    <w:tr2bl w:val="nil"/>
                  </w:tcBorders>
                  <w:vAlign w:val="center"/>
                </w:tcPr>
                <w:p w14:paraId="2BE324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54</w:t>
                  </w:r>
                </w:p>
              </w:tc>
              <w:tc>
                <w:tcPr>
                  <w:tcW w:w="1251" w:type="dxa"/>
                  <w:vMerge w:val="continue"/>
                  <w:tcBorders>
                    <w:tl2br w:val="nil"/>
                    <w:tr2bl w:val="nil"/>
                  </w:tcBorders>
                  <w:vAlign w:val="center"/>
                </w:tcPr>
                <w:p w14:paraId="43F2AF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263" w:type="dxa"/>
                  <w:tcBorders>
                    <w:tl2br w:val="nil"/>
                    <w:tr2bl w:val="nil"/>
                  </w:tcBorders>
                  <w:vAlign w:val="center"/>
                </w:tcPr>
                <w:p w14:paraId="50438B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r w14:paraId="4AC7CDCE">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2921F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132" w:type="dxa"/>
                  <w:vMerge w:val="continue"/>
                  <w:tcBorders>
                    <w:tl2br w:val="nil"/>
                    <w:tr2bl w:val="nil"/>
                  </w:tcBorders>
                  <w:vAlign w:val="center"/>
                </w:tcPr>
                <w:p w14:paraId="2ADB62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070" w:type="dxa"/>
                  <w:tcBorders>
                    <w:tl2br w:val="nil"/>
                    <w:tr2bl w:val="nil"/>
                  </w:tcBorders>
                  <w:shd w:val="clear" w:color="auto" w:fill="auto"/>
                  <w:vAlign w:val="center"/>
                </w:tcPr>
                <w:p w14:paraId="3D57FC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default"/>
                      <w:sz w:val="21"/>
                      <w:szCs w:val="21"/>
                      <w:highlight w:val="none"/>
                    </w:rPr>
                    <w:t>北厂界</w:t>
                  </w:r>
                </w:p>
              </w:tc>
              <w:tc>
                <w:tcPr>
                  <w:tcW w:w="1528" w:type="dxa"/>
                  <w:tcBorders>
                    <w:tl2br w:val="nil"/>
                    <w:tr2bl w:val="nil"/>
                  </w:tcBorders>
                  <w:vAlign w:val="center"/>
                </w:tcPr>
                <w:p w14:paraId="73788E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50</w:t>
                  </w:r>
                </w:p>
              </w:tc>
              <w:tc>
                <w:tcPr>
                  <w:tcW w:w="1251" w:type="dxa"/>
                  <w:vMerge w:val="continue"/>
                  <w:tcBorders>
                    <w:tl2br w:val="nil"/>
                    <w:tr2bl w:val="nil"/>
                  </w:tcBorders>
                  <w:vAlign w:val="center"/>
                </w:tcPr>
                <w:p w14:paraId="730F83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p>
              </w:tc>
              <w:tc>
                <w:tcPr>
                  <w:tcW w:w="1263" w:type="dxa"/>
                  <w:tcBorders>
                    <w:tl2br w:val="nil"/>
                    <w:tr2bl w:val="nil"/>
                  </w:tcBorders>
                  <w:vAlign w:val="center"/>
                </w:tcPr>
                <w:p w14:paraId="353EF1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sz w:val="21"/>
                      <w:szCs w:val="21"/>
                      <w:highlight w:val="none"/>
                    </w:rPr>
                    <w:t>达标</w:t>
                  </w:r>
                </w:p>
              </w:tc>
            </w:tr>
          </w:tbl>
          <w:p w14:paraId="0029CB3E">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根据上表，</w:t>
            </w:r>
            <w:r>
              <w:rPr>
                <w:rFonts w:hint="eastAsia"/>
                <w:highlight w:val="none"/>
                <w:vertAlign w:val="baseline"/>
                <w:lang w:val="en-US" w:eastAsia="zh-CN"/>
              </w:rPr>
              <w:t>北京泰康燕园康复医院有限公司</w:t>
            </w:r>
            <w:r>
              <w:rPr>
                <w:rFonts w:hint="default"/>
                <w:highlight w:val="none"/>
                <w:vertAlign w:val="baseline"/>
                <w:lang w:val="en-US" w:eastAsia="zh-CN"/>
              </w:rPr>
              <w:t>东、西、北厂界噪声排放满足《工业企业厂界环境噪声排放标准》</w:t>
            </w:r>
            <w:r>
              <w:rPr>
                <w:rFonts w:hint="eastAsia"/>
                <w:highlight w:val="none"/>
                <w:vertAlign w:val="baseline"/>
                <w:lang w:val="en-US" w:eastAsia="zh-CN"/>
              </w:rPr>
              <w:t>（</w:t>
            </w:r>
            <w:r>
              <w:rPr>
                <w:rFonts w:hint="default"/>
                <w:highlight w:val="none"/>
                <w:vertAlign w:val="baseline"/>
                <w:lang w:val="en-US" w:eastAsia="zh-CN"/>
              </w:rPr>
              <w:t>GB12348-2008</w:t>
            </w:r>
            <w:r>
              <w:rPr>
                <w:rFonts w:hint="eastAsia"/>
                <w:highlight w:val="none"/>
                <w:vertAlign w:val="baseline"/>
                <w:lang w:val="en-US" w:eastAsia="zh-CN"/>
              </w:rPr>
              <w:t>）</w:t>
            </w:r>
            <w:r>
              <w:rPr>
                <w:rFonts w:hint="default"/>
                <w:highlight w:val="none"/>
                <w:vertAlign w:val="baseline"/>
                <w:lang w:val="en-US" w:eastAsia="zh-CN"/>
              </w:rPr>
              <w:t>中3类限值，南厂界噪声排放满足《工业企业厂界环境噪声排放标准》</w:t>
            </w:r>
            <w:r>
              <w:rPr>
                <w:rFonts w:hint="eastAsia"/>
                <w:highlight w:val="none"/>
                <w:vertAlign w:val="baseline"/>
                <w:lang w:val="en-US" w:eastAsia="zh-CN"/>
              </w:rPr>
              <w:t>（</w:t>
            </w:r>
            <w:r>
              <w:rPr>
                <w:rFonts w:hint="default"/>
                <w:highlight w:val="none"/>
                <w:vertAlign w:val="baseline"/>
                <w:lang w:val="en-US" w:eastAsia="zh-CN"/>
              </w:rPr>
              <w:t>GB12348-2008</w:t>
            </w:r>
            <w:r>
              <w:rPr>
                <w:rFonts w:hint="eastAsia"/>
                <w:highlight w:val="none"/>
                <w:vertAlign w:val="baseline"/>
                <w:lang w:val="en-US" w:eastAsia="zh-CN"/>
              </w:rPr>
              <w:t>）</w:t>
            </w:r>
            <w:r>
              <w:rPr>
                <w:rFonts w:hint="default"/>
                <w:highlight w:val="none"/>
                <w:vertAlign w:val="baseline"/>
                <w:lang w:val="en-US" w:eastAsia="zh-CN"/>
              </w:rPr>
              <w:t>中满足4a类限值</w:t>
            </w:r>
            <w:r>
              <w:rPr>
                <w:rFonts w:hint="default"/>
                <w:highlight w:val="none"/>
                <w:vertAlign w:val="baseline"/>
                <w:lang w:val="en-US" w:eastAsia="zh-CN"/>
              </w:rPr>
              <w:t>。</w:t>
            </w:r>
          </w:p>
          <w:p w14:paraId="5DE2B3E0">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（4）</w:t>
            </w:r>
            <w:r>
              <w:rPr>
                <w:rFonts w:hint="default"/>
                <w:highlight w:val="none"/>
                <w:vertAlign w:val="baseline"/>
                <w:lang w:val="en-US" w:eastAsia="zh-CN"/>
              </w:rPr>
              <w:t>固体废物</w:t>
            </w:r>
          </w:p>
          <w:p w14:paraId="2297C3B1">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现有项目固体废物产生及处理情况见下表：</w:t>
            </w:r>
          </w:p>
          <w:p w14:paraId="3A970F68">
            <w:pPr>
              <w:pStyle w:val="40"/>
              <w:keepNext w:val="0"/>
              <w:keepLines w:val="0"/>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表2-1</w:t>
            </w:r>
            <w:r>
              <w:rPr>
                <w:rFonts w:hint="eastAsia"/>
                <w:highlight w:val="none"/>
                <w:lang w:val="en-US" w:eastAsia="zh-CN"/>
              </w:rPr>
              <w:t>2</w:t>
            </w:r>
            <w:r>
              <w:rPr>
                <w:rFonts w:hint="default"/>
                <w:highlight w:val="none"/>
                <w:lang w:val="en-US" w:eastAsia="zh-CN"/>
              </w:rPr>
              <w:t xml:space="preserve">  现有项目固体废物产生及处理情况</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3041"/>
              <w:gridCol w:w="2239"/>
              <w:gridCol w:w="2084"/>
            </w:tblGrid>
            <w:tr w14:paraId="18937C6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vAlign w:val="center"/>
                </w:tcPr>
                <w:p w14:paraId="62719B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z w:val="21"/>
                      <w:szCs w:val="21"/>
                      <w:highlight w:val="none"/>
                      <w:lang w:eastAsia="zh-CN"/>
                    </w:rPr>
                  </w:pPr>
                  <w:r>
                    <w:rPr>
                      <w:rFonts w:hint="default" w:ascii="Times New Roman" w:hAnsi="Times New Roman" w:cs="Times New Roman"/>
                      <w:b/>
                      <w:bCs/>
                      <w:sz w:val="21"/>
                      <w:szCs w:val="21"/>
                      <w:highlight w:val="none"/>
                      <w:lang w:eastAsia="zh-CN"/>
                    </w:rPr>
                    <w:t>类别</w:t>
                  </w:r>
                </w:p>
              </w:tc>
              <w:tc>
                <w:tcPr>
                  <w:tcW w:w="3041" w:type="dxa"/>
                  <w:tcBorders>
                    <w:tl2br w:val="nil"/>
                    <w:tr2bl w:val="nil"/>
                  </w:tcBorders>
                  <w:vAlign w:val="center"/>
                </w:tcPr>
                <w:p w14:paraId="4C1A04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z w:val="21"/>
                      <w:szCs w:val="21"/>
                      <w:highlight w:val="none"/>
                      <w:lang w:eastAsia="zh-CN"/>
                    </w:rPr>
                  </w:pPr>
                  <w:r>
                    <w:rPr>
                      <w:rFonts w:hint="default" w:ascii="Times New Roman" w:hAnsi="Times New Roman" w:cs="Times New Roman"/>
                      <w:b/>
                      <w:bCs/>
                      <w:sz w:val="21"/>
                      <w:szCs w:val="21"/>
                      <w:highlight w:val="none"/>
                      <w:lang w:eastAsia="zh-CN"/>
                    </w:rPr>
                    <w:t>固体废物名称</w:t>
                  </w:r>
                </w:p>
              </w:tc>
              <w:tc>
                <w:tcPr>
                  <w:tcW w:w="2239" w:type="dxa"/>
                  <w:tcBorders>
                    <w:tl2br w:val="nil"/>
                    <w:tr2bl w:val="nil"/>
                  </w:tcBorders>
                  <w:vAlign w:val="center"/>
                </w:tcPr>
                <w:p w14:paraId="522E42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z w:val="21"/>
                      <w:szCs w:val="21"/>
                      <w:highlight w:val="none"/>
                      <w:lang w:eastAsia="zh-CN"/>
                    </w:rPr>
                  </w:pPr>
                  <w:r>
                    <w:rPr>
                      <w:rFonts w:hint="default" w:ascii="Times New Roman" w:hAnsi="Times New Roman" w:cs="Times New Roman"/>
                      <w:b/>
                      <w:bCs/>
                      <w:sz w:val="21"/>
                      <w:szCs w:val="21"/>
                      <w:highlight w:val="none"/>
                      <w:lang w:eastAsia="zh-CN"/>
                    </w:rPr>
                    <w:t>产生量（</w:t>
                  </w:r>
                  <w:r>
                    <w:rPr>
                      <w:rFonts w:hint="default" w:ascii="Times New Roman" w:hAnsi="Times New Roman" w:cs="Times New Roman"/>
                      <w:b/>
                      <w:bCs/>
                      <w:sz w:val="21"/>
                      <w:szCs w:val="21"/>
                      <w:highlight w:val="none"/>
                      <w:lang w:val="en-US" w:eastAsia="zh-CN"/>
                    </w:rPr>
                    <w:t>t/a</w:t>
                  </w:r>
                  <w:r>
                    <w:rPr>
                      <w:rFonts w:hint="default" w:ascii="Times New Roman" w:hAnsi="Times New Roman" w:cs="Times New Roman"/>
                      <w:b/>
                      <w:bCs/>
                      <w:sz w:val="21"/>
                      <w:szCs w:val="21"/>
                      <w:highlight w:val="none"/>
                      <w:lang w:eastAsia="zh-CN"/>
                    </w:rPr>
                    <w:t>）</w:t>
                  </w:r>
                </w:p>
              </w:tc>
              <w:tc>
                <w:tcPr>
                  <w:tcW w:w="2084" w:type="dxa"/>
                  <w:tcBorders>
                    <w:tl2br w:val="nil"/>
                    <w:tr2bl w:val="nil"/>
                  </w:tcBorders>
                  <w:vAlign w:val="center"/>
                </w:tcPr>
                <w:p w14:paraId="767D47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z w:val="21"/>
                      <w:szCs w:val="21"/>
                      <w:highlight w:val="none"/>
                      <w:lang w:eastAsia="zh-CN"/>
                    </w:rPr>
                  </w:pPr>
                  <w:r>
                    <w:rPr>
                      <w:rFonts w:hint="default" w:ascii="Times New Roman" w:hAnsi="Times New Roman" w:cs="Times New Roman"/>
                      <w:b/>
                      <w:bCs/>
                      <w:sz w:val="21"/>
                      <w:szCs w:val="21"/>
                      <w:highlight w:val="none"/>
                      <w:lang w:eastAsia="zh-CN"/>
                    </w:rPr>
                    <w:t>治理措施</w:t>
                  </w:r>
                </w:p>
              </w:tc>
            </w:tr>
            <w:tr w14:paraId="15EC2E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tcBorders>
                    <w:tl2br w:val="nil"/>
                    <w:tr2bl w:val="nil"/>
                  </w:tcBorders>
                  <w:vAlign w:val="center"/>
                </w:tcPr>
                <w:p w14:paraId="38773D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cs="Times New Roman"/>
                      <w:b w:val="0"/>
                      <w:bCs w:val="0"/>
                      <w:sz w:val="21"/>
                      <w:szCs w:val="21"/>
                      <w:highlight w:val="none"/>
                      <w:lang w:eastAsia="zh-CN"/>
                    </w:rPr>
                    <w:t>一般工业固体废物</w:t>
                  </w:r>
                </w:p>
              </w:tc>
              <w:tc>
                <w:tcPr>
                  <w:tcW w:w="3041" w:type="dxa"/>
                  <w:tcBorders>
                    <w:tl2br w:val="nil"/>
                    <w:tr2bl w:val="nil"/>
                  </w:tcBorders>
                  <w:vAlign w:val="center"/>
                </w:tcPr>
                <w:p w14:paraId="172644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lang w:eastAsia="zh-CN"/>
                    </w:rPr>
                  </w:pPr>
                  <w:r>
                    <w:rPr>
                      <w:rFonts w:hint="eastAsia" w:cs="Times New Roman"/>
                      <w:b w:val="0"/>
                      <w:bCs w:val="0"/>
                      <w:sz w:val="21"/>
                      <w:szCs w:val="21"/>
                      <w:highlight w:val="none"/>
                      <w:lang w:val="en-US" w:eastAsia="zh-CN"/>
                    </w:rPr>
                    <w:t>无害包装物</w:t>
                  </w:r>
                </w:p>
              </w:tc>
              <w:tc>
                <w:tcPr>
                  <w:tcW w:w="2239" w:type="dxa"/>
                  <w:tcBorders>
                    <w:tl2br w:val="nil"/>
                    <w:tr2bl w:val="nil"/>
                  </w:tcBorders>
                  <w:vAlign w:val="center"/>
                </w:tcPr>
                <w:p w14:paraId="172918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eastAsia" w:cs="Times New Roman"/>
                      <w:b w:val="0"/>
                      <w:bCs w:val="0"/>
                      <w:sz w:val="21"/>
                      <w:szCs w:val="21"/>
                      <w:highlight w:val="none"/>
                      <w:lang w:val="en-US" w:eastAsia="zh-CN"/>
                    </w:rPr>
                    <w:t>2.38</w:t>
                  </w:r>
                </w:p>
              </w:tc>
              <w:tc>
                <w:tcPr>
                  <w:tcW w:w="2084" w:type="dxa"/>
                  <w:tcBorders>
                    <w:tl2br w:val="nil"/>
                    <w:tr2bl w:val="nil"/>
                  </w:tcBorders>
                  <w:vAlign w:val="center"/>
                </w:tcPr>
                <w:p w14:paraId="176714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cs="Times New Roman"/>
                      <w:b w:val="0"/>
                      <w:bCs w:val="0"/>
                      <w:sz w:val="21"/>
                      <w:szCs w:val="21"/>
                      <w:highlight w:val="none"/>
                      <w:lang w:eastAsia="zh-CN"/>
                    </w:rPr>
                    <w:t>外售处置</w:t>
                  </w:r>
                </w:p>
              </w:tc>
            </w:tr>
            <w:tr w14:paraId="217386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vMerge w:val="restart"/>
                  <w:tcBorders>
                    <w:tl2br w:val="nil"/>
                    <w:tr2bl w:val="nil"/>
                  </w:tcBorders>
                  <w:vAlign w:val="center"/>
                </w:tcPr>
                <w:p w14:paraId="7B98A7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cs="Times New Roman"/>
                      <w:b w:val="0"/>
                      <w:bCs w:val="0"/>
                      <w:sz w:val="21"/>
                      <w:szCs w:val="21"/>
                      <w:highlight w:val="none"/>
                      <w:lang w:eastAsia="zh-CN"/>
                    </w:rPr>
                    <w:t>危险废物</w:t>
                  </w:r>
                </w:p>
              </w:tc>
              <w:tc>
                <w:tcPr>
                  <w:tcW w:w="3041" w:type="dxa"/>
                  <w:tcBorders>
                    <w:tl2br w:val="nil"/>
                    <w:tr2bl w:val="nil"/>
                  </w:tcBorders>
                  <w:vAlign w:val="center"/>
                </w:tcPr>
                <w:p w14:paraId="7C25DC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lang w:eastAsia="zh-CN"/>
                    </w:rPr>
                  </w:pPr>
                  <w:r>
                    <w:rPr>
                      <w:rFonts w:hint="eastAsia" w:cs="Times New Roman"/>
                      <w:b w:val="0"/>
                      <w:bCs w:val="0"/>
                      <w:sz w:val="21"/>
                      <w:szCs w:val="21"/>
                      <w:highlight w:val="none"/>
                      <w:lang w:val="en-US" w:eastAsia="zh-CN"/>
                    </w:rPr>
                    <w:t>医疗废物</w:t>
                  </w:r>
                </w:p>
              </w:tc>
              <w:tc>
                <w:tcPr>
                  <w:tcW w:w="2239" w:type="dxa"/>
                  <w:tcBorders>
                    <w:tl2br w:val="nil"/>
                    <w:tr2bl w:val="nil"/>
                  </w:tcBorders>
                  <w:vAlign w:val="center"/>
                </w:tcPr>
                <w:p w14:paraId="54580B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eastAsia" w:cs="Times New Roman"/>
                      <w:b w:val="0"/>
                      <w:bCs w:val="0"/>
                      <w:sz w:val="21"/>
                      <w:szCs w:val="21"/>
                      <w:highlight w:val="none"/>
                      <w:lang w:val="en-US" w:eastAsia="zh-CN"/>
                    </w:rPr>
                    <w:t>73</w:t>
                  </w:r>
                </w:p>
              </w:tc>
              <w:tc>
                <w:tcPr>
                  <w:tcW w:w="2084" w:type="dxa"/>
                  <w:vMerge w:val="restart"/>
                  <w:tcBorders>
                    <w:tl2br w:val="nil"/>
                    <w:tr2bl w:val="nil"/>
                  </w:tcBorders>
                  <w:vAlign w:val="center"/>
                </w:tcPr>
                <w:p w14:paraId="0BE685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暂存在危废暂存间，定期委托有资质单位处置</w:t>
                  </w:r>
                </w:p>
              </w:tc>
            </w:tr>
            <w:tr w14:paraId="1E3CBC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dxa"/>
                  <w:vMerge w:val="continue"/>
                  <w:tcBorders>
                    <w:tl2br w:val="nil"/>
                    <w:tr2bl w:val="nil"/>
                  </w:tcBorders>
                  <w:vAlign w:val="center"/>
                </w:tcPr>
                <w:p w14:paraId="3E92BC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041" w:type="dxa"/>
                  <w:tcBorders>
                    <w:tl2br w:val="nil"/>
                    <w:tr2bl w:val="nil"/>
                  </w:tcBorders>
                  <w:vAlign w:val="center"/>
                </w:tcPr>
                <w:p w14:paraId="71980F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lang w:eastAsia="zh-CN"/>
                    </w:rPr>
                  </w:pPr>
                  <w:r>
                    <w:rPr>
                      <w:rFonts w:hint="eastAsia" w:cs="Times New Roman"/>
                      <w:b w:val="0"/>
                      <w:bCs w:val="0"/>
                      <w:sz w:val="21"/>
                      <w:szCs w:val="21"/>
                      <w:highlight w:val="none"/>
                      <w:lang w:val="en-US" w:eastAsia="zh-CN"/>
                    </w:rPr>
                    <w:t>废药品</w:t>
                  </w:r>
                </w:p>
              </w:tc>
              <w:tc>
                <w:tcPr>
                  <w:tcW w:w="2239" w:type="dxa"/>
                  <w:tcBorders>
                    <w:tl2br w:val="nil"/>
                    <w:tr2bl w:val="nil"/>
                  </w:tcBorders>
                  <w:vAlign w:val="center"/>
                </w:tcPr>
                <w:p w14:paraId="0505AD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cs="Times New Roman"/>
                      <w:b w:val="0"/>
                      <w:bCs w:val="0"/>
                      <w:sz w:val="21"/>
                      <w:szCs w:val="21"/>
                      <w:highlight w:val="none"/>
                      <w:lang w:val="en-US" w:eastAsia="zh-CN"/>
                    </w:rPr>
                    <w:t>0.0</w:t>
                  </w:r>
                  <w:r>
                    <w:rPr>
                      <w:rFonts w:hint="eastAsia" w:cs="Times New Roman"/>
                      <w:b w:val="0"/>
                      <w:bCs w:val="0"/>
                      <w:sz w:val="21"/>
                      <w:szCs w:val="21"/>
                      <w:highlight w:val="none"/>
                      <w:lang w:val="en-US" w:eastAsia="zh-CN"/>
                    </w:rPr>
                    <w:t>2</w:t>
                  </w:r>
                </w:p>
              </w:tc>
              <w:tc>
                <w:tcPr>
                  <w:tcW w:w="2084" w:type="dxa"/>
                  <w:vMerge w:val="continue"/>
                  <w:tcBorders>
                    <w:tl2br w:val="nil"/>
                    <w:tr2bl w:val="nil"/>
                  </w:tcBorders>
                  <w:vAlign w:val="center"/>
                </w:tcPr>
                <w:p w14:paraId="6A3C1C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r>
            <w:tr w14:paraId="171FB4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137" w:type="dxa"/>
                  <w:vMerge w:val="continue"/>
                  <w:tcBorders>
                    <w:tl2br w:val="nil"/>
                    <w:tr2bl w:val="nil"/>
                  </w:tcBorders>
                  <w:vAlign w:val="center"/>
                </w:tcPr>
                <w:p w14:paraId="6FBEF7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041" w:type="dxa"/>
                  <w:tcBorders>
                    <w:tl2br w:val="nil"/>
                    <w:tr2bl w:val="nil"/>
                  </w:tcBorders>
                  <w:vAlign w:val="center"/>
                </w:tcPr>
                <w:p w14:paraId="346579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lang w:eastAsia="zh-CN"/>
                    </w:rPr>
                  </w:pPr>
                  <w:r>
                    <w:rPr>
                      <w:rFonts w:hint="default" w:ascii="Times New Roman" w:hAnsi="Times New Roman" w:cs="Times New Roman"/>
                      <w:b w:val="0"/>
                      <w:bCs w:val="0"/>
                      <w:sz w:val="21"/>
                      <w:szCs w:val="21"/>
                      <w:highlight w:val="none"/>
                      <w:lang w:eastAsia="zh-CN"/>
                    </w:rPr>
                    <w:t>污泥</w:t>
                  </w:r>
                </w:p>
              </w:tc>
              <w:tc>
                <w:tcPr>
                  <w:tcW w:w="2239" w:type="dxa"/>
                  <w:tcBorders>
                    <w:tl2br w:val="nil"/>
                    <w:tr2bl w:val="nil"/>
                  </w:tcBorders>
                  <w:vAlign w:val="center"/>
                </w:tcPr>
                <w:p w14:paraId="6AB70D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cs="Times New Roman"/>
                      <w:b w:val="0"/>
                      <w:bCs w:val="0"/>
                      <w:sz w:val="21"/>
                      <w:szCs w:val="21"/>
                      <w:highlight w:val="none"/>
                      <w:lang w:val="en-US" w:eastAsia="zh-CN"/>
                    </w:rPr>
                    <w:t>0.</w:t>
                  </w:r>
                  <w:r>
                    <w:rPr>
                      <w:rFonts w:hint="eastAsia" w:cs="Times New Roman"/>
                      <w:b w:val="0"/>
                      <w:bCs w:val="0"/>
                      <w:sz w:val="21"/>
                      <w:szCs w:val="21"/>
                      <w:highlight w:val="none"/>
                      <w:lang w:val="en-US" w:eastAsia="zh-CN"/>
                    </w:rPr>
                    <w:t>6</w:t>
                  </w:r>
                </w:p>
              </w:tc>
              <w:tc>
                <w:tcPr>
                  <w:tcW w:w="2084" w:type="dxa"/>
                  <w:vMerge w:val="continue"/>
                  <w:tcBorders>
                    <w:tl2br w:val="nil"/>
                    <w:tr2bl w:val="nil"/>
                  </w:tcBorders>
                  <w:vAlign w:val="center"/>
                </w:tcPr>
                <w:p w14:paraId="72A864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r>
            <w:tr w14:paraId="7EF71C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8" w:type="dxa"/>
                  <w:gridSpan w:val="2"/>
                  <w:tcBorders>
                    <w:tl2br w:val="nil"/>
                    <w:tr2bl w:val="nil"/>
                  </w:tcBorders>
                  <w:vAlign w:val="center"/>
                </w:tcPr>
                <w:p w14:paraId="26CBA6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lang w:eastAsia="zh-CN"/>
                    </w:rPr>
                    <w:t>生活垃圾</w:t>
                  </w:r>
                </w:p>
              </w:tc>
              <w:tc>
                <w:tcPr>
                  <w:tcW w:w="2239" w:type="dxa"/>
                  <w:tcBorders>
                    <w:tl2br w:val="nil"/>
                    <w:tr2bl w:val="nil"/>
                  </w:tcBorders>
                  <w:vAlign w:val="center"/>
                </w:tcPr>
                <w:p w14:paraId="2679A3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cs="Times New Roman"/>
                      <w:b w:val="0"/>
                      <w:bCs w:val="0"/>
                      <w:sz w:val="21"/>
                      <w:szCs w:val="21"/>
                      <w:highlight w:val="none"/>
                      <w:lang w:val="en-US" w:eastAsia="zh-CN"/>
                    </w:rPr>
                    <w:t>56.</w:t>
                  </w:r>
                  <w:r>
                    <w:rPr>
                      <w:rFonts w:hint="eastAsia" w:cs="Times New Roman"/>
                      <w:b w:val="0"/>
                      <w:bCs w:val="0"/>
                      <w:sz w:val="21"/>
                      <w:szCs w:val="21"/>
                      <w:highlight w:val="none"/>
                      <w:lang w:val="en-US" w:eastAsia="zh-CN"/>
                    </w:rPr>
                    <w:t>1</w:t>
                  </w:r>
                </w:p>
              </w:tc>
              <w:tc>
                <w:tcPr>
                  <w:tcW w:w="2084" w:type="dxa"/>
                  <w:tcBorders>
                    <w:tl2br w:val="nil"/>
                    <w:tr2bl w:val="nil"/>
                  </w:tcBorders>
                  <w:vAlign w:val="center"/>
                </w:tcPr>
                <w:p w14:paraId="5038E1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委托环卫部门清运</w:t>
                  </w:r>
                </w:p>
              </w:tc>
            </w:tr>
          </w:tbl>
          <w:p w14:paraId="39DBB5C9">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北京泰康燕园康复医院有限公司</w:t>
            </w:r>
            <w:r>
              <w:rPr>
                <w:rFonts w:hint="default"/>
                <w:highlight w:val="none"/>
                <w:vertAlign w:val="baseline"/>
                <w:lang w:val="en-US" w:eastAsia="zh-CN"/>
              </w:rPr>
              <w:t>共设置1个危废暂存间，危废暂存间设置于</w:t>
            </w:r>
            <w:r>
              <w:rPr>
                <w:rFonts w:hint="eastAsia"/>
                <w:highlight w:val="none"/>
                <w:vertAlign w:val="baseline"/>
                <w:lang w:val="en-US" w:eastAsia="zh-CN"/>
              </w:rPr>
              <w:t>3</w:t>
            </w:r>
            <w:r>
              <w:rPr>
                <w:rFonts w:hint="default"/>
                <w:highlight w:val="none"/>
                <w:vertAlign w:val="baseline"/>
                <w:lang w:val="en-US" w:eastAsia="zh-CN"/>
              </w:rPr>
              <w:t>号楼地下一层</w:t>
            </w:r>
            <w:r>
              <w:rPr>
                <w:rFonts w:hint="eastAsia"/>
                <w:highlight w:val="none"/>
                <w:vertAlign w:val="baseline"/>
                <w:lang w:val="en-US" w:eastAsia="zh-CN"/>
              </w:rPr>
              <w:t>中部</w:t>
            </w:r>
            <w:r>
              <w:rPr>
                <w:rFonts w:hint="default"/>
                <w:highlight w:val="none"/>
                <w:vertAlign w:val="baseline"/>
                <w:lang w:val="en-US" w:eastAsia="zh-CN"/>
              </w:rPr>
              <w:t>，建筑面积为</w:t>
            </w:r>
            <w:r>
              <w:rPr>
                <w:rFonts w:hint="eastAsia"/>
                <w:highlight w:val="none"/>
                <w:vertAlign w:val="baseline"/>
                <w:lang w:val="en-US" w:eastAsia="zh-CN"/>
              </w:rPr>
              <w:t>20</w:t>
            </w:r>
            <w:r>
              <w:rPr>
                <w:rFonts w:hint="default"/>
                <w:highlight w:val="none"/>
                <w:vertAlign w:val="baseline"/>
                <w:lang w:val="en-US" w:eastAsia="zh-CN"/>
              </w:rPr>
              <w:t>m</w:t>
            </w:r>
            <w:r>
              <w:rPr>
                <w:rFonts w:hint="default"/>
                <w:highlight w:val="none"/>
                <w:vertAlign w:val="superscript"/>
                <w:lang w:val="en-US" w:eastAsia="zh-CN"/>
              </w:rPr>
              <w:t>2</w:t>
            </w:r>
            <w:r>
              <w:rPr>
                <w:rFonts w:hint="default"/>
                <w:highlight w:val="none"/>
                <w:vertAlign w:val="baseline"/>
                <w:lang w:val="en-US" w:eastAsia="zh-CN"/>
              </w:rPr>
              <w:t>，严格按照不同危废的性质分类贮存；地面及四周已做防渗处理，危废暂存间地面与裙脚刷2mm高密度聚乙烯防渗材料，渗透系数≤1×10</w:t>
            </w:r>
            <w:r>
              <w:rPr>
                <w:rFonts w:hint="default"/>
                <w:highlight w:val="none"/>
                <w:vertAlign w:val="superscript"/>
                <w:lang w:val="en-US" w:eastAsia="zh-CN"/>
              </w:rPr>
              <w:t>-10</w:t>
            </w:r>
            <w:r>
              <w:rPr>
                <w:rFonts w:hint="default"/>
                <w:highlight w:val="none"/>
                <w:vertAlign w:val="baseline"/>
                <w:lang w:val="en-US" w:eastAsia="zh-CN"/>
              </w:rPr>
              <w:t>cm/s；液体废物下部设置托盘；危废暂存间已按最新环保要求更新标识牌，符合《危险废物贮存污染控制标准》(GB18597-2023)相关要求。危废暂存间内配有通讯设备、照明设施、安全防护服装及工具，并设有应急防护设施。危险废物在收集、转移及贮存过程中均采取密闭形式，不会对环境空气造成不良影响，危废暂存间位于室内且进行严格的防渗处理，具有较好的防风、防雨、防晒、防渗漏作用，不会对地表水、地下水及土壤造成污染。</w:t>
            </w:r>
          </w:p>
          <w:p w14:paraId="5EF8D63C">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3、现有项目污染物排放量及总量情况</w:t>
            </w:r>
          </w:p>
          <w:p w14:paraId="591B444C">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（1）废气</w:t>
            </w:r>
          </w:p>
          <w:p w14:paraId="0E3A746F">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现有项目</w:t>
            </w:r>
            <w:r>
              <w:rPr>
                <w:rFonts w:hint="eastAsia"/>
                <w:highlight w:val="none"/>
                <w:vertAlign w:val="baseline"/>
                <w:lang w:val="en-US" w:eastAsia="zh-CN"/>
              </w:rPr>
              <w:t>废气无组织排放，检测结果满足《医疗机构水污染物排放标准》（GB18466-2005）中“表3 污水处理站周边大气污染物最高允许浓度限值”，不进行总量计算</w:t>
            </w:r>
            <w:r>
              <w:rPr>
                <w:rFonts w:hint="default"/>
                <w:highlight w:val="none"/>
                <w:vertAlign w:val="baseline"/>
                <w:lang w:val="en-US" w:eastAsia="zh-CN"/>
              </w:rPr>
              <w:t>。</w:t>
            </w:r>
          </w:p>
          <w:p w14:paraId="2DC2C409">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（2）废水</w:t>
            </w:r>
          </w:p>
          <w:p w14:paraId="6D6063BD">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CODcr实际排放量为：</w:t>
            </w:r>
            <w:r>
              <w:rPr>
                <w:rFonts w:hint="eastAsia"/>
                <w:highlight w:val="none"/>
                <w:vertAlign w:val="baseline"/>
                <w:lang w:val="en-US" w:eastAsia="zh-CN"/>
              </w:rPr>
              <w:t>10800</w:t>
            </w:r>
            <w:r>
              <w:rPr>
                <w:rFonts w:hint="default"/>
                <w:highlight w:val="none"/>
                <w:vertAlign w:val="baseline"/>
                <w:lang w:val="en-US" w:eastAsia="zh-CN"/>
              </w:rPr>
              <w:t>m</w:t>
            </w:r>
            <w:r>
              <w:rPr>
                <w:rFonts w:hint="eastAsia"/>
                <w:highlight w:val="none"/>
                <w:vertAlign w:val="superscript"/>
                <w:lang w:val="en-US" w:eastAsia="zh-CN"/>
              </w:rPr>
              <w:t>3</w:t>
            </w:r>
            <w:r>
              <w:rPr>
                <w:rFonts w:hint="default"/>
                <w:highlight w:val="none"/>
                <w:vertAlign w:val="baseline"/>
                <w:lang w:val="en-US" w:eastAsia="zh-CN"/>
              </w:rPr>
              <w:t>/a×</w:t>
            </w:r>
            <w:r>
              <w:rPr>
                <w:rFonts w:hint="eastAsia"/>
                <w:highlight w:val="none"/>
                <w:vertAlign w:val="baseline"/>
                <w:lang w:val="en-US" w:eastAsia="zh-CN"/>
              </w:rPr>
              <w:t>11</w:t>
            </w:r>
            <w:r>
              <w:rPr>
                <w:rFonts w:hint="default"/>
                <w:highlight w:val="none"/>
                <w:vertAlign w:val="baseline"/>
                <w:lang w:val="en-US" w:eastAsia="zh-CN"/>
              </w:rPr>
              <w:t>mg/L×10</w:t>
            </w:r>
            <w:r>
              <w:rPr>
                <w:rFonts w:hint="default"/>
                <w:highlight w:val="none"/>
                <w:vertAlign w:val="superscript"/>
                <w:lang w:val="en-US" w:eastAsia="zh-CN"/>
              </w:rPr>
              <w:t>-6</w:t>
            </w:r>
            <w:r>
              <w:rPr>
                <w:rFonts w:hint="default"/>
                <w:highlight w:val="none"/>
                <w:vertAlign w:val="baseline"/>
                <w:lang w:val="en-US" w:eastAsia="zh-CN"/>
              </w:rPr>
              <w:t>=0.1188t/a；氨氮实际排放量为：</w:t>
            </w:r>
            <w:r>
              <w:rPr>
                <w:rFonts w:hint="eastAsia"/>
                <w:highlight w:val="none"/>
                <w:vertAlign w:val="baseline"/>
                <w:lang w:val="en-US" w:eastAsia="zh-CN"/>
              </w:rPr>
              <w:t>10800</w:t>
            </w:r>
            <w:r>
              <w:rPr>
                <w:rFonts w:hint="default"/>
                <w:highlight w:val="none"/>
                <w:vertAlign w:val="baseline"/>
                <w:lang w:val="en-US" w:eastAsia="zh-CN"/>
              </w:rPr>
              <w:t>m</w:t>
            </w:r>
            <w:r>
              <w:rPr>
                <w:rFonts w:hint="default"/>
                <w:highlight w:val="none"/>
                <w:vertAlign w:val="superscript"/>
                <w:lang w:val="en-US" w:eastAsia="zh-CN"/>
              </w:rPr>
              <w:t>3</w:t>
            </w:r>
            <w:r>
              <w:rPr>
                <w:rFonts w:hint="default"/>
                <w:highlight w:val="none"/>
                <w:vertAlign w:val="baseline"/>
                <w:lang w:val="en-US" w:eastAsia="zh-CN"/>
              </w:rPr>
              <w:t>/a×</w:t>
            </w:r>
            <w:r>
              <w:rPr>
                <w:rFonts w:hint="eastAsia"/>
                <w:highlight w:val="none"/>
                <w:vertAlign w:val="baseline"/>
                <w:lang w:val="en-US" w:eastAsia="zh-CN"/>
              </w:rPr>
              <w:t>0.029</w:t>
            </w:r>
            <w:r>
              <w:rPr>
                <w:rFonts w:hint="default"/>
                <w:highlight w:val="none"/>
                <w:vertAlign w:val="baseline"/>
                <w:lang w:val="en-US" w:eastAsia="zh-CN"/>
              </w:rPr>
              <w:t>mg/L×10</w:t>
            </w:r>
            <w:r>
              <w:rPr>
                <w:rFonts w:hint="default"/>
                <w:highlight w:val="none"/>
                <w:vertAlign w:val="superscript"/>
                <w:lang w:val="en-US" w:eastAsia="zh-CN"/>
              </w:rPr>
              <w:t>-6</w:t>
            </w:r>
            <w:r>
              <w:rPr>
                <w:rFonts w:hint="default"/>
                <w:highlight w:val="none"/>
                <w:vertAlign w:val="baseline"/>
                <w:lang w:val="en-US" w:eastAsia="zh-CN"/>
              </w:rPr>
              <w:t>=0.0003132t/a。</w:t>
            </w:r>
          </w:p>
          <w:p w14:paraId="7382A5D0">
            <w:pPr>
              <w:pStyle w:val="40"/>
              <w:keepNext w:val="0"/>
              <w:keepLines w:val="0"/>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表2-13  污染物实际排放量与环评污染物排放量情况</w:t>
            </w:r>
          </w:p>
          <w:tbl>
            <w:tblPr>
              <w:tblStyle w:val="17"/>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4"/>
              <w:gridCol w:w="3923"/>
              <w:gridCol w:w="1109"/>
              <w:gridCol w:w="1010"/>
              <w:gridCol w:w="1022"/>
            </w:tblGrid>
            <w:tr w14:paraId="3C5F00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tcBorders>
                    <w:tl2br w:val="nil"/>
                    <w:tr2bl w:val="nil"/>
                  </w:tcBorders>
                  <w:shd w:val="clear" w:color="auto" w:fill="auto"/>
                  <w:vAlign w:val="center"/>
                </w:tcPr>
                <w:p w14:paraId="1E10DF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b/>
                      <w:bCs/>
                      <w:color w:val="000000"/>
                      <w:kern w:val="0"/>
                      <w:sz w:val="21"/>
                      <w:szCs w:val="21"/>
                      <w:highlight w:val="none"/>
                      <w:lang w:bidi="ar"/>
                    </w:rPr>
                  </w:pPr>
                  <w:r>
                    <w:rPr>
                      <w:rFonts w:hint="default"/>
                      <w:b/>
                      <w:bCs/>
                      <w:color w:val="000000"/>
                      <w:kern w:val="0"/>
                      <w:sz w:val="21"/>
                      <w:szCs w:val="21"/>
                      <w:highlight w:val="none"/>
                      <w:lang w:bidi="ar"/>
                    </w:rPr>
                    <w:t>种类</w:t>
                  </w:r>
                </w:p>
              </w:tc>
              <w:tc>
                <w:tcPr>
                  <w:tcW w:w="2314" w:type="pct"/>
                  <w:tcBorders>
                    <w:tl2br w:val="nil"/>
                    <w:tr2bl w:val="nil"/>
                  </w:tcBorders>
                  <w:shd w:val="clear" w:color="auto" w:fill="auto"/>
                  <w:vAlign w:val="center"/>
                </w:tcPr>
                <w:p w14:paraId="086469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b/>
                      <w:bCs/>
                      <w:color w:val="000000"/>
                      <w:kern w:val="0"/>
                      <w:sz w:val="21"/>
                      <w:szCs w:val="21"/>
                      <w:highlight w:val="none"/>
                      <w:lang w:bidi="ar"/>
                    </w:rPr>
                  </w:pPr>
                  <w:r>
                    <w:rPr>
                      <w:rFonts w:hint="default"/>
                      <w:b/>
                      <w:bCs/>
                      <w:color w:val="000000"/>
                      <w:kern w:val="0"/>
                      <w:sz w:val="21"/>
                      <w:szCs w:val="21"/>
                      <w:highlight w:val="none"/>
                      <w:lang w:bidi="ar"/>
                    </w:rPr>
                    <w:t>污染物名称</w:t>
                  </w:r>
                </w:p>
              </w:tc>
              <w:tc>
                <w:tcPr>
                  <w:tcW w:w="628" w:type="pct"/>
                  <w:tcBorders>
                    <w:tl2br w:val="nil"/>
                    <w:tr2bl w:val="nil"/>
                  </w:tcBorders>
                  <w:shd w:val="clear" w:color="auto" w:fill="auto"/>
                  <w:vAlign w:val="center"/>
                </w:tcPr>
                <w:p w14:paraId="07C6BD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b/>
                      <w:bCs/>
                      <w:color w:val="000000"/>
                      <w:kern w:val="0"/>
                      <w:sz w:val="21"/>
                      <w:szCs w:val="21"/>
                      <w:highlight w:val="none"/>
                      <w:lang w:bidi="ar"/>
                    </w:rPr>
                  </w:pPr>
                  <w:r>
                    <w:rPr>
                      <w:rFonts w:hint="default"/>
                      <w:b/>
                      <w:bCs/>
                      <w:color w:val="000000"/>
                      <w:kern w:val="0"/>
                      <w:sz w:val="21"/>
                      <w:szCs w:val="21"/>
                      <w:highlight w:val="none"/>
                      <w:lang w:bidi="ar"/>
                    </w:rPr>
                    <w:t>实际排放量(t/a)</w:t>
                  </w:r>
                </w:p>
              </w:tc>
              <w:tc>
                <w:tcPr>
                  <w:tcW w:w="600" w:type="pct"/>
                  <w:tcBorders>
                    <w:tl2br w:val="nil"/>
                    <w:tr2bl w:val="nil"/>
                  </w:tcBorders>
                  <w:shd w:val="clear" w:color="auto" w:fill="auto"/>
                  <w:vAlign w:val="center"/>
                </w:tcPr>
                <w:p w14:paraId="6E5D96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b/>
                      <w:bCs/>
                      <w:color w:val="000000"/>
                      <w:kern w:val="0"/>
                      <w:sz w:val="21"/>
                      <w:szCs w:val="21"/>
                      <w:highlight w:val="none"/>
                      <w:lang w:bidi="ar"/>
                    </w:rPr>
                  </w:pPr>
                  <w:r>
                    <w:rPr>
                      <w:rFonts w:hint="default"/>
                      <w:b/>
                      <w:bCs/>
                      <w:color w:val="000000"/>
                      <w:kern w:val="0"/>
                      <w:sz w:val="21"/>
                      <w:szCs w:val="21"/>
                      <w:highlight w:val="none"/>
                      <w:lang w:bidi="ar"/>
                    </w:rPr>
                    <w:t>环评核定总量(t/a)</w:t>
                  </w:r>
                </w:p>
              </w:tc>
              <w:tc>
                <w:tcPr>
                  <w:tcW w:w="607" w:type="pct"/>
                  <w:tcBorders>
                    <w:tl2br w:val="nil"/>
                    <w:tr2bl w:val="nil"/>
                  </w:tcBorders>
                  <w:shd w:val="clear" w:color="auto" w:fill="auto"/>
                  <w:vAlign w:val="center"/>
                </w:tcPr>
                <w:p w14:paraId="176943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b/>
                      <w:bCs/>
                      <w:color w:val="000000"/>
                      <w:kern w:val="0"/>
                      <w:sz w:val="21"/>
                      <w:szCs w:val="21"/>
                      <w:highlight w:val="none"/>
                      <w:lang w:bidi="ar"/>
                    </w:rPr>
                  </w:pPr>
                  <w:r>
                    <w:rPr>
                      <w:rFonts w:hint="default"/>
                      <w:b/>
                      <w:bCs/>
                      <w:color w:val="000000"/>
                      <w:kern w:val="0"/>
                      <w:sz w:val="21"/>
                      <w:szCs w:val="21"/>
                      <w:highlight w:val="none"/>
                      <w:lang w:bidi="ar"/>
                    </w:rPr>
                    <w:t>是否满足环评要求</w:t>
                  </w:r>
                </w:p>
              </w:tc>
            </w:tr>
            <w:tr w14:paraId="0F9A42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Merge w:val="restart"/>
                  <w:tcBorders>
                    <w:tl2br w:val="nil"/>
                    <w:tr2bl w:val="nil"/>
                  </w:tcBorders>
                  <w:shd w:val="clear" w:color="auto" w:fill="auto"/>
                  <w:vAlign w:val="center"/>
                </w:tcPr>
                <w:p w14:paraId="463E66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bidi="ar"/>
                    </w:rPr>
                  </w:pPr>
                  <w:r>
                    <w:rPr>
                      <w:rFonts w:hint="default"/>
                      <w:color w:val="000000"/>
                      <w:kern w:val="0"/>
                      <w:sz w:val="21"/>
                      <w:szCs w:val="21"/>
                      <w:highlight w:val="none"/>
                      <w:lang w:bidi="ar"/>
                    </w:rPr>
                    <w:t>废水</w:t>
                  </w:r>
                </w:p>
              </w:tc>
              <w:tc>
                <w:tcPr>
                  <w:tcW w:w="2314" w:type="pct"/>
                  <w:tcBorders>
                    <w:tl2br w:val="nil"/>
                    <w:tr2bl w:val="nil"/>
                  </w:tcBorders>
                  <w:shd w:val="clear" w:color="auto" w:fill="auto"/>
                  <w:vAlign w:val="center"/>
                </w:tcPr>
                <w:p w14:paraId="62F0D7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bidi="ar"/>
                    </w:rPr>
                  </w:pPr>
                  <w:r>
                    <w:rPr>
                      <w:rFonts w:hint="default"/>
                      <w:color w:val="000000"/>
                      <w:kern w:val="0"/>
                      <w:sz w:val="21"/>
                      <w:szCs w:val="21"/>
                      <w:highlight w:val="none"/>
                      <w:lang w:bidi="ar"/>
                    </w:rPr>
                    <w:t>COD</w:t>
                  </w:r>
                  <w:r>
                    <w:rPr>
                      <w:rFonts w:hint="eastAsia"/>
                      <w:color w:val="000000"/>
                      <w:kern w:val="0"/>
                      <w:sz w:val="21"/>
                      <w:szCs w:val="21"/>
                      <w:highlight w:val="none"/>
                      <w:vertAlign w:val="subscript"/>
                      <w:lang w:bidi="ar"/>
                    </w:rPr>
                    <w:t>Cr</w:t>
                  </w:r>
                </w:p>
              </w:tc>
              <w:tc>
                <w:tcPr>
                  <w:tcW w:w="628" w:type="pct"/>
                  <w:tcBorders>
                    <w:tl2br w:val="nil"/>
                    <w:tr2bl w:val="nil"/>
                  </w:tcBorders>
                  <w:shd w:val="clear" w:color="auto" w:fill="auto"/>
                  <w:vAlign w:val="center"/>
                </w:tcPr>
                <w:p w14:paraId="4C97D1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default" w:eastAsia="宋体"/>
                      <w:color w:val="000000"/>
                      <w:kern w:val="0"/>
                      <w:sz w:val="21"/>
                      <w:szCs w:val="21"/>
                      <w:highlight w:val="none"/>
                      <w:lang w:val="en-US" w:eastAsia="zh-CN" w:bidi="ar"/>
                    </w:rPr>
                    <w:t>0.1188</w:t>
                  </w:r>
                </w:p>
              </w:tc>
              <w:tc>
                <w:tcPr>
                  <w:tcW w:w="600" w:type="pct"/>
                  <w:tcBorders>
                    <w:tl2br w:val="nil"/>
                    <w:tr2bl w:val="nil"/>
                  </w:tcBorders>
                  <w:shd w:val="clear" w:color="auto" w:fill="auto"/>
                  <w:vAlign w:val="center"/>
                </w:tcPr>
                <w:p w14:paraId="774622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default"/>
                      <w:color w:val="000000"/>
                      <w:kern w:val="0"/>
                      <w:sz w:val="21"/>
                      <w:szCs w:val="21"/>
                      <w:highlight w:val="none"/>
                      <w:lang w:bidi="ar"/>
                    </w:rPr>
                    <w:t>0.</w:t>
                  </w:r>
                  <w:r>
                    <w:rPr>
                      <w:rFonts w:hint="eastAsia"/>
                      <w:color w:val="000000"/>
                      <w:kern w:val="0"/>
                      <w:sz w:val="21"/>
                      <w:szCs w:val="21"/>
                      <w:highlight w:val="none"/>
                      <w:lang w:val="en-US" w:eastAsia="zh-CN" w:bidi="ar"/>
                    </w:rPr>
                    <w:t>326</w:t>
                  </w:r>
                </w:p>
              </w:tc>
              <w:tc>
                <w:tcPr>
                  <w:tcW w:w="607" w:type="pct"/>
                  <w:tcBorders>
                    <w:tl2br w:val="nil"/>
                    <w:tr2bl w:val="nil"/>
                  </w:tcBorders>
                  <w:shd w:val="clear" w:color="auto" w:fill="auto"/>
                  <w:vAlign w:val="center"/>
                </w:tcPr>
                <w:p w14:paraId="589963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bidi="ar"/>
                    </w:rPr>
                  </w:pPr>
                  <w:r>
                    <w:rPr>
                      <w:rFonts w:hint="default"/>
                      <w:color w:val="000000"/>
                      <w:kern w:val="0"/>
                      <w:sz w:val="21"/>
                      <w:szCs w:val="21"/>
                      <w:highlight w:val="none"/>
                      <w:lang w:bidi="ar"/>
                    </w:rPr>
                    <w:t>满足</w:t>
                  </w:r>
                </w:p>
              </w:tc>
            </w:tr>
            <w:tr w14:paraId="54C7F2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Merge w:val="continue"/>
                  <w:tcBorders>
                    <w:tl2br w:val="nil"/>
                    <w:tr2bl w:val="nil"/>
                  </w:tcBorders>
                  <w:vAlign w:val="center"/>
                </w:tcPr>
                <w:p w14:paraId="3CDD85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bidi="ar"/>
                    </w:rPr>
                  </w:pPr>
                </w:p>
              </w:tc>
              <w:tc>
                <w:tcPr>
                  <w:tcW w:w="2314" w:type="pct"/>
                  <w:tcBorders>
                    <w:tl2br w:val="nil"/>
                    <w:tr2bl w:val="nil"/>
                  </w:tcBorders>
                  <w:shd w:val="clear" w:color="auto" w:fill="auto"/>
                  <w:vAlign w:val="center"/>
                </w:tcPr>
                <w:p w14:paraId="1956BE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eastAsia="宋体"/>
                      <w:color w:val="000000"/>
                      <w:kern w:val="0"/>
                      <w:sz w:val="21"/>
                      <w:szCs w:val="21"/>
                      <w:highlight w:val="none"/>
                      <w:lang w:val="en-US" w:eastAsia="zh-CN" w:bidi="ar"/>
                    </w:rPr>
                  </w:pPr>
                  <w:r>
                    <w:rPr>
                      <w:rFonts w:hint="eastAsia"/>
                      <w:color w:val="000000"/>
                      <w:kern w:val="0"/>
                      <w:sz w:val="21"/>
                      <w:szCs w:val="21"/>
                      <w:highlight w:val="none"/>
                      <w:lang w:val="en-US" w:eastAsia="zh-CN" w:bidi="ar"/>
                    </w:rPr>
                    <w:t>氨氮</w:t>
                  </w:r>
                </w:p>
              </w:tc>
              <w:tc>
                <w:tcPr>
                  <w:tcW w:w="628" w:type="pct"/>
                  <w:tcBorders>
                    <w:tl2br w:val="nil"/>
                    <w:tr2bl w:val="nil"/>
                  </w:tcBorders>
                  <w:shd w:val="clear" w:color="auto" w:fill="auto"/>
                  <w:vAlign w:val="center"/>
                </w:tcPr>
                <w:p w14:paraId="2FCA1C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default" w:eastAsia="宋体"/>
                      <w:color w:val="000000"/>
                      <w:kern w:val="0"/>
                      <w:sz w:val="21"/>
                      <w:szCs w:val="21"/>
                      <w:highlight w:val="none"/>
                      <w:lang w:val="en-US" w:eastAsia="zh-CN" w:bidi="ar"/>
                    </w:rPr>
                    <w:t>0.0003132</w:t>
                  </w:r>
                </w:p>
              </w:tc>
              <w:tc>
                <w:tcPr>
                  <w:tcW w:w="600" w:type="pct"/>
                  <w:tcBorders>
                    <w:tl2br w:val="nil"/>
                    <w:tr2bl w:val="nil"/>
                  </w:tcBorders>
                  <w:shd w:val="clear" w:color="auto" w:fill="auto"/>
                  <w:vAlign w:val="center"/>
                </w:tcPr>
                <w:p w14:paraId="77A549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default"/>
                      <w:color w:val="000000"/>
                      <w:kern w:val="0"/>
                      <w:sz w:val="21"/>
                      <w:szCs w:val="21"/>
                      <w:highlight w:val="none"/>
                      <w:lang w:bidi="ar"/>
                    </w:rPr>
                    <w:t>0.0</w:t>
                  </w:r>
                  <w:r>
                    <w:rPr>
                      <w:rFonts w:hint="eastAsia"/>
                      <w:color w:val="000000"/>
                      <w:kern w:val="0"/>
                      <w:sz w:val="21"/>
                      <w:szCs w:val="21"/>
                      <w:highlight w:val="none"/>
                      <w:lang w:val="en-US" w:eastAsia="zh-CN" w:bidi="ar"/>
                    </w:rPr>
                    <w:t>16</w:t>
                  </w:r>
                </w:p>
              </w:tc>
              <w:tc>
                <w:tcPr>
                  <w:tcW w:w="607" w:type="pct"/>
                  <w:tcBorders>
                    <w:tl2br w:val="nil"/>
                    <w:tr2bl w:val="nil"/>
                  </w:tcBorders>
                  <w:shd w:val="clear" w:color="auto" w:fill="auto"/>
                  <w:vAlign w:val="center"/>
                </w:tcPr>
                <w:p w14:paraId="1B061E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bidi="ar"/>
                    </w:rPr>
                  </w:pPr>
                  <w:r>
                    <w:rPr>
                      <w:rFonts w:hint="default"/>
                      <w:color w:val="000000"/>
                      <w:kern w:val="0"/>
                      <w:sz w:val="21"/>
                      <w:szCs w:val="21"/>
                      <w:highlight w:val="none"/>
                      <w:lang w:bidi="ar"/>
                    </w:rPr>
                    <w:t>满足</w:t>
                  </w:r>
                </w:p>
              </w:tc>
            </w:tr>
            <w:tr w14:paraId="06C2CC5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tcBorders>
                    <w:tl2br w:val="nil"/>
                    <w:tr2bl w:val="nil"/>
                  </w:tcBorders>
                  <w:shd w:val="clear" w:color="auto" w:fill="auto"/>
                  <w:vAlign w:val="center"/>
                </w:tcPr>
                <w:p w14:paraId="460585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eastAsia="zh-CN" w:bidi="ar"/>
                    </w:rPr>
                    <w:t>一般工业固体废物</w:t>
                  </w:r>
                </w:p>
              </w:tc>
              <w:tc>
                <w:tcPr>
                  <w:tcW w:w="2314" w:type="pct"/>
                  <w:tcBorders>
                    <w:tl2br w:val="nil"/>
                    <w:tr2bl w:val="nil"/>
                  </w:tcBorders>
                  <w:shd w:val="clear" w:color="auto" w:fill="auto"/>
                  <w:vAlign w:val="center"/>
                </w:tcPr>
                <w:p w14:paraId="499EDF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eastAsia="宋体"/>
                      <w:color w:val="000000"/>
                      <w:kern w:val="0"/>
                      <w:sz w:val="21"/>
                      <w:szCs w:val="21"/>
                      <w:highlight w:val="none"/>
                      <w:lang w:val="en-US" w:eastAsia="zh-CN" w:bidi="ar"/>
                    </w:rPr>
                  </w:pPr>
                  <w:r>
                    <w:rPr>
                      <w:rFonts w:hint="eastAsia"/>
                      <w:color w:val="000000"/>
                      <w:kern w:val="0"/>
                      <w:sz w:val="21"/>
                      <w:szCs w:val="21"/>
                      <w:highlight w:val="none"/>
                      <w:lang w:val="en-US" w:eastAsia="zh-CN" w:bidi="ar"/>
                    </w:rPr>
                    <w:t>无害包装物</w:t>
                  </w:r>
                </w:p>
              </w:tc>
              <w:tc>
                <w:tcPr>
                  <w:tcW w:w="628" w:type="pct"/>
                  <w:tcBorders>
                    <w:tl2br w:val="nil"/>
                    <w:tr2bl w:val="nil"/>
                  </w:tcBorders>
                  <w:shd w:val="clear" w:color="auto" w:fill="auto"/>
                  <w:vAlign w:val="center"/>
                </w:tcPr>
                <w:p w14:paraId="5C70D6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eastAsia"/>
                      <w:color w:val="000000"/>
                      <w:kern w:val="0"/>
                      <w:sz w:val="21"/>
                      <w:szCs w:val="21"/>
                      <w:highlight w:val="none"/>
                      <w:lang w:val="en-US" w:eastAsia="zh-CN" w:bidi="ar"/>
                    </w:rPr>
                    <w:t>2.38</w:t>
                  </w:r>
                </w:p>
              </w:tc>
              <w:tc>
                <w:tcPr>
                  <w:tcW w:w="600" w:type="pct"/>
                  <w:tcBorders>
                    <w:tl2br w:val="nil"/>
                    <w:tr2bl w:val="nil"/>
                  </w:tcBorders>
                  <w:shd w:val="clear" w:color="auto" w:fill="auto"/>
                  <w:vAlign w:val="center"/>
                </w:tcPr>
                <w:p w14:paraId="4CA64B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c>
                <w:tcPr>
                  <w:tcW w:w="607" w:type="pct"/>
                  <w:tcBorders>
                    <w:tl2br w:val="nil"/>
                    <w:tr2bl w:val="nil"/>
                  </w:tcBorders>
                  <w:shd w:val="clear" w:color="auto" w:fill="auto"/>
                  <w:vAlign w:val="center"/>
                </w:tcPr>
                <w:p w14:paraId="057159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r>
            <w:tr w14:paraId="2D51B0C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tcBorders>
                    <w:tl2br w:val="nil"/>
                    <w:tr2bl w:val="nil"/>
                  </w:tcBorders>
                  <w:shd w:val="clear" w:color="auto" w:fill="auto"/>
                  <w:vAlign w:val="center"/>
                </w:tcPr>
                <w:p w14:paraId="09C3B6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eastAsia="zh-CN" w:bidi="ar"/>
                    </w:rPr>
                    <w:t>危险废物</w:t>
                  </w:r>
                </w:p>
              </w:tc>
              <w:tc>
                <w:tcPr>
                  <w:tcW w:w="2314" w:type="pct"/>
                  <w:tcBorders>
                    <w:tl2br w:val="nil"/>
                    <w:tr2bl w:val="nil"/>
                  </w:tcBorders>
                  <w:shd w:val="clear" w:color="auto" w:fill="auto"/>
                  <w:vAlign w:val="center"/>
                </w:tcPr>
                <w:p w14:paraId="4BF071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eastAsia"/>
                      <w:color w:val="000000"/>
                      <w:kern w:val="0"/>
                      <w:sz w:val="21"/>
                      <w:szCs w:val="21"/>
                      <w:highlight w:val="none"/>
                      <w:lang w:val="en-US" w:eastAsia="zh-CN" w:bidi="ar"/>
                    </w:rPr>
                    <w:t>医疗废物、废药品、污泥</w:t>
                  </w:r>
                </w:p>
              </w:tc>
              <w:tc>
                <w:tcPr>
                  <w:tcW w:w="628" w:type="pct"/>
                  <w:tcBorders>
                    <w:tl2br w:val="nil"/>
                    <w:tr2bl w:val="nil"/>
                  </w:tcBorders>
                  <w:shd w:val="clear" w:color="auto" w:fill="auto"/>
                  <w:vAlign w:val="center"/>
                </w:tcPr>
                <w:p w14:paraId="169FB3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eastAsia="宋体"/>
                      <w:color w:val="000000"/>
                      <w:kern w:val="0"/>
                      <w:sz w:val="21"/>
                      <w:szCs w:val="21"/>
                      <w:highlight w:val="none"/>
                      <w:lang w:val="en-US" w:eastAsia="zh-CN" w:bidi="ar"/>
                    </w:rPr>
                  </w:pPr>
                  <w:r>
                    <w:rPr>
                      <w:rFonts w:hint="eastAsia"/>
                      <w:color w:val="000000"/>
                      <w:kern w:val="0"/>
                      <w:sz w:val="21"/>
                      <w:szCs w:val="21"/>
                      <w:highlight w:val="none"/>
                      <w:lang w:val="en-US" w:eastAsia="zh-CN" w:bidi="ar"/>
                    </w:rPr>
                    <w:t>73.62</w:t>
                  </w:r>
                </w:p>
              </w:tc>
              <w:tc>
                <w:tcPr>
                  <w:tcW w:w="600" w:type="pct"/>
                  <w:tcBorders>
                    <w:tl2br w:val="nil"/>
                    <w:tr2bl w:val="nil"/>
                  </w:tcBorders>
                  <w:shd w:val="clear" w:color="auto" w:fill="auto"/>
                  <w:vAlign w:val="center"/>
                </w:tcPr>
                <w:p w14:paraId="55A18E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c>
                <w:tcPr>
                  <w:tcW w:w="607" w:type="pct"/>
                  <w:tcBorders>
                    <w:tl2br w:val="nil"/>
                    <w:tr2bl w:val="nil"/>
                  </w:tcBorders>
                  <w:shd w:val="clear" w:color="auto" w:fill="auto"/>
                  <w:vAlign w:val="center"/>
                </w:tcPr>
                <w:p w14:paraId="32789E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r>
            <w:tr w14:paraId="0E3CE0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tcBorders>
                    <w:tl2br w:val="nil"/>
                    <w:tr2bl w:val="nil"/>
                  </w:tcBorders>
                  <w:shd w:val="clear" w:color="auto" w:fill="auto"/>
                  <w:vAlign w:val="center"/>
                </w:tcPr>
                <w:p w14:paraId="1107EED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eastAsia="zh-CN" w:bidi="ar"/>
                    </w:rPr>
                    <w:t>生活垃圾</w:t>
                  </w:r>
                </w:p>
              </w:tc>
              <w:tc>
                <w:tcPr>
                  <w:tcW w:w="2314" w:type="pct"/>
                  <w:tcBorders>
                    <w:tl2br w:val="nil"/>
                    <w:tr2bl w:val="nil"/>
                  </w:tcBorders>
                  <w:shd w:val="clear" w:color="auto" w:fill="auto"/>
                  <w:vAlign w:val="center"/>
                </w:tcPr>
                <w:p w14:paraId="66ABDD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eastAsia="宋体"/>
                      <w:color w:val="000000"/>
                      <w:kern w:val="0"/>
                      <w:sz w:val="21"/>
                      <w:szCs w:val="21"/>
                      <w:highlight w:val="none"/>
                      <w:lang w:eastAsia="zh-CN" w:bidi="ar"/>
                    </w:rPr>
                  </w:pPr>
                  <w:r>
                    <w:rPr>
                      <w:rFonts w:hint="eastAsia"/>
                      <w:color w:val="000000"/>
                      <w:kern w:val="0"/>
                      <w:sz w:val="21"/>
                      <w:szCs w:val="21"/>
                      <w:highlight w:val="none"/>
                      <w:lang w:eastAsia="zh-CN" w:bidi="ar"/>
                    </w:rPr>
                    <w:t>生活垃圾</w:t>
                  </w:r>
                </w:p>
              </w:tc>
              <w:tc>
                <w:tcPr>
                  <w:tcW w:w="628" w:type="pct"/>
                  <w:tcBorders>
                    <w:tl2br w:val="nil"/>
                    <w:tr2bl w:val="nil"/>
                  </w:tcBorders>
                  <w:shd w:val="clear" w:color="auto" w:fill="auto"/>
                  <w:vAlign w:val="center"/>
                </w:tcPr>
                <w:p w14:paraId="2DC988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color w:val="000000"/>
                      <w:kern w:val="0"/>
                      <w:sz w:val="21"/>
                      <w:szCs w:val="21"/>
                      <w:highlight w:val="none"/>
                      <w:lang w:val="en-US" w:bidi="ar"/>
                    </w:rPr>
                  </w:pPr>
                  <w:r>
                    <w:rPr>
                      <w:rFonts w:hint="eastAsia" w:cs="Times New Roman"/>
                      <w:i w:val="0"/>
                      <w:iCs w:val="0"/>
                      <w:color w:val="000000"/>
                      <w:kern w:val="0"/>
                      <w:sz w:val="21"/>
                      <w:szCs w:val="21"/>
                      <w:highlight w:val="none"/>
                      <w:u w:val="none"/>
                      <w:lang w:val="en-US" w:eastAsia="zh-CN" w:bidi="ar"/>
                    </w:rPr>
                    <w:t>56.1</w:t>
                  </w:r>
                </w:p>
              </w:tc>
              <w:tc>
                <w:tcPr>
                  <w:tcW w:w="600" w:type="pct"/>
                  <w:tcBorders>
                    <w:tl2br w:val="nil"/>
                    <w:tr2bl w:val="nil"/>
                  </w:tcBorders>
                  <w:shd w:val="clear" w:color="auto" w:fill="auto"/>
                  <w:vAlign w:val="center"/>
                </w:tcPr>
                <w:p w14:paraId="19618D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c>
                <w:tcPr>
                  <w:tcW w:w="607" w:type="pct"/>
                  <w:tcBorders>
                    <w:tl2br w:val="nil"/>
                    <w:tr2bl w:val="nil"/>
                  </w:tcBorders>
                  <w:shd w:val="clear" w:color="auto" w:fill="auto"/>
                  <w:vAlign w:val="center"/>
                </w:tcPr>
                <w:p w14:paraId="55FA51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kern w:val="0"/>
                      <w:sz w:val="21"/>
                      <w:szCs w:val="21"/>
                      <w:highlight w:val="none"/>
                      <w:lang w:val="en-US" w:eastAsia="zh-CN" w:bidi="ar"/>
                    </w:rPr>
                  </w:pPr>
                  <w:r>
                    <w:rPr>
                      <w:rFonts w:hint="eastAsia"/>
                      <w:color w:val="000000"/>
                      <w:kern w:val="0"/>
                      <w:sz w:val="21"/>
                      <w:szCs w:val="21"/>
                      <w:highlight w:val="none"/>
                      <w:lang w:val="en-US" w:eastAsia="zh-CN" w:bidi="ar"/>
                    </w:rPr>
                    <w:t>/</w:t>
                  </w:r>
                </w:p>
              </w:tc>
            </w:tr>
          </w:tbl>
          <w:p w14:paraId="25865190">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default"/>
                <w:highlight w:val="none"/>
                <w:vertAlign w:val="baseline"/>
                <w:lang w:val="en-US" w:eastAsia="zh-CN"/>
              </w:rPr>
              <w:t>根据上表可知，建设单位污染物实际排放量满足环评核定的总量要求。</w:t>
            </w:r>
          </w:p>
          <w:p w14:paraId="09BB8CE8">
            <w:pPr>
              <w:keepNext w:val="0"/>
              <w:keepLines w:val="0"/>
              <w:suppressLineNumbers w:val="0"/>
              <w:spacing w:before="0" w:beforeAutospacing="0" w:after="0" w:afterAutospacing="0"/>
              <w:ind w:left="0" w:right="0"/>
              <w:rPr>
                <w:rFonts w:hint="default"/>
                <w:highlight w:val="none"/>
                <w:vertAlign w:val="baseline"/>
                <w:lang w:val="en-US" w:eastAsia="zh-CN"/>
              </w:rPr>
            </w:pPr>
            <w:r>
              <w:rPr>
                <w:rFonts w:hint="eastAsia"/>
                <w:highlight w:val="none"/>
                <w:vertAlign w:val="baseline"/>
                <w:lang w:val="en-US" w:eastAsia="zh-CN"/>
              </w:rPr>
              <w:t>4、现有项目存在问题及整改措施</w:t>
            </w:r>
          </w:p>
          <w:p w14:paraId="48A57B72">
            <w:pPr>
              <w:keepNext w:val="0"/>
              <w:keepLines w:val="0"/>
              <w:suppressLineNumbers w:val="0"/>
              <w:spacing w:before="0" w:beforeAutospacing="0" w:after="0" w:afterAutospacing="0"/>
              <w:ind w:left="0" w:right="0"/>
              <w:rPr>
                <w:rFonts w:hint="default" w:eastAsia="宋体" w:cs="Times New Roman"/>
                <w:b w:val="0"/>
                <w:bCs w:val="0"/>
                <w:color w:val="000000" w:themeColor="text1"/>
                <w:szCs w:val="21"/>
                <w:highlight w:val="none"/>
                <w:lang w:val="en-US" w:eastAsia="zh-CN"/>
                <w14:textFill>
                  <w14:solidFill>
                    <w14:schemeClr w14:val="tx1"/>
                  </w14:solidFill>
                </w14:textFill>
              </w:rPr>
            </w:pPr>
            <w:r>
              <w:rPr>
                <w:rFonts w:hint="default"/>
                <w:highlight w:val="none"/>
                <w:vertAlign w:val="baseline"/>
                <w:lang w:val="en-US" w:eastAsia="zh-CN"/>
              </w:rPr>
              <w:t>现有工程废气、废水、噪声均按环评文件要求落实了处理措施并做到达标排放，固废有合理的处置去向，企业环保手续完善。未发生过环境污染事件，无环境违法处罚，无现状环境问题。</w:t>
            </w:r>
          </w:p>
          <w:p w14:paraId="2305C6A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jc w:val="both"/>
              <w:textAlignment w:val="auto"/>
              <w:rPr>
                <w:rFonts w:hint="default" w:eastAsia="宋体" w:cs="Times New Roman"/>
                <w:b w:val="0"/>
                <w:bCs w:val="0"/>
                <w:color w:val="000000" w:themeColor="text1"/>
                <w:szCs w:val="21"/>
                <w:highlight w:val="none"/>
                <w:lang w:val="en-US" w:eastAsia="zh-CN"/>
                <w14:textFill>
                  <w14:solidFill>
                    <w14:schemeClr w14:val="tx1"/>
                  </w14:solidFill>
                </w14:textFill>
              </w:rPr>
            </w:pPr>
          </w:p>
          <w:p w14:paraId="53BB676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jc w:val="both"/>
              <w:textAlignment w:val="auto"/>
              <w:rPr>
                <w:rFonts w:hint="default" w:eastAsia="宋体" w:cs="Times New Roman"/>
                <w:b w:val="0"/>
                <w:bCs w:val="0"/>
                <w:color w:val="000000" w:themeColor="text1"/>
                <w:szCs w:val="21"/>
                <w:highlight w:val="none"/>
                <w:lang w:val="en-US" w:eastAsia="zh-CN"/>
                <w14:textFill>
                  <w14:solidFill>
                    <w14:schemeClr w14:val="tx1"/>
                  </w14:solidFill>
                </w14:textFill>
              </w:rPr>
            </w:pPr>
          </w:p>
          <w:p w14:paraId="20006B4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jc w:val="both"/>
              <w:textAlignment w:val="auto"/>
              <w:rPr>
                <w:rFonts w:hint="default" w:eastAsia="宋体" w:cs="Times New Roman"/>
                <w:b w:val="0"/>
                <w:bCs w:val="0"/>
                <w:color w:val="000000" w:themeColor="text1"/>
                <w:szCs w:val="21"/>
                <w:highlight w:val="none"/>
                <w:lang w:val="en-US" w:eastAsia="zh-CN"/>
                <w14:textFill>
                  <w14:solidFill>
                    <w14:schemeClr w14:val="tx1"/>
                  </w14:solidFill>
                </w14:textFill>
              </w:rPr>
            </w:pPr>
          </w:p>
          <w:p w14:paraId="580CF21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jc w:val="both"/>
              <w:textAlignment w:val="auto"/>
              <w:rPr>
                <w:rFonts w:hint="default" w:eastAsia="宋体" w:cs="Times New Roman"/>
                <w:b w:val="0"/>
                <w:bCs w:val="0"/>
                <w:color w:val="000000" w:themeColor="text1"/>
                <w:szCs w:val="21"/>
                <w:highlight w:val="none"/>
                <w:lang w:val="en-US" w:eastAsia="zh-CN"/>
                <w14:textFill>
                  <w14:solidFill>
                    <w14:schemeClr w14:val="tx1"/>
                  </w14:solidFill>
                </w14:textFill>
              </w:rPr>
            </w:pPr>
          </w:p>
          <w:p w14:paraId="36F6487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80" w:firstLineChars="200"/>
              <w:jc w:val="both"/>
              <w:textAlignment w:val="auto"/>
              <w:rPr>
                <w:rFonts w:hint="default" w:cs="Times New Roman" w:eastAsiaTheme="minorEastAsia"/>
                <w:b w:val="0"/>
                <w:bCs w:val="0"/>
                <w:color w:val="000000" w:themeColor="text1"/>
                <w:szCs w:val="21"/>
                <w:highlight w:val="none"/>
                <w:lang w:val="en-US" w:eastAsia="zh-CN"/>
                <w14:textFill>
                  <w14:solidFill>
                    <w14:schemeClr w14:val="tx1"/>
                  </w14:solidFill>
                </w14:textFill>
              </w:rPr>
            </w:pPr>
          </w:p>
        </w:tc>
      </w:tr>
    </w:tbl>
    <w:p w14:paraId="56F7D2F1">
      <w:pPr>
        <w:spacing w:before="0" w:beforeAutospacing="0"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8549"/>
      </w:tblGrid>
      <w:tr w14:paraId="4878AB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14:paraId="01EF7D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4"/>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14:textFill>
                  <w14:solidFill>
                    <w14:schemeClr w14:val="tx1"/>
                  </w14:solidFill>
                </w14:textFill>
              </w:rPr>
              <w:t>区域环境质量现状</w:t>
            </w:r>
          </w:p>
        </w:tc>
        <w:tc>
          <w:tcPr>
            <w:tcW w:w="8649" w:type="dxa"/>
            <w:vAlign w:val="center"/>
          </w:tcPr>
          <w:p w14:paraId="41B84A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1、大气环境质量现状</w:t>
            </w:r>
          </w:p>
          <w:p w14:paraId="60ABB8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根据生态环境部发布《关于发布国家生态环境质量标准《环境空气质量标准》的公告》(公告(2026)13号)，《环境空气质量标准》（GB3095-2026）于2026 年3月1日起实施。本项目所在区域为二类环境空气功能区</w:t>
            </w:r>
            <w:r>
              <w:rPr>
                <w:rFonts w:hint="eastAsia" w:cs="Times New Roman"/>
                <w:b w:val="0"/>
                <w:bCs w:val="0"/>
                <w:color w:val="000000" w:themeColor="text1"/>
                <w:kern w:val="0"/>
                <w:sz w:val="24"/>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环境空气质量标准》（GB3095-2026）实施前，环境空气质量执行《环境空气质量标准》（GB3095-2012）及其修改单中的二级浓度限值。自2026年3月1日起，环境空气质量执行《环境空气质量标准》（GB3095-2026）相应限值。根据北京2025 年5月北京市生态环境局发布的《2024年北京市生态环境状况公报》中的空气质量数据，对项目所在区域及北京市空气质量进行评价，统计数据见下表。</w:t>
            </w:r>
          </w:p>
          <w:p w14:paraId="0D95F4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bCs/>
                <w:color w:val="000000" w:themeColor="text1"/>
                <w:kern w:val="0"/>
                <w:sz w:val="21"/>
                <w:szCs w:val="21"/>
                <w:highlight w:val="none"/>
                <w:lang w:val="en-US" w:eastAsia="zh-CN" w:bidi="ar"/>
                <w14:textFill>
                  <w14:solidFill>
                    <w14:schemeClr w14:val="tx1"/>
                  </w14:solidFill>
                </w14:textFill>
              </w:rPr>
              <w:t xml:space="preserve">表3-1 </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202</w:t>
            </w:r>
            <w:r>
              <w:rPr>
                <w:rFonts w:hint="eastAsia" w:cs="Times New Roman"/>
                <w:b/>
                <w:bCs/>
                <w:color w:val="000000" w:themeColor="text1"/>
                <w:kern w:val="0"/>
                <w:sz w:val="21"/>
                <w:szCs w:val="21"/>
                <w:highlight w:val="none"/>
                <w:lang w:val="en-US" w:eastAsia="zh-CN" w:bidi="ar"/>
                <w14:textFill>
                  <w14:solidFill>
                    <w14:schemeClr w14:val="tx1"/>
                  </w14:solidFill>
                </w14:textFill>
              </w:rPr>
              <w:t>4</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年北京市及</w:t>
            </w:r>
            <w:r>
              <w:rPr>
                <w:rFonts w:hint="eastAsia" w:cs="Times New Roman"/>
                <w:b/>
                <w:bCs/>
                <w:color w:val="000000" w:themeColor="text1"/>
                <w:kern w:val="0"/>
                <w:sz w:val="21"/>
                <w:szCs w:val="21"/>
                <w:highlight w:val="none"/>
                <w:lang w:val="en-US" w:eastAsia="zh-CN" w:bidi="ar"/>
                <w14:textFill>
                  <w14:solidFill>
                    <w14:schemeClr w14:val="tx1"/>
                  </w14:solidFill>
                </w14:textFill>
              </w:rPr>
              <w:t>昌平区</w:t>
            </w: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环境空气监测结果一览表</w:t>
            </w: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μg/m</w:t>
            </w:r>
            <w:r>
              <w:rPr>
                <w:rFonts w:hint="default" w:ascii="Times New Roman" w:hAnsi="Times New Roman" w:eastAsia="宋体" w:cs="Times New Roman"/>
                <w:b/>
                <w:bCs/>
                <w:color w:val="000000" w:themeColor="text1"/>
                <w:kern w:val="0"/>
                <w:sz w:val="21"/>
                <w:szCs w:val="21"/>
                <w:highlight w:val="none"/>
                <w:vertAlign w:val="superscript"/>
                <w:lang w:val="en-US" w:eastAsia="zh-CN" w:bidi="ar"/>
                <w14:textFill>
                  <w14:solidFill>
                    <w14:schemeClr w14:val="tx1"/>
                  </w14:solidFill>
                </w14:textFill>
              </w:rPr>
              <w:t>3</w:t>
            </w:r>
          </w:p>
          <w:tbl>
            <w:tblPr>
              <w:tblStyle w:val="1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778"/>
              <w:gridCol w:w="2886"/>
              <w:gridCol w:w="843"/>
              <w:gridCol w:w="1077"/>
              <w:gridCol w:w="1094"/>
            </w:tblGrid>
            <w:tr w14:paraId="76B918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vAlign w:val="center"/>
                </w:tcPr>
                <w:p w14:paraId="382643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区域</w:t>
                  </w:r>
                </w:p>
              </w:tc>
              <w:tc>
                <w:tcPr>
                  <w:tcW w:w="0" w:type="auto"/>
                  <w:tcBorders>
                    <w:tl2br w:val="nil"/>
                    <w:tr2bl w:val="nil"/>
                  </w:tcBorders>
                  <w:vAlign w:val="center"/>
                </w:tcPr>
                <w:p w14:paraId="319BDC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污染物</w:t>
                  </w:r>
                </w:p>
              </w:tc>
              <w:tc>
                <w:tcPr>
                  <w:tcW w:w="0" w:type="auto"/>
                  <w:tcBorders>
                    <w:tl2br w:val="nil"/>
                    <w:tr2bl w:val="nil"/>
                  </w:tcBorders>
                  <w:vAlign w:val="center"/>
                </w:tcPr>
                <w:p w14:paraId="6544B1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评价指标</w:t>
                  </w:r>
                </w:p>
              </w:tc>
              <w:tc>
                <w:tcPr>
                  <w:tcW w:w="0" w:type="auto"/>
                  <w:tcBorders>
                    <w:tl2br w:val="nil"/>
                    <w:tr2bl w:val="nil"/>
                  </w:tcBorders>
                  <w:vAlign w:val="center"/>
                </w:tcPr>
                <w:p w14:paraId="399152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现状浓度</w:t>
                  </w:r>
                </w:p>
              </w:tc>
              <w:tc>
                <w:tcPr>
                  <w:tcW w:w="0" w:type="auto"/>
                  <w:tcBorders>
                    <w:tl2br w:val="nil"/>
                    <w:tr2bl w:val="nil"/>
                  </w:tcBorders>
                  <w:vAlign w:val="center"/>
                </w:tcPr>
                <w:p w14:paraId="7E1575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二级</w:t>
                  </w:r>
                  <w:r>
                    <w:rPr>
                      <w:rFonts w:hint="eastAsia"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标准值</w:t>
                  </w:r>
                </w:p>
              </w:tc>
              <w:tc>
                <w:tcPr>
                  <w:tcW w:w="0" w:type="auto"/>
                  <w:tcBorders>
                    <w:tl2br w:val="nil"/>
                    <w:tr2bl w:val="nil"/>
                  </w:tcBorders>
                  <w:vAlign w:val="center"/>
                </w:tcPr>
                <w:p w14:paraId="784CEE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达标情况</w:t>
                  </w:r>
                </w:p>
              </w:tc>
            </w:tr>
            <w:tr w14:paraId="32F867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14:paraId="6EDE56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北京市</w:t>
                  </w:r>
                </w:p>
              </w:tc>
              <w:tc>
                <w:tcPr>
                  <w:tcW w:w="0" w:type="auto"/>
                  <w:tcBorders>
                    <w:tl2br w:val="nil"/>
                    <w:tr2bl w:val="nil"/>
                  </w:tcBorders>
                  <w:vAlign w:val="center"/>
                </w:tcPr>
                <w:p w14:paraId="03D210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二氧化硫（</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SO</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613AC0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67F7E4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w:t>
                  </w:r>
                </w:p>
              </w:tc>
              <w:tc>
                <w:tcPr>
                  <w:tcW w:w="0" w:type="auto"/>
                  <w:tcBorders>
                    <w:tl2br w:val="nil"/>
                    <w:tr2bl w:val="nil"/>
                  </w:tcBorders>
                  <w:vAlign w:val="center"/>
                </w:tcPr>
                <w:p w14:paraId="7C305A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60</w:t>
                  </w:r>
                </w:p>
              </w:tc>
              <w:tc>
                <w:tcPr>
                  <w:tcW w:w="0" w:type="auto"/>
                  <w:tcBorders>
                    <w:tl2br w:val="nil"/>
                    <w:tr2bl w:val="nil"/>
                  </w:tcBorders>
                  <w:vAlign w:val="center"/>
                </w:tcPr>
                <w:p w14:paraId="304E6A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4B9EEB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6F67C9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vAlign w:val="center"/>
                </w:tcPr>
                <w:p w14:paraId="2BE0B0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二氧化氮（</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NO</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50A263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32D48E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24</w:t>
                  </w:r>
                </w:p>
              </w:tc>
              <w:tc>
                <w:tcPr>
                  <w:tcW w:w="0" w:type="auto"/>
                  <w:tcBorders>
                    <w:tl2br w:val="nil"/>
                    <w:tr2bl w:val="nil"/>
                  </w:tcBorders>
                  <w:vAlign w:val="center"/>
                </w:tcPr>
                <w:p w14:paraId="037927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0</w:t>
                  </w:r>
                </w:p>
              </w:tc>
              <w:tc>
                <w:tcPr>
                  <w:tcW w:w="0" w:type="auto"/>
                  <w:tcBorders>
                    <w:tl2br w:val="nil"/>
                    <w:tr2bl w:val="nil"/>
                  </w:tcBorders>
                  <w:vAlign w:val="center"/>
                </w:tcPr>
                <w:p w14:paraId="538A0A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76DECD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731128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vAlign w:val="center"/>
                </w:tcPr>
                <w:p w14:paraId="059715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可吸入颗粒物（</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PM</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10</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29E3FA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4468EF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54</w:t>
                  </w:r>
                </w:p>
              </w:tc>
              <w:tc>
                <w:tcPr>
                  <w:tcW w:w="0" w:type="auto"/>
                  <w:tcBorders>
                    <w:tl2br w:val="nil"/>
                    <w:tr2bl w:val="nil"/>
                  </w:tcBorders>
                  <w:vAlign w:val="center"/>
                </w:tcPr>
                <w:p w14:paraId="2ABCFB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7</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0</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（60）</w:t>
                  </w:r>
                </w:p>
              </w:tc>
              <w:tc>
                <w:tcPr>
                  <w:tcW w:w="0" w:type="auto"/>
                  <w:tcBorders>
                    <w:tl2br w:val="nil"/>
                    <w:tr2bl w:val="nil"/>
                  </w:tcBorders>
                  <w:vAlign w:val="center"/>
                </w:tcPr>
                <w:p w14:paraId="5F761D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5726B4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1CC538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vAlign w:val="center"/>
                </w:tcPr>
                <w:p w14:paraId="3802BF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细颗粒物（</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PM</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2.5</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0C596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5AA426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30.5</w:t>
                  </w:r>
                </w:p>
              </w:tc>
              <w:tc>
                <w:tcPr>
                  <w:tcW w:w="0" w:type="auto"/>
                  <w:tcBorders>
                    <w:tl2br w:val="nil"/>
                    <w:tr2bl w:val="nil"/>
                  </w:tcBorders>
                  <w:vAlign w:val="center"/>
                </w:tcPr>
                <w:p w14:paraId="2E71D4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35（30）</w:t>
                  </w:r>
                </w:p>
              </w:tc>
              <w:tc>
                <w:tcPr>
                  <w:tcW w:w="0" w:type="auto"/>
                  <w:tcBorders>
                    <w:tl2br w:val="nil"/>
                    <w:tr2bl w:val="nil"/>
                  </w:tcBorders>
                  <w:vAlign w:val="center"/>
                </w:tcPr>
                <w:p w14:paraId="2F0CF6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（超标）</w:t>
                  </w:r>
                </w:p>
              </w:tc>
            </w:tr>
            <w:tr w14:paraId="707847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5D1D66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vAlign w:val="center"/>
                </w:tcPr>
                <w:p w14:paraId="0496E8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一氧化碳（</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CO</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7A238F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24小时平均第95百分位数质量浓度</w:t>
                  </w:r>
                </w:p>
              </w:tc>
              <w:tc>
                <w:tcPr>
                  <w:tcW w:w="0" w:type="auto"/>
                  <w:tcBorders>
                    <w:tl2br w:val="nil"/>
                    <w:tr2bl w:val="nil"/>
                  </w:tcBorders>
                  <w:vAlign w:val="center"/>
                </w:tcPr>
                <w:p w14:paraId="298E98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900</w:t>
                  </w:r>
                </w:p>
              </w:tc>
              <w:tc>
                <w:tcPr>
                  <w:tcW w:w="0" w:type="auto"/>
                  <w:tcBorders>
                    <w:tl2br w:val="nil"/>
                    <w:tr2bl w:val="nil"/>
                  </w:tcBorders>
                  <w:vAlign w:val="center"/>
                </w:tcPr>
                <w:p w14:paraId="0DBF03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4000</w:t>
                  </w:r>
                </w:p>
              </w:tc>
              <w:tc>
                <w:tcPr>
                  <w:tcW w:w="0" w:type="auto"/>
                  <w:tcBorders>
                    <w:tl2br w:val="nil"/>
                    <w:tr2bl w:val="nil"/>
                  </w:tcBorders>
                  <w:vAlign w:val="center"/>
                </w:tcPr>
                <w:p w14:paraId="382F3E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00EC4E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09DAFA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vAlign w:val="center"/>
                </w:tcPr>
                <w:p w14:paraId="316D84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臭氧（</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O</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3</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vAlign w:val="center"/>
                </w:tcPr>
                <w:p w14:paraId="1B59C0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日最大8小时滑动平均值的第90百分位数质量浓度</w:t>
                  </w:r>
                </w:p>
              </w:tc>
              <w:tc>
                <w:tcPr>
                  <w:tcW w:w="0" w:type="auto"/>
                  <w:tcBorders>
                    <w:tl2br w:val="nil"/>
                    <w:tr2bl w:val="nil"/>
                  </w:tcBorders>
                  <w:vAlign w:val="center"/>
                </w:tcPr>
                <w:p w14:paraId="67EE14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171</w:t>
                  </w:r>
                </w:p>
              </w:tc>
              <w:tc>
                <w:tcPr>
                  <w:tcW w:w="0" w:type="auto"/>
                  <w:tcBorders>
                    <w:tl2br w:val="nil"/>
                    <w:tr2bl w:val="nil"/>
                  </w:tcBorders>
                  <w:vAlign w:val="center"/>
                </w:tcPr>
                <w:p w14:paraId="175A1D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16</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0</w:t>
                  </w:r>
                </w:p>
              </w:tc>
              <w:tc>
                <w:tcPr>
                  <w:tcW w:w="0" w:type="auto"/>
                  <w:tcBorders>
                    <w:tl2br w:val="nil"/>
                    <w:tr2bl w:val="nil"/>
                  </w:tcBorders>
                  <w:vAlign w:val="center"/>
                </w:tcPr>
                <w:p w14:paraId="7DDD5D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超标</w:t>
                  </w:r>
                </w:p>
              </w:tc>
            </w:tr>
            <w:tr w14:paraId="5E29D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vAlign w:val="center"/>
                </w:tcPr>
                <w:p w14:paraId="6941F9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昌平区</w:t>
                  </w:r>
                </w:p>
              </w:tc>
              <w:tc>
                <w:tcPr>
                  <w:tcW w:w="0" w:type="auto"/>
                  <w:tcBorders>
                    <w:tl2br w:val="nil"/>
                    <w:tr2bl w:val="nil"/>
                  </w:tcBorders>
                  <w:shd w:val="clear" w:color="auto" w:fill="auto"/>
                  <w:vAlign w:val="center"/>
                </w:tcPr>
                <w:p w14:paraId="2F3C3E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二氧化硫（</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SO</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shd w:val="clear" w:color="auto" w:fill="auto"/>
                  <w:vAlign w:val="center"/>
                </w:tcPr>
                <w:p w14:paraId="633289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0E1D77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w:t>
                  </w:r>
                </w:p>
              </w:tc>
              <w:tc>
                <w:tcPr>
                  <w:tcW w:w="0" w:type="auto"/>
                  <w:tcBorders>
                    <w:tl2br w:val="nil"/>
                    <w:tr2bl w:val="nil"/>
                  </w:tcBorders>
                  <w:vAlign w:val="center"/>
                </w:tcPr>
                <w:p w14:paraId="66401D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60</w:t>
                  </w:r>
                </w:p>
              </w:tc>
              <w:tc>
                <w:tcPr>
                  <w:tcW w:w="0" w:type="auto"/>
                  <w:tcBorders>
                    <w:tl2br w:val="nil"/>
                    <w:tr2bl w:val="nil"/>
                  </w:tcBorders>
                  <w:vAlign w:val="center"/>
                </w:tcPr>
                <w:p w14:paraId="79CB78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72FDAB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vAlign w:val="center"/>
                </w:tcPr>
                <w:p w14:paraId="1DA196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tcBorders>
                    <w:tl2br w:val="nil"/>
                    <w:tr2bl w:val="nil"/>
                  </w:tcBorders>
                  <w:shd w:val="clear" w:color="auto" w:fill="auto"/>
                  <w:vAlign w:val="center"/>
                </w:tcPr>
                <w:p w14:paraId="45E928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二氧化氮（</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NO</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tcBorders>
                    <w:tl2br w:val="nil"/>
                    <w:tr2bl w:val="nil"/>
                  </w:tcBorders>
                  <w:shd w:val="clear" w:color="auto" w:fill="auto"/>
                  <w:vAlign w:val="center"/>
                </w:tcPr>
                <w:p w14:paraId="3B0212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tcBorders>
                    <w:tl2br w:val="nil"/>
                    <w:tr2bl w:val="nil"/>
                  </w:tcBorders>
                  <w:vAlign w:val="center"/>
                </w:tcPr>
                <w:p w14:paraId="4DFC33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20</w:t>
                  </w:r>
                </w:p>
              </w:tc>
              <w:tc>
                <w:tcPr>
                  <w:tcW w:w="0" w:type="auto"/>
                  <w:tcBorders>
                    <w:tl2br w:val="nil"/>
                    <w:tr2bl w:val="nil"/>
                  </w:tcBorders>
                  <w:vAlign w:val="center"/>
                </w:tcPr>
                <w:p w14:paraId="265163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0</w:t>
                  </w:r>
                </w:p>
              </w:tc>
              <w:tc>
                <w:tcPr>
                  <w:tcW w:w="0" w:type="auto"/>
                  <w:tcBorders>
                    <w:tl2br w:val="nil"/>
                    <w:tr2bl w:val="nil"/>
                  </w:tcBorders>
                  <w:vAlign w:val="center"/>
                </w:tcPr>
                <w:p w14:paraId="1F2127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691F2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437A03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shd w:val="clear" w:color="auto" w:fill="auto"/>
                  <w:vAlign w:val="center"/>
                </w:tcPr>
                <w:p w14:paraId="49FCB7D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可吸入颗粒物（</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PM</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10</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shd w:val="clear" w:color="auto" w:fill="auto"/>
                  <w:vAlign w:val="center"/>
                </w:tcPr>
                <w:p w14:paraId="3417C1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vAlign w:val="center"/>
                </w:tcPr>
                <w:p w14:paraId="12B231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51</w:t>
                  </w:r>
                </w:p>
              </w:tc>
              <w:tc>
                <w:tcPr>
                  <w:tcW w:w="0" w:type="auto"/>
                  <w:vAlign w:val="center"/>
                </w:tcPr>
                <w:p w14:paraId="6F31AE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70（</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60</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vAlign w:val="center"/>
                </w:tcPr>
                <w:p w14:paraId="7711BC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20DA8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0D953F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0" w:type="auto"/>
                  <w:shd w:val="clear" w:color="auto" w:fill="auto"/>
                  <w:vAlign w:val="center"/>
                </w:tcPr>
                <w:p w14:paraId="2AC91B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细颗粒物（</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PM</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2.5</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0" w:type="auto"/>
                  <w:shd w:val="clear" w:color="auto" w:fill="auto"/>
                  <w:vAlign w:val="center"/>
                </w:tcPr>
                <w:p w14:paraId="58013C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年平均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质量</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浓度</w:t>
                  </w:r>
                </w:p>
              </w:tc>
              <w:tc>
                <w:tcPr>
                  <w:tcW w:w="0" w:type="auto"/>
                  <w:vAlign w:val="center"/>
                </w:tcPr>
                <w:p w14:paraId="247649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27.1</w:t>
                  </w:r>
                </w:p>
              </w:tc>
              <w:tc>
                <w:tcPr>
                  <w:tcW w:w="0" w:type="auto"/>
                  <w:vAlign w:val="center"/>
                </w:tcPr>
                <w:p w14:paraId="3DBB07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35（30）</w:t>
                  </w:r>
                </w:p>
              </w:tc>
              <w:tc>
                <w:tcPr>
                  <w:tcW w:w="0" w:type="auto"/>
                  <w:vAlign w:val="center"/>
                </w:tcPr>
                <w:p w14:paraId="5E856F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bl>
          <w:p w14:paraId="4EE15F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361"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18"/>
                <w:szCs w:val="18"/>
                <w:highlight w:val="none"/>
                <w:lang w:val="en-US" w:eastAsia="zh-CN" w:bidi="ar"/>
                <w14:textFill>
                  <w14:solidFill>
                    <w14:schemeClr w14:val="tx1"/>
                  </w14:solidFill>
                </w14:textFill>
              </w:rPr>
              <w:t>注：（）内为《环境空气质量标准》（GB3095-2026）中过渡阶段浓度限值二级标准值及达标情况。</w:t>
            </w:r>
          </w:p>
          <w:p w14:paraId="4A450A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根据以上监测结果可知，2024年本项目所在昌平区PM</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2.5</w:t>
            </w:r>
            <w:r>
              <w:rPr>
                <w:rFonts w:hint="eastAsia" w:cs="Times New Roman"/>
                <w:b w:val="0"/>
                <w:bCs w:val="0"/>
                <w:color w:val="000000" w:themeColor="text1"/>
                <w:kern w:val="0"/>
                <w:sz w:val="24"/>
                <w:highlight w:val="none"/>
                <w:lang w:val="en-US" w:eastAsia="zh-CN" w:bidi="ar"/>
                <w14:textFill>
                  <w14:solidFill>
                    <w14:schemeClr w14:val="tx1"/>
                  </w14:solidFill>
                </w14:textFill>
              </w:rPr>
              <w:t>年平均浓度、 PM</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10</w:t>
            </w:r>
            <w:r>
              <w:rPr>
                <w:rFonts w:hint="eastAsia" w:cs="Times New Roman"/>
                <w:b w:val="0"/>
                <w:bCs w:val="0"/>
                <w:color w:val="000000" w:themeColor="text1"/>
                <w:kern w:val="0"/>
                <w:sz w:val="24"/>
                <w:highlight w:val="none"/>
                <w:lang w:val="en-US" w:eastAsia="zh-CN" w:bidi="ar"/>
                <w14:textFill>
                  <w14:solidFill>
                    <w14:schemeClr w14:val="tx1"/>
                  </w14:solidFill>
                </w14:textFill>
              </w:rPr>
              <w:t>年平均浓度、NO</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4"/>
                <w:highlight w:val="none"/>
                <w:lang w:val="en-US" w:eastAsia="zh-CN" w:bidi="ar"/>
                <w14:textFill>
                  <w14:solidFill>
                    <w14:schemeClr w14:val="tx1"/>
                  </w14:solidFill>
                </w14:textFill>
              </w:rPr>
              <w:t>年平均浓度、SO</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2</w:t>
            </w:r>
            <w:r>
              <w:rPr>
                <w:rFonts w:hint="eastAsia" w:cs="Times New Roman"/>
                <w:b w:val="0"/>
                <w:bCs w:val="0"/>
                <w:color w:val="000000" w:themeColor="text1"/>
                <w:kern w:val="0"/>
                <w:sz w:val="24"/>
                <w:highlight w:val="none"/>
                <w:lang w:val="en-US" w:eastAsia="zh-CN" w:bidi="ar"/>
                <w14:textFill>
                  <w14:solidFill>
                    <w14:schemeClr w14:val="tx1"/>
                  </w14:solidFill>
                </w14:textFill>
              </w:rPr>
              <w:t>年平均浓度均满足《环境空气质量标准》（GB3095-2012）及其修改单中的二级浓度限值要求；昌平区无CO、O</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3</w:t>
            </w:r>
            <w:r>
              <w:rPr>
                <w:rFonts w:hint="eastAsia" w:cs="Times New Roman"/>
                <w:b w:val="0"/>
                <w:bCs w:val="0"/>
                <w:color w:val="000000" w:themeColor="text1"/>
                <w:kern w:val="0"/>
                <w:sz w:val="24"/>
                <w:highlight w:val="none"/>
                <w:lang w:val="en-US" w:eastAsia="zh-CN" w:bidi="ar"/>
                <w14:textFill>
                  <w14:solidFill>
                    <w14:schemeClr w14:val="tx1"/>
                  </w14:solidFill>
                </w14:textFill>
              </w:rPr>
              <w:t>监测数据，引用北京市现状监测值，北京市CO24小时平均浓度满足《环境空气质量标准》（GB3095-2026）中过渡阶段浓度限值二级标准要求，O</w:t>
            </w:r>
            <w:r>
              <w:rPr>
                <w:rFonts w:hint="eastAsia" w:cs="Times New Roman"/>
                <w:b w:val="0"/>
                <w:bCs w:val="0"/>
                <w:color w:val="000000" w:themeColor="text1"/>
                <w:kern w:val="0"/>
                <w:sz w:val="24"/>
                <w:highlight w:val="none"/>
                <w:vertAlign w:val="subscript"/>
                <w:lang w:val="en-US" w:eastAsia="zh-CN" w:bidi="ar"/>
                <w14:textFill>
                  <w14:solidFill>
                    <w14:schemeClr w14:val="tx1"/>
                  </w14:solidFill>
                </w14:textFill>
              </w:rPr>
              <w:t>3</w:t>
            </w:r>
            <w:r>
              <w:rPr>
                <w:rFonts w:hint="eastAsia" w:cs="Times New Roman"/>
                <w:b w:val="0"/>
                <w:bCs w:val="0"/>
                <w:color w:val="000000" w:themeColor="text1"/>
                <w:kern w:val="0"/>
                <w:sz w:val="24"/>
                <w:highlight w:val="none"/>
                <w:lang w:val="en-US" w:eastAsia="zh-CN" w:bidi="ar"/>
                <w14:textFill>
                  <w14:solidFill>
                    <w14:schemeClr w14:val="tx1"/>
                  </w14:solidFill>
                </w14:textFill>
              </w:rPr>
              <w:t>日最大8小时平均浓度超过《环境空气质量标准》（GB3095-2012）及其修改单中的二级浓度限值及《环境空气质量标准》（GB3095-2026）中过渡阶段浓度限值二级标准要求。</w:t>
            </w:r>
          </w:p>
          <w:p w14:paraId="3DE476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2、地表水环境质量现状</w:t>
            </w:r>
          </w:p>
          <w:p w14:paraId="7E2DA8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现状距离本项目最近的地表水体为项目</w:t>
            </w:r>
            <w:r>
              <w:rPr>
                <w:rFonts w:hint="eastAsia" w:cs="Times New Roman"/>
                <w:b w:val="0"/>
                <w:bCs w:val="0"/>
                <w:color w:val="000000" w:themeColor="text1"/>
                <w:kern w:val="0"/>
                <w:sz w:val="24"/>
                <w:highlight w:val="none"/>
                <w:lang w:val="en-US" w:eastAsia="zh-CN" w:bidi="ar"/>
                <w14:textFill>
                  <w14:solidFill>
                    <w14:schemeClr w14:val="tx1"/>
                  </w14:solidFill>
                </w14:textFill>
              </w:rPr>
              <w:t>西</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侧约</w:t>
            </w:r>
            <w:r>
              <w:rPr>
                <w:rFonts w:hint="eastAsia" w:cs="Times New Roman"/>
                <w:b w:val="0"/>
                <w:bCs w:val="0"/>
                <w:color w:val="000000" w:themeColor="text1"/>
                <w:kern w:val="0"/>
                <w:sz w:val="24"/>
                <w:highlight w:val="none"/>
                <w:lang w:val="en-US" w:eastAsia="zh-CN" w:bidi="ar"/>
                <w14:textFill>
                  <w14:solidFill>
                    <w14:schemeClr w14:val="tx1"/>
                  </w14:solidFill>
                </w14:textFill>
              </w:rPr>
              <w:t>140</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m处的</w:t>
            </w:r>
            <w:r>
              <w:rPr>
                <w:rFonts w:hint="eastAsia" w:cs="Times New Roman"/>
                <w:b w:val="0"/>
                <w:bCs w:val="0"/>
                <w:color w:val="000000" w:themeColor="text1"/>
                <w:kern w:val="0"/>
                <w:sz w:val="24"/>
                <w:highlight w:val="none"/>
                <w:lang w:val="en-US" w:eastAsia="zh-CN" w:bidi="ar"/>
                <w14:textFill>
                  <w14:solidFill>
                    <w14:schemeClr w14:val="tx1"/>
                  </w14:solidFill>
                </w14:textFill>
              </w:rPr>
              <w:t>东沙河，</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规划水质为</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Ⅳ类</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，水体功能区为</w:t>
            </w:r>
            <w:r>
              <w:rPr>
                <w:rFonts w:hint="eastAsia" w:cs="Times New Roman"/>
                <w:b w:val="0"/>
                <w:bCs w:val="0"/>
                <w:color w:val="000000" w:themeColor="text1"/>
                <w:kern w:val="0"/>
                <w:sz w:val="24"/>
                <w:highlight w:val="none"/>
                <w:lang w:val="en-US" w:eastAsia="zh-CN" w:bidi="ar"/>
                <w14:textFill>
                  <w14:solidFill>
                    <w14:schemeClr w14:val="tx1"/>
                  </w14:solidFill>
                </w14:textFill>
              </w:rPr>
              <w:t>人体非直接接触的娱乐用水区</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，执行《地表水环境质量标准》（GB3838-2002）中的</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Ⅳ</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类标准。</w:t>
            </w:r>
          </w:p>
          <w:p w14:paraId="5FE35B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为了解评价区的水环境质量现状，本次评价采用收集资料的方式进行。本次环评收集了北京市生态环境局网站发布的</w:t>
            </w:r>
            <w:r>
              <w:rPr>
                <w:rFonts w:hint="eastAsia" w:cs="Times New Roman"/>
                <w:b w:val="0"/>
                <w:bCs w:val="0"/>
                <w:color w:val="000000" w:themeColor="text1"/>
                <w:kern w:val="0"/>
                <w:sz w:val="24"/>
                <w:highlight w:val="none"/>
                <w:lang w:val="en-US" w:eastAsia="zh-CN" w:bidi="ar"/>
                <w14:textFill>
                  <w14:solidFill>
                    <w14:schemeClr w14:val="tx1"/>
                  </w14:solidFill>
                </w14:textFill>
              </w:rPr>
              <w:t>东沙河2025年4月~26年3月水质</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状况，具体结果统计见下表。</w:t>
            </w:r>
          </w:p>
          <w:p w14:paraId="3EDB62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bCs/>
                <w:color w:val="000000" w:themeColor="text1"/>
                <w:kern w:val="0"/>
                <w:sz w:val="21"/>
                <w:szCs w:val="21"/>
                <w:highlight w:val="none"/>
                <w:lang w:val="en-US" w:eastAsia="zh-CN" w:bidi="ar"/>
                <w14:textFill>
                  <w14:solidFill>
                    <w14:schemeClr w14:val="tx1"/>
                  </w14:solidFill>
                </w14:textFill>
              </w:rPr>
              <w:t>表3-2 清河上段</w:t>
            </w:r>
            <w:r>
              <w:rPr>
                <w:rFonts w:hint="eastAsia"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水质类别状况统计</w:t>
            </w:r>
            <w:r>
              <w:rPr>
                <w:rFonts w:hint="eastAsia" w:cs="Times New Roman"/>
                <w:b/>
                <w:bCs/>
                <w:color w:val="000000" w:themeColor="text1"/>
                <w:kern w:val="0"/>
                <w:sz w:val="21"/>
                <w:szCs w:val="21"/>
                <w:highlight w:val="none"/>
                <w:lang w:val="en-US" w:eastAsia="zh-CN" w:bidi="ar"/>
                <w14:textFill>
                  <w14:solidFill>
                    <w14:schemeClr w14:val="tx1"/>
                  </w14:solidFill>
                </w14:textFill>
              </w:rPr>
              <w:t>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2387"/>
              <w:gridCol w:w="1739"/>
              <w:gridCol w:w="2429"/>
            </w:tblGrid>
            <w:tr w14:paraId="64F43C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6A891D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监测时间</w:t>
                  </w:r>
                </w:p>
              </w:tc>
              <w:tc>
                <w:tcPr>
                  <w:tcW w:w="2387" w:type="dxa"/>
                  <w:tcBorders>
                    <w:tl2br w:val="nil"/>
                    <w:tr2bl w:val="nil"/>
                  </w:tcBorders>
                  <w:vAlign w:val="center"/>
                </w:tcPr>
                <w:p w14:paraId="60EB61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清河上段现状水质类别</w:t>
                  </w:r>
                </w:p>
              </w:tc>
              <w:tc>
                <w:tcPr>
                  <w:tcW w:w="1739" w:type="dxa"/>
                  <w:tcBorders>
                    <w:tl2br w:val="nil"/>
                    <w:tr2bl w:val="nil"/>
                  </w:tcBorders>
                  <w:vAlign w:val="center"/>
                </w:tcPr>
                <w:p w14:paraId="1A4605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监测时间</w:t>
                  </w:r>
                </w:p>
              </w:tc>
              <w:tc>
                <w:tcPr>
                  <w:tcW w:w="2429" w:type="dxa"/>
                  <w:tcBorders>
                    <w:tl2br w:val="nil"/>
                    <w:tr2bl w:val="nil"/>
                  </w:tcBorders>
                  <w:vAlign w:val="center"/>
                </w:tcPr>
                <w:p w14:paraId="17ACBB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清河上段现状水质类别</w:t>
                  </w:r>
                </w:p>
              </w:tc>
            </w:tr>
            <w:tr w14:paraId="04F5C8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6D3A7B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2025年4月</w:t>
                  </w:r>
                </w:p>
              </w:tc>
              <w:tc>
                <w:tcPr>
                  <w:tcW w:w="2387" w:type="dxa"/>
                  <w:tcBorders>
                    <w:tl2br w:val="nil"/>
                    <w:tr2bl w:val="nil"/>
                  </w:tcBorders>
                  <w:vAlign w:val="center"/>
                </w:tcPr>
                <w:p w14:paraId="6EA117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shd w:val="clear" w:color="auto" w:fill="auto"/>
                  <w:vAlign w:val="center"/>
                </w:tcPr>
                <w:p w14:paraId="3E9AE9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2025年10月</w:t>
                  </w:r>
                </w:p>
              </w:tc>
              <w:tc>
                <w:tcPr>
                  <w:tcW w:w="2429" w:type="dxa"/>
                  <w:tcBorders>
                    <w:tl2br w:val="nil"/>
                    <w:tr2bl w:val="nil"/>
                  </w:tcBorders>
                  <w:vAlign w:val="center"/>
                </w:tcPr>
                <w:p w14:paraId="4B0CF3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r>
            <w:tr w14:paraId="34279C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0B280E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2025年5月</w:t>
                  </w:r>
                </w:p>
              </w:tc>
              <w:tc>
                <w:tcPr>
                  <w:tcW w:w="2387" w:type="dxa"/>
                  <w:tcBorders>
                    <w:tl2br w:val="nil"/>
                    <w:tr2bl w:val="nil"/>
                  </w:tcBorders>
                  <w:vAlign w:val="center"/>
                </w:tcPr>
                <w:p w14:paraId="1F9440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shd w:val="clear" w:color="auto" w:fill="auto"/>
                  <w:vAlign w:val="center"/>
                </w:tcPr>
                <w:p w14:paraId="5DA931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2025年11月</w:t>
                  </w:r>
                </w:p>
              </w:tc>
              <w:tc>
                <w:tcPr>
                  <w:tcW w:w="2429" w:type="dxa"/>
                  <w:tcBorders>
                    <w:tl2br w:val="nil"/>
                    <w:tr2bl w:val="nil"/>
                  </w:tcBorders>
                  <w:vAlign w:val="center"/>
                </w:tcPr>
                <w:p w14:paraId="22C302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Ⅱ</w:t>
                  </w:r>
                </w:p>
              </w:tc>
            </w:tr>
            <w:tr w14:paraId="43D6AE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1F2318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2025年6月</w:t>
                  </w:r>
                </w:p>
              </w:tc>
              <w:tc>
                <w:tcPr>
                  <w:tcW w:w="2387" w:type="dxa"/>
                  <w:tcBorders>
                    <w:tl2br w:val="nil"/>
                    <w:tr2bl w:val="nil"/>
                  </w:tcBorders>
                  <w:vAlign w:val="center"/>
                </w:tcPr>
                <w:p w14:paraId="20ABA1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vAlign w:val="center"/>
                </w:tcPr>
                <w:p w14:paraId="3407D1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2025年12月</w:t>
                  </w:r>
                </w:p>
              </w:tc>
              <w:tc>
                <w:tcPr>
                  <w:tcW w:w="2429" w:type="dxa"/>
                  <w:tcBorders>
                    <w:tl2br w:val="nil"/>
                    <w:tr2bl w:val="nil"/>
                  </w:tcBorders>
                  <w:vAlign w:val="center"/>
                </w:tcPr>
                <w:p w14:paraId="00E790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Ⅱ</w:t>
                  </w:r>
                </w:p>
              </w:tc>
            </w:tr>
            <w:tr w14:paraId="67B955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195658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2025年7月</w:t>
                  </w:r>
                </w:p>
              </w:tc>
              <w:tc>
                <w:tcPr>
                  <w:tcW w:w="2387" w:type="dxa"/>
                  <w:tcBorders>
                    <w:tl2br w:val="nil"/>
                    <w:tr2bl w:val="nil"/>
                  </w:tcBorders>
                  <w:vAlign w:val="center"/>
                </w:tcPr>
                <w:p w14:paraId="2DA78B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vAlign w:val="center"/>
                </w:tcPr>
                <w:p w14:paraId="0968A3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2026年1月</w:t>
                  </w:r>
                </w:p>
              </w:tc>
              <w:tc>
                <w:tcPr>
                  <w:tcW w:w="2429" w:type="dxa"/>
                  <w:tcBorders>
                    <w:tl2br w:val="nil"/>
                    <w:tr2bl w:val="nil"/>
                  </w:tcBorders>
                  <w:vAlign w:val="center"/>
                </w:tcPr>
                <w:p w14:paraId="30F747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Ⅱ</w:t>
                  </w:r>
                </w:p>
              </w:tc>
            </w:tr>
            <w:tr w14:paraId="50DC1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6CCDD7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2025年8月</w:t>
                  </w:r>
                </w:p>
              </w:tc>
              <w:tc>
                <w:tcPr>
                  <w:tcW w:w="2387" w:type="dxa"/>
                  <w:tcBorders>
                    <w:tl2br w:val="nil"/>
                    <w:tr2bl w:val="nil"/>
                  </w:tcBorders>
                  <w:vAlign w:val="center"/>
                </w:tcPr>
                <w:p w14:paraId="17106D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vAlign w:val="center"/>
                </w:tcPr>
                <w:p w14:paraId="09D1E8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2026年2月</w:t>
                  </w:r>
                </w:p>
              </w:tc>
              <w:tc>
                <w:tcPr>
                  <w:tcW w:w="2429" w:type="dxa"/>
                  <w:tcBorders>
                    <w:tl2br w:val="nil"/>
                    <w:tr2bl w:val="nil"/>
                  </w:tcBorders>
                  <w:vAlign w:val="center"/>
                </w:tcPr>
                <w:p w14:paraId="150306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r>
            <w:tr w14:paraId="14FFBC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nil"/>
                    <w:tr2bl w:val="nil"/>
                  </w:tcBorders>
                  <w:vAlign w:val="center"/>
                </w:tcPr>
                <w:p w14:paraId="13C5EE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2025年9月</w:t>
                  </w:r>
                </w:p>
              </w:tc>
              <w:tc>
                <w:tcPr>
                  <w:tcW w:w="2387" w:type="dxa"/>
                  <w:tcBorders>
                    <w:tl2br w:val="nil"/>
                    <w:tr2bl w:val="nil"/>
                  </w:tcBorders>
                  <w:vAlign w:val="center"/>
                </w:tcPr>
                <w:p w14:paraId="27455F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c>
                <w:tcPr>
                  <w:tcW w:w="1739" w:type="dxa"/>
                  <w:tcBorders>
                    <w:tl2br w:val="nil"/>
                    <w:tr2bl w:val="nil"/>
                  </w:tcBorders>
                  <w:vAlign w:val="center"/>
                </w:tcPr>
                <w:p w14:paraId="5442E7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2026年3月</w:t>
                  </w:r>
                </w:p>
              </w:tc>
              <w:tc>
                <w:tcPr>
                  <w:tcW w:w="2429" w:type="dxa"/>
                  <w:tcBorders>
                    <w:tl2br w:val="nil"/>
                    <w:tr2bl w:val="nil"/>
                  </w:tcBorders>
                  <w:vAlign w:val="center"/>
                </w:tcPr>
                <w:p w14:paraId="771332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default" w:cs="Times New Roman"/>
                      <w:color w:val="000000" w:themeColor="text1"/>
                      <w:sz w:val="21"/>
                      <w:szCs w:val="21"/>
                      <w:highlight w:val="none"/>
                      <w:vertAlign w:val="baseline"/>
                      <w:lang w:val="en-US" w:eastAsia="zh-CN"/>
                      <w14:textFill>
                        <w14:solidFill>
                          <w14:schemeClr w14:val="tx1"/>
                        </w14:solidFill>
                      </w14:textFill>
                    </w:rPr>
                    <w:t>Ⅲ</w:t>
                  </w:r>
                </w:p>
              </w:tc>
            </w:tr>
          </w:tbl>
          <w:p w14:paraId="4665AA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由上述资料可知，统计期间</w:t>
            </w:r>
            <w:r>
              <w:rPr>
                <w:rFonts w:hint="eastAsia" w:cs="Times New Roman"/>
                <w:b w:val="0"/>
                <w:bCs w:val="0"/>
                <w:color w:val="000000" w:themeColor="text1"/>
                <w:kern w:val="0"/>
                <w:sz w:val="24"/>
                <w:highlight w:val="none"/>
                <w:lang w:val="en-US" w:eastAsia="zh-CN" w:bidi="ar"/>
                <w14:textFill>
                  <w14:solidFill>
                    <w14:schemeClr w14:val="tx1"/>
                  </w14:solidFill>
                </w14:textFill>
              </w:rPr>
              <w:t>内</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w:t>
            </w:r>
            <w:r>
              <w:rPr>
                <w:rFonts w:hint="eastAsia" w:cs="Times New Roman"/>
                <w:b w:val="0"/>
                <w:bCs w:val="0"/>
                <w:color w:val="000000" w:themeColor="text1"/>
                <w:kern w:val="0"/>
                <w:sz w:val="24"/>
                <w:highlight w:val="none"/>
                <w:lang w:val="en-US" w:eastAsia="zh-CN" w:bidi="ar"/>
                <w14:textFill>
                  <w14:solidFill>
                    <w14:schemeClr w14:val="tx1"/>
                  </w14:solidFill>
                </w14:textFill>
              </w:rPr>
              <w:t>东沙河</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水质均能满足《地表水环境质量标准》（GB3838-2002）中的</w:t>
            </w:r>
            <w:r>
              <w:rPr>
                <w:rFonts w:hint="default" w:ascii="Times New Roman" w:hAnsi="Times New Roman" w:eastAsia="微软雅黑" w:cs="Times New Roman"/>
                <w:i w:val="0"/>
                <w:iCs w:val="0"/>
                <w:caps w:val="0"/>
                <w:color w:val="000000" w:themeColor="text1"/>
                <w:spacing w:val="0"/>
                <w:sz w:val="21"/>
                <w:szCs w:val="21"/>
                <w:highlight w:val="none"/>
                <w:shd w:val="clear" w:fill="FFFFFF"/>
                <w14:textFill>
                  <w14:solidFill>
                    <w14:schemeClr w14:val="tx1"/>
                  </w14:solidFill>
                </w14:textFill>
              </w:rPr>
              <w:t>Ⅳ</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类标准要求。</w:t>
            </w:r>
          </w:p>
          <w:p w14:paraId="7C3E82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3、声环境质量现状</w:t>
            </w:r>
          </w:p>
          <w:p w14:paraId="4D30DE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根据《北京市昌平区声环境功能区划实施细则》的通知（昌政发〔2024〕</w:t>
            </w:r>
            <w:r>
              <w:rPr>
                <w:rFonts w:hint="eastAsia" w:cs="Times New Roman"/>
                <w:b w:val="0"/>
                <w:bCs w:val="0"/>
                <w:color w:val="000000" w:themeColor="text1"/>
                <w:kern w:val="0"/>
                <w:sz w:val="24"/>
                <w:highlight w:val="none"/>
                <w:lang w:val="en-US" w:eastAsia="zh-CN" w:bidi="ar"/>
                <w14:textFill>
                  <w14:solidFill>
                    <w14:schemeClr w14:val="tx1"/>
                  </w14:solidFill>
                </w14:textFill>
              </w:rPr>
              <w:t>9</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号），本项目位于1类声功能区，本项目所在地现状声环境质量执行《声环境质量标准》（GB3096-2008）中1类标准。</w:t>
            </w:r>
            <w:r>
              <w:rPr>
                <w:rFonts w:hint="eastAsia" w:cs="Times New Roman"/>
                <w:b w:val="0"/>
                <w:bCs w:val="0"/>
                <w:color w:val="000000" w:themeColor="text1"/>
                <w:kern w:val="0"/>
                <w:sz w:val="24"/>
                <w:highlight w:val="none"/>
                <w:lang w:val="en-US" w:eastAsia="zh-CN" w:bidi="ar"/>
                <w14:textFill>
                  <w14:solidFill>
                    <w14:schemeClr w14:val="tx1"/>
                  </w14:solidFill>
                </w14:textFill>
              </w:rPr>
              <w:t>项目西侧35m为南丰路为一级公路，3号楼北侧40m南环南路为一级公路，一级公路55m范围执行4a类标准，因此项目西侧边界、北侧边界执行</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《声环境质量标准》（GB3096-2008）中</w:t>
            </w:r>
            <w:r>
              <w:rPr>
                <w:rFonts w:hint="eastAsia" w:ascii="Times New Roman" w:hAnsi="Times New Roman" w:cs="Times New Roman"/>
                <w:b w:val="0"/>
                <w:bCs w:val="0"/>
                <w:color w:val="000000" w:themeColor="text1"/>
                <w:kern w:val="0"/>
                <w:sz w:val="24"/>
                <w:highlight w:val="none"/>
                <w:lang w:val="en-US" w:eastAsia="zh-CN" w:bidi="ar"/>
                <w14:textFill>
                  <w14:solidFill>
                    <w14:schemeClr w14:val="tx1"/>
                  </w14:solidFill>
                </w14:textFill>
              </w:rPr>
              <w:t>4a</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类标准</w:t>
            </w:r>
            <w:r>
              <w:rPr>
                <w:rFonts w:hint="eastAsia" w:cs="Times New Roman"/>
                <w:b w:val="0"/>
                <w:bCs w:val="0"/>
                <w:color w:val="000000" w:themeColor="text1"/>
                <w:kern w:val="0"/>
                <w:sz w:val="24"/>
                <w:highlight w:val="none"/>
                <w:lang w:val="en-US" w:eastAsia="zh-CN" w:bidi="ar"/>
                <w14:textFill>
                  <w14:solidFill>
                    <w14:schemeClr w14:val="tx1"/>
                  </w14:solidFill>
                </w14:textFill>
              </w:rPr>
              <w:t>，其余厂界执行</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4"/>
                <w:highlight w:val="none"/>
                <w:lang w:val="en-US" w:eastAsia="zh-CN" w:bidi="ar"/>
                <w14:textFill>
                  <w14:solidFill>
                    <w14:schemeClr w14:val="tx1"/>
                  </w14:solidFill>
                </w14:textFill>
              </w:rPr>
              <w:t>1</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类标准</w:t>
            </w:r>
            <w:r>
              <w:rPr>
                <w:rFonts w:hint="eastAsia" w:cs="Times New Roman"/>
                <w:b w:val="0"/>
                <w:bCs w:val="0"/>
                <w:color w:val="000000" w:themeColor="text1"/>
                <w:kern w:val="0"/>
                <w:sz w:val="24"/>
                <w:highlight w:val="none"/>
                <w:lang w:val="en-US" w:eastAsia="zh-CN" w:bidi="ar"/>
                <w14:textFill>
                  <w14:solidFill>
                    <w14:schemeClr w14:val="tx1"/>
                  </w14:solidFill>
                </w14:textFill>
              </w:rPr>
              <w:t>。</w:t>
            </w:r>
          </w:p>
          <w:p w14:paraId="14DDC0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根据《建设项目环境影响报告表编制技术指南（污染影响类）（试行）》文件中要求，厂界外50米范围内存在声环境保护目标的建设项目，应监测保护目标声环境质量现状并评价达标情况。本项目周边50m范围内存在声环境保护目标，本次评价需监测保护目标声环境质量。为了解本项目厂界声环境质量现状情况，在本项目</w:t>
            </w:r>
            <w:r>
              <w:rPr>
                <w:rFonts w:hint="eastAsia" w:cs="Times New Roman"/>
                <w:b w:val="0"/>
                <w:bCs w:val="0"/>
                <w:color w:val="000000" w:themeColor="text1"/>
                <w:kern w:val="0"/>
                <w:sz w:val="24"/>
                <w:highlight w:val="none"/>
                <w:lang w:val="en-US" w:eastAsia="zh-CN" w:bidi="ar"/>
                <w14:textFill>
                  <w14:solidFill>
                    <w14:schemeClr w14:val="tx1"/>
                  </w14:solidFill>
                </w14:textFill>
              </w:rPr>
              <w:t>周边50m范围内的环境保护目标</w:t>
            </w:r>
            <w:r>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设置监测点</w:t>
            </w:r>
            <w:r>
              <w:rPr>
                <w:rFonts w:hint="eastAsia" w:cs="Times New Roman"/>
                <w:b w:val="0"/>
                <w:bCs w:val="0"/>
                <w:color w:val="000000" w:themeColor="text1"/>
                <w:kern w:val="0"/>
                <w:sz w:val="24"/>
                <w:highlight w:val="none"/>
                <w:lang w:val="en-US" w:eastAsia="zh-CN" w:bidi="ar"/>
                <w14:textFill>
                  <w14:solidFill>
                    <w14:schemeClr w14:val="tx1"/>
                  </w14:solidFill>
                </w14:textFill>
              </w:rPr>
              <w:t>，共计17个监测点。监测结果及监测点位图如下。</w:t>
            </w:r>
          </w:p>
          <w:p w14:paraId="71D673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bCs/>
                <w:color w:val="000000" w:themeColor="text1"/>
                <w:kern w:val="0"/>
                <w:sz w:val="21"/>
                <w:szCs w:val="21"/>
                <w:highlight w:val="none"/>
                <w:lang w:val="en-US" w:eastAsia="zh-CN" w:bidi="ar"/>
                <w14:textFill>
                  <w14:solidFill>
                    <w14:schemeClr w14:val="tx1"/>
                  </w14:solidFill>
                </w14:textFill>
              </w:rPr>
              <w:t>表3-3 项目周边声环境现状监测结果</w:t>
            </w:r>
          </w:p>
          <w:tbl>
            <w:tblPr>
              <w:tblStyle w:val="17"/>
              <w:tblW w:w="821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3"/>
              <w:gridCol w:w="1395"/>
              <w:gridCol w:w="1395"/>
              <w:gridCol w:w="1395"/>
              <w:gridCol w:w="1395"/>
              <w:gridCol w:w="1089"/>
            </w:tblGrid>
            <w:tr w14:paraId="011C48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3" w:type="dxa"/>
                  <w:tcBorders>
                    <w:tl2br w:val="nil"/>
                    <w:tr2bl w:val="nil"/>
                  </w:tcBorders>
                  <w:vAlign w:val="center"/>
                </w:tcPr>
                <w:p w14:paraId="54C154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监测点位</w:t>
                  </w:r>
                </w:p>
              </w:tc>
              <w:tc>
                <w:tcPr>
                  <w:tcW w:w="1395" w:type="dxa"/>
                  <w:tcBorders>
                    <w:tl2br w:val="nil"/>
                    <w:tr2bl w:val="nil"/>
                  </w:tcBorders>
                  <w:vAlign w:val="center"/>
                </w:tcPr>
                <w:p w14:paraId="235DDA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昼间监测值</w:t>
                  </w:r>
                </w:p>
              </w:tc>
              <w:tc>
                <w:tcPr>
                  <w:tcW w:w="1395" w:type="dxa"/>
                  <w:tcBorders>
                    <w:tl2br w:val="nil"/>
                    <w:tr2bl w:val="nil"/>
                  </w:tcBorders>
                  <w:vAlign w:val="center"/>
                </w:tcPr>
                <w:p w14:paraId="09C5BD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夜间监测值</w:t>
                  </w:r>
                </w:p>
              </w:tc>
              <w:tc>
                <w:tcPr>
                  <w:tcW w:w="1395" w:type="dxa"/>
                  <w:tcBorders>
                    <w:tl2br w:val="nil"/>
                    <w:tr2bl w:val="nil"/>
                  </w:tcBorders>
                  <w:vAlign w:val="center"/>
                </w:tcPr>
                <w:p w14:paraId="312F9D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昼间标准值</w:t>
                  </w:r>
                </w:p>
              </w:tc>
              <w:tc>
                <w:tcPr>
                  <w:tcW w:w="1395" w:type="dxa"/>
                  <w:tcBorders>
                    <w:tl2br w:val="nil"/>
                    <w:tr2bl w:val="nil"/>
                  </w:tcBorders>
                  <w:vAlign w:val="center"/>
                </w:tcPr>
                <w:p w14:paraId="4FD1AD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夜间标准值</w:t>
                  </w:r>
                </w:p>
              </w:tc>
              <w:tc>
                <w:tcPr>
                  <w:tcW w:w="1089" w:type="dxa"/>
                  <w:tcBorders>
                    <w:tl2br w:val="nil"/>
                    <w:tr2bl w:val="nil"/>
                  </w:tcBorders>
                  <w:vAlign w:val="center"/>
                </w:tcPr>
                <w:p w14:paraId="5E01D7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达标情况</w:t>
                  </w:r>
                </w:p>
              </w:tc>
            </w:tr>
            <w:tr w14:paraId="7B4B2A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3" w:type="dxa"/>
                  <w:tcBorders>
                    <w:tl2br w:val="nil"/>
                    <w:tr2bl w:val="nil"/>
                  </w:tcBorders>
                  <w:vAlign w:val="center"/>
                </w:tcPr>
                <w:p w14:paraId="45A101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公寓北侧2层窗户外1m</w:t>
                  </w:r>
                  <w:r>
                    <w:rPr>
                      <w:rFonts w:hint="eastAsia" w:ascii="宋体" w:hAnsi="宋体" w:eastAsia="宋体" w:cs="宋体"/>
                      <w:b w:val="0"/>
                      <w:bCs w:val="0"/>
                      <w:color w:val="000000" w:themeColor="text1"/>
                      <w:kern w:val="0"/>
                      <w:sz w:val="21"/>
                      <w:szCs w:val="21"/>
                      <w:highlight w:val="none"/>
                      <w:vertAlign w:val="baseline"/>
                      <w:lang w:val="en-US" w:eastAsia="zh-CN" w:bidi="ar"/>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p>
              </w:tc>
              <w:tc>
                <w:tcPr>
                  <w:tcW w:w="1395" w:type="dxa"/>
                  <w:tcBorders>
                    <w:tl2br w:val="nil"/>
                    <w:tr2bl w:val="nil"/>
                  </w:tcBorders>
                  <w:vAlign w:val="center"/>
                </w:tcPr>
                <w:p w14:paraId="724BB3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54dB(A)</w:t>
                  </w:r>
                </w:p>
              </w:tc>
              <w:tc>
                <w:tcPr>
                  <w:tcW w:w="1395" w:type="dxa"/>
                  <w:tcBorders>
                    <w:tl2br w:val="nil"/>
                    <w:tr2bl w:val="nil"/>
                  </w:tcBorders>
                  <w:vAlign w:val="center"/>
                </w:tcPr>
                <w:p w14:paraId="762275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42dB(A)</w:t>
                  </w:r>
                </w:p>
              </w:tc>
              <w:tc>
                <w:tcPr>
                  <w:tcW w:w="1395" w:type="dxa"/>
                  <w:tcBorders>
                    <w:tl2br w:val="nil"/>
                    <w:tr2bl w:val="nil"/>
                  </w:tcBorders>
                  <w:vAlign w:val="center"/>
                </w:tcPr>
                <w:p w14:paraId="7607A9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55dB(A)</w:t>
                  </w:r>
                </w:p>
              </w:tc>
              <w:tc>
                <w:tcPr>
                  <w:tcW w:w="1395" w:type="dxa"/>
                  <w:tcBorders>
                    <w:tl2br w:val="nil"/>
                    <w:tr2bl w:val="nil"/>
                  </w:tcBorders>
                  <w:vAlign w:val="center"/>
                </w:tcPr>
                <w:p w14:paraId="2CD09F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45dB(A)</w:t>
                  </w:r>
                </w:p>
              </w:tc>
              <w:tc>
                <w:tcPr>
                  <w:tcW w:w="1089" w:type="dxa"/>
                  <w:tcBorders>
                    <w:tl2br w:val="nil"/>
                    <w:tr2bl w:val="nil"/>
                  </w:tcBorders>
                  <w:vAlign w:val="center"/>
                </w:tcPr>
                <w:p w14:paraId="641AE7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r w14:paraId="50C2B4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3" w:type="dxa"/>
                  <w:tcBorders>
                    <w:tl2br w:val="nil"/>
                    <w:tr2bl w:val="nil"/>
                  </w:tcBorders>
                  <w:vAlign w:val="center"/>
                </w:tcPr>
                <w:p w14:paraId="761D33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公寓南侧2层窗户外1m</w:t>
                  </w:r>
                  <w:r>
                    <w:rPr>
                      <w:rFonts w:hint="eastAsia" w:ascii="宋体" w:hAnsi="宋体" w:eastAsia="宋体" w:cs="宋体"/>
                      <w:b w:val="0"/>
                      <w:bCs w:val="0"/>
                      <w:color w:val="000000" w:themeColor="text1"/>
                      <w:kern w:val="0"/>
                      <w:sz w:val="21"/>
                      <w:szCs w:val="21"/>
                      <w:highlight w:val="none"/>
                      <w:vertAlign w:val="baseline"/>
                      <w:lang w:val="en-US" w:eastAsia="zh-CN" w:bidi="ar"/>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w:t>
                  </w:r>
                </w:p>
              </w:tc>
              <w:tc>
                <w:tcPr>
                  <w:tcW w:w="1395" w:type="dxa"/>
                  <w:tcBorders>
                    <w:tl2br w:val="nil"/>
                    <w:tr2bl w:val="nil"/>
                  </w:tcBorders>
                  <w:vAlign w:val="center"/>
                </w:tcPr>
                <w:p w14:paraId="798D50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53dB(A)</w:t>
                  </w:r>
                </w:p>
              </w:tc>
              <w:tc>
                <w:tcPr>
                  <w:tcW w:w="1395" w:type="dxa"/>
                  <w:tcBorders>
                    <w:tl2br w:val="nil"/>
                    <w:tr2bl w:val="nil"/>
                  </w:tcBorders>
                  <w:vAlign w:val="center"/>
                </w:tcPr>
                <w:p w14:paraId="74FE61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43dB(A)</w:t>
                  </w:r>
                </w:p>
              </w:tc>
              <w:tc>
                <w:tcPr>
                  <w:tcW w:w="1395" w:type="dxa"/>
                  <w:tcBorders>
                    <w:tl2br w:val="nil"/>
                    <w:tr2bl w:val="nil"/>
                  </w:tcBorders>
                  <w:vAlign w:val="center"/>
                </w:tcPr>
                <w:p w14:paraId="462B17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55dB(A)</w:t>
                  </w:r>
                </w:p>
              </w:tc>
              <w:tc>
                <w:tcPr>
                  <w:tcW w:w="1395" w:type="dxa"/>
                  <w:tcBorders>
                    <w:tl2br w:val="nil"/>
                    <w:tr2bl w:val="nil"/>
                  </w:tcBorders>
                  <w:vAlign w:val="center"/>
                </w:tcPr>
                <w:p w14:paraId="38FD56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45dB(A)</w:t>
                  </w:r>
                </w:p>
              </w:tc>
              <w:tc>
                <w:tcPr>
                  <w:tcW w:w="1089" w:type="dxa"/>
                  <w:tcBorders>
                    <w:tl2br w:val="nil"/>
                    <w:tr2bl w:val="nil"/>
                  </w:tcBorders>
                  <w:vAlign w:val="center"/>
                </w:tcPr>
                <w:p w14:paraId="09F3FC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达标</w:t>
                  </w:r>
                </w:p>
              </w:tc>
            </w:tr>
          </w:tbl>
          <w:p w14:paraId="40FA9C9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both"/>
              <w:textAlignment w:val="auto"/>
              <w:rPr>
                <w:rFonts w:hint="eastAsia" w:cs="Times New Roman"/>
                <w:b/>
                <w:bCs/>
                <w:color w:val="000000" w:themeColor="text1"/>
                <w:kern w:val="0"/>
                <w:sz w:val="18"/>
                <w:szCs w:val="18"/>
                <w:highlight w:val="none"/>
                <w:lang w:val="en-US" w:eastAsia="zh-CN" w:bidi="ar"/>
                <w14:textFill>
                  <w14:solidFill>
                    <w14:schemeClr w14:val="tx1"/>
                  </w14:solidFill>
                </w14:textFill>
              </w:rPr>
            </w:pPr>
            <w:r>
              <w:rPr>
                <w:rFonts w:hint="eastAsia" w:cs="Times New Roman"/>
                <w:b/>
                <w:bCs/>
                <w:color w:val="000000" w:themeColor="text1"/>
                <w:kern w:val="0"/>
                <w:sz w:val="18"/>
                <w:szCs w:val="18"/>
                <w:highlight w:val="none"/>
                <w:lang w:val="en-US" w:eastAsia="zh-CN" w:bidi="ar"/>
                <w14:textFill>
                  <w14:solidFill>
                    <w14:schemeClr w14:val="tx1"/>
                  </w14:solidFill>
                </w14:textFill>
              </w:rPr>
              <w:t>注：噪声监测数据来源2025年10月北京中天云测检测技术有限公司环境噪声检测报告，报告编号ZS2025101202。</w:t>
            </w:r>
          </w:p>
          <w:p w14:paraId="683106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b/>
                <w:bCs/>
                <w:color w:val="000000" w:themeColor="text1"/>
                <w:kern w:val="0"/>
                <w:sz w:val="24"/>
                <w:szCs w:val="24"/>
                <w:highlight w:val="none"/>
                <w:lang w:val="en-US" w:eastAsia="zh-CN" w:bidi="ar"/>
                <w14:textFill>
                  <w14:solidFill>
                    <w14:schemeClr w14:val="tx1"/>
                  </w14:solidFill>
                </w14:textFill>
              </w:rPr>
            </w:pPr>
            <w:r>
              <w:rPr>
                <w:rFonts w:hint="default"/>
                <w:color w:val="000000" w:themeColor="text1"/>
                <w:sz w:val="24"/>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1014095</wp:posOffset>
                      </wp:positionH>
                      <wp:positionV relativeFrom="paragraph">
                        <wp:posOffset>4142740</wp:posOffset>
                      </wp:positionV>
                      <wp:extent cx="657225" cy="247650"/>
                      <wp:effectExtent l="0" t="0" r="0" b="0"/>
                      <wp:wrapNone/>
                      <wp:docPr id="12" name="文本框 12"/>
                      <wp:cNvGraphicFramePr/>
                      <a:graphic xmlns:a="http://schemas.openxmlformats.org/drawingml/2006/main">
                        <a:graphicData uri="http://schemas.microsoft.com/office/word/2010/wordprocessingShape">
                          <wps:wsp>
                            <wps:cNvSpPr txBox="1"/>
                            <wps:spPr>
                              <a:xfrm>
                                <a:off x="5661025" y="6473190"/>
                                <a:ext cx="6572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A5BF7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医院位置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85pt;margin-top:326.2pt;height:19.5pt;width:51.75pt;z-index:251666432;mso-width-relative:page;mso-height-relative:page;" filled="f" stroked="f" coordsize="21600,21600" o:gfxdata="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ymZj/3AAAAAsBAAAPAAAAAAAAAAEA&#10;IAAAACIAAABkcnMvZG93bnJldi54bWxQSwECFAAUAAAACACHTuJANQu2pUQCAABzBAAADgAAAAAA&#10;AAABACAAAAArAQAAZHJzL2Uyb0RvYy54bWxQSwUGAAAAAAYABgBZAQAA4QUAAAAA&#10;">
                      <v:fill on="f" focussize="0,0"/>
                      <v:stroke on="f" weight="0.5pt"/>
                      <v:imagedata o:title=""/>
                      <o:lock v:ext="edit" aspectratio="f"/>
                      <v:textbox>
                        <w:txbxContent>
                          <w:p w14:paraId="77A5BF7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sz w:val="18"/>
                                <w:szCs w:val="18"/>
                                <w:lang w:val="en-US" w:eastAsia="zh-CN"/>
                              </w:rPr>
                            </w:pPr>
                            <w:r>
                              <w:rPr>
                                <w:rFonts w:hint="eastAsia"/>
                                <w:sz w:val="18"/>
                                <w:szCs w:val="18"/>
                                <w:lang w:val="en-US" w:eastAsia="zh-CN"/>
                              </w:rPr>
                              <w:t>医院位置</w:t>
                            </w:r>
                          </w:p>
                        </w:txbxContent>
                      </v:textbox>
                    </v:shape>
                  </w:pict>
                </mc:Fallback>
              </mc:AlternateContent>
            </w:r>
            <w:r>
              <w:rPr>
                <w:rFonts w:hint="default"/>
                <w:color w:val="000000" w:themeColor="text1"/>
                <w:sz w:val="24"/>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899795</wp:posOffset>
                      </wp:positionH>
                      <wp:positionV relativeFrom="paragraph">
                        <wp:posOffset>4206875</wp:posOffset>
                      </wp:positionV>
                      <wp:extent cx="114300" cy="95250"/>
                      <wp:effectExtent l="12700" t="12700" r="25400" b="25400"/>
                      <wp:wrapNone/>
                      <wp:docPr id="9" name="矩形 9"/>
                      <wp:cNvGraphicFramePr/>
                      <a:graphic xmlns:a="http://schemas.openxmlformats.org/drawingml/2006/main">
                        <a:graphicData uri="http://schemas.microsoft.com/office/word/2010/wordprocessingShape">
                          <wps:wsp>
                            <wps:cNvSpPr/>
                            <wps:spPr>
                              <a:xfrm>
                                <a:off x="5432425" y="6511290"/>
                                <a:ext cx="114300" cy="952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85pt;margin-top:331.25pt;height:7.5pt;width:9pt;z-index:251665408;v-text-anchor:middle;mso-width-relative:page;mso-height-relative:page;" filled="f" stroked="t" coordsize="21600,21600" o:gfxdata="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WTyetkAAAALAQAADwAAAAAAAAABACAAAAAiAAAAZHJzL2Rvd25yZXYueG1s&#10;UEsBAhQAFAAAAAgAh07iQAXEVglpAgAAvgQAAA4AAAAAAAAAAQAgAAAAKAEAAGRycy9lMm9Eb2Mu&#10;eG1sUEsFBgAAAAAGAAYAWQEAAAMGAAAAAA==&#10;">
                      <v:fill on="f" focussize="0,0"/>
                      <v:stroke weight="2pt" color="#FF0000 [2404]" joinstyle="round"/>
                      <v:imagedata o:title=""/>
                      <o:lock v:ext="edit" aspectratio="f"/>
                    </v:rect>
                  </w:pict>
                </mc:Fallback>
              </mc:AlternateContent>
            </w:r>
            <w:r>
              <w:rPr>
                <w:rFonts w:hint="default"/>
                <w:color w:val="000000" w:themeColor="text1"/>
                <w:sz w:val="24"/>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1491615</wp:posOffset>
                      </wp:positionH>
                      <wp:positionV relativeFrom="paragraph">
                        <wp:posOffset>2807970</wp:posOffset>
                      </wp:positionV>
                      <wp:extent cx="876300" cy="521335"/>
                      <wp:effectExtent l="12700" t="12700" r="25400" b="14605"/>
                      <wp:wrapNone/>
                      <wp:docPr id="8" name="矩形 8"/>
                      <wp:cNvGraphicFramePr/>
                      <a:graphic xmlns:a="http://schemas.openxmlformats.org/drawingml/2006/main">
                        <a:graphicData uri="http://schemas.microsoft.com/office/word/2010/wordprocessingShape">
                          <wps:wsp>
                            <wps:cNvSpPr/>
                            <wps:spPr>
                              <a:xfrm>
                                <a:off x="2936875" y="3053715"/>
                                <a:ext cx="876300" cy="52133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45pt;margin-top:221.1pt;height:41.05pt;width:69pt;z-index:251664384;v-text-anchor:middle;mso-width-relative:page;mso-height-relative:page;" filled="f" stroked="t" coordsize="21600,21600" o:gfxdata="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FXHyNoAAAALAQAADwAAAAAAAAABACAAAAAiAAAAZHJzL2Rvd25yZXYu&#10;eG1sUEsBAhQAFAAAAAgAh07iQMDwgyprAgAAvwQAAA4AAAAAAAAAAQAgAAAAKQEAAGRycy9lMm9E&#10;b2MueG1sUEsFBgAAAAAGAAYAWQEAAAYGAAAAAA==&#10;">
                      <v:fill on="f" focussize="0,0"/>
                      <v:stroke weight="2pt" color="#FF0000 [2404]" joinstyle="round"/>
                      <v:imagedata o:title=""/>
                      <o:lock v:ext="edit" aspectratio="f"/>
                    </v:rect>
                  </w:pict>
                </mc:Fallback>
              </mc:AlternateContent>
            </w:r>
            <w:r>
              <w:rPr>
                <w:rFonts w:hint="default"/>
                <w:color w:val="000000" w:themeColor="text1"/>
                <w:highlight w:val="none"/>
                <w14:textFill>
                  <w14:solidFill>
                    <w14:schemeClr w14:val="tx1"/>
                  </w14:solidFill>
                </w14:textFill>
              </w:rPr>
              <w:drawing>
                <wp:inline distT="0" distB="0" distL="114300" distR="114300">
                  <wp:extent cx="3599815" cy="4519295"/>
                  <wp:effectExtent l="0" t="0" r="12065" b="698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4"/>
                          <a:stretch>
                            <a:fillRect/>
                          </a:stretch>
                        </pic:blipFill>
                        <pic:spPr>
                          <a:xfrm>
                            <a:off x="0" y="0"/>
                            <a:ext cx="3599815" cy="4519295"/>
                          </a:xfrm>
                          <a:prstGeom prst="rect">
                            <a:avLst/>
                          </a:prstGeom>
                          <a:noFill/>
                          <a:ln>
                            <a:noFill/>
                          </a:ln>
                        </pic:spPr>
                      </pic:pic>
                    </a:graphicData>
                  </a:graphic>
                </wp:inline>
              </w:drawing>
            </w:r>
            <w:r>
              <w:rPr>
                <w:rFonts w:hint="default"/>
                <w:color w:val="000000" w:themeColor="text1"/>
                <w:sz w:val="28"/>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4198620</wp:posOffset>
                      </wp:positionH>
                      <wp:positionV relativeFrom="paragraph">
                        <wp:posOffset>3516630</wp:posOffset>
                      </wp:positionV>
                      <wp:extent cx="342900" cy="219075"/>
                      <wp:effectExtent l="0" t="0" r="0" b="0"/>
                      <wp:wrapNone/>
                      <wp:docPr id="40" name="文本框 40"/>
                      <wp:cNvGraphicFramePr/>
                      <a:graphic xmlns:a="http://schemas.openxmlformats.org/drawingml/2006/main">
                        <a:graphicData uri="http://schemas.microsoft.com/office/word/2010/wordprocessingShape">
                          <wps:wsp>
                            <wps:cNvSpPr txBox="1"/>
                            <wps:spPr>
                              <a:xfrm>
                                <a:off x="5561330" y="4398645"/>
                                <a:ext cx="342900" cy="219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DFB813">
                                  <w:pPr>
                                    <w:rPr>
                                      <w:rFonts w:hint="default" w:eastAsia="宋体"/>
                                      <w:b/>
                                      <w:bCs/>
                                      <w:color w:val="CCE8CF" w:themeColor="background1"/>
                                      <w:sz w:val="18"/>
                                      <w:szCs w:val="18"/>
                                      <w:lang w:val="en-US" w:eastAsia="zh-CN"/>
                                      <w14:textFill>
                                        <w14:solidFill>
                                          <w14:schemeClr w14:val="bg1"/>
                                        </w14:solidFill>
                                      </w14:textFill>
                                    </w:rPr>
                                  </w:pPr>
                                  <w:r>
                                    <w:rPr>
                                      <w:rFonts w:hint="eastAsia"/>
                                      <w:b/>
                                      <w:bCs/>
                                      <w:color w:val="CCE8CF" w:themeColor="background1"/>
                                      <w:sz w:val="18"/>
                                      <w:szCs w:val="18"/>
                                      <w:lang w:val="en-US" w:eastAsia="zh-CN"/>
                                      <w14:textFill>
                                        <w14:solidFill>
                                          <w14:schemeClr w14:val="bg1"/>
                                        </w14:solidFill>
                                      </w14:textFill>
                                    </w:rPr>
                                    <w:t>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6pt;margin-top:276.9pt;height:17.25pt;width:27pt;z-index:251662336;mso-width-relative:page;mso-height-relative:page;" filled="f" stroked="f" coordsize="21600,21600" o:gfxdata="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wVOFdoAAAALAQAADwAAAAAAAAAB&#10;ACAAAAAiAAAAZHJzL2Rvd25yZXYueG1sUEsBAhQAFAAAAAgAh07iQMkY8XtHAgAAcwQAAA4AAAAA&#10;AAAAAQAgAAAAKQEAAGRycy9lMm9Eb2MueG1sUEsFBgAAAAAGAAYAWQEAAOIFAAAAAA==&#10;">
                      <v:fill on="f" focussize="0,0"/>
                      <v:stroke on="f" weight="0.5pt"/>
                      <v:imagedata o:title=""/>
                      <o:lock v:ext="edit" aspectratio="f"/>
                      <v:textbox>
                        <w:txbxContent>
                          <w:p w14:paraId="3FDFB813">
                            <w:pPr>
                              <w:rPr>
                                <w:rFonts w:hint="default" w:eastAsia="宋体"/>
                                <w:b/>
                                <w:bCs/>
                                <w:color w:val="CCE8CF" w:themeColor="background1"/>
                                <w:sz w:val="18"/>
                                <w:szCs w:val="18"/>
                                <w:lang w:val="en-US" w:eastAsia="zh-CN"/>
                                <w14:textFill>
                                  <w14:solidFill>
                                    <w14:schemeClr w14:val="bg1"/>
                                  </w14:solidFill>
                                </w14:textFill>
                              </w:rPr>
                            </w:pPr>
                            <w:r>
                              <w:rPr>
                                <w:rFonts w:hint="eastAsia"/>
                                <w:b/>
                                <w:bCs/>
                                <w:color w:val="CCE8CF" w:themeColor="background1"/>
                                <w:sz w:val="18"/>
                                <w:szCs w:val="18"/>
                                <w:lang w:val="en-US" w:eastAsia="zh-CN"/>
                                <w14:textFill>
                                  <w14:solidFill>
                                    <w14:schemeClr w14:val="bg1"/>
                                  </w14:solidFill>
                                </w14:textFill>
                              </w:rPr>
                              <w:t>0m</w:t>
                            </w:r>
                          </w:p>
                        </w:txbxContent>
                      </v:textbox>
                    </v:shape>
                  </w:pict>
                </mc:Fallback>
              </mc:AlternateContent>
            </w:r>
            <w:r>
              <w:rPr>
                <w:rFonts w:hint="default"/>
                <w:color w:val="000000" w:themeColor="text1"/>
                <w:sz w:val="28"/>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4884420</wp:posOffset>
                      </wp:positionH>
                      <wp:positionV relativeFrom="paragraph">
                        <wp:posOffset>3516630</wp:posOffset>
                      </wp:positionV>
                      <wp:extent cx="409575" cy="21907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409575" cy="219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6E2427">
                                  <w:pPr>
                                    <w:rPr>
                                      <w:rFonts w:hint="default" w:eastAsia="宋体"/>
                                      <w:b/>
                                      <w:bCs/>
                                      <w:color w:val="CCE8CF" w:themeColor="background1"/>
                                      <w:sz w:val="18"/>
                                      <w:szCs w:val="18"/>
                                      <w:lang w:val="en-US" w:eastAsia="zh-CN"/>
                                      <w14:textFill>
                                        <w14:solidFill>
                                          <w14:schemeClr w14:val="bg1"/>
                                        </w14:solidFill>
                                      </w14:textFill>
                                    </w:rPr>
                                  </w:pPr>
                                  <w:r>
                                    <w:rPr>
                                      <w:rFonts w:hint="eastAsia"/>
                                      <w:b/>
                                      <w:bCs/>
                                      <w:color w:val="CCE8CF" w:themeColor="background1"/>
                                      <w:sz w:val="18"/>
                                      <w:szCs w:val="18"/>
                                      <w:lang w:val="en-US" w:eastAsia="zh-CN"/>
                                      <w14:textFill>
                                        <w14:solidFill>
                                          <w14:schemeClr w14:val="bg1"/>
                                        </w14:solidFill>
                                      </w14:textFill>
                                    </w:rPr>
                                    <w:t>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4.6pt;margin-top:276.9pt;height:17.25pt;width:32.25pt;z-index:251663360;mso-width-relative:page;mso-height-relative:page;" filled="f" stroked="f" coordsize="21600,21600" o:gfxdata="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&#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BvnbW3AAAAAsBAAAPAAAAAAAAAAEAIAAAACIAAABk&#10;cnMvZG93bnJldi54bWxQSwECFAAUAAAACACHTuJAHSYmDzsCAABnBAAADgAAAAAAAAABACAAAAAr&#10;AQAAZHJzL2Uyb0RvYy54bWxQSwUGAAAAAAYABgBZAQAA2AUAAAAA&#10;">
                      <v:fill on="f" focussize="0,0"/>
                      <v:stroke on="f" weight="0.5pt"/>
                      <v:imagedata o:title=""/>
                      <o:lock v:ext="edit" aspectratio="f"/>
                      <v:textbox>
                        <w:txbxContent>
                          <w:p w14:paraId="356E2427">
                            <w:pPr>
                              <w:rPr>
                                <w:rFonts w:hint="default" w:eastAsia="宋体"/>
                                <w:b/>
                                <w:bCs/>
                                <w:color w:val="CCE8CF" w:themeColor="background1"/>
                                <w:sz w:val="18"/>
                                <w:szCs w:val="18"/>
                                <w:lang w:val="en-US" w:eastAsia="zh-CN"/>
                                <w14:textFill>
                                  <w14:solidFill>
                                    <w14:schemeClr w14:val="bg1"/>
                                  </w14:solidFill>
                                </w14:textFill>
                              </w:rPr>
                            </w:pPr>
                            <w:r>
                              <w:rPr>
                                <w:rFonts w:hint="eastAsia"/>
                                <w:b/>
                                <w:bCs/>
                                <w:color w:val="CCE8CF" w:themeColor="background1"/>
                                <w:sz w:val="18"/>
                                <w:szCs w:val="18"/>
                                <w:lang w:val="en-US" w:eastAsia="zh-CN"/>
                                <w14:textFill>
                                  <w14:solidFill>
                                    <w14:schemeClr w14:val="bg1"/>
                                  </w14:solidFill>
                                </w14:textFill>
                              </w:rPr>
                              <w:t>40m</w:t>
                            </w:r>
                          </w:p>
                        </w:txbxContent>
                      </v:textbox>
                    </v:shape>
                  </w:pict>
                </mc:Fallback>
              </mc:AlternateContent>
            </w:r>
          </w:p>
          <w:p w14:paraId="64AA3D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b/>
                <w:bCs/>
                <w:color w:val="000000" w:themeColor="text1"/>
                <w:kern w:val="0"/>
                <w:sz w:val="21"/>
                <w:szCs w:val="21"/>
                <w:highlight w:val="none"/>
                <w:lang w:val="en-US" w:eastAsia="zh-CN" w:bidi="ar"/>
                <w14:textFill>
                  <w14:solidFill>
                    <w14:schemeClr w14:val="tx1"/>
                  </w14:solidFill>
                </w14:textFill>
              </w:rPr>
            </w:pPr>
            <w:r>
              <w:rPr>
                <w:rFonts w:hint="eastAsia" w:cs="Times New Roman"/>
                <w:b/>
                <w:bCs/>
                <w:color w:val="000000" w:themeColor="text1"/>
                <w:kern w:val="0"/>
                <w:sz w:val="21"/>
                <w:szCs w:val="21"/>
                <w:highlight w:val="none"/>
                <w:lang w:val="en-US" w:eastAsia="zh-CN" w:bidi="ar"/>
                <w14:textFill>
                  <w14:solidFill>
                    <w14:schemeClr w14:val="tx1"/>
                  </w14:solidFill>
                </w14:textFill>
              </w:rPr>
              <w:t>图3-1 声环境现状监测点位图</w:t>
            </w:r>
          </w:p>
          <w:p w14:paraId="1CEC4A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default" w:cs="Times New Roman"/>
                <w:b w:val="0"/>
                <w:bCs w:val="0"/>
                <w:color w:val="000000" w:themeColor="text1"/>
                <w:kern w:val="0"/>
                <w:sz w:val="24"/>
                <w:highlight w:val="none"/>
                <w:lang w:val="en-US" w:eastAsia="zh-CN" w:bidi="ar"/>
                <w14:textFill>
                  <w14:solidFill>
                    <w14:schemeClr w14:val="tx1"/>
                  </w14:solidFill>
                </w14:textFill>
              </w:rPr>
              <w:t>从上述监测数据可知，各点监测值均满足《声环境质量标准》（GB3096-2008）中的1类、4a类标准要求。</w:t>
            </w:r>
          </w:p>
          <w:p w14:paraId="1128D4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default" w:cs="Times New Roman"/>
                <w:b w:val="0"/>
                <w:bCs w:val="0"/>
                <w:color w:val="000000" w:themeColor="text1"/>
                <w:kern w:val="0"/>
                <w:sz w:val="24"/>
                <w:highlight w:val="none"/>
                <w:lang w:val="en-US" w:eastAsia="zh-CN" w:bidi="ar"/>
                <w14:textFill>
                  <w14:solidFill>
                    <w14:schemeClr w14:val="tx1"/>
                  </w14:solidFill>
                </w14:textFill>
              </w:rPr>
              <w:t>4、地下水、土壤环境</w:t>
            </w:r>
          </w:p>
          <w:p w14:paraId="30ACD5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根据《北京市人民政府关于调整部分市级饮用水水源保护区范围的批复》（京政[2021]4号），项目不在饮用水水源保护区范围内。</w:t>
            </w:r>
          </w:p>
          <w:p w14:paraId="48B91C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本项目3号楼废水经现有“化粪池+格栅+沉淀+消毒”处理后由污水管道排放至市政管网，最终排至昌平污水处理厂，9号楼废水经新建“过滤+消毒”处理后进入社区化粪池由污水管道排放至市政管网，最终排至昌平污水处理厂。</w:t>
            </w:r>
          </w:p>
          <w:p w14:paraId="38639D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本项目污水处理站、医疗废物暂存间均拟按标准要求设置完善的防渗措施，不与地面直接接触；本项目医疗污水经自建污水处理站后排入化粪池，经市政污水管网排入昌平污水处理厂，不直接排入地表水体。因此，在严格管理和监控的基础上，本项目不存在土壤、地下水的污染途径。因此，不开展地下水、土壤环境现状调查。</w:t>
            </w:r>
          </w:p>
          <w:p w14:paraId="5CF9B1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default" w:cs="Times New Roman"/>
                <w:b w:val="0"/>
                <w:bCs w:val="0"/>
                <w:color w:val="000000" w:themeColor="text1"/>
                <w:kern w:val="0"/>
                <w:sz w:val="24"/>
                <w:highlight w:val="none"/>
                <w:lang w:val="en-US" w:eastAsia="zh-CN" w:bidi="ar"/>
                <w14:textFill>
                  <w14:solidFill>
                    <w14:schemeClr w14:val="tx1"/>
                  </w14:solidFill>
                </w14:textFill>
              </w:rPr>
              <w:t>5、生态环境</w:t>
            </w:r>
          </w:p>
          <w:p w14:paraId="41C903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pPr>
            <w:r>
              <w:rPr>
                <w:rFonts w:hint="default" w:cs="Times New Roman"/>
                <w:b w:val="0"/>
                <w:bCs w:val="0"/>
                <w:color w:val="000000" w:themeColor="text1"/>
                <w:kern w:val="0"/>
                <w:sz w:val="24"/>
                <w:highlight w:val="none"/>
                <w:lang w:val="en-US" w:eastAsia="zh-CN" w:bidi="ar"/>
                <w14:textFill>
                  <w14:solidFill>
                    <w14:schemeClr w14:val="tx1"/>
                  </w14:solidFill>
                </w14:textFill>
              </w:rPr>
              <w:t>本项目租用已有建筑，</w:t>
            </w:r>
            <w:r>
              <w:rPr>
                <w:rFonts w:hint="eastAsia" w:cs="Times New Roman"/>
                <w:b w:val="0"/>
                <w:bCs w:val="0"/>
                <w:color w:val="000000" w:themeColor="text1"/>
                <w:kern w:val="0"/>
                <w:sz w:val="24"/>
                <w:highlight w:val="none"/>
                <w:lang w:val="en-US" w:eastAsia="zh-CN" w:bidi="ar"/>
                <w14:textFill>
                  <w14:solidFill>
                    <w14:schemeClr w14:val="tx1"/>
                  </w14:solidFill>
                </w14:textFill>
              </w:rPr>
              <w:t>不新增用地</w:t>
            </w:r>
            <w:r>
              <w:rPr>
                <w:rFonts w:hint="default" w:cs="Times New Roman"/>
                <w:b w:val="0"/>
                <w:bCs w:val="0"/>
                <w:color w:val="000000" w:themeColor="text1"/>
                <w:kern w:val="0"/>
                <w:sz w:val="24"/>
                <w:highlight w:val="none"/>
                <w:lang w:val="en-US" w:eastAsia="zh-CN" w:bidi="ar"/>
                <w14:textFill>
                  <w14:solidFill>
                    <w14:schemeClr w14:val="tx1"/>
                  </w14:solidFill>
                </w14:textFill>
              </w:rPr>
              <w:t>，</w:t>
            </w:r>
            <w:r>
              <w:rPr>
                <w:rFonts w:hint="eastAsia" w:cs="Times New Roman"/>
                <w:b w:val="0"/>
                <w:bCs w:val="0"/>
                <w:color w:val="000000" w:themeColor="text1"/>
                <w:kern w:val="0"/>
                <w:sz w:val="24"/>
                <w:highlight w:val="none"/>
                <w:lang w:val="en-US" w:eastAsia="zh-CN" w:bidi="ar"/>
                <w14:textFill>
                  <w14:solidFill>
                    <w14:schemeClr w14:val="tx1"/>
                  </w14:solidFill>
                </w14:textFill>
              </w:rPr>
              <w:t>不需进行生态环境质量状况调查</w:t>
            </w:r>
            <w:r>
              <w:rPr>
                <w:rFonts w:hint="default" w:cs="Times New Roman"/>
                <w:b w:val="0"/>
                <w:bCs w:val="0"/>
                <w:color w:val="000000" w:themeColor="text1"/>
                <w:kern w:val="0"/>
                <w:sz w:val="24"/>
                <w:highlight w:val="none"/>
                <w:lang w:val="en-US" w:eastAsia="zh-CN" w:bidi="ar"/>
                <w14:textFill>
                  <w14:solidFill>
                    <w14:schemeClr w14:val="tx1"/>
                  </w14:solidFill>
                </w14:textFill>
              </w:rPr>
              <w:t>。</w:t>
            </w:r>
          </w:p>
        </w:tc>
      </w:tr>
      <w:tr w14:paraId="675E1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14:paraId="177469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14:textFill>
                  <w14:solidFill>
                    <w14:schemeClr w14:val="tx1"/>
                  </w14:solidFill>
                </w14:textFill>
              </w:rPr>
              <w:t>环境保护目标</w:t>
            </w:r>
          </w:p>
        </w:tc>
        <w:tc>
          <w:tcPr>
            <w:tcW w:w="8649" w:type="dxa"/>
            <w:vAlign w:val="center"/>
          </w:tcPr>
          <w:p w14:paraId="7BFF45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本项目位于</w:t>
            </w:r>
            <w:r>
              <w:rPr>
                <w:rFonts w:hint="eastAsia" w:cs="Times New Roman"/>
                <w:b w:val="0"/>
                <w:bCs w:val="0"/>
                <w:color w:val="000000" w:themeColor="text1"/>
                <w:kern w:val="0"/>
                <w:sz w:val="24"/>
                <w:highlight w:val="none"/>
                <w:lang w:val="en-US" w:eastAsia="zh-CN" w:bidi="ar"/>
                <w14:textFill>
                  <w14:solidFill>
                    <w14:schemeClr w14:val="tx1"/>
                  </w14:solidFill>
                </w14:textFill>
              </w:rPr>
              <w:t>北京市昌平区南邵镇景荣街2号院3号楼6至8层、</w:t>
            </w:r>
            <w:r>
              <w:rPr>
                <w:rFonts w:hint="eastAsia"/>
                <w:color w:val="000000" w:themeColor="text1"/>
                <w:highlight w:val="none"/>
                <w:lang w:val="en-US" w:eastAsia="zh-CN"/>
                <w14:textFill>
                  <w14:solidFill>
                    <w14:schemeClr w14:val="tx1"/>
                  </w14:solidFill>
                </w14:textFill>
              </w:rPr>
              <w:t>文智路17号院9号楼1层北侧区域</w:t>
            </w:r>
            <w:r>
              <w:rPr>
                <w:rFonts w:hint="eastAsia" w:ascii="Times New Roman" w:hAnsi="Times New Roman" w:eastAsia="宋体" w:cs="Times New Roman"/>
                <w:b w:val="0"/>
                <w:bCs w:val="0"/>
                <w:color w:val="000000" w:themeColor="text1"/>
                <w:kern w:val="0"/>
                <w:sz w:val="24"/>
                <w:highlight w:val="none"/>
                <w:lang w:val="en-US" w:eastAsia="zh-CN" w:bidi="ar"/>
                <w14:textFill>
                  <w14:solidFill>
                    <w14:schemeClr w14:val="tx1"/>
                  </w14:solidFill>
                </w14:textFill>
              </w:rPr>
              <w:t>，</w:t>
            </w:r>
            <w:r>
              <w:rPr>
                <w:rFonts w:hint="eastAsia" w:cs="Times New Roman"/>
                <w:b w:val="0"/>
                <w:bCs w:val="0"/>
                <w:color w:val="000000" w:themeColor="text1"/>
                <w:kern w:val="0"/>
                <w:sz w:val="24"/>
                <w:highlight w:val="none"/>
                <w:lang w:val="en-US" w:eastAsia="zh-CN" w:bidi="ar"/>
                <w14:textFill>
                  <w14:solidFill>
                    <w14:schemeClr w14:val="tx1"/>
                  </w14:solidFill>
                </w14:textFill>
              </w:rPr>
              <w:t>项目周边无地下水源保护区、重点文物单位、珍贵动植物等敏感因素。项目不在生态红线用地保护范围内，本项目周围主要是居民楼等。</w:t>
            </w:r>
          </w:p>
          <w:p w14:paraId="027666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大气环境：本项目厂界外500m范围内主要为居民区，无自然保护区、风景名胜区等需要特殊保护的对象。</w:t>
            </w:r>
          </w:p>
          <w:p w14:paraId="25048E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声环境：项目厂界周围50m范围内声环境保护目标为项目所在泰康之家京燕园2号楼、4号楼、5号楼、11号楼、3号楼9-11层；文智路5号楼、文智路9号楼1层南侧。</w:t>
            </w:r>
          </w:p>
          <w:p w14:paraId="2EBB31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地下水环境：本项目厂界外500米范围内，无地下水集中饮用水水源和热水、矿泉水、温泉等特殊地下水资源。</w:t>
            </w:r>
          </w:p>
          <w:p w14:paraId="05BC66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val="0"/>
                <w:bCs w:val="0"/>
                <w:color w:val="000000" w:themeColor="text1"/>
                <w:kern w:val="0"/>
                <w:sz w:val="24"/>
                <w:highlight w:val="none"/>
                <w:lang w:val="en-US" w:eastAsia="zh-CN" w:bidi="ar"/>
                <w14:textFill>
                  <w14:solidFill>
                    <w14:schemeClr w14:val="tx1"/>
                  </w14:solidFill>
                </w14:textFill>
              </w:rPr>
              <w:t>生态环境：本项目无新增用地，不进行生态环境保护目标调查。</w:t>
            </w:r>
          </w:p>
          <w:p w14:paraId="6F0C64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b w:val="0"/>
                <w:bCs w:val="0"/>
                <w:color w:val="000000" w:themeColor="text1"/>
                <w:kern w:val="0"/>
                <w:sz w:val="24"/>
                <w:highlight w:val="none"/>
                <w:lang w:val="en-US" w:eastAsia="zh-CN" w:bidi="ar"/>
                <w14:textFill>
                  <w14:solidFill>
                    <w14:schemeClr w14:val="tx1"/>
                  </w14:solidFill>
                </w14:textFill>
              </w:rPr>
            </w:pPr>
            <w:r>
              <w:rPr>
                <w:rFonts w:hint="eastAsia" w:cs="Times New Roman"/>
                <w:b/>
                <w:bCs/>
                <w:color w:val="000000" w:themeColor="text1"/>
                <w:kern w:val="0"/>
                <w:sz w:val="21"/>
                <w:szCs w:val="21"/>
                <w:highlight w:val="none"/>
                <w:lang w:val="en-US" w:eastAsia="zh-CN" w:bidi="ar"/>
                <w14:textFill>
                  <w14:solidFill>
                    <w14:schemeClr w14:val="tx1"/>
                  </w14:solidFill>
                </w14:textFill>
              </w:rPr>
              <w:t>表3-4 环境保护敏感目标表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947"/>
              <w:gridCol w:w="948"/>
              <w:gridCol w:w="1096"/>
              <w:gridCol w:w="1047"/>
              <w:gridCol w:w="1127"/>
              <w:gridCol w:w="2455"/>
            </w:tblGrid>
            <w:tr w14:paraId="2DE743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vAlign w:val="center"/>
                </w:tcPr>
                <w:p w14:paraId="570594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环境类别</w:t>
                  </w:r>
                </w:p>
              </w:tc>
              <w:tc>
                <w:tcPr>
                  <w:tcW w:w="1895" w:type="dxa"/>
                  <w:gridSpan w:val="2"/>
                  <w:tcBorders>
                    <w:tl2br w:val="nil"/>
                    <w:tr2bl w:val="nil"/>
                  </w:tcBorders>
                  <w:vAlign w:val="center"/>
                </w:tcPr>
                <w:p w14:paraId="22E2B9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环境保护目标</w:t>
                  </w:r>
                </w:p>
              </w:tc>
              <w:tc>
                <w:tcPr>
                  <w:tcW w:w="1096" w:type="dxa"/>
                  <w:tcBorders>
                    <w:tl2br w:val="nil"/>
                    <w:tr2bl w:val="nil"/>
                  </w:tcBorders>
                  <w:vAlign w:val="center"/>
                </w:tcPr>
                <w:p w14:paraId="5C9CB6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与项目位置关系</w:t>
                  </w:r>
                </w:p>
              </w:tc>
              <w:tc>
                <w:tcPr>
                  <w:tcW w:w="1047" w:type="dxa"/>
                  <w:tcBorders>
                    <w:tl2br w:val="nil"/>
                    <w:tr2bl w:val="nil"/>
                  </w:tcBorders>
                  <w:vAlign w:val="center"/>
                </w:tcPr>
                <w:p w14:paraId="0A6B67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最近距离m</w:t>
                  </w:r>
                </w:p>
              </w:tc>
              <w:tc>
                <w:tcPr>
                  <w:tcW w:w="1127" w:type="dxa"/>
                  <w:tcBorders>
                    <w:tl2br w:val="nil"/>
                    <w:tr2bl w:val="nil"/>
                  </w:tcBorders>
                  <w:vAlign w:val="center"/>
                </w:tcPr>
                <w:p w14:paraId="5513E2F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环境功能</w:t>
                  </w:r>
                </w:p>
              </w:tc>
              <w:tc>
                <w:tcPr>
                  <w:tcW w:w="2455" w:type="dxa"/>
                  <w:tcBorders>
                    <w:tl2br w:val="nil"/>
                    <w:tr2bl w:val="nil"/>
                  </w:tcBorders>
                  <w:vAlign w:val="center"/>
                </w:tcPr>
                <w:p w14:paraId="471A04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bidi="ar"/>
                      <w14:textFill>
                        <w14:solidFill>
                          <w14:schemeClr w14:val="tx1"/>
                        </w14:solidFill>
                      </w14:textFill>
                    </w:rPr>
                    <w:t>环境功能要求</w:t>
                  </w:r>
                </w:p>
              </w:tc>
            </w:tr>
            <w:tr w14:paraId="21D01D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restart"/>
                  <w:tcBorders>
                    <w:tl2br w:val="nil"/>
                    <w:tr2bl w:val="nil"/>
                  </w:tcBorders>
                  <w:vAlign w:val="center"/>
                </w:tcPr>
                <w:p w14:paraId="2CBF28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大气环境</w:t>
                  </w:r>
                </w:p>
              </w:tc>
              <w:tc>
                <w:tcPr>
                  <w:tcW w:w="1895" w:type="dxa"/>
                  <w:gridSpan w:val="2"/>
                  <w:tcBorders>
                    <w:tl2br w:val="nil"/>
                    <w:tr2bl w:val="nil"/>
                  </w:tcBorders>
                  <w:vAlign w:val="center"/>
                </w:tcPr>
                <w:p w14:paraId="20CF52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泰康之家京燕园</w:t>
                  </w:r>
                </w:p>
              </w:tc>
              <w:tc>
                <w:tcPr>
                  <w:tcW w:w="1096" w:type="dxa"/>
                  <w:tcBorders>
                    <w:tl2br w:val="nil"/>
                    <w:tr2bl w:val="nil"/>
                  </w:tcBorders>
                  <w:vAlign w:val="center"/>
                </w:tcPr>
                <w:p w14:paraId="7C780D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紧邻</w:t>
                  </w:r>
                </w:p>
              </w:tc>
              <w:tc>
                <w:tcPr>
                  <w:tcW w:w="1047" w:type="dxa"/>
                  <w:tcBorders>
                    <w:tl2br w:val="nil"/>
                    <w:tr2bl w:val="nil"/>
                  </w:tcBorders>
                  <w:vAlign w:val="center"/>
                </w:tcPr>
                <w:p w14:paraId="1E5524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1127" w:type="dxa"/>
                  <w:tcBorders>
                    <w:tl2br w:val="nil"/>
                    <w:tr2bl w:val="nil"/>
                  </w:tcBorders>
                  <w:vAlign w:val="center"/>
                </w:tcPr>
                <w:p w14:paraId="6ABDE9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restart"/>
                  <w:tcBorders>
                    <w:tl2br w:val="nil"/>
                    <w:tr2bl w:val="nil"/>
                  </w:tcBorders>
                  <w:vAlign w:val="center"/>
                </w:tcPr>
                <w:p w14:paraId="43219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《环境空气质量标准》（GB3095-2012）及其修改单中的二级标准</w:t>
                  </w:r>
                </w:p>
              </w:tc>
            </w:tr>
            <w:tr w14:paraId="727B86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2F05FF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1895" w:type="dxa"/>
                  <w:gridSpan w:val="2"/>
                  <w:tcBorders>
                    <w:tl2br w:val="nil"/>
                    <w:tr2bl w:val="nil"/>
                  </w:tcBorders>
                  <w:vAlign w:val="center"/>
                </w:tcPr>
                <w:p w14:paraId="148A89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招商都会湾</w:t>
                  </w:r>
                </w:p>
              </w:tc>
              <w:tc>
                <w:tcPr>
                  <w:tcW w:w="1096" w:type="dxa"/>
                  <w:tcBorders>
                    <w:tl2br w:val="nil"/>
                    <w:tr2bl w:val="nil"/>
                  </w:tcBorders>
                  <w:vAlign w:val="center"/>
                </w:tcPr>
                <w:p w14:paraId="794FEE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紧邻</w:t>
                  </w:r>
                </w:p>
              </w:tc>
              <w:tc>
                <w:tcPr>
                  <w:tcW w:w="1047" w:type="dxa"/>
                  <w:tcBorders>
                    <w:tl2br w:val="nil"/>
                    <w:tr2bl w:val="nil"/>
                  </w:tcBorders>
                  <w:vAlign w:val="center"/>
                </w:tcPr>
                <w:p w14:paraId="46EE4C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p>
              </w:tc>
              <w:tc>
                <w:tcPr>
                  <w:tcW w:w="1127" w:type="dxa"/>
                  <w:tcBorders>
                    <w:tl2br w:val="nil"/>
                    <w:tr2bl w:val="nil"/>
                  </w:tcBorders>
                  <w:vAlign w:val="center"/>
                </w:tcPr>
                <w:p w14:paraId="0D870E8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continue"/>
                  <w:tcBorders>
                    <w:tl2br w:val="nil"/>
                    <w:tr2bl w:val="nil"/>
                  </w:tcBorders>
                  <w:vAlign w:val="center"/>
                </w:tcPr>
                <w:p w14:paraId="611132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r>
            <w:tr w14:paraId="3AAB2A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03A534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1895" w:type="dxa"/>
                  <w:gridSpan w:val="2"/>
                  <w:tcBorders>
                    <w:tl2br w:val="nil"/>
                    <w:tr2bl w:val="nil"/>
                  </w:tcBorders>
                  <w:vAlign w:val="center"/>
                </w:tcPr>
                <w:p w14:paraId="2F16DE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南邵教师楼小区</w:t>
                  </w:r>
                </w:p>
              </w:tc>
              <w:tc>
                <w:tcPr>
                  <w:tcW w:w="1096" w:type="dxa"/>
                  <w:tcBorders>
                    <w:tl2br w:val="nil"/>
                    <w:tr2bl w:val="nil"/>
                  </w:tcBorders>
                  <w:vAlign w:val="center"/>
                </w:tcPr>
                <w:p w14:paraId="695629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w:t>
                  </w:r>
                </w:p>
              </w:tc>
              <w:tc>
                <w:tcPr>
                  <w:tcW w:w="1047" w:type="dxa"/>
                  <w:tcBorders>
                    <w:tl2br w:val="nil"/>
                    <w:tr2bl w:val="nil"/>
                  </w:tcBorders>
                  <w:vAlign w:val="center"/>
                </w:tcPr>
                <w:p w14:paraId="3596A2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465</w:t>
                  </w:r>
                </w:p>
              </w:tc>
              <w:tc>
                <w:tcPr>
                  <w:tcW w:w="1127" w:type="dxa"/>
                  <w:tcBorders>
                    <w:tl2br w:val="nil"/>
                    <w:tr2bl w:val="nil"/>
                  </w:tcBorders>
                  <w:vAlign w:val="center"/>
                </w:tcPr>
                <w:p w14:paraId="051C25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continue"/>
                  <w:tcBorders>
                    <w:tl2br w:val="nil"/>
                    <w:tr2bl w:val="nil"/>
                  </w:tcBorders>
                  <w:vAlign w:val="center"/>
                </w:tcPr>
                <w:p w14:paraId="15E420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r>
            <w:tr w14:paraId="3A719A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4F2B5F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1895" w:type="dxa"/>
                  <w:gridSpan w:val="2"/>
                  <w:tcBorders>
                    <w:tl2br w:val="nil"/>
                    <w:tr2bl w:val="nil"/>
                  </w:tcBorders>
                  <w:vAlign w:val="center"/>
                </w:tcPr>
                <w:p w14:paraId="1852CA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泰康之家京燕园二期</w:t>
                  </w:r>
                </w:p>
              </w:tc>
              <w:tc>
                <w:tcPr>
                  <w:tcW w:w="1096" w:type="dxa"/>
                  <w:tcBorders>
                    <w:tl2br w:val="nil"/>
                    <w:tr2bl w:val="nil"/>
                  </w:tcBorders>
                  <w:vAlign w:val="center"/>
                </w:tcPr>
                <w:p w14:paraId="3D10E4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S</w:t>
                  </w:r>
                </w:p>
              </w:tc>
              <w:tc>
                <w:tcPr>
                  <w:tcW w:w="1047" w:type="dxa"/>
                  <w:tcBorders>
                    <w:tl2br w:val="nil"/>
                    <w:tr2bl w:val="nil"/>
                  </w:tcBorders>
                  <w:vAlign w:val="center"/>
                </w:tcPr>
                <w:p w14:paraId="7CA261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158</w:t>
                  </w:r>
                </w:p>
              </w:tc>
              <w:tc>
                <w:tcPr>
                  <w:tcW w:w="1127" w:type="dxa"/>
                  <w:tcBorders>
                    <w:tl2br w:val="nil"/>
                    <w:tr2bl w:val="nil"/>
                  </w:tcBorders>
                  <w:vAlign w:val="center"/>
                </w:tcPr>
                <w:p w14:paraId="773FC5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continue"/>
                  <w:tcBorders>
                    <w:tl2br w:val="nil"/>
                    <w:tr2bl w:val="nil"/>
                  </w:tcBorders>
                  <w:vAlign w:val="center"/>
                </w:tcPr>
                <w:p w14:paraId="7E8757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r>
            <w:tr w14:paraId="6215CF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1BCA8D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1895" w:type="dxa"/>
                  <w:gridSpan w:val="2"/>
                  <w:tcBorders>
                    <w:tl2br w:val="nil"/>
                    <w:tr2bl w:val="nil"/>
                  </w:tcBorders>
                  <w:vAlign w:val="center"/>
                </w:tcPr>
                <w:p w14:paraId="7C2C42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兴昌佳苑</w:t>
                  </w:r>
                </w:p>
              </w:tc>
              <w:tc>
                <w:tcPr>
                  <w:tcW w:w="1096" w:type="dxa"/>
                  <w:tcBorders>
                    <w:tl2br w:val="nil"/>
                    <w:tr2bl w:val="nil"/>
                  </w:tcBorders>
                  <w:vAlign w:val="center"/>
                </w:tcPr>
                <w:p w14:paraId="7B1759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S</w:t>
                  </w:r>
                </w:p>
              </w:tc>
              <w:tc>
                <w:tcPr>
                  <w:tcW w:w="1047" w:type="dxa"/>
                  <w:tcBorders>
                    <w:tl2br w:val="nil"/>
                    <w:tr2bl w:val="nil"/>
                  </w:tcBorders>
                  <w:vAlign w:val="center"/>
                </w:tcPr>
                <w:p w14:paraId="593C697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351</w:t>
                  </w:r>
                </w:p>
              </w:tc>
              <w:tc>
                <w:tcPr>
                  <w:tcW w:w="1127" w:type="dxa"/>
                  <w:tcBorders>
                    <w:tl2br w:val="nil"/>
                    <w:tr2bl w:val="nil"/>
                  </w:tcBorders>
                  <w:vAlign w:val="center"/>
                </w:tcPr>
                <w:p w14:paraId="6B53D6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continue"/>
                  <w:tcBorders>
                    <w:tl2br w:val="nil"/>
                    <w:tr2bl w:val="nil"/>
                  </w:tcBorders>
                  <w:vAlign w:val="center"/>
                </w:tcPr>
                <w:p w14:paraId="1A42FE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r>
            <w:tr w14:paraId="09BC95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1D9834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1895" w:type="dxa"/>
                  <w:gridSpan w:val="2"/>
                  <w:tcBorders>
                    <w:tl2br w:val="nil"/>
                    <w:tr2bl w:val="nil"/>
                  </w:tcBorders>
                  <w:vAlign w:val="center"/>
                </w:tcPr>
                <w:p w14:paraId="0FDD52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青秀尚城</w:t>
                  </w:r>
                </w:p>
              </w:tc>
              <w:tc>
                <w:tcPr>
                  <w:tcW w:w="1096" w:type="dxa"/>
                  <w:tcBorders>
                    <w:tl2br w:val="nil"/>
                    <w:tr2bl w:val="nil"/>
                  </w:tcBorders>
                  <w:vAlign w:val="center"/>
                </w:tcPr>
                <w:p w14:paraId="0053C0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E</w:t>
                  </w:r>
                </w:p>
              </w:tc>
              <w:tc>
                <w:tcPr>
                  <w:tcW w:w="1047" w:type="dxa"/>
                  <w:tcBorders>
                    <w:tl2br w:val="nil"/>
                    <w:tr2bl w:val="nil"/>
                  </w:tcBorders>
                  <w:vAlign w:val="center"/>
                </w:tcPr>
                <w:p w14:paraId="4AAF14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345</w:t>
                  </w:r>
                </w:p>
              </w:tc>
              <w:tc>
                <w:tcPr>
                  <w:tcW w:w="1127" w:type="dxa"/>
                  <w:tcBorders>
                    <w:tl2br w:val="nil"/>
                    <w:tr2bl w:val="nil"/>
                  </w:tcBorders>
                  <w:vAlign w:val="center"/>
                </w:tcPr>
                <w:p w14:paraId="3A32A0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vMerge w:val="continue"/>
                  <w:tcBorders>
                    <w:tl2br w:val="nil"/>
                    <w:tr2bl w:val="nil"/>
                  </w:tcBorders>
                  <w:vAlign w:val="center"/>
                </w:tcPr>
                <w:p w14:paraId="343037A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r>
            <w:tr w14:paraId="723427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restart"/>
                  <w:tcBorders>
                    <w:tl2br w:val="nil"/>
                    <w:tr2bl w:val="nil"/>
                  </w:tcBorders>
                  <w:vAlign w:val="center"/>
                </w:tcPr>
                <w:p w14:paraId="3C79B1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w:t>
                  </w:r>
                </w:p>
              </w:tc>
              <w:tc>
                <w:tcPr>
                  <w:tcW w:w="947" w:type="dxa"/>
                  <w:vMerge w:val="restart"/>
                  <w:tcBorders>
                    <w:tl2br w:val="nil"/>
                    <w:tr2bl w:val="nil"/>
                  </w:tcBorders>
                  <w:vAlign w:val="center"/>
                </w:tcPr>
                <w:p w14:paraId="6C2F83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泰康之家京燕园</w:t>
                  </w:r>
                </w:p>
              </w:tc>
              <w:tc>
                <w:tcPr>
                  <w:tcW w:w="948" w:type="dxa"/>
                  <w:tcBorders>
                    <w:tl2br w:val="nil"/>
                    <w:tr2bl w:val="nil"/>
                  </w:tcBorders>
                  <w:vAlign w:val="center"/>
                </w:tcPr>
                <w:p w14:paraId="355752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3号楼</w:t>
                  </w:r>
                </w:p>
              </w:tc>
              <w:tc>
                <w:tcPr>
                  <w:tcW w:w="1096" w:type="dxa"/>
                  <w:tcBorders>
                    <w:tl2br w:val="nil"/>
                    <w:tr2bl w:val="nil"/>
                  </w:tcBorders>
                  <w:vAlign w:val="center"/>
                </w:tcPr>
                <w:p w14:paraId="317707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上下楼层</w:t>
                  </w:r>
                </w:p>
              </w:tc>
              <w:tc>
                <w:tcPr>
                  <w:tcW w:w="1047" w:type="dxa"/>
                  <w:tcBorders>
                    <w:tl2br w:val="nil"/>
                    <w:tr2bl w:val="nil"/>
                  </w:tcBorders>
                  <w:vAlign w:val="center"/>
                </w:tcPr>
                <w:p w14:paraId="41876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9-11层紧邻</w:t>
                  </w:r>
                </w:p>
              </w:tc>
              <w:tc>
                <w:tcPr>
                  <w:tcW w:w="1127" w:type="dxa"/>
                  <w:tcBorders>
                    <w:tl2br w:val="nil"/>
                    <w:tr2bl w:val="nil"/>
                  </w:tcBorders>
                  <w:vAlign w:val="center"/>
                </w:tcPr>
                <w:p w14:paraId="2D9A19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护理</w:t>
                  </w:r>
                </w:p>
              </w:tc>
              <w:tc>
                <w:tcPr>
                  <w:tcW w:w="2455" w:type="dxa"/>
                  <w:tcBorders>
                    <w:tl2br w:val="nil"/>
                    <w:tr2bl w:val="nil"/>
                  </w:tcBorders>
                  <w:vAlign w:val="center"/>
                </w:tcPr>
                <w:p w14:paraId="015F34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东侧距离南环南路55m内、南侧距离南丰路55m内、北侧、西侧执行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4a</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，其余执行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70F23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422679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continue"/>
                  <w:tcBorders>
                    <w:tl2br w:val="nil"/>
                    <w:tr2bl w:val="nil"/>
                  </w:tcBorders>
                  <w:vAlign w:val="center"/>
                </w:tcPr>
                <w:p w14:paraId="69790D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8" w:type="dxa"/>
                  <w:tcBorders>
                    <w:tl2br w:val="nil"/>
                    <w:tr2bl w:val="nil"/>
                  </w:tcBorders>
                  <w:vAlign w:val="center"/>
                </w:tcPr>
                <w:p w14:paraId="333303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2号楼</w:t>
                  </w:r>
                </w:p>
              </w:tc>
              <w:tc>
                <w:tcPr>
                  <w:tcW w:w="1096" w:type="dxa"/>
                  <w:tcBorders>
                    <w:tl2br w:val="nil"/>
                    <w:tr2bl w:val="nil"/>
                  </w:tcBorders>
                  <w:vAlign w:val="center"/>
                </w:tcPr>
                <w:p w14:paraId="12E596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E</w:t>
                  </w:r>
                </w:p>
              </w:tc>
              <w:tc>
                <w:tcPr>
                  <w:tcW w:w="1047" w:type="dxa"/>
                  <w:tcBorders>
                    <w:tl2br w:val="nil"/>
                    <w:tr2bl w:val="nil"/>
                  </w:tcBorders>
                  <w:vAlign w:val="center"/>
                </w:tcPr>
                <w:p w14:paraId="788D8B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18</w:t>
                  </w:r>
                </w:p>
              </w:tc>
              <w:tc>
                <w:tcPr>
                  <w:tcW w:w="1127" w:type="dxa"/>
                  <w:tcBorders>
                    <w:tl2br w:val="nil"/>
                    <w:tr2bl w:val="nil"/>
                  </w:tcBorders>
                  <w:vAlign w:val="center"/>
                </w:tcPr>
                <w:p w14:paraId="0F68DE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tcBorders>
                    <w:tl2br w:val="nil"/>
                    <w:tr2bl w:val="nil"/>
                  </w:tcBorders>
                  <w:vAlign w:val="center"/>
                </w:tcPr>
                <w:p w14:paraId="275880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东、西侧距离南环南路55m内、北侧执行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4a</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，其余执行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0739C6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4835FC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continue"/>
                  <w:tcBorders>
                    <w:tl2br w:val="nil"/>
                    <w:tr2bl w:val="nil"/>
                  </w:tcBorders>
                  <w:vAlign w:val="center"/>
                </w:tcPr>
                <w:p w14:paraId="17B34F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8" w:type="dxa"/>
                  <w:tcBorders>
                    <w:tl2br w:val="nil"/>
                    <w:tr2bl w:val="nil"/>
                  </w:tcBorders>
                  <w:vAlign w:val="center"/>
                </w:tcPr>
                <w:p w14:paraId="68D64E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4号楼</w:t>
                  </w:r>
                </w:p>
              </w:tc>
              <w:tc>
                <w:tcPr>
                  <w:tcW w:w="1096" w:type="dxa"/>
                  <w:tcBorders>
                    <w:tl2br w:val="nil"/>
                    <w:tr2bl w:val="nil"/>
                  </w:tcBorders>
                  <w:vAlign w:val="center"/>
                </w:tcPr>
                <w:p w14:paraId="201FE5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S</w:t>
                  </w:r>
                </w:p>
              </w:tc>
              <w:tc>
                <w:tcPr>
                  <w:tcW w:w="1047" w:type="dxa"/>
                  <w:tcBorders>
                    <w:tl2br w:val="nil"/>
                    <w:tr2bl w:val="nil"/>
                  </w:tcBorders>
                  <w:vAlign w:val="center"/>
                </w:tcPr>
                <w:p w14:paraId="5AF2BD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15</w:t>
                  </w:r>
                </w:p>
              </w:tc>
              <w:tc>
                <w:tcPr>
                  <w:tcW w:w="1127" w:type="dxa"/>
                  <w:tcBorders>
                    <w:tl2br w:val="nil"/>
                    <w:tr2bl w:val="nil"/>
                  </w:tcBorders>
                  <w:vAlign w:val="center"/>
                </w:tcPr>
                <w:p w14:paraId="47AD52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tcBorders>
                    <w:tl2br w:val="nil"/>
                    <w:tr2bl w:val="nil"/>
                  </w:tcBorders>
                  <w:vAlign w:val="center"/>
                </w:tcPr>
                <w:p w14:paraId="1F3C5A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南、北侧距离南丰路55m内、西侧执行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4a</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，其余执行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193245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33EE36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continue"/>
                  <w:tcBorders>
                    <w:tl2br w:val="nil"/>
                    <w:tr2bl w:val="nil"/>
                  </w:tcBorders>
                  <w:vAlign w:val="center"/>
                </w:tcPr>
                <w:p w14:paraId="01D68C6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8" w:type="dxa"/>
                  <w:tcBorders>
                    <w:tl2br w:val="nil"/>
                    <w:tr2bl w:val="nil"/>
                  </w:tcBorders>
                  <w:vAlign w:val="center"/>
                </w:tcPr>
                <w:p w14:paraId="7F029C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5号楼</w:t>
                  </w:r>
                </w:p>
              </w:tc>
              <w:tc>
                <w:tcPr>
                  <w:tcW w:w="1096" w:type="dxa"/>
                  <w:tcBorders>
                    <w:tl2br w:val="nil"/>
                    <w:tr2bl w:val="nil"/>
                  </w:tcBorders>
                  <w:vAlign w:val="center"/>
                </w:tcPr>
                <w:p w14:paraId="07403F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ES</w:t>
                  </w:r>
                </w:p>
              </w:tc>
              <w:tc>
                <w:tcPr>
                  <w:tcW w:w="1047" w:type="dxa"/>
                  <w:tcBorders>
                    <w:tl2br w:val="nil"/>
                    <w:tr2bl w:val="nil"/>
                  </w:tcBorders>
                  <w:vAlign w:val="center"/>
                </w:tcPr>
                <w:p w14:paraId="0CE4BA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23</w:t>
                  </w:r>
                </w:p>
              </w:tc>
              <w:tc>
                <w:tcPr>
                  <w:tcW w:w="1127" w:type="dxa"/>
                  <w:tcBorders>
                    <w:tl2br w:val="nil"/>
                    <w:tr2bl w:val="nil"/>
                  </w:tcBorders>
                  <w:vAlign w:val="center"/>
                </w:tcPr>
                <w:p w14:paraId="19C864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tcBorders>
                    <w:tl2br w:val="nil"/>
                    <w:tr2bl w:val="nil"/>
                  </w:tcBorders>
                  <w:vAlign w:val="center"/>
                </w:tcPr>
                <w:p w14:paraId="5E05EA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50F031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5A45A5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continue"/>
                  <w:tcBorders>
                    <w:tl2br w:val="nil"/>
                    <w:tr2bl w:val="nil"/>
                  </w:tcBorders>
                  <w:vAlign w:val="center"/>
                </w:tcPr>
                <w:p w14:paraId="15C838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8" w:type="dxa"/>
                  <w:tcBorders>
                    <w:tl2br w:val="nil"/>
                    <w:tr2bl w:val="nil"/>
                  </w:tcBorders>
                  <w:vAlign w:val="center"/>
                </w:tcPr>
                <w:p w14:paraId="30E92C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11号楼</w:t>
                  </w:r>
                </w:p>
              </w:tc>
              <w:tc>
                <w:tcPr>
                  <w:tcW w:w="1096" w:type="dxa"/>
                  <w:tcBorders>
                    <w:tl2br w:val="nil"/>
                    <w:tr2bl w:val="nil"/>
                  </w:tcBorders>
                  <w:vAlign w:val="center"/>
                </w:tcPr>
                <w:p w14:paraId="6FBD255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S</w:t>
                  </w:r>
                </w:p>
              </w:tc>
              <w:tc>
                <w:tcPr>
                  <w:tcW w:w="1047" w:type="dxa"/>
                  <w:tcBorders>
                    <w:tl2br w:val="nil"/>
                    <w:tr2bl w:val="nil"/>
                  </w:tcBorders>
                  <w:vAlign w:val="center"/>
                </w:tcPr>
                <w:p w14:paraId="2598B1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40</w:t>
                  </w:r>
                </w:p>
              </w:tc>
              <w:tc>
                <w:tcPr>
                  <w:tcW w:w="1127" w:type="dxa"/>
                  <w:tcBorders>
                    <w:tl2br w:val="nil"/>
                    <w:tr2bl w:val="nil"/>
                  </w:tcBorders>
                  <w:vAlign w:val="center"/>
                </w:tcPr>
                <w:p w14:paraId="1BC727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tcBorders>
                    <w:tl2br w:val="nil"/>
                    <w:tr2bl w:val="nil"/>
                  </w:tcBorders>
                  <w:vAlign w:val="center"/>
                </w:tcPr>
                <w:p w14:paraId="1CDDC2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南、北侧距离南丰路55m内、西侧执行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4a</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，其余执行</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0B55B2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38A107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restart"/>
                  <w:tcBorders>
                    <w:tl2br w:val="nil"/>
                    <w:tr2bl w:val="nil"/>
                  </w:tcBorders>
                  <w:vAlign w:val="center"/>
                </w:tcPr>
                <w:p w14:paraId="1F09C1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文智路17号院</w:t>
                  </w:r>
                </w:p>
              </w:tc>
              <w:tc>
                <w:tcPr>
                  <w:tcW w:w="948" w:type="dxa"/>
                  <w:tcBorders>
                    <w:tl2br w:val="nil"/>
                    <w:tr2bl w:val="nil"/>
                  </w:tcBorders>
                  <w:vAlign w:val="center"/>
                </w:tcPr>
                <w:p w14:paraId="33B157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9号楼1层</w:t>
                  </w:r>
                </w:p>
              </w:tc>
              <w:tc>
                <w:tcPr>
                  <w:tcW w:w="1096" w:type="dxa"/>
                  <w:tcBorders>
                    <w:tl2br w:val="nil"/>
                    <w:tr2bl w:val="nil"/>
                  </w:tcBorders>
                  <w:shd w:val="clear" w:color="auto" w:fill="auto"/>
                  <w:vAlign w:val="center"/>
                </w:tcPr>
                <w:p w14:paraId="6D1BF0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S</w:t>
                  </w:r>
                </w:p>
              </w:tc>
              <w:tc>
                <w:tcPr>
                  <w:tcW w:w="1047" w:type="dxa"/>
                  <w:tcBorders>
                    <w:tl2br w:val="nil"/>
                    <w:tr2bl w:val="nil"/>
                  </w:tcBorders>
                  <w:shd w:val="clear" w:color="auto" w:fill="auto"/>
                  <w:vAlign w:val="center"/>
                </w:tcPr>
                <w:p w14:paraId="004AF8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1层紧邻</w:t>
                  </w:r>
                </w:p>
              </w:tc>
              <w:tc>
                <w:tcPr>
                  <w:tcW w:w="1127" w:type="dxa"/>
                  <w:tcBorders>
                    <w:tl2br w:val="nil"/>
                    <w:tr2bl w:val="nil"/>
                  </w:tcBorders>
                  <w:shd w:val="clear" w:color="auto" w:fill="auto"/>
                  <w:vAlign w:val="center"/>
                </w:tcPr>
                <w:p w14:paraId="31888A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护理</w:t>
                  </w:r>
                </w:p>
              </w:tc>
              <w:tc>
                <w:tcPr>
                  <w:tcW w:w="2455" w:type="dxa"/>
                  <w:tcBorders>
                    <w:tl2br w:val="nil"/>
                    <w:tr2bl w:val="nil"/>
                  </w:tcBorders>
                  <w:vAlign w:val="center"/>
                </w:tcPr>
                <w:p w14:paraId="770451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4a</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r w14:paraId="370E42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vMerge w:val="continue"/>
                  <w:tcBorders>
                    <w:tl2br w:val="nil"/>
                    <w:tr2bl w:val="nil"/>
                  </w:tcBorders>
                  <w:vAlign w:val="center"/>
                </w:tcPr>
                <w:p w14:paraId="075419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7" w:type="dxa"/>
                  <w:vMerge w:val="continue"/>
                  <w:tcBorders>
                    <w:tl2br w:val="nil"/>
                    <w:tr2bl w:val="nil"/>
                  </w:tcBorders>
                  <w:vAlign w:val="center"/>
                </w:tcPr>
                <w:p w14:paraId="5E7666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p>
              </w:tc>
              <w:tc>
                <w:tcPr>
                  <w:tcW w:w="948" w:type="dxa"/>
                  <w:tcBorders>
                    <w:tl2br w:val="nil"/>
                    <w:tr2bl w:val="nil"/>
                  </w:tcBorders>
                  <w:vAlign w:val="center"/>
                </w:tcPr>
                <w:p w14:paraId="0679C2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5号楼</w:t>
                  </w:r>
                </w:p>
              </w:tc>
              <w:tc>
                <w:tcPr>
                  <w:tcW w:w="1096" w:type="dxa"/>
                  <w:tcBorders>
                    <w:tl2br w:val="nil"/>
                    <w:tr2bl w:val="nil"/>
                  </w:tcBorders>
                  <w:vAlign w:val="center"/>
                </w:tcPr>
                <w:p w14:paraId="48D18E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E</w:t>
                  </w:r>
                </w:p>
              </w:tc>
              <w:tc>
                <w:tcPr>
                  <w:tcW w:w="1047" w:type="dxa"/>
                  <w:tcBorders>
                    <w:tl2br w:val="nil"/>
                    <w:tr2bl w:val="nil"/>
                  </w:tcBorders>
                  <w:vAlign w:val="center"/>
                </w:tcPr>
                <w:p w14:paraId="68E6AE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15</w:t>
                  </w:r>
                </w:p>
              </w:tc>
              <w:tc>
                <w:tcPr>
                  <w:tcW w:w="1127" w:type="dxa"/>
                  <w:tcBorders>
                    <w:tl2br w:val="nil"/>
                    <w:tr2bl w:val="nil"/>
                  </w:tcBorders>
                  <w:vAlign w:val="center"/>
                </w:tcPr>
                <w:p w14:paraId="170A89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居住</w:t>
                  </w:r>
                </w:p>
              </w:tc>
              <w:tc>
                <w:tcPr>
                  <w:tcW w:w="2455" w:type="dxa"/>
                  <w:tcBorders>
                    <w:tl2br w:val="nil"/>
                    <w:tr2bl w:val="nil"/>
                  </w:tcBorders>
                  <w:vAlign w:val="center"/>
                </w:tcPr>
                <w:p w14:paraId="201DC7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声环境质量标准》（GB3096-2008）中</w:t>
                  </w:r>
                  <w:r>
                    <w:rPr>
                      <w:rFonts w:hint="eastAsia" w:cs="Times New Roman"/>
                      <w:b w:val="0"/>
                      <w:bCs w:val="0"/>
                      <w:color w:val="000000" w:themeColor="text1"/>
                      <w:kern w:val="0"/>
                      <w:sz w:val="21"/>
                      <w:szCs w:val="21"/>
                      <w:highlight w:val="none"/>
                      <w:vertAlign w:val="baseline"/>
                      <w:lang w:val="en-US" w:eastAsia="zh-CN" w:bidi="ar"/>
                      <w14:textFill>
                        <w14:solidFill>
                          <w14:schemeClr w14:val="tx1"/>
                        </w14:solidFill>
                      </w14:textFill>
                    </w:rPr>
                    <w:t>1</w:t>
                  </w:r>
                  <w:r>
                    <w:rPr>
                      <w:rFonts w:hint="default" w:cs="Times New Roman"/>
                      <w:b w:val="0"/>
                      <w:bCs w:val="0"/>
                      <w:color w:val="000000" w:themeColor="text1"/>
                      <w:kern w:val="0"/>
                      <w:sz w:val="21"/>
                      <w:szCs w:val="21"/>
                      <w:highlight w:val="none"/>
                      <w:vertAlign w:val="baseline"/>
                      <w:lang w:val="en-US" w:eastAsia="zh-CN" w:bidi="ar"/>
                      <w14:textFill>
                        <w14:solidFill>
                          <w14:schemeClr w14:val="tx1"/>
                        </w14:solidFill>
                      </w14:textFill>
                    </w:rPr>
                    <w:t>类标准</w:t>
                  </w:r>
                </w:p>
              </w:tc>
            </w:tr>
          </w:tbl>
          <w:p w14:paraId="5A593B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cs="Times New Roman"/>
                <w:b w:val="0"/>
                <w:bCs w:val="0"/>
                <w:color w:val="000000" w:themeColor="text1"/>
                <w:kern w:val="0"/>
                <w:sz w:val="24"/>
                <w:highlight w:val="none"/>
                <w:lang w:val="en-US" w:eastAsia="zh-CN" w:bidi="ar"/>
                <w14:textFill>
                  <w14:solidFill>
                    <w14:schemeClr w14:val="tx1"/>
                  </w14:solidFill>
                </w14:textFill>
              </w:rPr>
            </w:pPr>
          </w:p>
        </w:tc>
      </w:tr>
      <w:tr w14:paraId="00038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tcMar>
              <w:left w:w="28" w:type="dxa"/>
              <w:right w:w="28" w:type="dxa"/>
            </w:tcMar>
            <w:vAlign w:val="center"/>
          </w:tcPr>
          <w:p w14:paraId="3636D0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14:textFill>
                  <w14:solidFill>
                    <w14:schemeClr w14:val="tx1"/>
                  </w14:solidFill>
                </w14:textFill>
              </w:rPr>
              <w:t>污染物排放控制标准</w:t>
            </w:r>
          </w:p>
        </w:tc>
        <w:tc>
          <w:tcPr>
            <w:tcW w:w="8649" w:type="dxa"/>
            <w:vAlign w:val="center"/>
          </w:tcPr>
          <w:p w14:paraId="31677D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1、</w:t>
            </w:r>
            <w:r>
              <w:rPr>
                <w:rFonts w:hint="eastAsia" w:cs="Times New Roman"/>
                <w:b w:val="0"/>
                <w:bCs w:val="0"/>
                <w:color w:val="000000" w:themeColor="text1"/>
                <w:kern w:val="0"/>
                <w:sz w:val="24"/>
                <w:szCs w:val="24"/>
                <w:highlight w:val="none"/>
                <w:lang w:val="en-US" w:eastAsia="zh-CN"/>
                <w14:textFill>
                  <w14:solidFill>
                    <w14:schemeClr w14:val="tx1"/>
                  </w14:solidFill>
                </w14:textFill>
              </w:rPr>
              <w:t>大气污染物排放执行标准</w:t>
            </w:r>
          </w:p>
          <w:p w14:paraId="764F93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eastAsia="宋体"/>
                <w:color w:val="000000" w:themeColor="text1"/>
                <w:kern w:val="0"/>
                <w:highlight w:val="none"/>
                <w:lang w:val="en-US" w:eastAsia="zh-CN"/>
                <w14:textFill>
                  <w14:solidFill>
                    <w14:schemeClr w14:val="tx1"/>
                  </w14:solidFill>
                </w14:textFill>
              </w:rPr>
            </w:pPr>
            <w:r>
              <w:rPr>
                <w:rFonts w:hint="eastAsia"/>
                <w:color w:val="000000" w:themeColor="text1"/>
                <w:kern w:val="0"/>
                <w:highlight w:val="none"/>
                <w:lang w:val="en-US" w:eastAsia="zh-CN"/>
                <w14:textFill>
                  <w14:solidFill>
                    <w14:schemeClr w14:val="tx1"/>
                  </w14:solidFill>
                </w14:textFill>
              </w:rPr>
              <w:t>本项目不涉及锅炉废气、煎药废气、厨房油烟等，污水处理设施运行会有较少量臭味逸散，污水处理设施位采取地埋方式，</w:t>
            </w:r>
            <w:r>
              <w:rPr>
                <w:rFonts w:hint="eastAsia" w:cs="Times New Roman"/>
                <w:b w:val="0"/>
                <w:bCs w:val="0"/>
                <w:color w:val="000000" w:themeColor="text1"/>
                <w:kern w:val="0"/>
                <w:sz w:val="24"/>
                <w:szCs w:val="24"/>
                <w:highlight w:val="none"/>
                <w:lang w:val="en-US" w:eastAsia="zh-CN"/>
                <w14:textFill>
                  <w14:solidFill>
                    <w14:schemeClr w14:val="tx1"/>
                  </w14:solidFill>
                </w14:textFill>
              </w:rPr>
              <w:t>厂界执行</w:t>
            </w:r>
            <w:r>
              <w:rPr>
                <w:rFonts w:hint="eastAsia"/>
                <w:color w:val="000000" w:themeColor="text1"/>
                <w:kern w:val="0"/>
                <w:highlight w:val="none"/>
                <w14:textFill>
                  <w14:solidFill>
                    <w14:schemeClr w14:val="tx1"/>
                  </w14:solidFill>
                </w14:textFill>
              </w:rPr>
              <w:t>《医疗机构水污染物排放标准》（GB18466-2005）</w:t>
            </w:r>
            <w:r>
              <w:rPr>
                <w:rFonts w:hint="eastAsia" w:cs="Times New Roman"/>
                <w:b w:val="0"/>
                <w:bCs w:val="0"/>
                <w:color w:val="000000" w:themeColor="text1"/>
                <w:kern w:val="0"/>
                <w:sz w:val="24"/>
                <w:szCs w:val="24"/>
                <w:highlight w:val="none"/>
                <w:lang w:val="en-US" w:eastAsia="zh-CN"/>
                <w14:textFill>
                  <w14:solidFill>
                    <w14:schemeClr w14:val="tx1"/>
                  </w14:solidFill>
                </w14:textFill>
              </w:rPr>
              <w:t>中较严标准限值。</w:t>
            </w:r>
          </w:p>
          <w:p w14:paraId="0DF4421F">
            <w:pPr>
              <w:pStyle w:val="36"/>
              <w:keepNext w:val="0"/>
              <w:keepLines w:val="0"/>
              <w:suppressLineNumbers w:val="0"/>
              <w:spacing w:before="0" w:beforeAutospacing="0" w:after="0" w:afterAutospacing="0"/>
              <w:ind w:left="0" w:right="0"/>
              <w:rPr>
                <w:rFonts w:hint="default" w:cs="Times New Roman"/>
                <w:b w:val="0"/>
                <w:bCs w:val="0"/>
                <w:color w:val="000000" w:themeColor="text1"/>
                <w:kern w:val="0"/>
                <w:szCs w:val="24"/>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表3-5 污水处理设施周界污染物排放浓度限值（</w:t>
            </w:r>
            <w:r>
              <w:rPr>
                <w:rFonts w:hint="eastAsia"/>
                <w:color w:val="000000" w:themeColor="text1"/>
                <w:highlight w:val="none"/>
                <w14:textFill>
                  <w14:solidFill>
                    <w14:schemeClr w14:val="tx1"/>
                  </w14:solidFill>
                </w14:textFill>
              </w:rPr>
              <w:t>GB18466-2005</w:t>
            </w:r>
            <w:r>
              <w:rPr>
                <w:rFonts w:hint="eastAsia"/>
                <w:color w:val="000000" w:themeColor="text1"/>
                <w:highlight w:val="none"/>
                <w:lang w:val="en-US" w:eastAsia="zh-CN"/>
                <w14:textFill>
                  <w14:solidFill>
                    <w14:schemeClr w14:val="tx1"/>
                  </w14:solidFill>
                </w14:textFill>
              </w:rPr>
              <w:t>）</w:t>
            </w:r>
          </w:p>
          <w:tbl>
            <w:tblPr>
              <w:tblStyle w:val="1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3358"/>
              <w:gridCol w:w="3688"/>
            </w:tblGrid>
            <w:tr w14:paraId="4A0873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tcBorders>
                    <w:tl2br w:val="nil"/>
                    <w:tr2bl w:val="nil"/>
                  </w:tcBorders>
                  <w:vAlign w:val="center"/>
                </w:tcPr>
                <w:p w14:paraId="4E823C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项目</w:t>
                  </w:r>
                </w:p>
              </w:tc>
              <w:tc>
                <w:tcPr>
                  <w:tcW w:w="2015" w:type="pct"/>
                  <w:tcBorders>
                    <w:tl2br w:val="nil"/>
                    <w:tr2bl w:val="nil"/>
                  </w:tcBorders>
                  <w:vAlign w:val="center"/>
                </w:tcPr>
                <w:p w14:paraId="130EFA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污染物</w:t>
                  </w:r>
                </w:p>
              </w:tc>
              <w:tc>
                <w:tcPr>
                  <w:tcW w:w="2213" w:type="pct"/>
                  <w:tcBorders>
                    <w:tl2br w:val="nil"/>
                    <w:tr2bl w:val="nil"/>
                  </w:tcBorders>
                  <w:vAlign w:val="center"/>
                </w:tcPr>
                <w:p w14:paraId="498E60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b/>
                      <w:bCs/>
                      <w:color w:val="000000" w:themeColor="text1"/>
                      <w:kern w:val="0"/>
                      <w:sz w:val="21"/>
                      <w:szCs w:val="21"/>
                      <w:highlight w:val="none"/>
                      <w14:textFill>
                        <w14:solidFill>
                          <w14:schemeClr w14:val="tx1"/>
                        </w14:solidFill>
                      </w14:textFill>
                    </w:rPr>
                    <w:t>《医疗机构水污染物排放标准》（GB18466-2005）</w:t>
                  </w:r>
                </w:p>
              </w:tc>
            </w:tr>
            <w:tr w14:paraId="7F5434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vMerge w:val="restart"/>
                  <w:tcBorders>
                    <w:tl2br w:val="nil"/>
                    <w:tr2bl w:val="nil"/>
                  </w:tcBorders>
                  <w:vAlign w:val="center"/>
                </w:tcPr>
                <w:p w14:paraId="169D2B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污水处理设施周边</w:t>
                  </w:r>
                </w:p>
              </w:tc>
              <w:tc>
                <w:tcPr>
                  <w:tcW w:w="2015" w:type="pct"/>
                  <w:tcBorders>
                    <w:tl2br w:val="nil"/>
                    <w:tr2bl w:val="nil"/>
                  </w:tcBorders>
                  <w:vAlign w:val="center"/>
                </w:tcPr>
                <w:p w14:paraId="1BE5B8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氨NH</w:t>
                  </w:r>
                  <w:r>
                    <w:rPr>
                      <w:rFonts w:hint="eastAsia" w:cs="Times New Roman"/>
                      <w:b w:val="0"/>
                      <w:bCs w:val="0"/>
                      <w:color w:val="000000" w:themeColor="text1"/>
                      <w:kern w:val="0"/>
                      <w:sz w:val="21"/>
                      <w:szCs w:val="21"/>
                      <w:highlight w:val="none"/>
                      <w:vertAlign w:val="subscript"/>
                      <w:lang w:val="en-US" w:eastAsia="zh-CN"/>
                      <w14:textFill>
                        <w14:solidFill>
                          <w14:schemeClr w14:val="tx1"/>
                        </w14:solidFill>
                      </w14:textFill>
                    </w:rPr>
                    <w:t>3</w:t>
                  </w:r>
                </w:p>
              </w:tc>
              <w:tc>
                <w:tcPr>
                  <w:tcW w:w="2213" w:type="pct"/>
                  <w:tcBorders>
                    <w:tl2br w:val="nil"/>
                    <w:tr2bl w:val="nil"/>
                  </w:tcBorders>
                  <w:vAlign w:val="center"/>
                </w:tcPr>
                <w:p w14:paraId="1C94B6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1.0mg/m</w:t>
                  </w:r>
                  <w:r>
                    <w:rPr>
                      <w:rFonts w:hint="eastAsia" w:cs="Times New Roman"/>
                      <w:b w:val="0"/>
                      <w:bCs w:val="0"/>
                      <w:color w:val="000000" w:themeColor="text1"/>
                      <w:kern w:val="0"/>
                      <w:sz w:val="21"/>
                      <w:szCs w:val="21"/>
                      <w:highlight w:val="none"/>
                      <w:vertAlign w:val="superscript"/>
                      <w:lang w:val="en-US" w:eastAsia="zh-CN"/>
                      <w14:textFill>
                        <w14:solidFill>
                          <w14:schemeClr w14:val="tx1"/>
                        </w14:solidFill>
                      </w14:textFill>
                    </w:rPr>
                    <w:t>3</w:t>
                  </w:r>
                </w:p>
              </w:tc>
            </w:tr>
            <w:tr w14:paraId="7B81D9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vMerge w:val="continue"/>
                  <w:tcBorders>
                    <w:tl2br w:val="nil"/>
                    <w:tr2bl w:val="nil"/>
                  </w:tcBorders>
                  <w:vAlign w:val="center"/>
                </w:tcPr>
                <w:p w14:paraId="5DCDAB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kern w:val="0"/>
                      <w:sz w:val="21"/>
                      <w:szCs w:val="21"/>
                      <w:highlight w:val="none"/>
                      <w14:textFill>
                        <w14:solidFill>
                          <w14:schemeClr w14:val="tx1"/>
                        </w14:solidFill>
                      </w14:textFill>
                    </w:rPr>
                  </w:pPr>
                </w:p>
              </w:tc>
              <w:tc>
                <w:tcPr>
                  <w:tcW w:w="2015" w:type="pct"/>
                  <w:tcBorders>
                    <w:tl2br w:val="nil"/>
                    <w:tr2bl w:val="nil"/>
                  </w:tcBorders>
                  <w:vAlign w:val="center"/>
                </w:tcPr>
                <w:p w14:paraId="015930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硫化氢H</w:t>
                  </w:r>
                  <w:r>
                    <w:rPr>
                      <w:rFonts w:hint="eastAsia" w:cs="Times New Roman"/>
                      <w:b w:val="0"/>
                      <w:bCs w:val="0"/>
                      <w:color w:val="000000" w:themeColor="text1"/>
                      <w:kern w:val="0"/>
                      <w:sz w:val="21"/>
                      <w:szCs w:val="21"/>
                      <w:highlight w:val="none"/>
                      <w:vertAlign w:val="subscript"/>
                      <w:lang w:val="en-US" w:eastAsia="zh-CN"/>
                      <w14:textFill>
                        <w14:solidFill>
                          <w14:schemeClr w14:val="tx1"/>
                        </w14:solidFill>
                      </w14:textFill>
                    </w:rPr>
                    <w:t>2</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S</w:t>
                  </w:r>
                </w:p>
              </w:tc>
              <w:tc>
                <w:tcPr>
                  <w:tcW w:w="2213" w:type="pct"/>
                  <w:tcBorders>
                    <w:tl2br w:val="nil"/>
                    <w:tr2bl w:val="nil"/>
                  </w:tcBorders>
                  <w:vAlign w:val="center"/>
                </w:tcPr>
                <w:p w14:paraId="33CF1E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0.03mg/m</w:t>
                  </w:r>
                  <w:r>
                    <w:rPr>
                      <w:rFonts w:hint="eastAsia" w:cs="Times New Roman"/>
                      <w:b w:val="0"/>
                      <w:bCs w:val="0"/>
                      <w:color w:val="000000" w:themeColor="text1"/>
                      <w:kern w:val="0"/>
                      <w:sz w:val="21"/>
                      <w:szCs w:val="21"/>
                      <w:highlight w:val="none"/>
                      <w:vertAlign w:val="superscript"/>
                      <w:lang w:val="en-US" w:eastAsia="zh-CN"/>
                      <w14:textFill>
                        <w14:solidFill>
                          <w14:schemeClr w14:val="tx1"/>
                        </w14:solidFill>
                      </w14:textFill>
                    </w:rPr>
                    <w:t>3</w:t>
                  </w:r>
                </w:p>
              </w:tc>
            </w:tr>
            <w:tr w14:paraId="32D746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vMerge w:val="continue"/>
                  <w:tcBorders>
                    <w:tl2br w:val="nil"/>
                    <w:tr2bl w:val="nil"/>
                  </w:tcBorders>
                  <w:vAlign w:val="center"/>
                </w:tcPr>
                <w:p w14:paraId="1D80C1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kern w:val="0"/>
                      <w:sz w:val="21"/>
                      <w:szCs w:val="21"/>
                      <w:highlight w:val="none"/>
                      <w14:textFill>
                        <w14:solidFill>
                          <w14:schemeClr w14:val="tx1"/>
                        </w14:solidFill>
                      </w14:textFill>
                    </w:rPr>
                  </w:pPr>
                </w:p>
              </w:tc>
              <w:tc>
                <w:tcPr>
                  <w:tcW w:w="2015" w:type="pct"/>
                  <w:tcBorders>
                    <w:tl2br w:val="nil"/>
                    <w:tr2bl w:val="nil"/>
                  </w:tcBorders>
                  <w:vAlign w:val="center"/>
                </w:tcPr>
                <w:p w14:paraId="1645E5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甲烷</w:t>
                  </w:r>
                  <w:r>
                    <w:rPr>
                      <w:rFonts w:hint="eastAsia"/>
                      <w:color w:val="000000" w:themeColor="text1"/>
                      <w:kern w:val="0"/>
                      <w:sz w:val="21"/>
                      <w:szCs w:val="21"/>
                      <w:highlight w:val="none"/>
                      <w14:textFill>
                        <w14:solidFill>
                          <w14:schemeClr w14:val="tx1"/>
                        </w14:solidFill>
                      </w14:textFill>
                    </w:rPr>
                    <w:t>（处理站内最高体积百分数）</w:t>
                  </w:r>
                </w:p>
              </w:tc>
              <w:tc>
                <w:tcPr>
                  <w:tcW w:w="2213" w:type="pct"/>
                  <w:tcBorders>
                    <w:tl2br w:val="nil"/>
                    <w:tr2bl w:val="nil"/>
                  </w:tcBorders>
                  <w:vAlign w:val="center"/>
                </w:tcPr>
                <w:p w14:paraId="470DCC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w:t>
                  </w:r>
                </w:p>
              </w:tc>
            </w:tr>
            <w:tr w14:paraId="701D6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vMerge w:val="continue"/>
                  <w:tcBorders>
                    <w:tl2br w:val="nil"/>
                    <w:tr2bl w:val="nil"/>
                  </w:tcBorders>
                  <w:vAlign w:val="center"/>
                </w:tcPr>
                <w:p w14:paraId="21633C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kern w:val="0"/>
                      <w:sz w:val="21"/>
                      <w:szCs w:val="21"/>
                      <w:highlight w:val="none"/>
                      <w14:textFill>
                        <w14:solidFill>
                          <w14:schemeClr w14:val="tx1"/>
                        </w14:solidFill>
                      </w14:textFill>
                    </w:rPr>
                  </w:pPr>
                </w:p>
              </w:tc>
              <w:tc>
                <w:tcPr>
                  <w:tcW w:w="2015" w:type="pct"/>
                  <w:tcBorders>
                    <w:tl2br w:val="nil"/>
                    <w:tr2bl w:val="nil"/>
                  </w:tcBorders>
                  <w:shd w:val="clear" w:color="auto" w:fill="auto"/>
                  <w:vAlign w:val="center"/>
                </w:tcPr>
                <w:p w14:paraId="793982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臭气浓度</w:t>
                  </w:r>
                </w:p>
              </w:tc>
              <w:tc>
                <w:tcPr>
                  <w:tcW w:w="2213" w:type="pct"/>
                  <w:tcBorders>
                    <w:tl2br w:val="nil"/>
                    <w:tr2bl w:val="nil"/>
                  </w:tcBorders>
                  <w:vAlign w:val="center"/>
                </w:tcPr>
                <w:p w14:paraId="51D720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10（无量纲）</w:t>
                  </w:r>
                </w:p>
              </w:tc>
            </w:tr>
            <w:tr w14:paraId="2330F4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 w:type="pct"/>
                  <w:vMerge w:val="continue"/>
                  <w:tcBorders>
                    <w:tl2br w:val="nil"/>
                    <w:tr2bl w:val="nil"/>
                  </w:tcBorders>
                  <w:vAlign w:val="center"/>
                </w:tcPr>
                <w:p w14:paraId="5D5208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kern w:val="0"/>
                      <w:sz w:val="21"/>
                      <w:szCs w:val="21"/>
                      <w:highlight w:val="none"/>
                      <w14:textFill>
                        <w14:solidFill>
                          <w14:schemeClr w14:val="tx1"/>
                        </w14:solidFill>
                      </w14:textFill>
                    </w:rPr>
                  </w:pPr>
                </w:p>
              </w:tc>
              <w:tc>
                <w:tcPr>
                  <w:tcW w:w="2015" w:type="pct"/>
                  <w:tcBorders>
                    <w:tl2br w:val="nil"/>
                    <w:tr2bl w:val="nil"/>
                  </w:tcBorders>
                  <w:shd w:val="clear" w:color="auto" w:fill="auto"/>
                  <w:vAlign w:val="center"/>
                </w:tcPr>
                <w:p w14:paraId="061E1C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氯气</w:t>
                  </w:r>
                </w:p>
              </w:tc>
              <w:tc>
                <w:tcPr>
                  <w:tcW w:w="2213" w:type="pct"/>
                  <w:tcBorders>
                    <w:tl2br w:val="nil"/>
                    <w:tr2bl w:val="nil"/>
                  </w:tcBorders>
                  <w:vAlign w:val="center"/>
                </w:tcPr>
                <w:p w14:paraId="010AB3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0.1</w:t>
                  </w:r>
                </w:p>
              </w:tc>
            </w:tr>
          </w:tbl>
          <w:p w14:paraId="47DA5F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2、水污染物排放标准</w:t>
            </w:r>
          </w:p>
          <w:p w14:paraId="60D61F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本项目排水包括病房废水、门诊废水、行政人员废水、卫生清洁废水等。全部废水均作为医疗废水。本项目新增床位数量为221张，废水排放执行国家《医疗机构水污染物排放标准》（GB18466-2005）中4.1.2项规定：“县级及县级以上或20张床位及以上的综合医疗机构和其他医疗机构污水排放执行表2的规定。直接或间接排入地表水体和海域的污水执行排放标准，排入终端已建有正常运行城镇二级污水处理厂的下水道的污水，执行预处理标准”。</w:t>
            </w:r>
          </w:p>
          <w:p w14:paraId="024E1C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本项目全部废水排入自建的污水处理设施处理后经市政污水管网汇入昌平污水处理厂，故执行预处理排放标准限值。</w:t>
            </w:r>
          </w:p>
          <w:p w14:paraId="0A791B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本项目废水污染物执行排放标准限值如下。</w:t>
            </w:r>
          </w:p>
          <w:p w14:paraId="4933FF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1"/>
                <w:szCs w:val="21"/>
                <w:highlight w:val="none"/>
                <w:lang w:val="en-US" w:eastAsia="zh-CN"/>
                <w14:textFill>
                  <w14:solidFill>
                    <w14:schemeClr w14:val="tx1"/>
                  </w14:solidFill>
                </w14:textFill>
              </w:rPr>
              <w:t>表3-6 总排口水污染物排放标准限值</w:t>
            </w:r>
          </w:p>
          <w:tbl>
            <w:tblPr>
              <w:tblStyle w:val="17"/>
              <w:tblW w:w="821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3030"/>
              <w:gridCol w:w="1065"/>
              <w:gridCol w:w="3429"/>
            </w:tblGrid>
            <w:tr w14:paraId="306E29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65D048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序号</w:t>
                  </w:r>
                </w:p>
              </w:tc>
              <w:tc>
                <w:tcPr>
                  <w:tcW w:w="3030" w:type="dxa"/>
                  <w:tcBorders>
                    <w:tl2br w:val="nil"/>
                    <w:tr2bl w:val="nil"/>
                  </w:tcBorders>
                  <w:vAlign w:val="center"/>
                </w:tcPr>
                <w:p w14:paraId="7B9C31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污染物项目</w:t>
                  </w:r>
                </w:p>
              </w:tc>
              <w:tc>
                <w:tcPr>
                  <w:tcW w:w="1065" w:type="dxa"/>
                  <w:tcBorders>
                    <w:tl2br w:val="nil"/>
                    <w:tr2bl w:val="nil"/>
                  </w:tcBorders>
                  <w:vAlign w:val="center"/>
                </w:tcPr>
                <w:p w14:paraId="6F0D3A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标准限值</w:t>
                  </w:r>
                </w:p>
              </w:tc>
              <w:tc>
                <w:tcPr>
                  <w:tcW w:w="3429" w:type="dxa"/>
                  <w:tcBorders>
                    <w:tl2br w:val="nil"/>
                    <w:tr2bl w:val="nil"/>
                  </w:tcBorders>
                  <w:vAlign w:val="center"/>
                </w:tcPr>
                <w:p w14:paraId="4D160E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标准来源</w:t>
                  </w:r>
                </w:p>
              </w:tc>
            </w:tr>
            <w:tr w14:paraId="050395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1D208D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w:t>
                  </w:r>
                </w:p>
              </w:tc>
              <w:tc>
                <w:tcPr>
                  <w:tcW w:w="3030" w:type="dxa"/>
                  <w:tcBorders>
                    <w:tl2br w:val="nil"/>
                    <w:tr2bl w:val="nil"/>
                  </w:tcBorders>
                  <w:vAlign w:val="center"/>
                </w:tcPr>
                <w:p w14:paraId="100FD6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pH值（无量纲）</w:t>
                  </w:r>
                </w:p>
              </w:tc>
              <w:tc>
                <w:tcPr>
                  <w:tcW w:w="1065" w:type="dxa"/>
                  <w:tcBorders>
                    <w:tl2br w:val="nil"/>
                    <w:tr2bl w:val="nil"/>
                  </w:tcBorders>
                  <w:vAlign w:val="center"/>
                </w:tcPr>
                <w:p w14:paraId="49B100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6~9</w:t>
                  </w:r>
                </w:p>
              </w:tc>
              <w:tc>
                <w:tcPr>
                  <w:tcW w:w="3429" w:type="dxa"/>
                  <w:vMerge w:val="restart"/>
                  <w:tcBorders>
                    <w:tl2br w:val="nil"/>
                    <w:tr2bl w:val="nil"/>
                  </w:tcBorders>
                  <w:vAlign w:val="center"/>
                </w:tcPr>
                <w:p w14:paraId="0343A3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《医疗机构水污染物排放标准》（GB18466-2005）</w:t>
                  </w:r>
                </w:p>
                <w:p w14:paraId="2BA4B5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表2综合医疗机构和其他医疗机构水污染物排放限值（日均值）中预处理标准</w:t>
                  </w:r>
                </w:p>
              </w:tc>
            </w:tr>
            <w:tr w14:paraId="6594AF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18EBE6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w:t>
                  </w:r>
                </w:p>
              </w:tc>
              <w:tc>
                <w:tcPr>
                  <w:tcW w:w="3030" w:type="dxa"/>
                  <w:tcBorders>
                    <w:tl2br w:val="nil"/>
                    <w:tr2bl w:val="nil"/>
                  </w:tcBorders>
                  <w:vAlign w:val="center"/>
                </w:tcPr>
                <w:p w14:paraId="3CEECC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BOD浓度/（mg/L）</w:t>
                  </w:r>
                </w:p>
                <w:p w14:paraId="02D06C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最高允许排放负荷/[g/(床位</w:t>
                  </w:r>
                  <w:r>
                    <w:rPr>
                      <w:rFonts w:hint="default" w:ascii="Times New Roman" w:hAnsi="Times New Roman" w:cs="Times New Roman"/>
                      <w:b w:val="0"/>
                      <w:bCs w:val="0"/>
                      <w:color w:val="000000" w:themeColor="text1"/>
                      <w:kern w:val="0"/>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d)]</w:t>
                  </w:r>
                </w:p>
              </w:tc>
              <w:tc>
                <w:tcPr>
                  <w:tcW w:w="1065" w:type="dxa"/>
                  <w:tcBorders>
                    <w:tl2br w:val="nil"/>
                    <w:tr2bl w:val="nil"/>
                  </w:tcBorders>
                  <w:vAlign w:val="center"/>
                </w:tcPr>
                <w:p w14:paraId="16ADDF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100</w:t>
                  </w:r>
                </w:p>
                <w:p w14:paraId="7927A5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100</w:t>
                  </w:r>
                </w:p>
              </w:tc>
              <w:tc>
                <w:tcPr>
                  <w:tcW w:w="3429" w:type="dxa"/>
                  <w:vMerge w:val="continue"/>
                  <w:tcBorders>
                    <w:tl2br w:val="nil"/>
                    <w:tr2bl w:val="nil"/>
                  </w:tcBorders>
                  <w:vAlign w:val="center"/>
                </w:tcPr>
                <w:p w14:paraId="6D631E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r w14:paraId="73D822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39AD89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3</w:t>
                  </w:r>
                </w:p>
              </w:tc>
              <w:tc>
                <w:tcPr>
                  <w:tcW w:w="3030" w:type="dxa"/>
                  <w:tcBorders>
                    <w:tl2br w:val="nil"/>
                    <w:tr2bl w:val="nil"/>
                  </w:tcBorders>
                  <w:vAlign w:val="center"/>
                </w:tcPr>
                <w:p w14:paraId="2E566C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COD</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cr浓度/（mg/L）</w:t>
                  </w:r>
                </w:p>
                <w:p w14:paraId="20239A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最高允许排放负荷/[g/(床位</w:t>
                  </w:r>
                  <w:r>
                    <w:rPr>
                      <w:rFonts w:hint="default" w:ascii="Times New Roman" w:hAnsi="Times New Roman" w:cs="Times New Roman"/>
                      <w:b w:val="0"/>
                      <w:bCs w:val="0"/>
                      <w:color w:val="000000" w:themeColor="text1"/>
                      <w:kern w:val="0"/>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d)]</w:t>
                  </w:r>
                </w:p>
              </w:tc>
              <w:tc>
                <w:tcPr>
                  <w:tcW w:w="1065" w:type="dxa"/>
                  <w:tcBorders>
                    <w:tl2br w:val="nil"/>
                    <w:tr2bl w:val="nil"/>
                  </w:tcBorders>
                  <w:vAlign w:val="center"/>
                </w:tcPr>
                <w:p w14:paraId="022071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250</w:t>
                  </w:r>
                </w:p>
                <w:p w14:paraId="476A25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250</w:t>
                  </w:r>
                </w:p>
              </w:tc>
              <w:tc>
                <w:tcPr>
                  <w:tcW w:w="3429" w:type="dxa"/>
                  <w:vMerge w:val="continue"/>
                  <w:tcBorders>
                    <w:tl2br w:val="nil"/>
                    <w:tr2bl w:val="nil"/>
                  </w:tcBorders>
                  <w:vAlign w:val="center"/>
                </w:tcPr>
                <w:p w14:paraId="09409B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r w14:paraId="0BE648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362404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4</w:t>
                  </w:r>
                </w:p>
              </w:tc>
              <w:tc>
                <w:tcPr>
                  <w:tcW w:w="3030" w:type="dxa"/>
                  <w:tcBorders>
                    <w:tl2br w:val="nil"/>
                    <w:tr2bl w:val="nil"/>
                  </w:tcBorders>
                  <w:vAlign w:val="center"/>
                </w:tcPr>
                <w:p w14:paraId="4CFB8F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SS浓度/（mg/L）</w:t>
                  </w:r>
                </w:p>
                <w:p w14:paraId="3FCE76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最高允许排放负荷/[g/(床位</w:t>
                  </w:r>
                  <w:r>
                    <w:rPr>
                      <w:rFonts w:hint="default" w:ascii="Times New Roman" w:hAnsi="Times New Roman" w:cs="Times New Roman"/>
                      <w:b w:val="0"/>
                      <w:bCs w:val="0"/>
                      <w:color w:val="000000" w:themeColor="text1"/>
                      <w:kern w:val="0"/>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d</w:t>
                  </w:r>
                  <w:r>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w:t>
                  </w:r>
                </w:p>
              </w:tc>
              <w:tc>
                <w:tcPr>
                  <w:tcW w:w="1065" w:type="dxa"/>
                  <w:tcBorders>
                    <w:tl2br w:val="nil"/>
                    <w:tr2bl w:val="nil"/>
                  </w:tcBorders>
                  <w:vAlign w:val="center"/>
                </w:tcPr>
                <w:p w14:paraId="43BC93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60</w:t>
                  </w:r>
                </w:p>
                <w:p w14:paraId="3C05FB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60</w:t>
                  </w:r>
                </w:p>
              </w:tc>
              <w:tc>
                <w:tcPr>
                  <w:tcW w:w="3429" w:type="dxa"/>
                  <w:vMerge w:val="continue"/>
                  <w:tcBorders>
                    <w:tl2br w:val="nil"/>
                    <w:tr2bl w:val="nil"/>
                  </w:tcBorders>
                  <w:vAlign w:val="center"/>
                </w:tcPr>
                <w:p w14:paraId="64CF6E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r w14:paraId="0E7C99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3F7577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5</w:t>
                  </w:r>
                </w:p>
              </w:tc>
              <w:tc>
                <w:tcPr>
                  <w:tcW w:w="3030" w:type="dxa"/>
                  <w:tcBorders>
                    <w:tl2br w:val="nil"/>
                    <w:tr2bl w:val="nil"/>
                  </w:tcBorders>
                  <w:vAlign w:val="center"/>
                </w:tcPr>
                <w:p w14:paraId="44B66E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粪大肠菌群数（MPN/L）</w:t>
                  </w:r>
                </w:p>
              </w:tc>
              <w:tc>
                <w:tcPr>
                  <w:tcW w:w="1065" w:type="dxa"/>
                  <w:tcBorders>
                    <w:tl2br w:val="nil"/>
                    <w:tr2bl w:val="nil"/>
                  </w:tcBorders>
                  <w:vAlign w:val="center"/>
                </w:tcPr>
                <w:p w14:paraId="3936C4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5000</w:t>
                  </w:r>
                </w:p>
              </w:tc>
              <w:tc>
                <w:tcPr>
                  <w:tcW w:w="3429" w:type="dxa"/>
                  <w:vMerge w:val="continue"/>
                  <w:tcBorders>
                    <w:tl2br w:val="nil"/>
                    <w:tr2bl w:val="nil"/>
                  </w:tcBorders>
                  <w:vAlign w:val="center"/>
                </w:tcPr>
                <w:p w14:paraId="457A0D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r w14:paraId="491219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154FD8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w:t>
                  </w:r>
                </w:p>
              </w:tc>
              <w:tc>
                <w:tcPr>
                  <w:tcW w:w="3030" w:type="dxa"/>
                  <w:tcBorders>
                    <w:tl2br w:val="nil"/>
                    <w:tr2bl w:val="nil"/>
                  </w:tcBorders>
                  <w:shd w:val="clear" w:color="auto" w:fill="auto"/>
                  <w:vAlign w:val="center"/>
                </w:tcPr>
                <w:p w14:paraId="58616F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总余氯</w:t>
                  </w: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（mg/L）</w:t>
                  </w:r>
                </w:p>
              </w:tc>
              <w:tc>
                <w:tcPr>
                  <w:tcW w:w="1065" w:type="dxa"/>
                  <w:tcBorders>
                    <w:tl2br w:val="nil"/>
                    <w:tr2bl w:val="nil"/>
                  </w:tcBorders>
                  <w:shd w:val="clear" w:color="auto" w:fill="auto"/>
                  <w:vAlign w:val="center"/>
                </w:tcPr>
                <w:p w14:paraId="026B4A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2-8</w:t>
                  </w:r>
                </w:p>
              </w:tc>
              <w:tc>
                <w:tcPr>
                  <w:tcW w:w="3429" w:type="dxa"/>
                  <w:vMerge w:val="continue"/>
                  <w:tcBorders>
                    <w:tl2br w:val="nil"/>
                    <w:tr2bl w:val="nil"/>
                  </w:tcBorders>
                  <w:vAlign w:val="center"/>
                </w:tcPr>
                <w:p w14:paraId="0BF18E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r w14:paraId="505F37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dxa"/>
                  <w:tcBorders>
                    <w:tl2br w:val="nil"/>
                    <w:tr2bl w:val="nil"/>
                  </w:tcBorders>
                  <w:vAlign w:val="center"/>
                </w:tcPr>
                <w:p w14:paraId="2D5235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7</w:t>
                  </w:r>
                </w:p>
              </w:tc>
              <w:tc>
                <w:tcPr>
                  <w:tcW w:w="3030" w:type="dxa"/>
                  <w:tcBorders>
                    <w:tl2br w:val="nil"/>
                    <w:tr2bl w:val="nil"/>
                  </w:tcBorders>
                  <w:vAlign w:val="center"/>
                </w:tcPr>
                <w:p w14:paraId="66B121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氨氮（mg/L）</w:t>
                  </w:r>
                </w:p>
              </w:tc>
              <w:tc>
                <w:tcPr>
                  <w:tcW w:w="1065" w:type="dxa"/>
                  <w:tcBorders>
                    <w:tl2br w:val="nil"/>
                    <w:tr2bl w:val="nil"/>
                  </w:tcBorders>
                  <w:vAlign w:val="center"/>
                </w:tcPr>
                <w:p w14:paraId="282B6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45</w:t>
                  </w:r>
                </w:p>
              </w:tc>
              <w:tc>
                <w:tcPr>
                  <w:tcW w:w="3429" w:type="dxa"/>
                  <w:tcBorders>
                    <w:tl2br w:val="nil"/>
                    <w:tr2bl w:val="nil"/>
                  </w:tcBorders>
                  <w:vAlign w:val="center"/>
                </w:tcPr>
                <w:p w14:paraId="16A203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北京市《水污染物综合排放标准》（DB11/307-2013）表3排入公共污水处理系统的水污染物限值</w:t>
                  </w:r>
                </w:p>
              </w:tc>
            </w:tr>
          </w:tbl>
          <w:p w14:paraId="6D2525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3、噪声</w:t>
            </w:r>
          </w:p>
          <w:p w14:paraId="68FC1B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项目施工期噪声执行《建筑施工场界环境噪声排放标准》(GB12523-2011)规定的建筑施工场界环境噪声排放限值，具体限值见下表。</w:t>
            </w:r>
          </w:p>
          <w:p w14:paraId="72CF26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1"/>
                <w:szCs w:val="21"/>
                <w:highlight w:val="none"/>
                <w:lang w:val="en-US" w:eastAsia="zh-CN"/>
                <w14:textFill>
                  <w14:solidFill>
                    <w14:schemeClr w14:val="tx1"/>
                  </w14:solidFill>
                </w14:textFill>
              </w:rPr>
              <w:t>表3-7 建筑施工场界环境噪声排放标准限值</w:t>
            </w:r>
          </w:p>
          <w:tbl>
            <w:tblPr>
              <w:tblStyle w:val="1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7"/>
              <w:gridCol w:w="2451"/>
              <w:gridCol w:w="3493"/>
            </w:tblGrid>
            <w:tr w14:paraId="392394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2" w:type="dxa"/>
                  <w:tcBorders>
                    <w:tl2br w:val="nil"/>
                    <w:tr2bl w:val="nil"/>
                  </w:tcBorders>
                  <w:vAlign w:val="center"/>
                </w:tcPr>
                <w:p w14:paraId="5D18BE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昼间</w:t>
                  </w:r>
                </w:p>
              </w:tc>
              <w:tc>
                <w:tcPr>
                  <w:tcW w:w="2415" w:type="dxa"/>
                  <w:tcBorders>
                    <w:tl2br w:val="nil"/>
                    <w:tr2bl w:val="nil"/>
                  </w:tcBorders>
                  <w:vAlign w:val="center"/>
                </w:tcPr>
                <w:p w14:paraId="75EAB6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夜间</w:t>
                  </w:r>
                </w:p>
              </w:tc>
              <w:tc>
                <w:tcPr>
                  <w:tcW w:w="3442" w:type="dxa"/>
                  <w:tcBorders>
                    <w:tl2br w:val="nil"/>
                    <w:tr2bl w:val="nil"/>
                  </w:tcBorders>
                  <w:vAlign w:val="center"/>
                </w:tcPr>
                <w:p w14:paraId="14D139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执行标准</w:t>
                  </w:r>
                </w:p>
              </w:tc>
            </w:tr>
            <w:tr w14:paraId="5139F7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2" w:type="dxa"/>
                  <w:tcBorders>
                    <w:tl2br w:val="nil"/>
                    <w:tr2bl w:val="nil"/>
                  </w:tcBorders>
                  <w:vAlign w:val="center"/>
                </w:tcPr>
                <w:p w14:paraId="5F25CE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70dB(A)</w:t>
                  </w:r>
                </w:p>
              </w:tc>
              <w:tc>
                <w:tcPr>
                  <w:tcW w:w="2415" w:type="dxa"/>
                  <w:tcBorders>
                    <w:tl2br w:val="nil"/>
                    <w:tr2bl w:val="nil"/>
                  </w:tcBorders>
                  <w:vAlign w:val="center"/>
                </w:tcPr>
                <w:p w14:paraId="1BA0C3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55dB(A)</w:t>
                  </w:r>
                </w:p>
              </w:tc>
              <w:tc>
                <w:tcPr>
                  <w:tcW w:w="3442" w:type="dxa"/>
                  <w:tcBorders>
                    <w:tl2br w:val="nil"/>
                    <w:tr2bl w:val="nil"/>
                  </w:tcBorders>
                  <w:vAlign w:val="center"/>
                </w:tcPr>
                <w:p w14:paraId="53AB56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《建筑施工场界环境噪声排放标准》(GB12523-2011)</w:t>
                  </w:r>
                </w:p>
              </w:tc>
            </w:tr>
          </w:tbl>
          <w:p w14:paraId="6358D3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项目运营期东侧、南侧厂界噪声执行《工业企业厂界环境噪声排放标准》（GB12348-2008）1类标准，其余厂界执行《工业企业厂界环境噪声排放标准》（GB12348-2008）4a类标准。具体限值见下表。</w:t>
            </w:r>
          </w:p>
          <w:p w14:paraId="583C7E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1"/>
                <w:szCs w:val="21"/>
                <w:highlight w:val="none"/>
                <w:lang w:val="en-US" w:eastAsia="zh-CN"/>
                <w14:textFill>
                  <w14:solidFill>
                    <w14:schemeClr w14:val="tx1"/>
                  </w14:solidFill>
                </w14:textFill>
              </w:rPr>
              <w:t>表3-8 工业企业厂界环境噪声排放限值</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720"/>
              <w:gridCol w:w="1720"/>
              <w:gridCol w:w="3511"/>
            </w:tblGrid>
            <w:tr w14:paraId="6A07EC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2" w:type="dxa"/>
                  <w:tcBorders>
                    <w:tl2br w:val="nil"/>
                    <w:tr2bl w:val="nil"/>
                  </w:tcBorders>
                  <w:vAlign w:val="center"/>
                </w:tcPr>
                <w:p w14:paraId="54136E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类别</w:t>
                  </w:r>
                </w:p>
              </w:tc>
              <w:tc>
                <w:tcPr>
                  <w:tcW w:w="1695" w:type="dxa"/>
                  <w:tcBorders>
                    <w:tl2br w:val="nil"/>
                    <w:tr2bl w:val="nil"/>
                  </w:tcBorders>
                  <w:vAlign w:val="center"/>
                </w:tcPr>
                <w:p w14:paraId="460A43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昼间</w:t>
                  </w:r>
                </w:p>
              </w:tc>
              <w:tc>
                <w:tcPr>
                  <w:tcW w:w="1695" w:type="dxa"/>
                  <w:tcBorders>
                    <w:tl2br w:val="nil"/>
                    <w:tr2bl w:val="nil"/>
                  </w:tcBorders>
                  <w:vAlign w:val="center"/>
                </w:tcPr>
                <w:p w14:paraId="45419C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夜间</w:t>
                  </w:r>
                </w:p>
              </w:tc>
              <w:tc>
                <w:tcPr>
                  <w:tcW w:w="3458" w:type="dxa"/>
                  <w:tcBorders>
                    <w:tl2br w:val="nil"/>
                    <w:tr2bl w:val="nil"/>
                  </w:tcBorders>
                  <w:vAlign w:val="center"/>
                </w:tcPr>
                <w:p w14:paraId="56A097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执行标准</w:t>
                  </w:r>
                </w:p>
              </w:tc>
            </w:tr>
            <w:tr w14:paraId="75EEC1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2" w:type="dxa"/>
                  <w:tcBorders>
                    <w:tl2br w:val="nil"/>
                    <w:tr2bl w:val="nil"/>
                  </w:tcBorders>
                  <w:shd w:val="clear" w:color="auto" w:fill="auto"/>
                  <w:vAlign w:val="center"/>
                </w:tcPr>
                <w:p w14:paraId="37516B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1类</w:t>
                  </w:r>
                </w:p>
              </w:tc>
              <w:tc>
                <w:tcPr>
                  <w:tcW w:w="1695" w:type="dxa"/>
                  <w:tcBorders>
                    <w:tl2br w:val="nil"/>
                    <w:tr2bl w:val="nil"/>
                  </w:tcBorders>
                  <w:shd w:val="clear" w:color="auto" w:fill="auto"/>
                  <w:vAlign w:val="center"/>
                </w:tcPr>
                <w:p w14:paraId="74F97A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55dB(A)</w:t>
                  </w:r>
                </w:p>
              </w:tc>
              <w:tc>
                <w:tcPr>
                  <w:tcW w:w="1695" w:type="dxa"/>
                  <w:tcBorders>
                    <w:tl2br w:val="nil"/>
                    <w:tr2bl w:val="nil"/>
                  </w:tcBorders>
                  <w:shd w:val="clear" w:color="auto" w:fill="auto"/>
                  <w:vAlign w:val="center"/>
                </w:tcPr>
                <w:p w14:paraId="189D15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45dB(A)</w:t>
                  </w:r>
                </w:p>
              </w:tc>
              <w:tc>
                <w:tcPr>
                  <w:tcW w:w="3458" w:type="dxa"/>
                  <w:vMerge w:val="restart"/>
                  <w:tcBorders>
                    <w:tl2br w:val="nil"/>
                    <w:tr2bl w:val="nil"/>
                  </w:tcBorders>
                  <w:vAlign w:val="center"/>
                </w:tcPr>
                <w:p w14:paraId="671FDF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《工业企业厂界环境噪声排放标准》（GB12348-2008）</w:t>
                  </w:r>
                </w:p>
              </w:tc>
            </w:tr>
            <w:tr w14:paraId="0CC39D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2" w:type="dxa"/>
                  <w:tcBorders>
                    <w:tl2br w:val="nil"/>
                    <w:tr2bl w:val="nil"/>
                  </w:tcBorders>
                  <w:shd w:val="clear" w:color="auto" w:fill="auto"/>
                  <w:vAlign w:val="center"/>
                </w:tcPr>
                <w:p w14:paraId="190042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4a类</w:t>
                  </w:r>
                </w:p>
              </w:tc>
              <w:tc>
                <w:tcPr>
                  <w:tcW w:w="1695" w:type="dxa"/>
                  <w:tcBorders>
                    <w:tl2br w:val="nil"/>
                    <w:tr2bl w:val="nil"/>
                  </w:tcBorders>
                  <w:shd w:val="clear" w:color="auto" w:fill="auto"/>
                  <w:vAlign w:val="center"/>
                </w:tcPr>
                <w:p w14:paraId="1F183E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75dB(A)</w:t>
                  </w:r>
                </w:p>
              </w:tc>
              <w:tc>
                <w:tcPr>
                  <w:tcW w:w="1695" w:type="dxa"/>
                  <w:tcBorders>
                    <w:tl2br w:val="nil"/>
                    <w:tr2bl w:val="nil"/>
                  </w:tcBorders>
                  <w:shd w:val="clear" w:color="auto" w:fill="auto"/>
                  <w:vAlign w:val="center"/>
                </w:tcPr>
                <w:p w14:paraId="0FC4A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65dB(A)</w:t>
                  </w:r>
                </w:p>
              </w:tc>
              <w:tc>
                <w:tcPr>
                  <w:tcW w:w="3458" w:type="dxa"/>
                  <w:vMerge w:val="continue"/>
                  <w:tcBorders>
                    <w:tl2br w:val="nil"/>
                    <w:tr2bl w:val="nil"/>
                  </w:tcBorders>
                  <w:vAlign w:val="center"/>
                </w:tcPr>
                <w:p w14:paraId="0C8EAB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pPr>
                </w:p>
              </w:tc>
            </w:tr>
          </w:tbl>
          <w:p w14:paraId="12BDF3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4、固体废物</w:t>
            </w:r>
          </w:p>
          <w:p w14:paraId="73EA1D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olor w:val="000000" w:themeColor="text1"/>
                <w:kern w:val="0"/>
                <w:highlight w:val="none"/>
                <w14:textFill>
                  <w14:solidFill>
                    <w14:schemeClr w14:val="tx1"/>
                  </w14:solidFill>
                </w14:textFill>
              </w:rPr>
              <w:t>本项目固体废物执行《中华人民共和国固体废物污染环境防治法》（2020年4月29日修订）中有关规定。</w:t>
            </w:r>
          </w:p>
          <w:p w14:paraId="0F4983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eastAsia="zh-CN"/>
                <w14:textFill>
                  <w14:solidFill>
                    <w14:schemeClr w14:val="tx1"/>
                  </w14:solidFill>
                </w14:textFill>
              </w:rPr>
            </w:pPr>
            <w:r>
              <w:rPr>
                <w:rFonts w:hint="eastAsia" w:cs="Times New Roman"/>
                <w:b w:val="0"/>
                <w:bCs w:val="0"/>
                <w:color w:val="000000" w:themeColor="text1"/>
                <w:kern w:val="0"/>
                <w:sz w:val="24"/>
                <w:szCs w:val="24"/>
                <w:highlight w:val="none"/>
                <w:lang w:eastAsia="zh-CN"/>
                <w14:textFill>
                  <w14:solidFill>
                    <w14:schemeClr w14:val="tx1"/>
                  </w14:solidFill>
                </w14:textFill>
              </w:rPr>
              <w:t>生活垃圾处理执行《北京市生活垃圾管理条例》（2020年</w:t>
            </w:r>
            <w:r>
              <w:rPr>
                <w:rFonts w:hint="eastAsia" w:cs="Times New Roman"/>
                <w:b w:val="0"/>
                <w:bCs w:val="0"/>
                <w:color w:val="000000" w:themeColor="text1"/>
                <w:kern w:val="0"/>
                <w:sz w:val="24"/>
                <w:szCs w:val="24"/>
                <w:highlight w:val="none"/>
                <w:lang w:val="en-US" w:eastAsia="zh-CN"/>
                <w14:textFill>
                  <w14:solidFill>
                    <w14:schemeClr w14:val="tx1"/>
                  </w14:solidFill>
                </w14:textFill>
              </w:rPr>
              <w:t>9月25日修正</w:t>
            </w:r>
            <w:r>
              <w:rPr>
                <w:rFonts w:hint="eastAsia" w:cs="Times New Roman"/>
                <w:b w:val="0"/>
                <w:bCs w:val="0"/>
                <w:color w:val="000000" w:themeColor="text1"/>
                <w:kern w:val="0"/>
                <w:sz w:val="24"/>
                <w:szCs w:val="24"/>
                <w:highlight w:val="none"/>
                <w:lang w:eastAsia="zh-CN"/>
                <w14:textFill>
                  <w14:solidFill>
                    <w14:schemeClr w14:val="tx1"/>
                  </w14:solidFill>
                </w14:textFill>
              </w:rPr>
              <w:t>）中有关规定。</w:t>
            </w:r>
          </w:p>
          <w:p w14:paraId="353119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olor w:val="000000" w:themeColor="text1"/>
                <w:kern w:val="0"/>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一般固体废物处置执行《中华人民共和国固体废物污染环境防治法》（2020年4月29日修订）中有关规定。</w:t>
            </w:r>
          </w:p>
          <w:p w14:paraId="499A2C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eastAsia="zh-CN"/>
                <w14:textFill>
                  <w14:solidFill>
                    <w14:schemeClr w14:val="tx1"/>
                  </w14:solidFill>
                </w14:textFill>
              </w:rPr>
            </w:pPr>
            <w:r>
              <w:rPr>
                <w:rFonts w:hint="eastAsia" w:cs="Times New Roman"/>
                <w:b w:val="0"/>
                <w:bCs w:val="0"/>
                <w:color w:val="000000" w:themeColor="text1"/>
                <w:kern w:val="0"/>
                <w:sz w:val="24"/>
                <w:szCs w:val="24"/>
                <w:highlight w:val="none"/>
                <w:lang w:eastAsia="zh-CN"/>
                <w14:textFill>
                  <w14:solidFill>
                    <w14:schemeClr w14:val="tx1"/>
                  </w14:solidFill>
                </w14:textFill>
              </w:rPr>
              <w:t>危险废物执行《危险废物贮存污染控制标准》（GB18597-2023）、《危险废物污染防治技术政策》、《危险废物转移管理办法》和《北京市危险废物污染环境防治条例》中的有关规定。危险废物中的医疗废物收集、储存、转运等还应严格执行《医疗废物专用包装袋、容器和警示标志标准》（HJ421-2008）、《医疗废物管理条例》（2011年修订）、《医疗废物处理处置污染控制标准》中的有关规定。</w:t>
            </w:r>
          </w:p>
          <w:p w14:paraId="61F862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eastAsia="zh-CN"/>
                <w14:textFill>
                  <w14:solidFill>
                    <w14:schemeClr w14:val="tx1"/>
                  </w14:solidFill>
                </w14:textFill>
              </w:rPr>
              <w:t>根据《医疗机构水污染物排放标准》（GB18466-2005）中有关污泥控制与处置的规定：化粪池污泥、污水处理设施栅渣及污泥属危险废物，应按危险废物进行处理和处置。污泥清淘前应进行监测，达到</w:t>
            </w:r>
            <w:r>
              <w:rPr>
                <w:rFonts w:hint="eastAsia" w:cs="Times New Roman"/>
                <w:b w:val="0"/>
                <w:bCs w:val="0"/>
                <w:color w:val="000000" w:themeColor="text1"/>
                <w:kern w:val="0"/>
                <w:sz w:val="24"/>
                <w:szCs w:val="24"/>
                <w:highlight w:val="none"/>
                <w:lang w:val="en-US" w:eastAsia="zh-CN"/>
                <w14:textFill>
                  <w14:solidFill>
                    <w14:schemeClr w14:val="tx1"/>
                  </w14:solidFill>
                </w14:textFill>
              </w:rPr>
              <w:t>下表要求。</w:t>
            </w:r>
          </w:p>
          <w:p w14:paraId="2053B8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1"/>
                <w:szCs w:val="21"/>
                <w:highlight w:val="none"/>
                <w:lang w:val="en-US" w:eastAsia="zh-CN"/>
                <w14:textFill>
                  <w14:solidFill>
                    <w14:schemeClr w14:val="tx1"/>
                  </w14:solidFill>
                </w14:textFill>
              </w:rPr>
              <w:t>表3-9 医疗机构污泥控制标准</w:t>
            </w:r>
          </w:p>
          <w:tbl>
            <w:tblPr>
              <w:tblStyle w:val="1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30"/>
              <w:gridCol w:w="2771"/>
              <w:gridCol w:w="2230"/>
            </w:tblGrid>
            <w:tr w14:paraId="3D31F4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2" w:type="dxa"/>
                  <w:tcBorders>
                    <w:tl2br w:val="nil"/>
                    <w:tr2bl w:val="nil"/>
                  </w:tcBorders>
                  <w:vAlign w:val="center"/>
                </w:tcPr>
                <w:p w14:paraId="4D2AFD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医疗机构类别</w:t>
                  </w:r>
                </w:p>
              </w:tc>
              <w:tc>
                <w:tcPr>
                  <w:tcW w:w="2730" w:type="dxa"/>
                  <w:tcBorders>
                    <w:tl2br w:val="nil"/>
                    <w:tr2bl w:val="nil"/>
                  </w:tcBorders>
                  <w:vAlign w:val="center"/>
                </w:tcPr>
                <w:p w14:paraId="39883B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粪大肠菌群数/（MPN/L）</w:t>
                  </w:r>
                </w:p>
              </w:tc>
              <w:tc>
                <w:tcPr>
                  <w:tcW w:w="2197" w:type="dxa"/>
                  <w:tcBorders>
                    <w:tl2br w:val="nil"/>
                    <w:tr2bl w:val="nil"/>
                  </w:tcBorders>
                  <w:vAlign w:val="center"/>
                </w:tcPr>
                <w:p w14:paraId="1C4858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kern w:val="0"/>
                      <w:sz w:val="21"/>
                      <w:szCs w:val="21"/>
                      <w:highlight w:val="none"/>
                      <w:vertAlign w:val="baseline"/>
                      <w:lang w:val="en-US" w:eastAsia="zh-CN"/>
                      <w14:textFill>
                        <w14:solidFill>
                          <w14:schemeClr w14:val="tx1"/>
                        </w14:solidFill>
                      </w14:textFill>
                    </w:rPr>
                  </w:pPr>
                  <w:r>
                    <w:rPr>
                      <w:rFonts w:hint="eastAsia" w:cs="Times New Roman"/>
                      <w:b/>
                      <w:bCs/>
                      <w:color w:val="000000" w:themeColor="text1"/>
                      <w:kern w:val="0"/>
                      <w:sz w:val="21"/>
                      <w:szCs w:val="21"/>
                      <w:highlight w:val="none"/>
                      <w:vertAlign w:val="baseline"/>
                      <w:lang w:val="en-US" w:eastAsia="zh-CN"/>
                      <w14:textFill>
                        <w14:solidFill>
                          <w14:schemeClr w14:val="tx1"/>
                        </w14:solidFill>
                      </w14:textFill>
                    </w:rPr>
                    <w:t>蛔虫卵死亡率/%</w:t>
                  </w:r>
                </w:p>
              </w:tc>
            </w:tr>
            <w:tr w14:paraId="2D308F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2" w:type="dxa"/>
                  <w:tcBorders>
                    <w:tl2br w:val="nil"/>
                    <w:tr2bl w:val="nil"/>
                  </w:tcBorders>
                  <w:vAlign w:val="center"/>
                </w:tcPr>
                <w:p w14:paraId="3455EB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综合医疗机构和其他医疗机构</w:t>
                  </w:r>
                </w:p>
              </w:tc>
              <w:tc>
                <w:tcPr>
                  <w:tcW w:w="2730" w:type="dxa"/>
                  <w:tcBorders>
                    <w:tl2br w:val="nil"/>
                    <w:tr2bl w:val="nil"/>
                  </w:tcBorders>
                  <w:vAlign w:val="center"/>
                </w:tcPr>
                <w:p w14:paraId="63326D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100</w:t>
                  </w:r>
                </w:p>
              </w:tc>
              <w:tc>
                <w:tcPr>
                  <w:tcW w:w="2197" w:type="dxa"/>
                  <w:tcBorders>
                    <w:tl2br w:val="nil"/>
                    <w:tr2bl w:val="nil"/>
                  </w:tcBorders>
                  <w:vAlign w:val="center"/>
                </w:tcPr>
                <w:p w14:paraId="524D67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cs="Times New Roman"/>
                      <w:b w:val="0"/>
                      <w:bCs w:val="0"/>
                      <w:color w:val="000000" w:themeColor="text1"/>
                      <w:kern w:val="0"/>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kern w:val="0"/>
                      <w:sz w:val="21"/>
                      <w:szCs w:val="21"/>
                      <w:highlight w:val="none"/>
                      <w:vertAlign w:val="baseline"/>
                      <w:lang w:val="en-US" w:eastAsia="zh-CN"/>
                      <w14:textFill>
                        <w14:solidFill>
                          <w14:schemeClr w14:val="tx1"/>
                        </w14:solidFill>
                      </w14:textFill>
                    </w:rPr>
                    <w:t>95</w:t>
                  </w:r>
                </w:p>
              </w:tc>
            </w:tr>
          </w:tbl>
          <w:p w14:paraId="734C19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kern w:val="0"/>
                <w:sz w:val="24"/>
                <w:szCs w:val="24"/>
                <w:highlight w:val="none"/>
                <w:lang w:val="en-US" w:eastAsia="zh-CN"/>
                <w14:textFill>
                  <w14:solidFill>
                    <w14:schemeClr w14:val="tx1"/>
                  </w14:solidFill>
                </w14:textFill>
              </w:rPr>
            </w:pPr>
          </w:p>
        </w:tc>
      </w:tr>
      <w:tr w14:paraId="01BA0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14:paraId="5E2C96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0"/>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highlight w:val="none"/>
                <w14:textFill>
                  <w14:solidFill>
                    <w14:schemeClr w14:val="tx1"/>
                  </w14:solidFill>
                </w14:textFill>
              </w:rPr>
              <w:t>总量控制指标</w:t>
            </w:r>
          </w:p>
        </w:tc>
        <w:tc>
          <w:tcPr>
            <w:tcW w:w="8649" w:type="dxa"/>
            <w:vAlign w:val="center"/>
          </w:tcPr>
          <w:p w14:paraId="766DDC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污染物排放总量控制原则</w:t>
            </w:r>
          </w:p>
          <w:p w14:paraId="4424BC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根据北京市环境保护局《关于转发环境保护部&lt;建设项目主要污染物排放总量指标审核及管理暂行办法&gt;的通知》（京环发[2015]19号）的规定、北京市环境保护局《关于建设项目主要污染物排放总量指标审核及管理的补充通知》（京环发[2016]24号）的规定，北京市实施建设项目总量指标审核及管理的污染物包括：二氧化硫和氮氧化物、烟粉尘、挥发性有机物（工业及汽车维修行业）、化学需氧量和氨氮。其中规定</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纳入污水管网通过污水处理设施集中处理污水的生活源建设项目水污染物按照该污水处理厂排入地表水体的标准核算排放总量</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57D0D4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2、建设项目污染物排放总量指标核算</w:t>
            </w:r>
          </w:p>
          <w:p w14:paraId="7D8877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本项目为专科医院建设项目，不属于工业及汽车维修业，因此不需要申请挥发性有机物总量指标。本项目不设锅炉、食堂等，不产生</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二氧化硫</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氮氧化物</w:t>
            </w:r>
            <w:r>
              <w:rPr>
                <w:rFonts w:hint="eastAsia" w:cs="Times New Roman"/>
                <w:b w:val="0"/>
                <w:bCs w:val="0"/>
                <w:color w:val="000000" w:themeColor="text1"/>
                <w:sz w:val="24"/>
                <w:highlight w:val="none"/>
                <w:lang w:val="en-US" w:eastAsia="zh-CN"/>
                <w14:textFill>
                  <w14:solidFill>
                    <w14:schemeClr w14:val="tx1"/>
                  </w14:solidFill>
                </w14:textFill>
              </w:rPr>
              <w:t>和颗粒物，因此不需要申请</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二氧化硫</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氮氧化物</w:t>
            </w:r>
            <w:r>
              <w:rPr>
                <w:rFonts w:hint="eastAsia" w:cs="Times New Roman"/>
                <w:b w:val="0"/>
                <w:bCs w:val="0"/>
                <w:color w:val="000000" w:themeColor="text1"/>
                <w:sz w:val="24"/>
                <w:highlight w:val="none"/>
                <w:lang w:val="en-US" w:eastAsia="zh-CN"/>
                <w14:textFill>
                  <w14:solidFill>
                    <w14:schemeClr w14:val="tx1"/>
                  </w14:solidFill>
                </w14:textFill>
              </w:rPr>
              <w:t>、烟粉尘总量指标。</w:t>
            </w:r>
          </w:p>
          <w:p w14:paraId="2E5F87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项目涉及排放的总量控制污染物为废水中的化学需氧量和氨氮。</w:t>
            </w:r>
          </w:p>
          <w:p w14:paraId="47D8CE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项目所排废水为病房废水、门诊废水、行政人员废水、卫生清洁废水等，全部废水均视为医疗废水。医疗废水经污水处理设施处理后经市政污水管网进入昌平污水处理厂集中处理。本项目废水排放量21151.575m</w:t>
            </w:r>
            <w:r>
              <w:rPr>
                <w:rFonts w:hint="eastAsia" w:cs="Times New Roman"/>
                <w:b w:val="0"/>
                <w:bCs w:val="0"/>
                <w:color w:val="000000" w:themeColor="text1"/>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sz w:val="24"/>
                <w:highlight w:val="none"/>
                <w:lang w:val="en-US" w:eastAsia="zh-CN"/>
                <w14:textFill>
                  <w14:solidFill>
                    <w14:schemeClr w14:val="tx1"/>
                  </w14:solidFill>
                </w14:textFill>
              </w:rPr>
              <w:t>/a。</w:t>
            </w:r>
          </w:p>
          <w:p w14:paraId="730B5A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昌平污水处理厂排水执行《城镇污水处理厂水污染物排放标准》（DB11/890-2012）中“表1新（改、扩）建城镇污水处理厂基本控制项目排放限值B标准”相关要求，其排水水质浓度限值为：COD30mg/L、氨氮1.5（2.5）mg/L（12月1日-3月31日执行2.5mg/L，其余时间执行1.5mg/L）。</w:t>
            </w:r>
          </w:p>
          <w:p w14:paraId="459122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化学需氧量COD最大允许排放量为：</w:t>
            </w:r>
          </w:p>
          <w:p w14:paraId="00ADCC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21151.575m</w:t>
            </w:r>
            <w:r>
              <w:rPr>
                <w:rFonts w:hint="eastAsia" w:cs="Times New Roman"/>
                <w:b w:val="0"/>
                <w:bCs w:val="0"/>
                <w:color w:val="000000" w:themeColor="text1"/>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sz w:val="24"/>
                <w:highlight w:val="none"/>
                <w:lang w:val="en-US" w:eastAsia="zh-CN"/>
                <w14:textFill>
                  <w14:solidFill>
                    <w14:schemeClr w14:val="tx1"/>
                  </w14:solidFill>
                </w14:textFill>
              </w:rPr>
              <w:t>/a×30mg/L×10</w:t>
            </w:r>
            <w:r>
              <w:rPr>
                <w:rFonts w:hint="eastAsia" w:cs="Times New Roman"/>
                <w:b w:val="0"/>
                <w:bCs w:val="0"/>
                <w:color w:val="000000" w:themeColor="text1"/>
                <w:sz w:val="24"/>
                <w:highlight w:val="none"/>
                <w:vertAlign w:val="superscript"/>
                <w:lang w:val="en-US" w:eastAsia="zh-CN"/>
                <w14:textFill>
                  <w14:solidFill>
                    <w14:schemeClr w14:val="tx1"/>
                  </w14:solidFill>
                </w14:textFill>
              </w:rPr>
              <w:t>-6</w:t>
            </w:r>
            <w:r>
              <w:rPr>
                <w:rFonts w:hint="eastAsia" w:cs="Times New Roman"/>
                <w:b w:val="0"/>
                <w:bCs w:val="0"/>
                <w:color w:val="000000" w:themeColor="text1"/>
                <w:sz w:val="24"/>
                <w:highlight w:val="none"/>
                <w:lang w:val="en-US" w:eastAsia="zh-CN"/>
                <w14:textFill>
                  <w14:solidFill>
                    <w14:schemeClr w14:val="tx1"/>
                  </w14:solidFill>
                </w14:textFill>
              </w:rPr>
              <w:t>=0.635t/a</w:t>
            </w:r>
          </w:p>
          <w:p w14:paraId="2A3B20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氨氮最大允许排放量为：</w:t>
            </w:r>
          </w:p>
          <w:p w14:paraId="5EE42C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21151.575m</w:t>
            </w:r>
            <w:r>
              <w:rPr>
                <w:rFonts w:hint="eastAsia" w:cs="Times New Roman"/>
                <w:b w:val="0"/>
                <w:bCs w:val="0"/>
                <w:color w:val="000000" w:themeColor="text1"/>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sz w:val="24"/>
                <w:highlight w:val="none"/>
                <w:lang w:val="en-US" w:eastAsia="zh-CN"/>
                <w14:textFill>
                  <w14:solidFill>
                    <w14:schemeClr w14:val="tx1"/>
                  </w14:solidFill>
                </w14:textFill>
              </w:rPr>
              <w:t>/a×（1.5mg/L×2/3+2.5mg/L×1/3）×10</w:t>
            </w:r>
            <w:r>
              <w:rPr>
                <w:rFonts w:hint="eastAsia" w:cs="Times New Roman"/>
                <w:b w:val="0"/>
                <w:bCs w:val="0"/>
                <w:color w:val="000000" w:themeColor="text1"/>
                <w:sz w:val="24"/>
                <w:highlight w:val="none"/>
                <w:vertAlign w:val="superscript"/>
                <w:lang w:val="en-US" w:eastAsia="zh-CN"/>
                <w14:textFill>
                  <w14:solidFill>
                    <w14:schemeClr w14:val="tx1"/>
                  </w14:solidFill>
                </w14:textFill>
              </w:rPr>
              <w:t>-6</w:t>
            </w:r>
            <w:r>
              <w:rPr>
                <w:rFonts w:hint="eastAsia" w:cs="Times New Roman"/>
                <w:b w:val="0"/>
                <w:bCs w:val="0"/>
                <w:color w:val="000000" w:themeColor="text1"/>
                <w:sz w:val="24"/>
                <w:highlight w:val="none"/>
                <w:lang w:val="en-US" w:eastAsia="zh-CN"/>
                <w14:textFill>
                  <w14:solidFill>
                    <w14:schemeClr w14:val="tx1"/>
                  </w14:solidFill>
                </w14:textFill>
              </w:rPr>
              <w:t>=0.0388t/a</w:t>
            </w:r>
          </w:p>
          <w:p w14:paraId="24BCA9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3、总量控制指标</w:t>
            </w:r>
          </w:p>
          <w:p w14:paraId="005DFE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cs="Times New Roman"/>
                <w:b w:val="0"/>
                <w:bCs w:val="0"/>
                <w:color w:val="000000" w:themeColor="text1"/>
                <w:sz w:val="24"/>
                <w:highlight w:val="none"/>
                <w:lang w:val="en-US" w:eastAsia="zh-CN"/>
                <w14:textFill>
                  <w14:solidFill>
                    <w14:schemeClr w14:val="tx1"/>
                  </w14:solidFill>
                </w14:textFill>
              </w:rPr>
            </w:pPr>
            <w:r>
              <w:rPr>
                <w:rFonts w:hint="default" w:cs="Times New Roman"/>
                <w:b w:val="0"/>
                <w:bCs w:val="0"/>
                <w:color w:val="000000" w:themeColor="text1"/>
                <w:sz w:val="24"/>
                <w:highlight w:val="none"/>
                <w:lang w:val="en-US" w:eastAsia="zh-CN"/>
                <w14:textFill>
                  <w14:solidFill>
                    <w14:schemeClr w14:val="tx1"/>
                  </w14:solidFill>
                </w14:textFill>
              </w:rPr>
              <w:t>根据北京市环境保护局关于《转发环境保护部&lt;建设项目主要污染物排放总量指标审核及管理暂行办法&gt;的通知（京环发[2015]19号，2015年7月15日起执行）中的相关规定：</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cs="Times New Roman"/>
                <w:b w:val="0"/>
                <w:bCs w:val="0"/>
                <w:color w:val="000000" w:themeColor="text1"/>
                <w:sz w:val="24"/>
                <w:highlight w:val="none"/>
                <w:lang w:val="en-US" w:eastAsia="zh-CN"/>
                <w14:textFill>
                  <w14:solidFill>
                    <w14:schemeClr w14:val="tx1"/>
                  </w14:solidFill>
                </w14:textFill>
              </w:rPr>
              <w:t>该办法适用于各级环境保护主管部门对建设项目（不含城镇生活污水处理厂、垃圾处理场、危险废物和医疗废物处置场）主要污染排放总量指标的审核与管理。上一年度环境空气质量平均浓度不达标的城市、水环境质量未到要求的市县，相关污染物应按照建设项目所需替代的主要排放总量指标2倍进行削减替代。</w:t>
            </w:r>
            <w:r>
              <w:rPr>
                <w:rFonts w:hint="eastAsia" w:cs="Times New Roman"/>
                <w:b w:val="0"/>
                <w:bCs w:val="0"/>
                <w:color w:val="000000" w:themeColor="text1"/>
                <w:sz w:val="24"/>
                <w:highlight w:val="none"/>
                <w:lang w:val="en-US" w:eastAsia="zh-CN"/>
                <w14:textFill>
                  <w14:solidFill>
                    <w14:schemeClr w14:val="tx1"/>
                  </w14:solidFill>
                </w14:textFill>
              </w:rPr>
              <w:t>”</w:t>
            </w:r>
          </w:p>
          <w:p w14:paraId="780677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本项目所在昌平区上一年度水环境质量达到要求，无需按照2倍进行削减替代。则本项目水污染物总量指标为化学需氧量0.635t/a、氨氮0.0388t/a。</w:t>
            </w:r>
          </w:p>
          <w:p w14:paraId="297D29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EA554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3D3C98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56BA6D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73E19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C88B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83DE4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42A9D1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36434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439068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3F8D1C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6C39E2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6D3A10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6E71A4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0D3AAE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665C33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356F39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220F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0B519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A716E83">
            <w:pPr>
              <w:pStyle w:val="13"/>
              <w:keepNext w:val="0"/>
              <w:keepLines w:val="0"/>
              <w:suppressLineNumbers w:val="0"/>
              <w:spacing w:beforeAutospacing="0" w:afterAutospacing="0"/>
              <w:ind w:lef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497B3B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D9F73E2">
            <w:pPr>
              <w:pStyle w:val="13"/>
              <w:keepNext w:val="0"/>
              <w:keepLines w:val="0"/>
              <w:suppressLineNumbers w:val="0"/>
              <w:spacing w:beforeAutospacing="0" w:afterAutospacing="0"/>
              <w:ind w:lef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C8B3D6E">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03739F79">
            <w:pPr>
              <w:pStyle w:val="13"/>
              <w:keepNext w:val="0"/>
              <w:keepLines w:val="0"/>
              <w:suppressLineNumbers w:val="0"/>
              <w:spacing w:beforeAutospacing="0" w:afterAutospacing="0"/>
              <w:ind w:lef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26FDAEBA">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1EF7E2A7">
            <w:pPr>
              <w:pStyle w:val="13"/>
              <w:keepNext w:val="0"/>
              <w:keepLines w:val="0"/>
              <w:suppressLineNumbers w:val="0"/>
              <w:spacing w:beforeAutospacing="0" w:afterAutospacing="0"/>
              <w:ind w:lef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4FACF96C">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3D4BFDA4">
            <w:pPr>
              <w:pStyle w:val="13"/>
              <w:keepNext w:val="0"/>
              <w:keepLines w:val="0"/>
              <w:suppressLineNumbers w:val="0"/>
              <w:spacing w:beforeAutospacing="0" w:afterAutospacing="0"/>
              <w:ind w:left="0"/>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p>
          <w:p w14:paraId="598D7092">
            <w:pPr>
              <w:pStyle w:val="13"/>
              <w:keepNext w:val="0"/>
              <w:keepLines w:val="0"/>
              <w:suppressLineNumbers w:val="0"/>
              <w:spacing w:beforeAutospacing="0" w:afterAutospacing="0"/>
              <w:ind w:left="0" w:leftChars="0" w:firstLine="0" w:firstLineChars="0"/>
              <w:rPr>
                <w:rFonts w:hint="default"/>
                <w:highlight w:val="none"/>
                <w:lang w:val="en-US" w:eastAsia="zh-CN"/>
              </w:rPr>
            </w:pPr>
          </w:p>
        </w:tc>
      </w:tr>
    </w:tbl>
    <w:p w14:paraId="24BD3DD1">
      <w:pPr>
        <w:spacing w:before="0" w:beforeAutospacing="0"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四、主要环境影响和保护措施</w:t>
      </w:r>
    </w:p>
    <w:tbl>
      <w:tblPr>
        <w:tblStyle w:val="16"/>
        <w:tblW w:w="522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40"/>
        <w:gridCol w:w="9160"/>
      </w:tblGrid>
      <w:tr w14:paraId="73637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4" w:type="dxa"/>
            <w:tcMar>
              <w:left w:w="28" w:type="dxa"/>
              <w:right w:w="28" w:type="dxa"/>
            </w:tcMar>
            <w:vAlign w:val="center"/>
          </w:tcPr>
          <w:p w14:paraId="61E61E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 w:val="0"/>
                <w:bCs w:val="0"/>
                <w:color w:val="000000" w:themeColor="text1"/>
                <w:kern w:val="2"/>
                <w:highlight w:val="none"/>
                <w14:textFill>
                  <w14:solidFill>
                    <w14:schemeClr w14:val="tx1"/>
                  </w14:solidFill>
                </w14:textFill>
              </w:rPr>
            </w:pPr>
            <w:r>
              <w:rPr>
                <w:rFonts w:hint="default" w:ascii="Times New Roman" w:hAnsi="Times New Roman"/>
                <w:b w:val="0"/>
                <w:bCs w:val="0"/>
                <w:color w:val="000000" w:themeColor="text1"/>
                <w:kern w:val="2"/>
                <w:highlight w:val="none"/>
                <w14:textFill>
                  <w14:solidFill>
                    <w14:schemeClr w14:val="tx1"/>
                  </w14:solidFill>
                </w14:textFill>
              </w:rPr>
              <w:t>施工期环境保护措施</w:t>
            </w:r>
          </w:p>
        </w:tc>
        <w:tc>
          <w:tcPr>
            <w:tcW w:w="8653" w:type="dxa"/>
            <w:vAlign w:val="center"/>
          </w:tcPr>
          <w:p w14:paraId="15E448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sz w:val="24"/>
                <w:szCs w:val="24"/>
                <w:highlight w:val="none"/>
                <w14:textFill>
                  <w14:solidFill>
                    <w14:schemeClr w14:val="tx1"/>
                  </w14:solidFill>
                </w14:textFill>
              </w:rPr>
              <w:t>本项目租用</w:t>
            </w:r>
            <w:r>
              <w:rPr>
                <w:rFonts w:hint="eastAsia"/>
                <w:color w:val="000000" w:themeColor="text1"/>
                <w:highlight w:val="none"/>
                <w:lang w:val="en-US" w:eastAsia="zh-CN"/>
                <w14:textFill>
                  <w14:solidFill>
                    <w14:schemeClr w14:val="tx1"/>
                  </w14:solidFill>
                </w14:textFill>
              </w:rPr>
              <w:t>北京市昌平区南邵镇景荣街2号院3号楼6至8层、文智路17号院9号楼1层北侧区域</w:t>
            </w:r>
            <w:r>
              <w:rPr>
                <w:rFonts w:hint="default" w:ascii="Times New Roman" w:hAnsi="Times New Roman" w:eastAsia="宋体" w:cs="Times New Roman"/>
                <w:b w:val="0"/>
                <w:bCs w:val="0"/>
                <w:color w:val="000000" w:themeColor="text1"/>
                <w:spacing w:val="0"/>
                <w:sz w:val="24"/>
                <w:szCs w:val="24"/>
                <w:highlight w:val="none"/>
                <w14:textFill>
                  <w14:solidFill>
                    <w14:schemeClr w14:val="tx1"/>
                  </w14:solidFill>
                </w14:textFill>
              </w:rPr>
              <w:t>现有</w:t>
            </w:r>
            <w:r>
              <w:rPr>
                <w:rFonts w:hint="eastAsia" w:cs="Times New Roman"/>
                <w:b w:val="0"/>
                <w:bCs w:val="0"/>
                <w:color w:val="000000" w:themeColor="text1"/>
                <w:spacing w:val="0"/>
                <w:sz w:val="24"/>
                <w:szCs w:val="24"/>
                <w:highlight w:val="none"/>
                <w:lang w:val="en-US" w:eastAsia="zh-CN"/>
                <w14:textFill>
                  <w14:solidFill>
                    <w14:schemeClr w14:val="tx1"/>
                  </w14:solidFill>
                </w14:textFill>
              </w:rPr>
              <w:t>空置建筑进行室内装修（如内墙表面粉刷、设备安装等），3号楼化粪池和污水处理设施依托现有，9号楼化粪池和污水处理设施安装方式为地埋，施工期为1个月。主要污染物为施工噪声、废气、废水、固体废物（装修垃圾等）。</w:t>
            </w:r>
          </w:p>
          <w:p w14:paraId="4D2CB5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spacing w:val="0"/>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sz w:val="24"/>
                <w:szCs w:val="24"/>
                <w:highlight w:val="no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pacing w:val="0"/>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pacing w:val="0"/>
                <w:sz w:val="24"/>
                <w:szCs w:val="24"/>
                <w:highlight w:val="none"/>
                <w:lang w:val="en-US" w:eastAsia="zh-CN"/>
                <w14:textFill>
                  <w14:solidFill>
                    <w14:schemeClr w14:val="tx1"/>
                  </w14:solidFill>
                </w14:textFill>
              </w:rPr>
              <w:t>废气</w:t>
            </w:r>
          </w:p>
          <w:p w14:paraId="3E8EF3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本项目对租赁房屋进行建设，主要工程为室内装修及设备安装调试，施工过程中产生的废气主要为施工扬尘废气及装修废气。</w:t>
            </w:r>
          </w:p>
          <w:p w14:paraId="7CD4D1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（1）施工扬尘</w:t>
            </w:r>
          </w:p>
          <w:p w14:paraId="643777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本项目施工过程中在对房屋现有内部构筑物的拆除、内部装修及建筑材料运输、装卸环节将产生少量施工扬尘，扬尘量大小与施工现场条件、管理水平等因素有关。虽然施工过程在室内进行，扬尘不会直接对大气环境造成影响，但在物料堆放、清运建筑垃圾过程中，会造成物料沿路撒落或风吹起尘。</w:t>
            </w:r>
          </w:p>
          <w:p w14:paraId="565EDC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为减少施工扬尘对周边环境的影响，拟采取如下防护措施：</w:t>
            </w:r>
          </w:p>
          <w:p w14:paraId="040C94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szCs w:val="24"/>
                <w:highlight w:val="none"/>
                <w:lang w:val="en-US" w:eastAsia="zh-CN"/>
                <w14:textFill>
                  <w14:solidFill>
                    <w14:schemeClr w14:val="tx1"/>
                  </w14:solidFill>
                </w14:textFill>
              </w:rPr>
            </w:pPr>
            <w:r>
              <w:rPr>
                <w:rFonts w:hint="default" w:cs="Times New Roman"/>
                <w:b w:val="0"/>
                <w:bCs w:val="0"/>
                <w:color w:val="000000" w:themeColor="text1"/>
                <w:spacing w:val="0"/>
                <w:sz w:val="24"/>
                <w:szCs w:val="24"/>
                <w:highlight w:val="none"/>
                <w:lang w:val="en-US" w:eastAsia="zh-CN"/>
                <w14:textFill>
                  <w14:solidFill>
                    <w14:schemeClr w14:val="tx1"/>
                  </w14:solidFill>
                </w14:textFill>
              </w:rPr>
              <w:t>①</w:t>
            </w:r>
            <w:r>
              <w:rPr>
                <w:rFonts w:hint="eastAsia" w:cs="Times New Roman"/>
                <w:b w:val="0"/>
                <w:bCs w:val="0"/>
                <w:color w:val="000000" w:themeColor="text1"/>
                <w:spacing w:val="0"/>
                <w:sz w:val="24"/>
                <w:szCs w:val="24"/>
                <w:highlight w:val="none"/>
                <w:lang w:val="en-US" w:eastAsia="zh-CN"/>
                <w14:textFill>
                  <w14:solidFill>
                    <w14:schemeClr w14:val="tx1"/>
                  </w14:solidFill>
                </w14:textFill>
              </w:rPr>
              <w:t>装修产生的建筑垃圾不得露天堆放，并及时清运；</w:t>
            </w:r>
          </w:p>
          <w:p w14:paraId="37FD48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szCs w:val="24"/>
                <w:highlight w:val="none"/>
                <w:lang w:val="en-US" w:eastAsia="zh-CN"/>
                <w14:textFill>
                  <w14:solidFill>
                    <w14:schemeClr w14:val="tx1"/>
                  </w14:solidFill>
                </w14:textFill>
              </w:rPr>
            </w:pPr>
            <w:r>
              <w:rPr>
                <w:rFonts w:hint="default" w:cs="Times New Roman"/>
                <w:b w:val="0"/>
                <w:bCs w:val="0"/>
                <w:color w:val="000000" w:themeColor="text1"/>
                <w:spacing w:val="0"/>
                <w:sz w:val="24"/>
                <w:szCs w:val="24"/>
                <w:highlight w:val="none"/>
                <w:lang w:val="en-US" w:eastAsia="zh-CN"/>
                <w14:textFill>
                  <w14:solidFill>
                    <w14:schemeClr w14:val="tx1"/>
                  </w14:solidFill>
                </w14:textFill>
              </w:rPr>
              <w:t>②</w:t>
            </w:r>
            <w:r>
              <w:rPr>
                <w:rFonts w:hint="eastAsia" w:cs="Times New Roman"/>
                <w:b w:val="0"/>
                <w:bCs w:val="0"/>
                <w:color w:val="000000" w:themeColor="text1"/>
                <w:spacing w:val="0"/>
                <w:sz w:val="24"/>
                <w:szCs w:val="24"/>
                <w:highlight w:val="none"/>
                <w:lang w:val="en-US" w:eastAsia="zh-CN"/>
                <w14:textFill>
                  <w14:solidFill>
                    <w14:schemeClr w14:val="tx1"/>
                  </w14:solidFill>
                </w14:textFill>
              </w:rPr>
              <w:t>对房屋现有内部构筑物拆除及内部装修时，应关闭门窗并及时清理地面尘土，防止扬尘污染；</w:t>
            </w:r>
          </w:p>
          <w:p w14:paraId="622F25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szCs w:val="24"/>
                <w:highlight w:val="none"/>
                <w:lang w:val="en-US" w:eastAsia="zh-CN"/>
                <w14:textFill>
                  <w14:solidFill>
                    <w14:schemeClr w14:val="tx1"/>
                  </w14:solidFill>
                </w14:textFill>
              </w:rPr>
            </w:pPr>
            <w:r>
              <w:rPr>
                <w:rFonts w:hint="default" w:cs="Times New Roman"/>
                <w:b w:val="0"/>
                <w:bCs w:val="0"/>
                <w:color w:val="000000" w:themeColor="text1"/>
                <w:spacing w:val="0"/>
                <w:sz w:val="24"/>
                <w:szCs w:val="24"/>
                <w:highlight w:val="none"/>
                <w:lang w:val="en-US" w:eastAsia="zh-CN"/>
                <w14:textFill>
                  <w14:solidFill>
                    <w14:schemeClr w14:val="tx1"/>
                  </w14:solidFill>
                </w14:textFill>
              </w:rPr>
              <w:t>③</w:t>
            </w:r>
            <w:r>
              <w:rPr>
                <w:rFonts w:hint="eastAsia" w:cs="Times New Roman"/>
                <w:b w:val="0"/>
                <w:bCs w:val="0"/>
                <w:color w:val="000000" w:themeColor="text1"/>
                <w:spacing w:val="0"/>
                <w:sz w:val="24"/>
                <w:szCs w:val="24"/>
                <w:highlight w:val="none"/>
                <w:lang w:val="en-US" w:eastAsia="zh-CN"/>
                <w14:textFill>
                  <w14:solidFill>
                    <w14:schemeClr w14:val="tx1"/>
                  </w14:solidFill>
                </w14:textFill>
              </w:rPr>
              <w:t>易产生扬尘的细颗粒材料，应严密遮盖，运输时要防止遗洒、飞扬，卸运时应采取有效措施以减少扬尘。</w:t>
            </w:r>
          </w:p>
          <w:p w14:paraId="689C4F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（2）装修废气</w:t>
            </w:r>
          </w:p>
          <w:p w14:paraId="5971D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szCs w:val="24"/>
                <w:highlight w:val="none"/>
                <w:lang w:val="en-US" w:eastAsia="zh-CN"/>
                <w14:textFill>
                  <w14:solidFill>
                    <w14:schemeClr w14:val="tx1"/>
                  </w14:solidFill>
                </w14:textFill>
              </w:rPr>
            </w:pPr>
            <w:r>
              <w:rPr>
                <w:rFonts w:hint="eastAsia" w:cs="Times New Roman"/>
                <w:b w:val="0"/>
                <w:bCs w:val="0"/>
                <w:color w:val="000000" w:themeColor="text1"/>
                <w:spacing w:val="0"/>
                <w:sz w:val="24"/>
                <w:szCs w:val="24"/>
                <w:highlight w:val="none"/>
                <w:lang w:val="en-US" w:eastAsia="zh-CN"/>
                <w14:textFill>
                  <w14:solidFill>
                    <w14:schemeClr w14:val="tx1"/>
                  </w14:solidFill>
                </w14:textFill>
              </w:rPr>
              <w:t>项目施工过程中使用含有机成分的建筑装修材料，会产生挥发性有机废气。为减少挥发性有机废气对周边环境的影响，本项目施工期间对挥发性废气重点控制，选用环保型低污染涂料，同时保证室内足够的通风量，预计装修废气对项目外大气环境影响较小。</w:t>
            </w:r>
          </w:p>
          <w:p w14:paraId="651C86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2、废水</w:t>
            </w:r>
          </w:p>
          <w:p w14:paraId="73BFC2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本项目施工人员在当地招募，故施工场地不设临时生活区和餐厅，工人就餐采用订餐外送制。施工期间的废水主要是施工人员的生活污水，施工期生活污水均依托现有的洗手间等设施排放。</w:t>
            </w:r>
          </w:p>
          <w:p w14:paraId="2EF96A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施工人员</w:t>
            </w:r>
            <w:r>
              <w:rPr>
                <w:rFonts w:hint="eastAsia"/>
                <w:color w:val="000000" w:themeColor="text1"/>
                <w:highlight w:val="none"/>
                <w14:textFill>
                  <w14:solidFill>
                    <w14:schemeClr w14:val="tx1"/>
                  </w14:solidFill>
                </w14:textFill>
              </w:rPr>
              <w:t>用水定额参考《建筑给水排水设计标准》（GB50015-2019）中相关数据，用水量按每人每天50L计，生活污水排放量按用水量的85%～95%，按生活用水量的90%计算，污染物的产生浓度为COD</w:t>
            </w:r>
            <w:r>
              <w:rPr>
                <w:rFonts w:hint="eastAsia"/>
                <w:color w:val="000000" w:themeColor="text1"/>
                <w:highlight w:val="none"/>
                <w:lang w:val="en-US" w:eastAsia="zh-CN"/>
                <w14:textFill>
                  <w14:solidFill>
                    <w14:schemeClr w14:val="tx1"/>
                  </w14:solidFill>
                </w14:textFill>
              </w:rPr>
              <w:t>cr</w:t>
            </w:r>
            <w:r>
              <w:rPr>
                <w:rFonts w:hint="eastAsia"/>
                <w:color w:val="000000" w:themeColor="text1"/>
                <w:highlight w:val="none"/>
                <w14:textFill>
                  <w14:solidFill>
                    <w14:schemeClr w14:val="tx1"/>
                  </w14:solidFill>
                </w14:textFill>
              </w:rPr>
              <w:t>400mg/L、BOD</w:t>
            </w:r>
            <w:r>
              <w:rPr>
                <w:rFonts w:hint="eastAsia"/>
                <w:color w:val="000000" w:themeColor="text1"/>
                <w:highlight w:val="none"/>
                <w:vertAlign w:val="subscript"/>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220mg/L、SS200mg/L、NH</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-N35mg/L。根据《化粪池工作原理及水污染物去除率》可知，化粪池对COD</w:t>
            </w:r>
            <w:r>
              <w:rPr>
                <w:rFonts w:hint="eastAsia"/>
                <w:color w:val="000000" w:themeColor="text1"/>
                <w:highlight w:val="none"/>
                <w:lang w:val="en-US" w:eastAsia="zh-CN"/>
                <w14:textFill>
                  <w14:solidFill>
                    <w14:schemeClr w14:val="tx1"/>
                  </w14:solidFill>
                </w14:textFill>
              </w:rPr>
              <w:t>cr</w:t>
            </w:r>
            <w:r>
              <w:rPr>
                <w:rFonts w:hint="eastAsia"/>
                <w:color w:val="000000" w:themeColor="text1"/>
                <w:highlight w:val="none"/>
                <w14:textFill>
                  <w14:solidFill>
                    <w14:schemeClr w14:val="tx1"/>
                  </w14:solidFill>
                </w14:textFill>
              </w:rPr>
              <w:t>、BOD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、SS、氨氮的去除率分别为15%、9%、30%、3%。</w:t>
            </w:r>
          </w:p>
          <w:p w14:paraId="21BA06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本项目施工人员为10人，施工期为1个月，施工人员用水量为0.5</w:t>
            </w:r>
            <w:r>
              <w:rPr>
                <w:rFonts w:hint="default"/>
                <w:b w:val="0"/>
                <w:bCs w:val="0"/>
                <w:color w:val="000000" w:themeColor="text1"/>
                <w:spacing w:val="0"/>
                <w:sz w:val="24"/>
                <w:highlight w:val="none"/>
                <w:lang w:val="en-US" w:eastAsia="zh-CN"/>
                <w14:textFill>
                  <w14:solidFill>
                    <w14:schemeClr w14:val="tx1"/>
                  </w14:solidFill>
                </w14:textFill>
              </w:rPr>
              <w:t>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/d</w:t>
            </w:r>
            <w:r>
              <w:rPr>
                <w:rFonts w:hint="eastAsia"/>
                <w:b w:val="0"/>
                <w:bCs w:val="0"/>
                <w:color w:val="000000" w:themeColor="text1"/>
                <w:spacing w:val="0"/>
                <w:sz w:val="24"/>
                <w:highlight w:val="none"/>
                <w:lang w:val="en-US" w:eastAsia="zh-CN"/>
                <w14:textFill>
                  <w14:solidFill>
                    <w14:schemeClr w14:val="tx1"/>
                  </w14:solidFill>
                </w14:textFill>
              </w:rPr>
              <w:t>（15</w:t>
            </w:r>
            <w:r>
              <w:rPr>
                <w:rFonts w:hint="default"/>
                <w:b w:val="0"/>
                <w:bCs w:val="0"/>
                <w:color w:val="000000" w:themeColor="text1"/>
                <w:spacing w:val="0"/>
                <w:sz w:val="24"/>
                <w:highlight w:val="none"/>
                <w:lang w:val="en-US" w:eastAsia="zh-CN"/>
                <w14:textFill>
                  <w14:solidFill>
                    <w14:schemeClr w14:val="tx1"/>
                  </w14:solidFill>
                </w14:textFill>
              </w:rPr>
              <w:t>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工期），施工期生活污水排放量为0.45</w:t>
            </w:r>
            <w:r>
              <w:rPr>
                <w:rFonts w:hint="default"/>
                <w:b w:val="0"/>
                <w:bCs w:val="0"/>
                <w:color w:val="000000" w:themeColor="text1"/>
                <w:spacing w:val="0"/>
                <w:sz w:val="24"/>
                <w:highlight w:val="none"/>
                <w:lang w:val="en-US" w:eastAsia="zh-CN"/>
                <w14:textFill>
                  <w14:solidFill>
                    <w14:schemeClr w14:val="tx1"/>
                  </w14:solidFill>
                </w14:textFill>
              </w:rPr>
              <w:t>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/d</w:t>
            </w:r>
            <w:r>
              <w:rPr>
                <w:rFonts w:hint="eastAsia"/>
                <w:b w:val="0"/>
                <w:bCs w:val="0"/>
                <w:color w:val="000000" w:themeColor="text1"/>
                <w:spacing w:val="0"/>
                <w:sz w:val="24"/>
                <w:highlight w:val="none"/>
                <w:lang w:val="en-US" w:eastAsia="zh-CN"/>
                <w14:textFill>
                  <w14:solidFill>
                    <w14:schemeClr w14:val="tx1"/>
                  </w14:solidFill>
                </w14:textFill>
              </w:rPr>
              <w:t>（13.5</w:t>
            </w:r>
            <w:r>
              <w:rPr>
                <w:rFonts w:hint="default"/>
                <w:b w:val="0"/>
                <w:bCs w:val="0"/>
                <w:color w:val="000000" w:themeColor="text1"/>
                <w:spacing w:val="0"/>
                <w:sz w:val="24"/>
                <w:highlight w:val="none"/>
                <w:lang w:val="en-US" w:eastAsia="zh-CN"/>
                <w14:textFill>
                  <w14:solidFill>
                    <w14:schemeClr w14:val="tx1"/>
                  </w14:solidFill>
                </w14:textFill>
              </w:rPr>
              <w:t>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工期），施工期生活污水污染物的产生浓度及产生量为</w:t>
            </w:r>
            <w:r>
              <w:rPr>
                <w:rFonts w:hint="eastAsia"/>
                <w:color w:val="000000" w:themeColor="text1"/>
                <w:highlight w:val="none"/>
                <w14:textFill>
                  <w14:solidFill>
                    <w14:schemeClr w14:val="tx1"/>
                  </w14:solidFill>
                </w14:textFill>
              </w:rPr>
              <w:t>COD</w:t>
            </w:r>
            <w:r>
              <w:rPr>
                <w:rFonts w:hint="eastAsia"/>
                <w:color w:val="000000" w:themeColor="text1"/>
                <w:highlight w:val="none"/>
                <w:lang w:val="en-US" w:eastAsia="zh-CN"/>
                <w14:textFill>
                  <w14:solidFill>
                    <w14:schemeClr w14:val="tx1"/>
                  </w14:solidFill>
                </w14:textFill>
              </w:rPr>
              <w:t>cr：</w:t>
            </w:r>
            <w:r>
              <w:rPr>
                <w:rFonts w:hint="eastAsia"/>
                <w:color w:val="000000" w:themeColor="text1"/>
                <w:highlight w:val="none"/>
                <w14:textFill>
                  <w14:solidFill>
                    <w14:schemeClr w14:val="tx1"/>
                  </w14:solidFill>
                </w14:textFill>
              </w:rPr>
              <w:t>400mg/L、</w:t>
            </w:r>
            <w:r>
              <w:rPr>
                <w:rFonts w:hint="eastAsia"/>
                <w:color w:val="000000" w:themeColor="text1"/>
                <w:highlight w:val="none"/>
                <w:lang w:val="en-US" w:eastAsia="zh-CN"/>
                <w14:textFill>
                  <w14:solidFill>
                    <w14:schemeClr w14:val="tx1"/>
                  </w14:solidFill>
                </w14:textFill>
              </w:rPr>
              <w:t>0.0054t，</w:t>
            </w:r>
            <w:r>
              <w:rPr>
                <w:rFonts w:hint="eastAsia"/>
                <w:color w:val="000000" w:themeColor="text1"/>
                <w:highlight w:val="none"/>
                <w14:textFill>
                  <w14:solidFill>
                    <w14:schemeClr w14:val="tx1"/>
                  </w14:solidFill>
                </w14:textFill>
              </w:rPr>
              <w:t>BOD</w:t>
            </w:r>
            <w:r>
              <w:rPr>
                <w:rFonts w:hint="eastAsia"/>
                <w:color w:val="000000" w:themeColor="text1"/>
                <w:highlight w:val="none"/>
                <w:vertAlign w:val="subscript"/>
                <w:lang w:val="en-US" w:eastAsia="zh-CN"/>
                <w14:textFill>
                  <w14:solidFill>
                    <w14:schemeClr w14:val="tx1"/>
                  </w14:solidFill>
                </w14:textFill>
              </w:rPr>
              <w:t>5</w:t>
            </w:r>
            <w:r>
              <w:rPr>
                <w:rFonts w:hint="eastAsia"/>
                <w:color w:val="000000" w:themeColor="text1"/>
                <w:highlight w:val="none"/>
                <w:vertAlign w:val="baseli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220mg/L、</w:t>
            </w:r>
            <w:r>
              <w:rPr>
                <w:rFonts w:hint="eastAsia"/>
                <w:color w:val="000000" w:themeColor="text1"/>
                <w:highlight w:val="none"/>
                <w:lang w:val="en-US" w:eastAsia="zh-CN"/>
                <w14:textFill>
                  <w14:solidFill>
                    <w14:schemeClr w14:val="tx1"/>
                  </w14:solidFill>
                </w14:textFill>
              </w:rPr>
              <w:t>0.0030t，</w:t>
            </w:r>
            <w:r>
              <w:rPr>
                <w:rFonts w:hint="eastAsia"/>
                <w:color w:val="000000" w:themeColor="text1"/>
                <w:highlight w:val="none"/>
                <w14:textFill>
                  <w14:solidFill>
                    <w14:schemeClr w14:val="tx1"/>
                  </w14:solidFill>
                </w14:textFill>
              </w:rPr>
              <w:t>SS</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200mg/L、</w:t>
            </w:r>
            <w:r>
              <w:rPr>
                <w:rFonts w:hint="eastAsia"/>
                <w:color w:val="000000" w:themeColor="text1"/>
                <w:highlight w:val="none"/>
                <w:lang w:val="en-US" w:eastAsia="zh-CN"/>
                <w14:textFill>
                  <w14:solidFill>
                    <w14:schemeClr w14:val="tx1"/>
                  </w14:solidFill>
                </w14:textFill>
              </w:rPr>
              <w:t>0.0027t</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NH</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35mg/L</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0.0005t</w:t>
            </w:r>
            <w:r>
              <w:rPr>
                <w:rFonts w:hint="eastAsia"/>
                <w:color w:val="000000" w:themeColor="text1"/>
                <w:highlight w:val="none"/>
                <w14:textFill>
                  <w14:solidFill>
                    <w14:schemeClr w14:val="tx1"/>
                  </w14:solidFill>
                </w14:textFill>
              </w:rPr>
              <w:t>。</w:t>
            </w:r>
          </w:p>
          <w:p w14:paraId="4D676E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综上所述，本项目施工期间的废水主要是施工人员的生活污水，施工期生活污水进入公共化粪池处理后排入</w:t>
            </w:r>
            <w:r>
              <w:rPr>
                <w:rFonts w:hint="eastAsia"/>
                <w:color w:val="000000" w:themeColor="text1"/>
                <w:highlight w:val="none"/>
                <w:lang w:eastAsia="zh-CN"/>
                <w14:textFill>
                  <w14:solidFill>
                    <w14:schemeClr w14:val="tx1"/>
                  </w14:solidFill>
                </w14:textFill>
              </w:rPr>
              <w:t>昌平污水处理厂</w:t>
            </w:r>
            <w:r>
              <w:rPr>
                <w:rFonts w:hint="default"/>
                <w:color w:val="000000" w:themeColor="text1"/>
                <w:highlight w:val="none"/>
                <w14:textFill>
                  <w14:solidFill>
                    <w14:schemeClr w14:val="tx1"/>
                  </w14:solidFill>
                </w14:textFill>
              </w:rPr>
              <w:t>统一处理，对区域水体环境影响将很小。</w:t>
            </w:r>
          </w:p>
          <w:p w14:paraId="3857AC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3、噪声</w:t>
            </w:r>
          </w:p>
          <w:p w14:paraId="550D84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施工期间噪声主要来自项目内部</w:t>
            </w:r>
            <w:r>
              <w:rPr>
                <w:rFonts w:hint="eastAsia"/>
                <w:color w:val="000000" w:themeColor="text1"/>
                <w:highlight w:val="none"/>
                <w14:textFill>
                  <w14:solidFill>
                    <w14:schemeClr w14:val="tx1"/>
                  </w14:solidFill>
                </w14:textFill>
              </w:rPr>
              <w:t>装修和设备安装过程中使用的电钻、木工设备和空气压缩机等设备。施工阶段应采取如下措施：按规定操作机械设备，遵守作业规定，减少人为机械碰撞噪声；规划施工方案，尽量避免高噪声机械设备同时使用；施工时间应安排在白天，禁止夜间装修扰民；在施工场地外围安装不低于2.5m高的具有隔声效果的围挡；建设单位及装修施工单位应配备必要的专职或兼职环保监管人员，负责监督装修施工过程中噪声防治措施的落实情况。</w:t>
            </w:r>
          </w:p>
          <w:p w14:paraId="27DD06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采取上述措施后，施工期噪声对区域声环境影响较小。</w:t>
            </w:r>
          </w:p>
          <w:p w14:paraId="7FEA12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4、固体废物</w:t>
            </w:r>
          </w:p>
          <w:p w14:paraId="7586A7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施工期间固体废物主要为施工产生的建筑垃圾及生活垃圾。</w:t>
            </w:r>
          </w:p>
          <w:p w14:paraId="5EA2DC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施工期产生的建筑垃圾来自于施工过程产生的拆除物和建筑废料，应运往指定的垃圾处理场所处理、消纳，施工场地应设置施工垃圾临时存放处。生活垃圾主要为现场施工人员产生的日常生活垃圾，产生量平均每人每天0.2kg左右，每天平均施工人数约为10人，则施工期日产生活垃圾2kg。施工场地按照垃圾分类要求设置垃圾桶，施工人员应根据生活垃圾分类要求进行垃圾投放，生活垃圾最终由环卫部门定期清运。</w:t>
            </w:r>
          </w:p>
          <w:p w14:paraId="14EFF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本项目施工期产生的固体废物组成成分相对简单，固体废物均能得到妥善处置。因此本项目施工中产生的固体废物对当地环境影响较小。</w:t>
            </w:r>
          </w:p>
          <w:p w14:paraId="73CB7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综上所述，施工期的环境影响是短期的，建设项目施工阶段完成后，对周边的影响可消除。由于施工期环境影响受人为和自然条件的影响较大，因此应加强对施工现场的管理，遵守北京市的有关规定（如：《北京市建设工程施工现场管理办法》和《绿色施工管理规程》），并认真落实以上提出的各项污染防治措施，坚持文明施工，接受城管部门的监督，最大限度地减少施工期间对周围环境的影响。</w:t>
            </w:r>
          </w:p>
        </w:tc>
      </w:tr>
      <w:tr w14:paraId="39D4F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4" w:type="dxa"/>
            <w:tcMar>
              <w:left w:w="28" w:type="dxa"/>
              <w:right w:w="28" w:type="dxa"/>
            </w:tcMar>
            <w:vAlign w:val="center"/>
          </w:tcPr>
          <w:p w14:paraId="242FD91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highlight w:val="none"/>
                <w14:textFill>
                  <w14:solidFill>
                    <w14:schemeClr w14:val="tx1"/>
                  </w14:solidFill>
                </w14:textFill>
              </w:rPr>
            </w:pPr>
            <w:r>
              <w:rPr>
                <w:rFonts w:hint="default"/>
                <w:b w:val="0"/>
                <w:bCs w:val="0"/>
                <w:color w:val="000000" w:themeColor="text1"/>
                <w:sz w:val="24"/>
                <w:highlight w:val="none"/>
                <w14:textFill>
                  <w14:solidFill>
                    <w14:schemeClr w14:val="tx1"/>
                  </w14:solidFill>
                </w14:textFill>
              </w:rPr>
              <w:t>运营期环境影响和保护措施</w:t>
            </w:r>
          </w:p>
        </w:tc>
        <w:tc>
          <w:tcPr>
            <w:tcW w:w="8653" w:type="dxa"/>
            <w:vAlign w:val="center"/>
          </w:tcPr>
          <w:p w14:paraId="485442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根据项目建设单位提供的资料，结合本项目特点，评价单位对本项目污染源强进行调查分析，筛选出本项目运营期对环境可能产生不良影响的主要有：废气、废水、噪声、固体废物等。</w:t>
            </w:r>
          </w:p>
          <w:p w14:paraId="6A9C76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4"/>
                <w:highlight w:val="none"/>
                <w:lang w:val="en-US" w:eastAsia="zh-CN"/>
                <w14:textFill>
                  <w14:solidFill>
                    <w14:schemeClr w14:val="tx1"/>
                  </w14:solidFill>
                </w14:textFill>
              </w:rPr>
              <w:t>1、废气环境影响分析</w:t>
            </w:r>
          </w:p>
          <w:p w14:paraId="52B6FD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本项目医学检验科</w:t>
            </w:r>
            <w:r>
              <w:rPr>
                <w:rFonts w:hint="eastAsia"/>
                <w:color w:val="000000" w:themeColor="text1"/>
                <w:highlight w:val="none"/>
                <w14:textFill>
                  <w14:solidFill>
                    <w14:schemeClr w14:val="tx1"/>
                  </w14:solidFill>
                </w14:textFill>
              </w:rPr>
              <w:t>主要进行常规血液、尿液等生化指标检验，</w:t>
            </w:r>
            <w:r>
              <w:rPr>
                <w:rFonts w:hint="eastAsia"/>
                <w:b w:val="0"/>
                <w:bCs w:val="0"/>
                <w:color w:val="000000" w:themeColor="text1"/>
                <w:spacing w:val="0"/>
                <w:sz w:val="24"/>
                <w:highlight w:val="none"/>
                <w:lang w:val="en-US" w:eastAsia="zh-CN"/>
                <w14:textFill>
                  <w14:solidFill>
                    <w14:schemeClr w14:val="tx1"/>
                  </w14:solidFill>
                </w14:textFill>
              </w:rPr>
              <w:t>使用的试剂盒、检测试剂全部为成套材料，上机直接检验，不使用化学试剂，无化验废气产生，无含病原微生物的气溶胶产生。本项目使用一定的医用酒精</w:t>
            </w:r>
            <w:r>
              <w:rPr>
                <w:rFonts w:hint="eastAsia"/>
                <w:color w:val="000000" w:themeColor="text1"/>
                <w:highlight w:val="none"/>
                <w14:textFill>
                  <w14:solidFill>
                    <w14:schemeClr w14:val="tx1"/>
                  </w14:solidFill>
                </w14:textFill>
              </w:rPr>
              <w:t>（75%乙醇）作为医用消毒剂，在各科室内使用，使用较分散，且使用量小，对环境影响很小，因此不对酒精挥发废气进行分析。</w:t>
            </w:r>
          </w:p>
          <w:p w14:paraId="2E86CA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本项目使用的污水处理设施为一体化污水处理设施，3号楼污水处理设施处理工艺主要采用“</w:t>
            </w:r>
            <w:r>
              <w:rPr>
                <w:rFonts w:hint="eastAsia" w:cs="Times New Roman"/>
                <w:b w:val="0"/>
                <w:bCs w:val="0"/>
                <w:color w:val="000000" w:themeColor="text1"/>
                <w:kern w:val="0"/>
                <w:sz w:val="24"/>
                <w:highlight w:val="none"/>
                <w:lang w:val="en-US" w:eastAsia="zh-CN" w:bidi="ar"/>
                <w14:textFill>
                  <w14:solidFill>
                    <w14:schemeClr w14:val="tx1"/>
                  </w14:solidFill>
                </w14:textFill>
              </w:rPr>
              <w:t>化粪池+格栅+沉淀+消毒</w:t>
            </w:r>
            <w:r>
              <w:rPr>
                <w:rFonts w:hint="eastAsia"/>
                <w:b w:val="0"/>
                <w:bCs w:val="0"/>
                <w:color w:val="000000" w:themeColor="text1"/>
                <w:spacing w:val="0"/>
                <w:sz w:val="24"/>
                <w:highlight w:val="none"/>
                <w:lang w:val="en-US" w:eastAsia="zh-CN"/>
                <w14:textFill>
                  <w14:solidFill>
                    <w14:schemeClr w14:val="tx1"/>
                  </w14:solidFill>
                </w14:textFill>
              </w:rPr>
              <w:t>”；9号楼污水处理设施处理工艺主要采用“</w:t>
            </w:r>
            <w:r>
              <w:rPr>
                <w:rFonts w:hint="eastAsia" w:cs="Times New Roman"/>
                <w:b w:val="0"/>
                <w:bCs w:val="0"/>
                <w:color w:val="000000" w:themeColor="text1"/>
                <w:kern w:val="0"/>
                <w:sz w:val="24"/>
                <w:highlight w:val="none"/>
                <w:lang w:val="en-US" w:eastAsia="zh-CN" w:bidi="ar"/>
                <w14:textFill>
                  <w14:solidFill>
                    <w14:schemeClr w14:val="tx1"/>
                  </w14:solidFill>
                </w14:textFill>
              </w:rPr>
              <w:t>过滤+消毒</w:t>
            </w:r>
            <w:r>
              <w:rPr>
                <w:rFonts w:hint="eastAsia"/>
                <w:b w:val="0"/>
                <w:bCs w:val="0"/>
                <w:color w:val="000000" w:themeColor="text1"/>
                <w:spacing w:val="0"/>
                <w:sz w:val="24"/>
                <w:highlight w:val="none"/>
                <w:lang w:val="en-US" w:eastAsia="zh-CN"/>
                <w14:textFill>
                  <w14:solidFill>
                    <w14:schemeClr w14:val="tx1"/>
                  </w14:solidFill>
                </w14:textFill>
              </w:rPr>
              <w:t>”。无生化处理工艺。</w:t>
            </w:r>
          </w:p>
          <w:p w14:paraId="2E4E1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本项目3号楼污水处理设施（设计污水处理能力为100m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/d），9号楼污水处理设施（设计污水处理能力为2m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/d），用于处理项目运营期排放的医疗废水，采取地埋方式。污水处理设施运行过程中有机物腐败产生臭味，臭味来自沉淀池等设施，污水处理设施对产生臭气的主要构筑物进行加盖封闭。</w:t>
            </w:r>
          </w:p>
          <w:p w14:paraId="3B49D4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（1）污水处理设施周边恶臭气体类比分析</w:t>
            </w:r>
          </w:p>
          <w:p w14:paraId="2CF122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根据类比对象北京雍禾医院有限公司，污水处理工艺采用“化粪池+一级强化处理+消毒”处理，设计处理规模为30m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/d，主要处理医院所产生的医疗污水、生活污水。本项目3号楼污水处理设施采用“</w:t>
            </w:r>
            <w:r>
              <w:rPr>
                <w:rFonts w:hint="eastAsia" w:cs="Times New Roman"/>
                <w:b w:val="0"/>
                <w:bCs w:val="0"/>
                <w:color w:val="000000" w:themeColor="text1"/>
                <w:kern w:val="0"/>
                <w:sz w:val="24"/>
                <w:highlight w:val="none"/>
                <w:lang w:val="en-US" w:eastAsia="zh-CN" w:bidi="ar"/>
                <w14:textFill>
                  <w14:solidFill>
                    <w14:schemeClr w14:val="tx1"/>
                  </w14:solidFill>
                </w14:textFill>
              </w:rPr>
              <w:t>化粪池+格栅+沉淀+消毒</w:t>
            </w:r>
            <w:r>
              <w:rPr>
                <w:rFonts w:hint="eastAsia"/>
                <w:b w:val="0"/>
                <w:bCs w:val="0"/>
                <w:color w:val="000000" w:themeColor="text1"/>
                <w:spacing w:val="0"/>
                <w:sz w:val="24"/>
                <w:highlight w:val="none"/>
                <w:lang w:val="en-US" w:eastAsia="zh-CN"/>
                <w14:textFill>
                  <w14:solidFill>
                    <w14:schemeClr w14:val="tx1"/>
                  </w14:solidFill>
                </w14:textFill>
              </w:rPr>
              <w:t>”处理工艺，设计处理规模为100m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/d；9号楼污水处理设施采用“</w:t>
            </w:r>
            <w:r>
              <w:rPr>
                <w:rFonts w:hint="eastAsia" w:cs="Times New Roman"/>
                <w:b w:val="0"/>
                <w:bCs w:val="0"/>
                <w:color w:val="000000" w:themeColor="text1"/>
                <w:kern w:val="0"/>
                <w:sz w:val="24"/>
                <w:highlight w:val="none"/>
                <w:lang w:val="en-US" w:eastAsia="zh-CN" w:bidi="ar"/>
                <w14:textFill>
                  <w14:solidFill>
                    <w14:schemeClr w14:val="tx1"/>
                  </w14:solidFill>
                </w14:textFill>
              </w:rPr>
              <w:t>过滤+消毒</w:t>
            </w:r>
            <w:r>
              <w:rPr>
                <w:rFonts w:hint="eastAsia"/>
                <w:b w:val="0"/>
                <w:bCs w:val="0"/>
                <w:color w:val="000000" w:themeColor="text1"/>
                <w:spacing w:val="0"/>
                <w:sz w:val="24"/>
                <w:highlight w:val="none"/>
                <w:lang w:val="en-US" w:eastAsia="zh-CN"/>
                <w14:textFill>
                  <w14:solidFill>
                    <w14:schemeClr w14:val="tx1"/>
                  </w14:solidFill>
                </w14:textFill>
              </w:rPr>
              <w:t>”处理工艺，设计处理规模为2m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/d。项目类比一览表详见下表。</w:t>
            </w:r>
          </w:p>
          <w:p w14:paraId="77017912">
            <w:pPr>
              <w:pStyle w:val="36"/>
              <w:keepNext w:val="0"/>
              <w:keepLines w:val="0"/>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表4-1 污水处理设施情况对比一类表</w:t>
            </w:r>
          </w:p>
          <w:tbl>
            <w:tblPr>
              <w:tblStyle w:val="1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2427"/>
              <w:gridCol w:w="2710"/>
              <w:gridCol w:w="2710"/>
            </w:tblGrid>
            <w:tr w14:paraId="3FBFE3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104B46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项目</w:t>
                  </w:r>
                </w:p>
              </w:tc>
              <w:tc>
                <w:tcPr>
                  <w:tcW w:w="1357" w:type="pct"/>
                  <w:tcBorders>
                    <w:tl2br w:val="nil"/>
                    <w:tr2bl w:val="nil"/>
                  </w:tcBorders>
                  <w:vAlign w:val="center"/>
                </w:tcPr>
                <w:p w14:paraId="1999E0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default"/>
                      <w:b w:val="0"/>
                      <w:bCs w:val="0"/>
                      <w:color w:val="auto"/>
                      <w:spacing w:val="0"/>
                      <w:sz w:val="21"/>
                      <w:szCs w:val="21"/>
                      <w:highlight w:val="none"/>
                      <w:vertAlign w:val="baseline"/>
                      <w:lang w:val="en-US" w:eastAsia="zh-CN"/>
                    </w:rPr>
                    <w:t>北京雍禾医院有限公司</w:t>
                  </w:r>
                </w:p>
              </w:tc>
              <w:tc>
                <w:tcPr>
                  <w:tcW w:w="1515" w:type="pct"/>
                  <w:tcBorders>
                    <w:tl2br w:val="nil"/>
                    <w:tr2bl w:val="nil"/>
                  </w:tcBorders>
                  <w:vAlign w:val="center"/>
                </w:tcPr>
                <w:p w14:paraId="4B0808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扩建后3号楼</w:t>
                  </w:r>
                </w:p>
              </w:tc>
              <w:tc>
                <w:tcPr>
                  <w:tcW w:w="1515" w:type="pct"/>
                  <w:tcBorders>
                    <w:tl2br w:val="nil"/>
                    <w:tr2bl w:val="nil"/>
                  </w:tcBorders>
                  <w:vAlign w:val="center"/>
                </w:tcPr>
                <w:p w14:paraId="0DE9D7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本项目9号楼</w:t>
                  </w:r>
                </w:p>
              </w:tc>
            </w:tr>
            <w:tr w14:paraId="09D131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5C60A6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医院类型</w:t>
                  </w:r>
                </w:p>
              </w:tc>
              <w:tc>
                <w:tcPr>
                  <w:tcW w:w="1357" w:type="pct"/>
                  <w:tcBorders>
                    <w:tl2br w:val="nil"/>
                    <w:tr2bl w:val="nil"/>
                  </w:tcBorders>
                  <w:vAlign w:val="center"/>
                </w:tcPr>
                <w:p w14:paraId="7E17DE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综合医院</w:t>
                  </w:r>
                </w:p>
              </w:tc>
              <w:tc>
                <w:tcPr>
                  <w:tcW w:w="1515" w:type="pct"/>
                  <w:tcBorders>
                    <w:tl2br w:val="nil"/>
                    <w:tr2bl w:val="nil"/>
                  </w:tcBorders>
                  <w:vAlign w:val="center"/>
                </w:tcPr>
                <w:p w14:paraId="7B7A58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专科医院</w:t>
                  </w:r>
                </w:p>
              </w:tc>
              <w:tc>
                <w:tcPr>
                  <w:tcW w:w="1515" w:type="pct"/>
                  <w:tcBorders>
                    <w:tl2br w:val="nil"/>
                    <w:tr2bl w:val="nil"/>
                  </w:tcBorders>
                  <w:vAlign w:val="center"/>
                </w:tcPr>
                <w:p w14:paraId="005483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专科医院</w:t>
                  </w:r>
                </w:p>
              </w:tc>
            </w:tr>
            <w:tr w14:paraId="713BA4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20285D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污水类型</w:t>
                  </w:r>
                </w:p>
              </w:tc>
              <w:tc>
                <w:tcPr>
                  <w:tcW w:w="1357" w:type="pct"/>
                  <w:tcBorders>
                    <w:tl2br w:val="nil"/>
                    <w:tr2bl w:val="nil"/>
                  </w:tcBorders>
                  <w:vAlign w:val="center"/>
                </w:tcPr>
                <w:p w14:paraId="6DB373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医院产生的全部废水，包括门诊（诊疗及手术）、病房、医护人员、院内清洁等</w:t>
                  </w:r>
                </w:p>
              </w:tc>
              <w:tc>
                <w:tcPr>
                  <w:tcW w:w="1515" w:type="pct"/>
                  <w:tcBorders>
                    <w:tl2br w:val="nil"/>
                    <w:tr2bl w:val="nil"/>
                  </w:tcBorders>
                  <w:vAlign w:val="center"/>
                </w:tcPr>
                <w:p w14:paraId="29741E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医院产生的全部废水，包括门诊、病房、医护人员、院内清洁等</w:t>
                  </w:r>
                </w:p>
              </w:tc>
              <w:tc>
                <w:tcPr>
                  <w:tcW w:w="1515" w:type="pct"/>
                  <w:tcBorders>
                    <w:tl2br w:val="nil"/>
                    <w:tr2bl w:val="nil"/>
                  </w:tcBorders>
                  <w:vAlign w:val="center"/>
                </w:tcPr>
                <w:p w14:paraId="27B9D0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医院产生的全部废水，包括门诊、医护人员、院内清洁等</w:t>
                  </w:r>
                </w:p>
              </w:tc>
            </w:tr>
            <w:tr w14:paraId="7E1D11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68591A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建设内容</w:t>
                  </w:r>
                </w:p>
              </w:tc>
              <w:tc>
                <w:tcPr>
                  <w:tcW w:w="1357" w:type="pct"/>
                  <w:tcBorders>
                    <w:tl2br w:val="nil"/>
                    <w:tr2bl w:val="nil"/>
                  </w:tcBorders>
                  <w:vAlign w:val="center"/>
                </w:tcPr>
                <w:p w14:paraId="0F88D7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从事综合医院运营，门诊接待量41人次/d，设置床位20张</w:t>
                  </w:r>
                </w:p>
              </w:tc>
              <w:tc>
                <w:tcPr>
                  <w:tcW w:w="1515" w:type="pct"/>
                  <w:tcBorders>
                    <w:tl2br w:val="nil"/>
                    <w:tr2bl w:val="nil"/>
                  </w:tcBorders>
                  <w:vAlign w:val="center"/>
                </w:tcPr>
                <w:p w14:paraId="0AEC99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从事专科医院运营，门诊接待量325人次/d，设置床位221张</w:t>
                  </w:r>
                </w:p>
              </w:tc>
              <w:tc>
                <w:tcPr>
                  <w:tcW w:w="1515" w:type="pct"/>
                  <w:tcBorders>
                    <w:tl2br w:val="nil"/>
                    <w:tr2bl w:val="nil"/>
                  </w:tcBorders>
                  <w:shd w:val="clear" w:color="auto" w:fill="auto"/>
                  <w:vAlign w:val="center"/>
                </w:tcPr>
                <w:p w14:paraId="72D852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从事专科医院运营，门诊接待量20人次/d，无床位</w:t>
                  </w:r>
                </w:p>
              </w:tc>
            </w:tr>
            <w:tr w14:paraId="719350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3F6055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处理规模</w:t>
                  </w:r>
                </w:p>
              </w:tc>
              <w:tc>
                <w:tcPr>
                  <w:tcW w:w="1357" w:type="pct"/>
                  <w:tcBorders>
                    <w:tl2br w:val="nil"/>
                    <w:tr2bl w:val="nil"/>
                  </w:tcBorders>
                  <w:vAlign w:val="center"/>
                </w:tcPr>
                <w:p w14:paraId="332481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30m</w:t>
                  </w:r>
                  <w:r>
                    <w:rPr>
                      <w:rFonts w:hint="eastAsia"/>
                      <w:b w:val="0"/>
                      <w:bCs w:val="0"/>
                      <w:color w:val="auto"/>
                      <w:spacing w:val="0"/>
                      <w:sz w:val="21"/>
                      <w:szCs w:val="21"/>
                      <w:highlight w:val="none"/>
                      <w:vertAlign w:val="superscript"/>
                      <w:lang w:val="en-US" w:eastAsia="zh-CN"/>
                    </w:rPr>
                    <w:t>3</w:t>
                  </w:r>
                  <w:r>
                    <w:rPr>
                      <w:rFonts w:hint="eastAsia"/>
                      <w:b w:val="0"/>
                      <w:bCs w:val="0"/>
                      <w:color w:val="auto"/>
                      <w:spacing w:val="0"/>
                      <w:sz w:val="21"/>
                      <w:szCs w:val="21"/>
                      <w:highlight w:val="none"/>
                      <w:vertAlign w:val="baseline"/>
                      <w:lang w:val="en-US" w:eastAsia="zh-CN"/>
                    </w:rPr>
                    <w:t>/d</w:t>
                  </w:r>
                </w:p>
              </w:tc>
              <w:tc>
                <w:tcPr>
                  <w:tcW w:w="1515" w:type="pct"/>
                  <w:tcBorders>
                    <w:tl2br w:val="nil"/>
                    <w:tr2bl w:val="nil"/>
                  </w:tcBorders>
                  <w:vAlign w:val="center"/>
                </w:tcPr>
                <w:p w14:paraId="21873E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100m</w:t>
                  </w:r>
                  <w:r>
                    <w:rPr>
                      <w:rFonts w:hint="eastAsia"/>
                      <w:b w:val="0"/>
                      <w:bCs w:val="0"/>
                      <w:color w:val="auto"/>
                      <w:spacing w:val="0"/>
                      <w:sz w:val="21"/>
                      <w:szCs w:val="21"/>
                      <w:highlight w:val="none"/>
                      <w:vertAlign w:val="superscript"/>
                      <w:lang w:val="en-US" w:eastAsia="zh-CN"/>
                    </w:rPr>
                    <w:t>3</w:t>
                  </w:r>
                  <w:r>
                    <w:rPr>
                      <w:rFonts w:hint="eastAsia"/>
                      <w:b w:val="0"/>
                      <w:bCs w:val="0"/>
                      <w:color w:val="auto"/>
                      <w:spacing w:val="0"/>
                      <w:sz w:val="21"/>
                      <w:szCs w:val="21"/>
                      <w:highlight w:val="none"/>
                      <w:vertAlign w:val="baseline"/>
                      <w:lang w:val="en-US" w:eastAsia="zh-CN"/>
                    </w:rPr>
                    <w:t>/d</w:t>
                  </w:r>
                </w:p>
              </w:tc>
              <w:tc>
                <w:tcPr>
                  <w:tcW w:w="1515" w:type="pct"/>
                  <w:tcBorders>
                    <w:tl2br w:val="nil"/>
                    <w:tr2bl w:val="nil"/>
                  </w:tcBorders>
                  <w:shd w:val="clear" w:color="auto" w:fill="auto"/>
                  <w:vAlign w:val="center"/>
                </w:tcPr>
                <w:p w14:paraId="28717C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2m</w:t>
                  </w:r>
                  <w:r>
                    <w:rPr>
                      <w:rFonts w:hint="eastAsia"/>
                      <w:b w:val="0"/>
                      <w:bCs w:val="0"/>
                      <w:color w:val="auto"/>
                      <w:spacing w:val="0"/>
                      <w:sz w:val="21"/>
                      <w:szCs w:val="21"/>
                      <w:highlight w:val="none"/>
                      <w:vertAlign w:val="superscript"/>
                      <w:lang w:val="en-US" w:eastAsia="zh-CN"/>
                    </w:rPr>
                    <w:t>3</w:t>
                  </w:r>
                  <w:r>
                    <w:rPr>
                      <w:rFonts w:hint="eastAsia"/>
                      <w:b w:val="0"/>
                      <w:bCs w:val="0"/>
                      <w:color w:val="auto"/>
                      <w:spacing w:val="0"/>
                      <w:sz w:val="21"/>
                      <w:szCs w:val="21"/>
                      <w:highlight w:val="none"/>
                      <w:vertAlign w:val="baseline"/>
                      <w:lang w:val="en-US" w:eastAsia="zh-CN"/>
                    </w:rPr>
                    <w:t>/d</w:t>
                  </w:r>
                </w:p>
              </w:tc>
            </w:tr>
            <w:tr w14:paraId="795E0F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0A54D7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污水处理工艺</w:t>
                  </w:r>
                </w:p>
              </w:tc>
              <w:tc>
                <w:tcPr>
                  <w:tcW w:w="1357" w:type="pct"/>
                  <w:tcBorders>
                    <w:tl2br w:val="nil"/>
                    <w:tr2bl w:val="nil"/>
                  </w:tcBorders>
                  <w:vAlign w:val="center"/>
                </w:tcPr>
                <w:p w14:paraId="486EA7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化粪池+一级强化处理+消毒</w:t>
                  </w:r>
                </w:p>
              </w:tc>
              <w:tc>
                <w:tcPr>
                  <w:tcW w:w="1515" w:type="pct"/>
                  <w:tcBorders>
                    <w:tl2br w:val="nil"/>
                    <w:tr2bl w:val="nil"/>
                  </w:tcBorders>
                  <w:vAlign w:val="center"/>
                </w:tcPr>
                <w:p w14:paraId="4A5A81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化粪池+格栅+沉淀+消毒</w:t>
                  </w:r>
                </w:p>
              </w:tc>
              <w:tc>
                <w:tcPr>
                  <w:tcW w:w="1515" w:type="pct"/>
                  <w:tcBorders>
                    <w:tl2br w:val="nil"/>
                    <w:tr2bl w:val="nil"/>
                  </w:tcBorders>
                  <w:shd w:val="clear" w:color="auto" w:fill="auto"/>
                  <w:vAlign w:val="center"/>
                </w:tcPr>
                <w:p w14:paraId="246B22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过滤+消毒</w:t>
                  </w:r>
                </w:p>
              </w:tc>
            </w:tr>
            <w:tr w14:paraId="21D5D2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1" w:type="pct"/>
                  <w:tcBorders>
                    <w:tl2br w:val="nil"/>
                    <w:tr2bl w:val="nil"/>
                  </w:tcBorders>
                  <w:vAlign w:val="center"/>
                </w:tcPr>
                <w:p w14:paraId="2CFBBA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污水处理设施管理措施</w:t>
                  </w:r>
                </w:p>
              </w:tc>
              <w:tc>
                <w:tcPr>
                  <w:tcW w:w="1357" w:type="pct"/>
                  <w:tcBorders>
                    <w:tl2br w:val="nil"/>
                    <w:tr2bl w:val="nil"/>
                  </w:tcBorders>
                  <w:vAlign w:val="center"/>
                </w:tcPr>
                <w:p w14:paraId="045A25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污水处理设施封闭处理，加喷洒除臭剂</w:t>
                  </w:r>
                </w:p>
              </w:tc>
              <w:tc>
                <w:tcPr>
                  <w:tcW w:w="1515" w:type="pct"/>
                  <w:tcBorders>
                    <w:tl2br w:val="nil"/>
                    <w:tr2bl w:val="nil"/>
                  </w:tcBorders>
                  <w:vAlign w:val="center"/>
                </w:tcPr>
                <w:p w14:paraId="186174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污水处理设施封闭地埋，加喷洒除臭剂</w:t>
                  </w:r>
                </w:p>
              </w:tc>
              <w:tc>
                <w:tcPr>
                  <w:tcW w:w="1515" w:type="pct"/>
                  <w:tcBorders>
                    <w:tl2br w:val="nil"/>
                    <w:tr2bl w:val="nil"/>
                  </w:tcBorders>
                  <w:shd w:val="clear" w:color="auto" w:fill="auto"/>
                  <w:vAlign w:val="center"/>
                </w:tcPr>
                <w:p w14:paraId="2C89B9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污水处理设施封闭地埋，加喷洒除臭剂</w:t>
                  </w:r>
                </w:p>
              </w:tc>
            </w:tr>
          </w:tbl>
          <w:p w14:paraId="136683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本项目与类比项目建设特征、处理的污染物、工艺基本一致，废气治理措施相同，且排放方式相同，因此具有可类比性。</w:t>
            </w:r>
          </w:p>
          <w:p w14:paraId="680A20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（2）恶臭气体达标情况</w:t>
            </w:r>
          </w:p>
          <w:p w14:paraId="5EB289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1）废气处理工艺及可行性分析</w:t>
            </w:r>
          </w:p>
          <w:p w14:paraId="4188CA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w:t>
            </w:r>
            <w:r>
              <w:rPr>
                <w:rFonts w:hint="eastAsia"/>
                <w:b w:val="0"/>
                <w:bCs w:val="0"/>
                <w:color w:val="000000" w:themeColor="text1"/>
                <w:spacing w:val="0"/>
                <w:sz w:val="24"/>
                <w:highlight w:val="none"/>
                <w:lang w:val="en-US" w:eastAsia="zh-CN"/>
                <w14:textFill>
                  <w14:solidFill>
                    <w14:schemeClr w14:val="tx1"/>
                  </w14:solidFill>
                </w14:textFill>
              </w:rPr>
              <w:t>3号楼</w:t>
            </w:r>
            <w:r>
              <w:rPr>
                <w:rFonts w:hint="default"/>
                <w:b w:val="0"/>
                <w:bCs w:val="0"/>
                <w:color w:val="000000" w:themeColor="text1"/>
                <w:spacing w:val="0"/>
                <w:sz w:val="24"/>
                <w:highlight w:val="none"/>
                <w:lang w:val="en-US" w:eastAsia="zh-CN"/>
                <w14:textFill>
                  <w14:solidFill>
                    <w14:schemeClr w14:val="tx1"/>
                  </w14:solidFill>
                </w14:textFill>
              </w:rPr>
              <w:t>化粪池和污水处理设施设置在院区</w:t>
            </w:r>
            <w:r>
              <w:rPr>
                <w:rFonts w:hint="eastAsia"/>
                <w:b w:val="0"/>
                <w:bCs w:val="0"/>
                <w:color w:val="000000" w:themeColor="text1"/>
                <w:spacing w:val="0"/>
                <w:sz w:val="24"/>
                <w:highlight w:val="none"/>
                <w:lang w:val="en-US" w:eastAsia="zh-CN"/>
                <w14:textFill>
                  <w14:solidFill>
                    <w14:schemeClr w14:val="tx1"/>
                  </w14:solidFill>
                </w14:textFill>
              </w:rPr>
              <w:t>北侧</w:t>
            </w:r>
            <w:r>
              <w:rPr>
                <w:rFonts w:hint="default"/>
                <w:b w:val="0"/>
                <w:bCs w:val="0"/>
                <w:color w:val="000000" w:themeColor="text1"/>
                <w:spacing w:val="0"/>
                <w:sz w:val="24"/>
                <w:highlight w:val="none"/>
                <w:lang w:val="en-US" w:eastAsia="zh-CN"/>
                <w14:textFill>
                  <w14:solidFill>
                    <w14:schemeClr w14:val="tx1"/>
                  </w14:solidFill>
                </w14:textFill>
              </w:rPr>
              <w:t>，污水处理设施放置于地下混凝土池体内，污水处理设施上方加盖，构筑物池壁预留进气口、出气口，医院定期于污水处理设施上方投放除臭剂，满足《排污许可证申请与核发技术规范-医疗机构》(HJ1105-2020)中A.1废气治理可行技术参考表中的无组织可行性技术要求(产生恶臭区域加罩或加盖，投放除臭剂)，是可行的。</w:t>
            </w:r>
          </w:p>
          <w:p w14:paraId="10C1C3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2）达标分析</w:t>
            </w:r>
          </w:p>
          <w:p w14:paraId="7D8CF5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厂界无组织废气中氨、硫化氢、臭气浓度类比北京雍禾医院有限公司喷洒除臭剂后的厂界废气监测数据，根据奥来国信（北京）检测技术有限责任公司出具的《北京雍禾医院有限公司项目环保验收监测》（奥来国信（北京）检测技术有限责任公司）检测报告（奥检（AL）字2023HJ-3501号），2023年10月31日-11月2日北京雍禾医院有限公司厂界恶臭气体无组织监测结果为：氨最大浓度值为0.054mg/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、硫化氢&lt;0.001mg/m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、臭气浓度最大值为&lt;10(无量纲)。</w:t>
            </w:r>
          </w:p>
          <w:p w14:paraId="56534A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本项目在化粪池和污水处理设施采取</w:t>
            </w:r>
            <w:r>
              <w:rPr>
                <w:rFonts w:hint="eastAsia"/>
                <w:b w:val="0"/>
                <w:bCs w:val="0"/>
                <w:color w:val="000000" w:themeColor="text1"/>
                <w:spacing w:val="0"/>
                <w:sz w:val="24"/>
                <w:highlight w:val="none"/>
                <w:lang w:val="en-US" w:eastAsia="zh-CN"/>
                <w14:textFill>
                  <w14:solidFill>
                    <w14:schemeClr w14:val="tx1"/>
                  </w14:solidFill>
                </w14:textFill>
              </w:rPr>
              <w:t>封闭</w:t>
            </w:r>
            <w:r>
              <w:rPr>
                <w:rFonts w:hint="default"/>
                <w:b w:val="0"/>
                <w:bCs w:val="0"/>
                <w:color w:val="000000" w:themeColor="text1"/>
                <w:spacing w:val="0"/>
                <w:sz w:val="24"/>
                <w:highlight w:val="none"/>
                <w:lang w:val="en-US" w:eastAsia="zh-CN"/>
                <w14:textFill>
                  <w14:solidFill>
                    <w14:schemeClr w14:val="tx1"/>
                  </w14:solidFill>
                </w14:textFill>
              </w:rPr>
              <w:t>、消毒、以及喷洒除臭剂、空气清新剂的措施后，经类比</w:t>
            </w:r>
            <w:r>
              <w:rPr>
                <w:rFonts w:hint="eastAsia"/>
                <w:b w:val="0"/>
                <w:bCs w:val="0"/>
                <w:color w:val="000000" w:themeColor="text1"/>
                <w:spacing w:val="0"/>
                <w:sz w:val="24"/>
                <w:highlight w:val="none"/>
                <w:lang w:val="en-US" w:eastAsia="zh-CN"/>
                <w14:textFill>
                  <w14:solidFill>
                    <w14:schemeClr w14:val="tx1"/>
                  </w14:solidFill>
                </w14:textFill>
              </w:rPr>
              <w:t>，可满足《医疗机构水污染物排放标准》（GB18466-2005）“表3 污水处理站周边大气污染物最高允许浓度限值”（NH</w:t>
            </w:r>
            <w:r>
              <w:rPr>
                <w:rFonts w:hint="eastAsia"/>
                <w:b w:val="0"/>
                <w:bCs w:val="0"/>
                <w:color w:val="000000" w:themeColor="text1"/>
                <w:spacing w:val="0"/>
                <w:sz w:val="24"/>
                <w:highlight w:val="none"/>
                <w:vertAlign w:val="sub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1.0mg/m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、H</w:t>
            </w:r>
            <w:r>
              <w:rPr>
                <w:rFonts w:hint="eastAsia"/>
                <w:b w:val="0"/>
                <w:bCs w:val="0"/>
                <w:color w:val="000000" w:themeColor="text1"/>
                <w:spacing w:val="0"/>
                <w:sz w:val="24"/>
                <w:highlight w:val="none"/>
                <w:vertAlign w:val="subscript"/>
                <w:lang w:val="en-US" w:eastAsia="zh-CN"/>
                <w14:textFill>
                  <w14:solidFill>
                    <w14:schemeClr w14:val="tx1"/>
                  </w14:solidFill>
                </w14:textFill>
              </w:rPr>
              <w:t>2</w:t>
            </w:r>
            <w:r>
              <w:rPr>
                <w:rFonts w:hint="eastAsia"/>
                <w:b w:val="0"/>
                <w:bCs w:val="0"/>
                <w:color w:val="000000" w:themeColor="text1"/>
                <w:spacing w:val="0"/>
                <w:sz w:val="24"/>
                <w:highlight w:val="none"/>
                <w:lang w:val="en-US" w:eastAsia="zh-CN"/>
                <w14:textFill>
                  <w14:solidFill>
                    <w14:schemeClr w14:val="tx1"/>
                  </w14:solidFill>
                </w14:textFill>
              </w:rPr>
              <w:t>S0.03mg/m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、臭气浓度10（无量纲））要求。</w:t>
            </w:r>
          </w:p>
          <w:p w14:paraId="44DB7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auto"/>
                <w:spacing w:val="0"/>
                <w:sz w:val="24"/>
                <w:highlight w:val="none"/>
                <w:lang w:val="en-US" w:eastAsia="zh-CN"/>
              </w:rPr>
            </w:pPr>
            <w:r>
              <w:rPr>
                <w:rFonts w:hint="eastAsia"/>
                <w:b w:val="0"/>
                <w:bCs w:val="0"/>
                <w:color w:val="auto"/>
                <w:spacing w:val="0"/>
                <w:sz w:val="24"/>
                <w:highlight w:val="none"/>
                <w:lang w:val="en-US" w:eastAsia="zh-CN"/>
              </w:rPr>
              <w:t>（3）废气监测计划</w:t>
            </w:r>
          </w:p>
          <w:p w14:paraId="553DFD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auto"/>
                <w:spacing w:val="0"/>
                <w:sz w:val="24"/>
                <w:highlight w:val="none"/>
                <w:lang w:val="en-US" w:eastAsia="zh-CN"/>
              </w:rPr>
            </w:pPr>
            <w:r>
              <w:rPr>
                <w:rFonts w:hint="eastAsia"/>
                <w:b w:val="0"/>
                <w:bCs w:val="0"/>
                <w:color w:val="auto"/>
                <w:spacing w:val="0"/>
                <w:sz w:val="24"/>
                <w:highlight w:val="none"/>
                <w:lang w:val="en-US" w:eastAsia="zh-CN"/>
              </w:rPr>
              <w:t>根据《排污单位自行监测技术指南总则》(HJ819-2017)及《排污许可证申请与核发技术规范医疗机构》(HJ1105-2020)相关规定做好营运期污染物排放监测。本项目专科医院应开展自行监测，结合具体情况，医院可委托其他监测机构代其开展自行监测，排污单位对委托监测的数据负责。废气自行监测计划见下表。</w:t>
            </w:r>
          </w:p>
          <w:p w14:paraId="138EA34A">
            <w:pPr>
              <w:pStyle w:val="36"/>
              <w:keepNext w:val="0"/>
              <w:keepLines w:val="0"/>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表4-2 本项目厂界无组织废气自行监测要求</w:t>
            </w:r>
          </w:p>
          <w:tbl>
            <w:tblPr>
              <w:tblStyle w:val="17"/>
              <w:tblW w:w="851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3"/>
              <w:gridCol w:w="2960"/>
              <w:gridCol w:w="1587"/>
              <w:gridCol w:w="1664"/>
            </w:tblGrid>
            <w:tr w14:paraId="75CA40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3" w:type="dxa"/>
                  <w:tcBorders>
                    <w:tl2br w:val="nil"/>
                    <w:tr2bl w:val="nil"/>
                  </w:tcBorders>
                  <w:vAlign w:val="center"/>
                </w:tcPr>
                <w:p w14:paraId="00365C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auto"/>
                      <w:spacing w:val="0"/>
                      <w:sz w:val="21"/>
                      <w:szCs w:val="21"/>
                      <w:highlight w:val="none"/>
                      <w:vertAlign w:val="baseline"/>
                      <w:lang w:val="en-US" w:eastAsia="zh-CN"/>
                    </w:rPr>
                  </w:pPr>
                  <w:r>
                    <w:rPr>
                      <w:rFonts w:hint="eastAsia"/>
                      <w:b/>
                      <w:bCs/>
                      <w:color w:val="auto"/>
                      <w:spacing w:val="0"/>
                      <w:sz w:val="21"/>
                      <w:szCs w:val="21"/>
                      <w:highlight w:val="none"/>
                      <w:vertAlign w:val="baseline"/>
                      <w:lang w:val="en-US" w:eastAsia="zh-CN"/>
                    </w:rPr>
                    <w:t>监测点位</w:t>
                  </w:r>
                </w:p>
              </w:tc>
              <w:tc>
                <w:tcPr>
                  <w:tcW w:w="2960" w:type="dxa"/>
                  <w:tcBorders>
                    <w:tl2br w:val="nil"/>
                    <w:tr2bl w:val="nil"/>
                  </w:tcBorders>
                  <w:vAlign w:val="center"/>
                </w:tcPr>
                <w:p w14:paraId="55B16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pacing w:val="0"/>
                      <w:sz w:val="21"/>
                      <w:szCs w:val="21"/>
                      <w:highlight w:val="none"/>
                      <w:vertAlign w:val="baseline"/>
                      <w:lang w:val="en-US" w:eastAsia="zh-CN"/>
                    </w:rPr>
                  </w:pPr>
                  <w:r>
                    <w:rPr>
                      <w:rFonts w:hint="eastAsia"/>
                      <w:b/>
                      <w:bCs/>
                      <w:color w:val="auto"/>
                      <w:spacing w:val="0"/>
                      <w:sz w:val="21"/>
                      <w:szCs w:val="21"/>
                      <w:highlight w:val="none"/>
                      <w:vertAlign w:val="baseline"/>
                      <w:lang w:val="en-US" w:eastAsia="zh-CN"/>
                    </w:rPr>
                    <w:t>监测指标</w:t>
                  </w:r>
                </w:p>
              </w:tc>
              <w:tc>
                <w:tcPr>
                  <w:tcW w:w="1587" w:type="dxa"/>
                  <w:tcBorders>
                    <w:tl2br w:val="nil"/>
                    <w:tr2bl w:val="nil"/>
                  </w:tcBorders>
                  <w:vAlign w:val="center"/>
                </w:tcPr>
                <w:p w14:paraId="323466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pacing w:val="0"/>
                      <w:sz w:val="21"/>
                      <w:szCs w:val="21"/>
                      <w:highlight w:val="none"/>
                      <w:vertAlign w:val="baseline"/>
                      <w:lang w:val="en-US" w:eastAsia="zh-CN"/>
                    </w:rPr>
                  </w:pPr>
                  <w:r>
                    <w:rPr>
                      <w:rFonts w:hint="eastAsia"/>
                      <w:b/>
                      <w:bCs/>
                      <w:color w:val="auto"/>
                      <w:spacing w:val="0"/>
                      <w:sz w:val="21"/>
                      <w:szCs w:val="21"/>
                      <w:highlight w:val="none"/>
                      <w:vertAlign w:val="baseline"/>
                      <w:lang w:val="en-US" w:eastAsia="zh-CN"/>
                    </w:rPr>
                    <w:t>监测方法</w:t>
                  </w:r>
                </w:p>
              </w:tc>
              <w:tc>
                <w:tcPr>
                  <w:tcW w:w="1664" w:type="dxa"/>
                  <w:tcBorders>
                    <w:tl2br w:val="nil"/>
                    <w:tr2bl w:val="nil"/>
                  </w:tcBorders>
                  <w:vAlign w:val="center"/>
                </w:tcPr>
                <w:p w14:paraId="639616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pacing w:val="0"/>
                      <w:sz w:val="21"/>
                      <w:szCs w:val="21"/>
                      <w:highlight w:val="none"/>
                      <w:vertAlign w:val="baseline"/>
                      <w:lang w:val="en-US" w:eastAsia="zh-CN"/>
                    </w:rPr>
                  </w:pPr>
                  <w:r>
                    <w:rPr>
                      <w:rFonts w:hint="eastAsia"/>
                      <w:b/>
                      <w:bCs/>
                      <w:color w:val="auto"/>
                      <w:spacing w:val="0"/>
                      <w:sz w:val="21"/>
                      <w:szCs w:val="21"/>
                      <w:highlight w:val="none"/>
                      <w:vertAlign w:val="baseline"/>
                      <w:lang w:val="en-US" w:eastAsia="zh-CN"/>
                    </w:rPr>
                    <w:t>监测频次</w:t>
                  </w:r>
                </w:p>
              </w:tc>
            </w:tr>
            <w:tr w14:paraId="38F294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3" w:type="dxa"/>
                  <w:tcBorders>
                    <w:tl2br w:val="nil"/>
                    <w:tr2bl w:val="nil"/>
                  </w:tcBorders>
                  <w:vAlign w:val="center"/>
                </w:tcPr>
                <w:p w14:paraId="5BCCEE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厂界无组织</w:t>
                  </w:r>
                </w:p>
              </w:tc>
              <w:tc>
                <w:tcPr>
                  <w:tcW w:w="2960" w:type="dxa"/>
                  <w:tcBorders>
                    <w:tl2br w:val="nil"/>
                    <w:tr2bl w:val="nil"/>
                  </w:tcBorders>
                  <w:vAlign w:val="center"/>
                </w:tcPr>
                <w:p w14:paraId="09DE3D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H</w:t>
                  </w:r>
                  <w:r>
                    <w:rPr>
                      <w:rFonts w:hint="eastAsia"/>
                      <w:b w:val="0"/>
                      <w:bCs w:val="0"/>
                      <w:color w:val="auto"/>
                      <w:spacing w:val="0"/>
                      <w:sz w:val="21"/>
                      <w:szCs w:val="21"/>
                      <w:highlight w:val="none"/>
                      <w:vertAlign w:val="subscript"/>
                      <w:lang w:val="en-US" w:eastAsia="zh-CN"/>
                    </w:rPr>
                    <w:t>2</w:t>
                  </w:r>
                  <w:r>
                    <w:rPr>
                      <w:rFonts w:hint="eastAsia"/>
                      <w:b w:val="0"/>
                      <w:bCs w:val="0"/>
                      <w:color w:val="auto"/>
                      <w:spacing w:val="0"/>
                      <w:sz w:val="21"/>
                      <w:szCs w:val="21"/>
                      <w:highlight w:val="none"/>
                      <w:vertAlign w:val="baseline"/>
                      <w:lang w:val="en-US" w:eastAsia="zh-CN"/>
                    </w:rPr>
                    <w:t>S、NH</w:t>
                  </w:r>
                  <w:r>
                    <w:rPr>
                      <w:rFonts w:hint="eastAsia"/>
                      <w:b w:val="0"/>
                      <w:bCs w:val="0"/>
                      <w:color w:val="auto"/>
                      <w:spacing w:val="0"/>
                      <w:sz w:val="21"/>
                      <w:szCs w:val="21"/>
                      <w:highlight w:val="none"/>
                      <w:vertAlign w:val="subscript"/>
                      <w:lang w:val="en-US" w:eastAsia="zh-CN"/>
                    </w:rPr>
                    <w:t>3</w:t>
                  </w:r>
                  <w:r>
                    <w:rPr>
                      <w:rFonts w:hint="eastAsia"/>
                      <w:b w:val="0"/>
                      <w:bCs w:val="0"/>
                      <w:color w:val="auto"/>
                      <w:spacing w:val="0"/>
                      <w:sz w:val="21"/>
                      <w:szCs w:val="21"/>
                      <w:highlight w:val="none"/>
                      <w:vertAlign w:val="baseline"/>
                      <w:lang w:val="en-US" w:eastAsia="zh-CN"/>
                    </w:rPr>
                    <w:t>、臭气浓度、甲烷、氯气</w:t>
                  </w:r>
                </w:p>
              </w:tc>
              <w:tc>
                <w:tcPr>
                  <w:tcW w:w="1587" w:type="dxa"/>
                  <w:tcBorders>
                    <w:tl2br w:val="nil"/>
                    <w:tr2bl w:val="nil"/>
                  </w:tcBorders>
                  <w:vAlign w:val="center"/>
                </w:tcPr>
                <w:p w14:paraId="0E532C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手工</w:t>
                  </w:r>
                </w:p>
              </w:tc>
              <w:tc>
                <w:tcPr>
                  <w:tcW w:w="1664" w:type="dxa"/>
                  <w:tcBorders>
                    <w:tl2br w:val="nil"/>
                    <w:tr2bl w:val="nil"/>
                  </w:tcBorders>
                  <w:vAlign w:val="center"/>
                </w:tcPr>
                <w:p w14:paraId="527045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auto"/>
                      <w:spacing w:val="0"/>
                      <w:sz w:val="21"/>
                      <w:szCs w:val="21"/>
                      <w:highlight w:val="none"/>
                      <w:vertAlign w:val="baseline"/>
                      <w:lang w:val="en-US" w:eastAsia="zh-CN"/>
                    </w:rPr>
                  </w:pPr>
                  <w:r>
                    <w:rPr>
                      <w:rFonts w:hint="eastAsia"/>
                      <w:b w:val="0"/>
                      <w:bCs w:val="0"/>
                      <w:color w:val="auto"/>
                      <w:spacing w:val="0"/>
                      <w:sz w:val="21"/>
                      <w:szCs w:val="21"/>
                      <w:highlight w:val="none"/>
                      <w:vertAlign w:val="baseline"/>
                      <w:lang w:val="en-US" w:eastAsia="zh-CN"/>
                    </w:rPr>
                    <w:t>1次/季度</w:t>
                  </w:r>
                </w:p>
              </w:tc>
            </w:tr>
          </w:tbl>
          <w:p w14:paraId="234D6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4"/>
                <w:highlight w:val="none"/>
                <w:lang w:val="en-US" w:eastAsia="zh-CN"/>
                <w14:textFill>
                  <w14:solidFill>
                    <w14:schemeClr w14:val="tx1"/>
                  </w14:solidFill>
                </w14:textFill>
              </w:rPr>
              <w:t>2、废水环境影响分析</w:t>
            </w:r>
          </w:p>
          <w:p w14:paraId="2048A5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（1）医院用水排水情况</w:t>
            </w:r>
          </w:p>
          <w:p w14:paraId="3E5C16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水平衡分析，本项目排水包括门诊废水、病房废水、行政人员废水、卫生清洁废水等，全部废水均作为医疗废水排入污水处理设施处理后，经市政管网汇入昌平污水处理厂。根据《医院污水处理工程技术规范》（HJ2029-2013）中医院废水排放系数，项目日排水量为63.918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/d，年排水量为21154.455m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/a。</w:t>
            </w:r>
          </w:p>
          <w:p w14:paraId="7F5E24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根据《医院污水处理工程技术规范》（HJ2029-2013）以及《建设项目环境影响评价技术指南 医疗机构》（DB11/T-2012）中，对本项目特殊性质污水（特殊医疗废水）进行识别可知，本项目不涉及特殊医疗废水。</w:t>
            </w:r>
          </w:p>
          <w:p w14:paraId="032F26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表4-3 项目医疗废水识别表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3845"/>
              <w:gridCol w:w="2348"/>
              <w:gridCol w:w="1401"/>
            </w:tblGrid>
            <w:tr w14:paraId="7167AC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446739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特殊医疗废水类别</w:t>
                  </w:r>
                </w:p>
              </w:tc>
              <w:tc>
                <w:tcPr>
                  <w:tcW w:w="3660" w:type="dxa"/>
                  <w:tcBorders>
                    <w:tl2br w:val="nil"/>
                    <w:tr2bl w:val="nil"/>
                  </w:tcBorders>
                  <w:vAlign w:val="center"/>
                </w:tcPr>
                <w:p w14:paraId="33D471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主要来源</w:t>
                  </w:r>
                </w:p>
              </w:tc>
              <w:tc>
                <w:tcPr>
                  <w:tcW w:w="2235" w:type="dxa"/>
                  <w:tcBorders>
                    <w:tl2br w:val="nil"/>
                    <w:tr2bl w:val="nil"/>
                  </w:tcBorders>
                  <w:vAlign w:val="center"/>
                </w:tcPr>
                <w:p w14:paraId="4EA491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本项目情况</w:t>
                  </w:r>
                </w:p>
              </w:tc>
              <w:tc>
                <w:tcPr>
                  <w:tcW w:w="1334" w:type="dxa"/>
                  <w:tcBorders>
                    <w:tl2br w:val="nil"/>
                    <w:tr2bl w:val="nil"/>
                  </w:tcBorders>
                  <w:vAlign w:val="center"/>
                </w:tcPr>
                <w:p w14:paraId="0E8FD9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项目采取的</w:t>
                  </w:r>
                </w:p>
                <w:p w14:paraId="7EE6E5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治理措施</w:t>
                  </w:r>
                </w:p>
              </w:tc>
            </w:tr>
            <w:tr w14:paraId="54BD08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24A4B1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感染性废水</w:t>
                  </w:r>
                </w:p>
              </w:tc>
              <w:tc>
                <w:tcPr>
                  <w:tcW w:w="3660" w:type="dxa"/>
                  <w:tcBorders>
                    <w:tl2br w:val="nil"/>
                    <w:tr2bl w:val="nil"/>
                  </w:tcBorders>
                  <w:vAlign w:val="center"/>
                </w:tcPr>
                <w:p w14:paraId="3115DF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传染性专科医疗机构、非传染性专科医疗机构中感染性疾病门诊（包括功能相对独立的发热门诊、肠道门诊、呼吸道门诊和传染科）及病房产生的感染性污水</w:t>
                  </w:r>
                </w:p>
              </w:tc>
              <w:tc>
                <w:tcPr>
                  <w:tcW w:w="2235" w:type="dxa"/>
                  <w:tcBorders>
                    <w:tl2br w:val="nil"/>
                    <w:tr2bl w:val="nil"/>
                  </w:tcBorders>
                  <w:vAlign w:val="center"/>
                </w:tcPr>
                <w:p w14:paraId="4FAF6E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本项目不设发热门诊，不设肠道门诊、呼吸道门诊、传染病科室和传染性病房</w:t>
                  </w:r>
                </w:p>
              </w:tc>
              <w:tc>
                <w:tcPr>
                  <w:tcW w:w="1334" w:type="dxa"/>
                  <w:tcBorders>
                    <w:tl2br w:val="nil"/>
                    <w:tr2bl w:val="nil"/>
                  </w:tcBorders>
                  <w:vAlign w:val="center"/>
                </w:tcPr>
                <w:p w14:paraId="2BE550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不产生感染性废水</w:t>
                  </w:r>
                </w:p>
              </w:tc>
            </w:tr>
            <w:tr w14:paraId="5EF065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74E88A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酸性废水</w:t>
                  </w:r>
                </w:p>
              </w:tc>
              <w:tc>
                <w:tcPr>
                  <w:tcW w:w="3660" w:type="dxa"/>
                  <w:tcBorders>
                    <w:tl2br w:val="nil"/>
                    <w:tr2bl w:val="nil"/>
                  </w:tcBorders>
                  <w:vAlign w:val="center"/>
                </w:tcPr>
                <w:p w14:paraId="3B2328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医院检验或化学清洗剂使用硝酸、硫酸、过氧酸、一氯乙酸等酸性物质而产生的污水</w:t>
                  </w:r>
                </w:p>
              </w:tc>
              <w:tc>
                <w:tcPr>
                  <w:tcW w:w="2235" w:type="dxa"/>
                  <w:vMerge w:val="restart"/>
                  <w:tcBorders>
                    <w:tl2br w:val="nil"/>
                    <w:tr2bl w:val="nil"/>
                  </w:tcBorders>
                  <w:vAlign w:val="center"/>
                </w:tcPr>
                <w:p w14:paraId="46ED0D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项目</w:t>
                  </w:r>
                  <w:r>
                    <w:rPr>
                      <w:rFonts w:hint="default"/>
                      <w:b w:val="0"/>
                      <w:bCs w:val="0"/>
                      <w:color w:val="000000" w:themeColor="text1"/>
                      <w:spacing w:val="0"/>
                      <w:sz w:val="21"/>
                      <w:szCs w:val="21"/>
                      <w:highlight w:val="none"/>
                      <w:vertAlign w:val="baseline"/>
                      <w:lang w:val="en-US" w:eastAsia="zh-CN"/>
                      <w14:textFill>
                        <w14:solidFill>
                          <w14:schemeClr w14:val="tx1"/>
                        </w14:solidFill>
                      </w14:textFill>
                    </w:rPr>
                    <w:t>检验科使用的试剂盒、检测试剂全部为成套材料，上机直接检验，不产生废水。</w:t>
                  </w:r>
                </w:p>
              </w:tc>
              <w:tc>
                <w:tcPr>
                  <w:tcW w:w="1334" w:type="dxa"/>
                  <w:tcBorders>
                    <w:tl2br w:val="nil"/>
                    <w:tr2bl w:val="nil"/>
                  </w:tcBorders>
                  <w:vAlign w:val="center"/>
                </w:tcPr>
                <w:p w14:paraId="0D1AB3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不产生酸性废水</w:t>
                  </w:r>
                </w:p>
              </w:tc>
            </w:tr>
            <w:tr w14:paraId="0B4E3F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428082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含氰废水</w:t>
                  </w:r>
                </w:p>
              </w:tc>
              <w:tc>
                <w:tcPr>
                  <w:tcW w:w="3660" w:type="dxa"/>
                  <w:tcBorders>
                    <w:tl2br w:val="nil"/>
                    <w:tr2bl w:val="nil"/>
                  </w:tcBorders>
                  <w:vAlign w:val="center"/>
                </w:tcPr>
                <w:p w14:paraId="5852D6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在血清、血液、细菌和化学检查分析时使用氰化钾、氰化钠、铁氰化钾、亚铁氰化钾等含氰化物而产生的污水</w:t>
                  </w:r>
                </w:p>
              </w:tc>
              <w:tc>
                <w:tcPr>
                  <w:tcW w:w="2235" w:type="dxa"/>
                  <w:vMerge w:val="continue"/>
                  <w:tcBorders>
                    <w:tl2br w:val="nil"/>
                    <w:tr2bl w:val="nil"/>
                  </w:tcBorders>
                  <w:vAlign w:val="center"/>
                </w:tcPr>
                <w:p w14:paraId="514C47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34" w:type="dxa"/>
                  <w:tcBorders>
                    <w:tl2br w:val="nil"/>
                    <w:tr2bl w:val="nil"/>
                  </w:tcBorders>
                  <w:vAlign w:val="center"/>
                </w:tcPr>
                <w:p w14:paraId="06CF86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不产生含氰废水</w:t>
                  </w:r>
                </w:p>
              </w:tc>
            </w:tr>
            <w:tr w14:paraId="1B6EAB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11360B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含铬废水</w:t>
                  </w:r>
                </w:p>
              </w:tc>
              <w:tc>
                <w:tcPr>
                  <w:tcW w:w="3660" w:type="dxa"/>
                  <w:tcBorders>
                    <w:tl2br w:val="nil"/>
                    <w:tr2bl w:val="nil"/>
                  </w:tcBorders>
                  <w:vAlign w:val="center"/>
                </w:tcPr>
                <w:p w14:paraId="7858CB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病理、血液检查及化验等工作中使用重铬酸钾、三氧化铬、铬酸钾等化学品形成污水</w:t>
                  </w:r>
                </w:p>
              </w:tc>
              <w:tc>
                <w:tcPr>
                  <w:tcW w:w="2235" w:type="dxa"/>
                  <w:vMerge w:val="continue"/>
                  <w:tcBorders>
                    <w:tl2br w:val="nil"/>
                    <w:tr2bl w:val="nil"/>
                  </w:tcBorders>
                  <w:vAlign w:val="center"/>
                </w:tcPr>
                <w:p w14:paraId="43B9F9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34" w:type="dxa"/>
                  <w:tcBorders>
                    <w:tl2br w:val="nil"/>
                    <w:tr2bl w:val="nil"/>
                  </w:tcBorders>
                  <w:vAlign w:val="center"/>
                </w:tcPr>
                <w:p w14:paraId="2EFCC4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不产生含铬废水</w:t>
                  </w:r>
                </w:p>
              </w:tc>
            </w:tr>
            <w:tr w14:paraId="775EA9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2D7BDC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含汞废水</w:t>
                  </w:r>
                </w:p>
              </w:tc>
              <w:tc>
                <w:tcPr>
                  <w:tcW w:w="3660" w:type="dxa"/>
                  <w:tcBorders>
                    <w:tl2br w:val="nil"/>
                    <w:tr2bl w:val="nil"/>
                  </w:tcBorders>
                  <w:vAlign w:val="center"/>
                </w:tcPr>
                <w:p w14:paraId="4D1E2B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各种口腔门诊治疗、含汞检测仪器破损、分析检查和诊断中使用氯化高汞、硝酸高汞以及硫氰酸高汞等剧毒物质而产生少量污水</w:t>
                  </w:r>
                </w:p>
              </w:tc>
              <w:tc>
                <w:tcPr>
                  <w:tcW w:w="2235" w:type="dxa"/>
                  <w:tcBorders>
                    <w:tl2br w:val="nil"/>
                    <w:tr2bl w:val="nil"/>
                  </w:tcBorders>
                  <w:vAlign w:val="center"/>
                </w:tcPr>
                <w:p w14:paraId="5CE875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项目口腔科治疗及检查不涉及使用含汞材料及试剂</w:t>
                  </w:r>
                </w:p>
              </w:tc>
              <w:tc>
                <w:tcPr>
                  <w:tcW w:w="1334" w:type="dxa"/>
                  <w:tcBorders>
                    <w:tl2br w:val="nil"/>
                    <w:tr2bl w:val="nil"/>
                  </w:tcBorders>
                  <w:vAlign w:val="center"/>
                </w:tcPr>
                <w:p w14:paraId="056D3F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不产生含汞废水</w:t>
                  </w:r>
                </w:p>
              </w:tc>
            </w:tr>
            <w:tr w14:paraId="3F51BE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3BFB78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洗印废水</w:t>
                  </w:r>
                </w:p>
              </w:tc>
              <w:tc>
                <w:tcPr>
                  <w:tcW w:w="3660" w:type="dxa"/>
                  <w:tcBorders>
                    <w:tl2br w:val="nil"/>
                    <w:tr2bl w:val="nil"/>
                  </w:tcBorders>
                  <w:vAlign w:val="center"/>
                </w:tcPr>
                <w:p w14:paraId="577D8A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医院放射科照片胶片洗印加工产生洗印污水和废液</w:t>
                  </w:r>
                </w:p>
              </w:tc>
              <w:tc>
                <w:tcPr>
                  <w:tcW w:w="2235" w:type="dxa"/>
                  <w:tcBorders>
                    <w:tl2br w:val="nil"/>
                    <w:tr2bl w:val="nil"/>
                  </w:tcBorders>
                  <w:vAlign w:val="center"/>
                </w:tcPr>
                <w:p w14:paraId="5EB18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项目不涉及洗印、定影</w:t>
                  </w:r>
                </w:p>
              </w:tc>
              <w:tc>
                <w:tcPr>
                  <w:tcW w:w="1334" w:type="dxa"/>
                  <w:tcBorders>
                    <w:tl2br w:val="nil"/>
                    <w:tr2bl w:val="nil"/>
                  </w:tcBorders>
                  <w:vAlign w:val="center"/>
                </w:tcPr>
                <w:p w14:paraId="7A6958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不产生洗印废水</w:t>
                  </w:r>
                </w:p>
              </w:tc>
            </w:tr>
            <w:tr w14:paraId="538124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dxa"/>
                  <w:tcBorders>
                    <w:tl2br w:val="nil"/>
                    <w:tr2bl w:val="nil"/>
                  </w:tcBorders>
                  <w:vAlign w:val="center"/>
                </w:tcPr>
                <w:p w14:paraId="612F98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放射性废水</w:t>
                  </w:r>
                </w:p>
              </w:tc>
              <w:tc>
                <w:tcPr>
                  <w:tcW w:w="3660" w:type="dxa"/>
                  <w:tcBorders>
                    <w:tl2br w:val="nil"/>
                    <w:tr2bl w:val="nil"/>
                  </w:tcBorders>
                  <w:vAlign w:val="center"/>
                </w:tcPr>
                <w:p w14:paraId="40331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同位素治疗和诊断</w:t>
                  </w:r>
                </w:p>
              </w:tc>
              <w:tc>
                <w:tcPr>
                  <w:tcW w:w="2235" w:type="dxa"/>
                  <w:tcBorders>
                    <w:tl2br w:val="nil"/>
                    <w:tr2bl w:val="nil"/>
                  </w:tcBorders>
                  <w:vAlign w:val="center"/>
                </w:tcPr>
                <w:p w14:paraId="4B29E1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项目不涉及使用放射性同位素诊断和治疗</w:t>
                  </w:r>
                </w:p>
              </w:tc>
              <w:tc>
                <w:tcPr>
                  <w:tcW w:w="1334" w:type="dxa"/>
                  <w:tcBorders>
                    <w:tl2br w:val="nil"/>
                    <w:tr2bl w:val="nil"/>
                  </w:tcBorders>
                  <w:vAlign w:val="center"/>
                </w:tcPr>
                <w:p w14:paraId="00BEE1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不产生放射性废水</w:t>
                  </w:r>
                </w:p>
              </w:tc>
            </w:tr>
          </w:tbl>
          <w:p w14:paraId="038D63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（2）水污染物源强核算</w:t>
            </w:r>
          </w:p>
          <w:p w14:paraId="227CE3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本项目排水包括门诊废水、病房废水、行政人员废水、卫生清洁废水等，全部废水均作为医疗废水排入污水处理设施处理后，经市政管网汇入昌平污水处理厂。</w:t>
            </w:r>
          </w:p>
          <w:p w14:paraId="55F521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根据《医院污水处理工程技术规范》（HJ2029-2013），项目医疗废水水质参考如下：</w:t>
            </w:r>
          </w:p>
          <w:p w14:paraId="1E05FE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表4-4 医疗废水污染物浓度取值要求</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1331"/>
              <w:gridCol w:w="1331"/>
              <w:gridCol w:w="1331"/>
              <w:gridCol w:w="1334"/>
              <w:gridCol w:w="2021"/>
            </w:tblGrid>
            <w:tr w14:paraId="7A7B3E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5" w:type="dxa"/>
                  <w:tcBorders>
                    <w:tl2br w:val="nil"/>
                    <w:tr2bl w:val="nil"/>
                  </w:tcBorders>
                  <w:vAlign w:val="center"/>
                </w:tcPr>
                <w:p w14:paraId="1C189D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指标</w:t>
                  </w:r>
                </w:p>
              </w:tc>
              <w:tc>
                <w:tcPr>
                  <w:tcW w:w="1263" w:type="dxa"/>
                  <w:tcBorders>
                    <w:tl2br w:val="nil"/>
                    <w:tr2bl w:val="nil"/>
                  </w:tcBorders>
                  <w:vAlign w:val="center"/>
                </w:tcPr>
                <w:p w14:paraId="498768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COD</w:t>
                  </w:r>
                </w:p>
                <w:p w14:paraId="719807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（mg/L）</w:t>
                  </w:r>
                </w:p>
              </w:tc>
              <w:tc>
                <w:tcPr>
                  <w:tcW w:w="1263" w:type="dxa"/>
                  <w:tcBorders>
                    <w:tl2br w:val="nil"/>
                    <w:tr2bl w:val="nil"/>
                  </w:tcBorders>
                  <w:vAlign w:val="center"/>
                </w:tcPr>
                <w:p w14:paraId="54C599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21"/>
                      <w:szCs w:val="21"/>
                      <w:highlight w:val="none"/>
                      <w:vertAlign w:val="subscript"/>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BOD</w:t>
                  </w:r>
                  <w:r>
                    <w:rPr>
                      <w:rFonts w:hint="eastAsia" w:cs="Times New Roman"/>
                      <w:b/>
                      <w:bCs/>
                      <w:color w:val="000000" w:themeColor="text1"/>
                      <w:sz w:val="21"/>
                      <w:szCs w:val="21"/>
                      <w:highlight w:val="none"/>
                      <w:vertAlign w:val="subscript"/>
                      <w:lang w:val="en-US" w:eastAsia="zh-CN"/>
                      <w14:textFill>
                        <w14:solidFill>
                          <w14:schemeClr w14:val="tx1"/>
                        </w14:solidFill>
                      </w14:textFill>
                    </w:rPr>
                    <w:t>5</w:t>
                  </w:r>
                </w:p>
                <w:p w14:paraId="6014BE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（mg/L）</w:t>
                  </w:r>
                </w:p>
              </w:tc>
              <w:tc>
                <w:tcPr>
                  <w:tcW w:w="1263" w:type="dxa"/>
                  <w:tcBorders>
                    <w:tl2br w:val="nil"/>
                    <w:tr2bl w:val="nil"/>
                  </w:tcBorders>
                  <w:vAlign w:val="center"/>
                </w:tcPr>
                <w:p w14:paraId="44D93D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SS</w:t>
                  </w:r>
                </w:p>
                <w:p w14:paraId="227CCA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（mg/L）</w:t>
                  </w:r>
                </w:p>
              </w:tc>
              <w:tc>
                <w:tcPr>
                  <w:tcW w:w="1266" w:type="dxa"/>
                  <w:tcBorders>
                    <w:tl2br w:val="nil"/>
                    <w:tr2bl w:val="nil"/>
                  </w:tcBorders>
                  <w:vAlign w:val="center"/>
                </w:tcPr>
                <w:p w14:paraId="6D6B0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NH</w:t>
                  </w:r>
                  <w:r>
                    <w:rPr>
                      <w:rFonts w:hint="eastAsia" w:cs="Times New Roman"/>
                      <w:b/>
                      <w:bCs/>
                      <w:color w:val="000000" w:themeColor="text1"/>
                      <w:sz w:val="21"/>
                      <w:szCs w:val="21"/>
                      <w:highlight w:val="none"/>
                      <w:vertAlign w:val="subscript"/>
                      <w:lang w:val="en-US" w:eastAsia="zh-CN"/>
                      <w14:textFill>
                        <w14:solidFill>
                          <w14:schemeClr w14:val="tx1"/>
                        </w14:solidFill>
                      </w14:textFill>
                    </w:rPr>
                    <w:t>3</w:t>
                  </w:r>
                  <w:r>
                    <w:rPr>
                      <w:rFonts w:hint="eastAsia" w:cs="Times New Roman"/>
                      <w:b/>
                      <w:bCs/>
                      <w:color w:val="000000" w:themeColor="text1"/>
                      <w:sz w:val="21"/>
                      <w:szCs w:val="21"/>
                      <w:highlight w:val="none"/>
                      <w:vertAlign w:val="baseline"/>
                      <w:lang w:val="en-US" w:eastAsia="zh-CN"/>
                      <w14:textFill>
                        <w14:solidFill>
                          <w14:schemeClr w14:val="tx1"/>
                        </w14:solidFill>
                      </w14:textFill>
                    </w:rPr>
                    <w:t>-N（mg/L）</w:t>
                  </w:r>
                </w:p>
              </w:tc>
              <w:tc>
                <w:tcPr>
                  <w:tcW w:w="1918" w:type="dxa"/>
                  <w:tcBorders>
                    <w:tl2br w:val="nil"/>
                    <w:tr2bl w:val="nil"/>
                  </w:tcBorders>
                  <w:vAlign w:val="center"/>
                </w:tcPr>
                <w:p w14:paraId="7483E6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粪大肠杆菌（MPN/L）</w:t>
                  </w:r>
                </w:p>
              </w:tc>
            </w:tr>
            <w:tr w14:paraId="1D84CF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5" w:type="dxa"/>
                  <w:tcBorders>
                    <w:tl2br w:val="nil"/>
                    <w:tr2bl w:val="nil"/>
                  </w:tcBorders>
                  <w:vAlign w:val="center"/>
                </w:tcPr>
                <w:p w14:paraId="082A5F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污水浓度范围</w:t>
                  </w:r>
                </w:p>
              </w:tc>
              <w:tc>
                <w:tcPr>
                  <w:tcW w:w="1263" w:type="dxa"/>
                  <w:tcBorders>
                    <w:tl2br w:val="nil"/>
                    <w:tr2bl w:val="nil"/>
                  </w:tcBorders>
                  <w:vAlign w:val="center"/>
                </w:tcPr>
                <w:p w14:paraId="6F678E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150~300</w:t>
                  </w:r>
                </w:p>
              </w:tc>
              <w:tc>
                <w:tcPr>
                  <w:tcW w:w="1263" w:type="dxa"/>
                  <w:tcBorders>
                    <w:tl2br w:val="nil"/>
                    <w:tr2bl w:val="nil"/>
                  </w:tcBorders>
                  <w:vAlign w:val="center"/>
                </w:tcPr>
                <w:p w14:paraId="745CBA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80~150</w:t>
                  </w:r>
                </w:p>
              </w:tc>
              <w:tc>
                <w:tcPr>
                  <w:tcW w:w="1263" w:type="dxa"/>
                  <w:tcBorders>
                    <w:tl2br w:val="nil"/>
                    <w:tr2bl w:val="nil"/>
                  </w:tcBorders>
                  <w:vAlign w:val="center"/>
                </w:tcPr>
                <w:p w14:paraId="44AACD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40~120</w:t>
                  </w:r>
                </w:p>
              </w:tc>
              <w:tc>
                <w:tcPr>
                  <w:tcW w:w="1266" w:type="dxa"/>
                  <w:tcBorders>
                    <w:tl2br w:val="nil"/>
                    <w:tr2bl w:val="nil"/>
                  </w:tcBorders>
                  <w:vAlign w:val="center"/>
                </w:tcPr>
                <w:p w14:paraId="3AEA64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10~50</w:t>
                  </w:r>
                </w:p>
              </w:tc>
              <w:tc>
                <w:tcPr>
                  <w:tcW w:w="1918" w:type="dxa"/>
                  <w:tcBorders>
                    <w:tl2br w:val="nil"/>
                    <w:tr2bl w:val="nil"/>
                  </w:tcBorders>
                  <w:vAlign w:val="center"/>
                </w:tcPr>
                <w:p w14:paraId="6C7EDF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1.0×10</w:t>
                  </w:r>
                  <w:r>
                    <w:rPr>
                      <w:rFonts w:hint="eastAsia" w:cs="Times New Roman"/>
                      <w:color w:val="000000" w:themeColor="text1"/>
                      <w:sz w:val="21"/>
                      <w:szCs w:val="21"/>
                      <w:highlight w:val="none"/>
                      <w:vertAlign w:val="superscript"/>
                      <w:lang w:val="en-US" w:eastAsia="zh-CN"/>
                      <w14:textFill>
                        <w14:solidFill>
                          <w14:schemeClr w14:val="tx1"/>
                        </w14:solidFill>
                      </w14:textFill>
                    </w:rPr>
                    <w:t>6</w:t>
                  </w:r>
                  <w:r>
                    <w:rPr>
                      <w:rFonts w:hint="eastAsia" w:cs="Times New Roman"/>
                      <w:color w:val="000000" w:themeColor="text1"/>
                      <w:sz w:val="21"/>
                      <w:szCs w:val="21"/>
                      <w:highlight w:val="none"/>
                      <w:vertAlign w:val="baseline"/>
                      <w:lang w:val="en-US" w:eastAsia="zh-CN"/>
                      <w14:textFill>
                        <w14:solidFill>
                          <w14:schemeClr w14:val="tx1"/>
                        </w14:solidFill>
                      </w14:textFill>
                    </w:rPr>
                    <w:t>~3.0×10</w:t>
                  </w:r>
                  <w:r>
                    <w:rPr>
                      <w:rFonts w:hint="eastAsia" w:cs="Times New Roman"/>
                      <w:color w:val="000000" w:themeColor="text1"/>
                      <w:sz w:val="21"/>
                      <w:szCs w:val="21"/>
                      <w:highlight w:val="none"/>
                      <w:vertAlign w:val="superscript"/>
                      <w:lang w:val="en-US" w:eastAsia="zh-CN"/>
                      <w14:textFill>
                        <w14:solidFill>
                          <w14:schemeClr w14:val="tx1"/>
                        </w14:solidFill>
                      </w14:textFill>
                    </w:rPr>
                    <w:t>8</w:t>
                  </w:r>
                </w:p>
              </w:tc>
            </w:tr>
            <w:tr w14:paraId="4AB3EB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5" w:type="dxa"/>
                  <w:tcBorders>
                    <w:tl2br w:val="nil"/>
                    <w:tr2bl w:val="nil"/>
                  </w:tcBorders>
                  <w:vAlign w:val="center"/>
                </w:tcPr>
                <w:p w14:paraId="270535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本次取值</w:t>
                  </w:r>
                </w:p>
              </w:tc>
              <w:tc>
                <w:tcPr>
                  <w:tcW w:w="1263" w:type="dxa"/>
                  <w:tcBorders>
                    <w:tl2br w:val="nil"/>
                    <w:tr2bl w:val="nil"/>
                  </w:tcBorders>
                  <w:vAlign w:val="center"/>
                </w:tcPr>
                <w:p w14:paraId="7E64AF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300</w:t>
                  </w:r>
                </w:p>
              </w:tc>
              <w:tc>
                <w:tcPr>
                  <w:tcW w:w="1263" w:type="dxa"/>
                  <w:tcBorders>
                    <w:tl2br w:val="nil"/>
                    <w:tr2bl w:val="nil"/>
                  </w:tcBorders>
                  <w:vAlign w:val="center"/>
                </w:tcPr>
                <w:p w14:paraId="41E1C7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150</w:t>
                  </w:r>
                </w:p>
              </w:tc>
              <w:tc>
                <w:tcPr>
                  <w:tcW w:w="1263" w:type="dxa"/>
                  <w:tcBorders>
                    <w:tl2br w:val="nil"/>
                    <w:tr2bl w:val="nil"/>
                  </w:tcBorders>
                  <w:vAlign w:val="center"/>
                </w:tcPr>
                <w:p w14:paraId="3C72A3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120</w:t>
                  </w:r>
                </w:p>
              </w:tc>
              <w:tc>
                <w:tcPr>
                  <w:tcW w:w="1266" w:type="dxa"/>
                  <w:tcBorders>
                    <w:tl2br w:val="nil"/>
                    <w:tr2bl w:val="nil"/>
                  </w:tcBorders>
                  <w:vAlign w:val="center"/>
                </w:tcPr>
                <w:p w14:paraId="30990E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50</w:t>
                  </w:r>
                </w:p>
              </w:tc>
              <w:tc>
                <w:tcPr>
                  <w:tcW w:w="1918" w:type="dxa"/>
                  <w:tcBorders>
                    <w:tl2br w:val="nil"/>
                    <w:tr2bl w:val="nil"/>
                  </w:tcBorders>
                  <w:vAlign w:val="center"/>
                </w:tcPr>
                <w:p w14:paraId="003115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3.0×10</w:t>
                  </w:r>
                  <w:r>
                    <w:rPr>
                      <w:rFonts w:hint="eastAsia" w:cs="Times New Roman"/>
                      <w:color w:val="000000" w:themeColor="text1"/>
                      <w:sz w:val="21"/>
                      <w:szCs w:val="21"/>
                      <w:highlight w:val="none"/>
                      <w:vertAlign w:val="superscript"/>
                      <w:lang w:val="en-US" w:eastAsia="zh-CN"/>
                      <w14:textFill>
                        <w14:solidFill>
                          <w14:schemeClr w14:val="tx1"/>
                        </w14:solidFill>
                      </w14:textFill>
                    </w:rPr>
                    <w:t>8</w:t>
                  </w:r>
                </w:p>
              </w:tc>
            </w:tr>
          </w:tbl>
          <w:p w14:paraId="157209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化粪池预处理效率参照《化粪池原理及水污染物去除率》中数据，化粪池对CODcr的处理效率约为15%，对BOD</w:t>
            </w:r>
            <w:r>
              <w:rPr>
                <w:rFonts w:hint="eastAsia"/>
                <w:b w:val="0"/>
                <w:bCs w:val="0"/>
                <w:color w:val="000000" w:themeColor="text1"/>
                <w:spacing w:val="0"/>
                <w:sz w:val="24"/>
                <w:highlight w:val="none"/>
                <w:vertAlign w:val="subscript"/>
                <w:lang w:val="en-US" w:eastAsia="zh-CN"/>
                <w14:textFill>
                  <w14:solidFill>
                    <w14:schemeClr w14:val="tx1"/>
                  </w14:solidFill>
                </w14:textFill>
              </w:rPr>
              <w:t>5</w:t>
            </w:r>
            <w:r>
              <w:rPr>
                <w:rFonts w:hint="eastAsia"/>
                <w:b w:val="0"/>
                <w:bCs w:val="0"/>
                <w:color w:val="000000" w:themeColor="text1"/>
                <w:spacing w:val="0"/>
                <w:sz w:val="24"/>
                <w:highlight w:val="none"/>
                <w:lang w:val="en-US" w:eastAsia="zh-CN"/>
                <w14:textFill>
                  <w14:solidFill>
                    <w14:schemeClr w14:val="tx1"/>
                  </w14:solidFill>
                </w14:textFill>
              </w:rPr>
              <w:t>的处理效率约为9%，对SS的处理效率约为30%，对氨氮的处理效率约为3%。</w:t>
            </w:r>
          </w:p>
          <w:p w14:paraId="038DF9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小型医疗机构污水强化混凝处理探讨》（城市建设理论研究（2018年第21期）、《采用强化混凝法提高污水处理效能》（华中科技大学学报（2002年9月）采用“化粪池+格栅+沉淀+消毒”的一级强化处理工艺，在最佳混凝条件下污染物去除率分别为CODcr：70%-80%、BOD</w:t>
            </w:r>
            <w:r>
              <w:rPr>
                <w:rFonts w:hint="eastAsia"/>
                <w:b w:val="0"/>
                <w:bCs w:val="0"/>
                <w:color w:val="000000" w:themeColor="text1"/>
                <w:spacing w:val="0"/>
                <w:sz w:val="24"/>
                <w:highlight w:val="none"/>
                <w:vertAlign w:val="subscript"/>
                <w:lang w:val="en-US" w:eastAsia="zh-CN"/>
                <w14:textFill>
                  <w14:solidFill>
                    <w14:schemeClr w14:val="tx1"/>
                  </w14:solidFill>
                </w14:textFill>
              </w:rPr>
              <w:t>5</w:t>
            </w:r>
            <w:r>
              <w:rPr>
                <w:rFonts w:hint="eastAsia"/>
                <w:b w:val="0"/>
                <w:bCs w:val="0"/>
                <w:color w:val="000000" w:themeColor="text1"/>
                <w:spacing w:val="0"/>
                <w:sz w:val="24"/>
                <w:highlight w:val="none"/>
                <w:lang w:val="en-US" w:eastAsia="zh-CN"/>
                <w14:textFill>
                  <w14:solidFill>
                    <w14:schemeClr w14:val="tx1"/>
                  </w14:solidFill>
                </w14:textFill>
              </w:rPr>
              <w:t>：70%、SS：96%、氨氮：13%。结合医疗污水处理设备设计单位提供资料，本次环评污染物去除率分别按CODcr：50%、BOD</w:t>
            </w:r>
            <w:r>
              <w:rPr>
                <w:rFonts w:hint="eastAsia"/>
                <w:b w:val="0"/>
                <w:bCs w:val="0"/>
                <w:color w:val="000000" w:themeColor="text1"/>
                <w:spacing w:val="0"/>
                <w:sz w:val="24"/>
                <w:highlight w:val="none"/>
                <w:vertAlign w:val="subscript"/>
                <w:lang w:val="en-US" w:eastAsia="zh-CN"/>
                <w14:textFill>
                  <w14:solidFill>
                    <w14:schemeClr w14:val="tx1"/>
                  </w14:solidFill>
                </w14:textFill>
              </w:rPr>
              <w:t>5</w:t>
            </w:r>
            <w:r>
              <w:rPr>
                <w:rFonts w:hint="eastAsia"/>
                <w:b w:val="0"/>
                <w:bCs w:val="0"/>
                <w:color w:val="000000" w:themeColor="text1"/>
                <w:spacing w:val="0"/>
                <w:sz w:val="24"/>
                <w:highlight w:val="none"/>
                <w:lang w:val="en-US" w:eastAsia="zh-CN"/>
                <w14:textFill>
                  <w14:solidFill>
                    <w14:schemeClr w14:val="tx1"/>
                  </w14:solidFill>
                </w14:textFill>
              </w:rPr>
              <w:t>：35%、SS：70%、氨氮：13%计。</w:t>
            </w:r>
          </w:p>
          <w:p w14:paraId="242272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次氯酸钠和二氧化氯消毒液对城市污水消毒效果的研究》使用10mg/L次氯酸钠（以有效氯计）接触20min对粪大肠菌群的去除率接近于100%；8mg/L二氧化氯时，杀灭率也达到100%。本项目采用含氯消毒剂消毒的工艺控制要求为：消毒接触池接触时间</w:t>
            </w:r>
            <w:r>
              <w:rPr>
                <w:rFonts w:hint="default" w:ascii="Times New Roman" w:hAnsi="Times New Roman" w:cs="Times New Roman"/>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1h，消毒接触池出口总余氯2-8mg/L，项目消毒池出水即为废水排放口出水，总余氯指标通过结合项目运行中的实际水质、水量和每日2次的检测数据，调整次氯酸钠溶液投加量，以确保废水总排放口出水总余氯保持在2-8mg/L，按照2-8mg/L排放浓度核算，本评价按去除率为99.999%计。</w:t>
            </w:r>
          </w:p>
          <w:p w14:paraId="7609A9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本项目医疗废水经化粪池及污水处理设施处理后的水质情况、各项污染物的排放情况详见下表。</w:t>
            </w:r>
          </w:p>
          <w:p w14:paraId="4AE47A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bCs/>
                <w:color w:val="000000" w:themeColor="text1"/>
                <w:spacing w:val="-10"/>
                <w:sz w:val="21"/>
                <w:szCs w:val="21"/>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表4-5 项目水污染物产生及排放情况一览表</w:t>
            </w:r>
          </w:p>
          <w:tbl>
            <w:tblPr>
              <w:tblStyle w:val="17"/>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2"/>
              <w:gridCol w:w="998"/>
              <w:gridCol w:w="829"/>
              <w:gridCol w:w="894"/>
              <w:gridCol w:w="1091"/>
              <w:gridCol w:w="611"/>
              <w:gridCol w:w="891"/>
              <w:gridCol w:w="752"/>
              <w:gridCol w:w="709"/>
              <w:gridCol w:w="786"/>
              <w:gridCol w:w="976"/>
            </w:tblGrid>
            <w:tr w14:paraId="38E5A4D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restart"/>
                  <w:tcBorders>
                    <w:tl2br w:val="nil"/>
                    <w:tr2bl w:val="nil"/>
                  </w:tcBorders>
                  <w:vAlign w:val="center"/>
                </w:tcPr>
                <w:p w14:paraId="7339DA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污染物</w:t>
                  </w:r>
                </w:p>
              </w:tc>
              <w:tc>
                <w:tcPr>
                  <w:tcW w:w="559" w:type="pct"/>
                  <w:vMerge w:val="restart"/>
                  <w:tcBorders>
                    <w:tl2br w:val="nil"/>
                    <w:tr2bl w:val="nil"/>
                  </w:tcBorders>
                  <w:vAlign w:val="center"/>
                </w:tcPr>
                <w:p w14:paraId="2E53B2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废水量m</w:t>
                  </w:r>
                  <w:r>
                    <w:rPr>
                      <w:rFonts w:hint="eastAsia" w:cs="Times New Roman"/>
                      <w:b/>
                      <w:bCs/>
                      <w:color w:val="000000" w:themeColor="text1"/>
                      <w:sz w:val="18"/>
                      <w:szCs w:val="18"/>
                      <w:highlight w:val="none"/>
                      <w:vertAlign w:val="superscript"/>
                      <w:lang w:val="en-US" w:eastAsia="zh-CN"/>
                      <w14:textFill>
                        <w14:solidFill>
                          <w14:schemeClr w14:val="tx1"/>
                        </w14:solidFill>
                      </w14:textFill>
                    </w:rPr>
                    <w:t>3</w:t>
                  </w:r>
                  <w:r>
                    <w:rPr>
                      <w:rFonts w:hint="eastAsia" w:cs="Times New Roman"/>
                      <w:b/>
                      <w:bCs/>
                      <w:color w:val="000000" w:themeColor="text1"/>
                      <w:sz w:val="18"/>
                      <w:szCs w:val="18"/>
                      <w:highlight w:val="none"/>
                      <w:vertAlign w:val="baseline"/>
                      <w:lang w:val="en-US" w:eastAsia="zh-CN"/>
                      <w14:textFill>
                        <w14:solidFill>
                          <w14:schemeClr w14:val="tx1"/>
                        </w14:solidFill>
                      </w14:textFill>
                    </w:rPr>
                    <w:t>/a</w:t>
                  </w:r>
                </w:p>
              </w:tc>
              <w:tc>
                <w:tcPr>
                  <w:tcW w:w="464" w:type="pct"/>
                  <w:vMerge w:val="restart"/>
                  <w:tcBorders>
                    <w:tl2br w:val="nil"/>
                    <w:tr2bl w:val="nil"/>
                  </w:tcBorders>
                  <w:vAlign w:val="center"/>
                </w:tcPr>
                <w:p w14:paraId="44E661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污染物名称</w:t>
                  </w:r>
                </w:p>
              </w:tc>
              <w:tc>
                <w:tcPr>
                  <w:tcW w:w="1110" w:type="pct"/>
                  <w:gridSpan w:val="2"/>
                  <w:tcBorders>
                    <w:tl2br w:val="nil"/>
                    <w:tr2bl w:val="nil"/>
                  </w:tcBorders>
                  <w:vAlign w:val="center"/>
                </w:tcPr>
                <w:p w14:paraId="2AD854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污染物产生情况</w:t>
                  </w:r>
                </w:p>
              </w:tc>
              <w:tc>
                <w:tcPr>
                  <w:tcW w:w="832" w:type="pct"/>
                  <w:gridSpan w:val="2"/>
                  <w:tcBorders>
                    <w:right w:val="single" w:color="000000" w:sz="4" w:space="0"/>
                    <w:tl2br w:val="nil"/>
                    <w:tr2bl w:val="nil"/>
                  </w:tcBorders>
                  <w:vAlign w:val="center"/>
                </w:tcPr>
                <w:p w14:paraId="222596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化粪池</w:t>
                  </w:r>
                </w:p>
              </w:tc>
              <w:tc>
                <w:tcPr>
                  <w:tcW w:w="818" w:type="pct"/>
                  <w:gridSpan w:val="2"/>
                  <w:tcBorders>
                    <w:left w:val="single" w:color="000000" w:sz="4" w:space="0"/>
                    <w:tl2br w:val="nil"/>
                    <w:tr2bl w:val="nil"/>
                  </w:tcBorders>
                  <w:vAlign w:val="center"/>
                </w:tcPr>
                <w:p w14:paraId="0FA369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污水处理设施</w:t>
                  </w:r>
                </w:p>
              </w:tc>
              <w:tc>
                <w:tcPr>
                  <w:tcW w:w="986" w:type="pct"/>
                  <w:gridSpan w:val="2"/>
                  <w:tcBorders>
                    <w:tl2br w:val="nil"/>
                    <w:tr2bl w:val="nil"/>
                  </w:tcBorders>
                  <w:vAlign w:val="center"/>
                </w:tcPr>
                <w:p w14:paraId="0EAF82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污染物排放情况</w:t>
                  </w:r>
                </w:p>
              </w:tc>
            </w:tr>
            <w:tr w14:paraId="63E836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4D952B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0225D8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vMerge w:val="continue"/>
                  <w:tcBorders>
                    <w:tl2br w:val="nil"/>
                    <w:tr2bl w:val="nil"/>
                  </w:tcBorders>
                  <w:vAlign w:val="center"/>
                </w:tcPr>
                <w:p w14:paraId="2DECA9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00" w:type="pct"/>
                  <w:tcBorders>
                    <w:tl2br w:val="nil"/>
                    <w:tr2bl w:val="nil"/>
                  </w:tcBorders>
                  <w:vAlign w:val="center"/>
                </w:tcPr>
                <w:p w14:paraId="203491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浓度</w:t>
                  </w:r>
                </w:p>
                <w:p w14:paraId="66FD5E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mg/L</w:t>
                  </w:r>
                </w:p>
              </w:tc>
              <w:tc>
                <w:tcPr>
                  <w:tcW w:w="610" w:type="pct"/>
                  <w:tcBorders>
                    <w:top w:val="single" w:color="000000" w:sz="4" w:space="0"/>
                    <w:tl2br w:val="nil"/>
                    <w:tr2bl w:val="nil"/>
                  </w:tcBorders>
                  <w:vAlign w:val="center"/>
                </w:tcPr>
                <w:p w14:paraId="57BB7E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产生量</w:t>
                  </w:r>
                </w:p>
                <w:p w14:paraId="3C16BF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t/a</w:t>
                  </w:r>
                </w:p>
              </w:tc>
              <w:tc>
                <w:tcPr>
                  <w:tcW w:w="342" w:type="pct"/>
                  <w:tcBorders>
                    <w:top w:val="single" w:color="000000" w:sz="4" w:space="0"/>
                    <w:right w:val="single" w:color="000000" w:sz="4" w:space="0"/>
                    <w:tl2br w:val="nil"/>
                    <w:tr2bl w:val="nil"/>
                  </w:tcBorders>
                  <w:vAlign w:val="center"/>
                </w:tcPr>
                <w:p w14:paraId="3E63B5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处理效率%</w:t>
                  </w:r>
                </w:p>
              </w:tc>
              <w:tc>
                <w:tcPr>
                  <w:tcW w:w="490" w:type="pct"/>
                  <w:tcBorders>
                    <w:top w:val="single" w:color="000000" w:sz="4" w:space="0"/>
                    <w:left w:val="single" w:color="000000" w:sz="4" w:space="0"/>
                    <w:right w:val="single" w:color="000000" w:sz="4" w:space="0"/>
                    <w:tl2br w:val="nil"/>
                    <w:tr2bl w:val="nil"/>
                  </w:tcBorders>
                  <w:vAlign w:val="center"/>
                </w:tcPr>
                <w:p w14:paraId="2CB628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浓度</w:t>
                  </w:r>
                </w:p>
                <w:p w14:paraId="4BC862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mg/L</w:t>
                  </w:r>
                </w:p>
              </w:tc>
              <w:tc>
                <w:tcPr>
                  <w:tcW w:w="421" w:type="pct"/>
                  <w:tcBorders>
                    <w:top w:val="single" w:color="000000" w:sz="4" w:space="0"/>
                    <w:left w:val="single" w:color="000000" w:sz="4" w:space="0"/>
                    <w:right w:val="single" w:color="000000" w:sz="4" w:space="0"/>
                    <w:tl2br w:val="nil"/>
                    <w:tr2bl w:val="nil"/>
                  </w:tcBorders>
                  <w:vAlign w:val="center"/>
                </w:tcPr>
                <w:p w14:paraId="464D2F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处理效率%</w:t>
                  </w:r>
                </w:p>
              </w:tc>
              <w:tc>
                <w:tcPr>
                  <w:tcW w:w="397" w:type="pct"/>
                  <w:tcBorders>
                    <w:top w:val="single" w:color="000000" w:sz="4" w:space="0"/>
                    <w:left w:val="single" w:color="000000" w:sz="4" w:space="0"/>
                    <w:tl2br w:val="nil"/>
                    <w:tr2bl w:val="nil"/>
                  </w:tcBorders>
                  <w:vAlign w:val="center"/>
                </w:tcPr>
                <w:p w14:paraId="03B7B0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浓度</w:t>
                  </w:r>
                </w:p>
                <w:p w14:paraId="3B2EDB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mg/L</w:t>
                  </w:r>
                </w:p>
              </w:tc>
              <w:tc>
                <w:tcPr>
                  <w:tcW w:w="440" w:type="pct"/>
                  <w:tcBorders>
                    <w:tl2br w:val="nil"/>
                    <w:tr2bl w:val="nil"/>
                  </w:tcBorders>
                  <w:vAlign w:val="center"/>
                </w:tcPr>
                <w:p w14:paraId="04B58C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浓度mg/L</w:t>
                  </w:r>
                </w:p>
              </w:tc>
              <w:tc>
                <w:tcPr>
                  <w:tcW w:w="546" w:type="pct"/>
                  <w:tcBorders>
                    <w:tl2br w:val="nil"/>
                    <w:tr2bl w:val="nil"/>
                  </w:tcBorders>
                  <w:vAlign w:val="center"/>
                </w:tcPr>
                <w:p w14:paraId="127C4B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b/>
                      <w:bCs/>
                      <w:color w:val="000000" w:themeColor="text1"/>
                      <w:sz w:val="18"/>
                      <w:szCs w:val="18"/>
                      <w:highlight w:val="none"/>
                      <w:vertAlign w:val="baseline"/>
                      <w:lang w:val="en-US" w:eastAsia="zh-CN"/>
                      <w14:textFill>
                        <w14:solidFill>
                          <w14:schemeClr w14:val="tx1"/>
                        </w14:solidFill>
                      </w14:textFill>
                    </w:rPr>
                    <w:t>排放量t/a</w:t>
                  </w:r>
                </w:p>
              </w:tc>
            </w:tr>
            <w:tr w14:paraId="25A8FA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restart"/>
                  <w:tcBorders>
                    <w:tl2br w:val="nil"/>
                    <w:tr2bl w:val="nil"/>
                  </w:tcBorders>
                  <w:vAlign w:val="center"/>
                </w:tcPr>
                <w:p w14:paraId="228F06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3号楼医疗废水</w:t>
                  </w:r>
                </w:p>
              </w:tc>
              <w:tc>
                <w:tcPr>
                  <w:tcW w:w="559" w:type="pct"/>
                  <w:vMerge w:val="restart"/>
                  <w:tcBorders>
                    <w:tl2br w:val="nil"/>
                    <w:tr2bl w:val="nil"/>
                  </w:tcBorders>
                  <w:vAlign w:val="center"/>
                </w:tcPr>
                <w:p w14:paraId="78A3F6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20826.405</w:t>
                  </w:r>
                </w:p>
              </w:tc>
              <w:tc>
                <w:tcPr>
                  <w:tcW w:w="464" w:type="pct"/>
                  <w:tcBorders>
                    <w:tl2br w:val="nil"/>
                    <w:tr2bl w:val="nil"/>
                  </w:tcBorders>
                  <w:vAlign w:val="center"/>
                </w:tcPr>
                <w:p w14:paraId="4DBD42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CODcr</w:t>
                  </w:r>
                </w:p>
              </w:tc>
              <w:tc>
                <w:tcPr>
                  <w:tcW w:w="500" w:type="pct"/>
                  <w:tcBorders>
                    <w:tl2br w:val="nil"/>
                    <w:tr2bl w:val="nil"/>
                  </w:tcBorders>
                  <w:vAlign w:val="center"/>
                </w:tcPr>
                <w:p w14:paraId="426D7B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w:t>
                  </w:r>
                </w:p>
              </w:tc>
              <w:tc>
                <w:tcPr>
                  <w:tcW w:w="1070" w:type="dxa"/>
                  <w:tcBorders>
                    <w:tl2br w:val="nil"/>
                    <w:tr2bl w:val="nil"/>
                  </w:tcBorders>
                  <w:vAlign w:val="center"/>
                </w:tcPr>
                <w:p w14:paraId="4B3118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6.24</w:t>
                  </w:r>
                  <w:r>
                    <w:rPr>
                      <w:rFonts w:hint="eastAsia" w:cs="Times New Roman"/>
                      <w:color w:val="000000" w:themeColor="text1"/>
                      <w:sz w:val="18"/>
                      <w:szCs w:val="18"/>
                      <w:highlight w:val="none"/>
                      <w:vertAlign w:val="baseline"/>
                      <w:lang w:val="en-US" w:eastAsia="zh-CN"/>
                      <w14:textFill>
                        <w14:solidFill>
                          <w14:schemeClr w14:val="tx1"/>
                        </w14:solidFill>
                      </w14:textFill>
                    </w:rPr>
                    <w:t>8</w:t>
                  </w:r>
                </w:p>
              </w:tc>
              <w:tc>
                <w:tcPr>
                  <w:tcW w:w="342" w:type="pct"/>
                  <w:tcBorders>
                    <w:right w:val="single" w:color="000000" w:sz="4" w:space="0"/>
                    <w:tl2br w:val="nil"/>
                    <w:tr2bl w:val="nil"/>
                  </w:tcBorders>
                  <w:shd w:val="clear" w:color="auto" w:fill="auto"/>
                  <w:vAlign w:val="center"/>
                </w:tcPr>
                <w:p w14:paraId="07A3AF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15</w:t>
                  </w:r>
                </w:p>
              </w:tc>
              <w:tc>
                <w:tcPr>
                  <w:tcW w:w="490" w:type="pct"/>
                  <w:tcBorders>
                    <w:left w:val="single" w:color="000000" w:sz="4" w:space="0"/>
                    <w:tl2br w:val="nil"/>
                    <w:tr2bl w:val="nil"/>
                  </w:tcBorders>
                  <w:shd w:val="clear" w:color="auto" w:fill="auto"/>
                  <w:vAlign w:val="center"/>
                </w:tcPr>
                <w:p w14:paraId="5C1916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255.0</w:t>
                  </w:r>
                </w:p>
              </w:tc>
              <w:tc>
                <w:tcPr>
                  <w:tcW w:w="421" w:type="pct"/>
                  <w:tcBorders>
                    <w:right w:val="single" w:color="000000" w:sz="4" w:space="0"/>
                    <w:tl2br w:val="nil"/>
                    <w:tr2bl w:val="nil"/>
                  </w:tcBorders>
                  <w:shd w:val="clear" w:color="auto" w:fill="auto"/>
                  <w:vAlign w:val="center"/>
                </w:tcPr>
                <w:p w14:paraId="688078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50</w:t>
                  </w:r>
                </w:p>
              </w:tc>
              <w:tc>
                <w:tcPr>
                  <w:tcW w:w="397" w:type="pct"/>
                  <w:tcBorders>
                    <w:left w:val="single" w:color="000000" w:sz="4" w:space="0"/>
                    <w:tl2br w:val="nil"/>
                    <w:tr2bl w:val="nil"/>
                  </w:tcBorders>
                  <w:vAlign w:val="center"/>
                </w:tcPr>
                <w:p w14:paraId="5F9F2D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127.5</w:t>
                  </w:r>
                </w:p>
              </w:tc>
              <w:tc>
                <w:tcPr>
                  <w:tcW w:w="440" w:type="pct"/>
                  <w:tcBorders>
                    <w:tl2br w:val="nil"/>
                    <w:tr2bl w:val="nil"/>
                  </w:tcBorders>
                  <w:shd w:val="clear" w:color="auto" w:fill="auto"/>
                  <w:vAlign w:val="center"/>
                </w:tcPr>
                <w:p w14:paraId="4E9695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127.5</w:t>
                  </w:r>
                </w:p>
              </w:tc>
              <w:tc>
                <w:tcPr>
                  <w:tcW w:w="957" w:type="dxa"/>
                  <w:tcBorders>
                    <w:tl2br w:val="nil"/>
                    <w:tr2bl w:val="nil"/>
                  </w:tcBorders>
                  <w:vAlign w:val="center"/>
                </w:tcPr>
                <w:p w14:paraId="313414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2.655</w:t>
                  </w:r>
                </w:p>
              </w:tc>
            </w:tr>
            <w:tr w14:paraId="01807D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04FE9F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026ADB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vAlign w:val="center"/>
                </w:tcPr>
                <w:p w14:paraId="1AC56F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BOD</w:t>
                  </w:r>
                  <w:r>
                    <w:rPr>
                      <w:rFonts w:hint="eastAsia" w:cs="Times New Roman"/>
                      <w:color w:val="000000" w:themeColor="text1"/>
                      <w:sz w:val="18"/>
                      <w:szCs w:val="18"/>
                      <w:highlight w:val="none"/>
                      <w:vertAlign w:val="subscript"/>
                      <w:lang w:val="en-US" w:eastAsia="zh-CN"/>
                      <w14:textFill>
                        <w14:solidFill>
                          <w14:schemeClr w14:val="tx1"/>
                        </w14:solidFill>
                      </w14:textFill>
                    </w:rPr>
                    <w:t>5</w:t>
                  </w:r>
                </w:p>
              </w:tc>
              <w:tc>
                <w:tcPr>
                  <w:tcW w:w="500" w:type="pct"/>
                  <w:tcBorders>
                    <w:tl2br w:val="nil"/>
                    <w:tr2bl w:val="nil"/>
                  </w:tcBorders>
                  <w:vAlign w:val="center"/>
                </w:tcPr>
                <w:p w14:paraId="664E6F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150</w:t>
                  </w:r>
                </w:p>
              </w:tc>
              <w:tc>
                <w:tcPr>
                  <w:tcW w:w="1070" w:type="dxa"/>
                  <w:tcBorders>
                    <w:tl2br w:val="nil"/>
                    <w:tr2bl w:val="nil"/>
                  </w:tcBorders>
                  <w:vAlign w:val="center"/>
                </w:tcPr>
                <w:p w14:paraId="39B0A0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3.12</w:t>
                  </w:r>
                  <w:r>
                    <w:rPr>
                      <w:rFonts w:hint="eastAsia" w:cs="Times New Roman"/>
                      <w:color w:val="000000" w:themeColor="text1"/>
                      <w:sz w:val="18"/>
                      <w:szCs w:val="18"/>
                      <w:highlight w:val="none"/>
                      <w:vertAlign w:val="baseline"/>
                      <w:lang w:val="en-US" w:eastAsia="zh-CN"/>
                      <w14:textFill>
                        <w14:solidFill>
                          <w14:schemeClr w14:val="tx1"/>
                        </w14:solidFill>
                      </w14:textFill>
                    </w:rPr>
                    <w:t>4</w:t>
                  </w:r>
                </w:p>
              </w:tc>
              <w:tc>
                <w:tcPr>
                  <w:tcW w:w="342" w:type="pct"/>
                  <w:tcBorders>
                    <w:right w:val="single" w:color="000000" w:sz="4" w:space="0"/>
                    <w:tl2br w:val="nil"/>
                    <w:tr2bl w:val="nil"/>
                  </w:tcBorders>
                  <w:shd w:val="clear" w:color="auto" w:fill="auto"/>
                  <w:vAlign w:val="center"/>
                </w:tcPr>
                <w:p w14:paraId="65D4D2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w:t>
                  </w:r>
                </w:p>
              </w:tc>
              <w:tc>
                <w:tcPr>
                  <w:tcW w:w="490" w:type="pct"/>
                  <w:tcBorders>
                    <w:left w:val="single" w:color="000000" w:sz="4" w:space="0"/>
                    <w:tl2br w:val="nil"/>
                    <w:tr2bl w:val="nil"/>
                  </w:tcBorders>
                  <w:shd w:val="clear" w:color="auto" w:fill="auto"/>
                  <w:vAlign w:val="center"/>
                </w:tcPr>
                <w:p w14:paraId="1346E2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136.5</w:t>
                  </w:r>
                </w:p>
              </w:tc>
              <w:tc>
                <w:tcPr>
                  <w:tcW w:w="421" w:type="pct"/>
                  <w:tcBorders>
                    <w:right w:val="single" w:color="000000" w:sz="4" w:space="0"/>
                    <w:tl2br w:val="nil"/>
                    <w:tr2bl w:val="nil"/>
                  </w:tcBorders>
                  <w:shd w:val="clear" w:color="auto" w:fill="auto"/>
                  <w:vAlign w:val="center"/>
                </w:tcPr>
                <w:p w14:paraId="4EE045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35</w:t>
                  </w:r>
                </w:p>
              </w:tc>
              <w:tc>
                <w:tcPr>
                  <w:tcW w:w="397" w:type="pct"/>
                  <w:tcBorders>
                    <w:left w:val="single" w:color="000000" w:sz="4" w:space="0"/>
                    <w:tl2br w:val="nil"/>
                    <w:tr2bl w:val="nil"/>
                  </w:tcBorders>
                  <w:vAlign w:val="center"/>
                </w:tcPr>
                <w:p w14:paraId="51BE61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88.7</w:t>
                  </w:r>
                </w:p>
              </w:tc>
              <w:tc>
                <w:tcPr>
                  <w:tcW w:w="440" w:type="pct"/>
                  <w:tcBorders>
                    <w:tl2br w:val="nil"/>
                    <w:tr2bl w:val="nil"/>
                  </w:tcBorders>
                  <w:shd w:val="clear" w:color="auto" w:fill="auto"/>
                  <w:vAlign w:val="center"/>
                </w:tcPr>
                <w:p w14:paraId="24C0CD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88.7</w:t>
                  </w:r>
                </w:p>
              </w:tc>
              <w:tc>
                <w:tcPr>
                  <w:tcW w:w="957" w:type="dxa"/>
                  <w:tcBorders>
                    <w:tl2br w:val="nil"/>
                    <w:tr2bl w:val="nil"/>
                  </w:tcBorders>
                  <w:vAlign w:val="center"/>
                </w:tcPr>
                <w:p w14:paraId="0B964F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1.847</w:t>
                  </w:r>
                </w:p>
              </w:tc>
            </w:tr>
            <w:tr w14:paraId="033A762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2C410D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362D90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vAlign w:val="center"/>
                </w:tcPr>
                <w:p w14:paraId="04015F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SS</w:t>
                  </w:r>
                </w:p>
              </w:tc>
              <w:tc>
                <w:tcPr>
                  <w:tcW w:w="500" w:type="pct"/>
                  <w:tcBorders>
                    <w:tl2br w:val="nil"/>
                    <w:tr2bl w:val="nil"/>
                  </w:tcBorders>
                  <w:vAlign w:val="center"/>
                </w:tcPr>
                <w:p w14:paraId="2B271B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120</w:t>
                  </w:r>
                </w:p>
              </w:tc>
              <w:tc>
                <w:tcPr>
                  <w:tcW w:w="1070" w:type="dxa"/>
                  <w:tcBorders>
                    <w:tl2br w:val="nil"/>
                    <w:tr2bl w:val="nil"/>
                  </w:tcBorders>
                  <w:vAlign w:val="center"/>
                </w:tcPr>
                <w:p w14:paraId="6F7193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2.499</w:t>
                  </w:r>
                </w:p>
              </w:tc>
              <w:tc>
                <w:tcPr>
                  <w:tcW w:w="342" w:type="pct"/>
                  <w:tcBorders>
                    <w:right w:val="single" w:color="000000" w:sz="4" w:space="0"/>
                    <w:tl2br w:val="nil"/>
                    <w:tr2bl w:val="nil"/>
                  </w:tcBorders>
                  <w:shd w:val="clear" w:color="auto" w:fill="auto"/>
                  <w:vAlign w:val="center"/>
                </w:tcPr>
                <w:p w14:paraId="0130DB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w:t>
                  </w:r>
                </w:p>
              </w:tc>
              <w:tc>
                <w:tcPr>
                  <w:tcW w:w="490" w:type="pct"/>
                  <w:tcBorders>
                    <w:left w:val="single" w:color="000000" w:sz="4" w:space="0"/>
                    <w:tl2br w:val="nil"/>
                    <w:tr2bl w:val="nil"/>
                  </w:tcBorders>
                  <w:shd w:val="clear" w:color="auto" w:fill="auto"/>
                  <w:vAlign w:val="center"/>
                </w:tcPr>
                <w:p w14:paraId="5A0F49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84.0</w:t>
                  </w:r>
                </w:p>
              </w:tc>
              <w:tc>
                <w:tcPr>
                  <w:tcW w:w="421" w:type="pct"/>
                  <w:tcBorders>
                    <w:right w:val="single" w:color="000000" w:sz="4" w:space="0"/>
                    <w:tl2br w:val="nil"/>
                    <w:tr2bl w:val="nil"/>
                  </w:tcBorders>
                  <w:shd w:val="clear" w:color="auto" w:fill="auto"/>
                  <w:vAlign w:val="center"/>
                </w:tcPr>
                <w:p w14:paraId="4DD628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70</w:t>
                  </w:r>
                </w:p>
              </w:tc>
              <w:tc>
                <w:tcPr>
                  <w:tcW w:w="397" w:type="pct"/>
                  <w:tcBorders>
                    <w:left w:val="single" w:color="000000" w:sz="4" w:space="0"/>
                    <w:tl2br w:val="nil"/>
                    <w:tr2bl w:val="nil"/>
                  </w:tcBorders>
                  <w:vAlign w:val="center"/>
                </w:tcPr>
                <w:p w14:paraId="455141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25.2</w:t>
                  </w:r>
                </w:p>
              </w:tc>
              <w:tc>
                <w:tcPr>
                  <w:tcW w:w="440" w:type="pct"/>
                  <w:tcBorders>
                    <w:tl2br w:val="nil"/>
                    <w:tr2bl w:val="nil"/>
                  </w:tcBorders>
                  <w:shd w:val="clear" w:color="auto" w:fill="auto"/>
                  <w:vAlign w:val="center"/>
                </w:tcPr>
                <w:p w14:paraId="42BCE0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25.2</w:t>
                  </w:r>
                </w:p>
              </w:tc>
              <w:tc>
                <w:tcPr>
                  <w:tcW w:w="957" w:type="dxa"/>
                  <w:tcBorders>
                    <w:tl2br w:val="nil"/>
                    <w:tr2bl w:val="nil"/>
                  </w:tcBorders>
                  <w:vAlign w:val="center"/>
                </w:tcPr>
                <w:p w14:paraId="27B75D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0.52</w:t>
                  </w:r>
                  <w:r>
                    <w:rPr>
                      <w:rFonts w:hint="eastAsia" w:cs="Times New Roman"/>
                      <w:color w:val="000000" w:themeColor="text1"/>
                      <w:sz w:val="18"/>
                      <w:szCs w:val="18"/>
                      <w:highlight w:val="none"/>
                      <w:vertAlign w:val="baseline"/>
                      <w:lang w:val="en-US" w:eastAsia="zh-CN"/>
                      <w14:textFill>
                        <w14:solidFill>
                          <w14:schemeClr w14:val="tx1"/>
                        </w14:solidFill>
                      </w14:textFill>
                    </w:rPr>
                    <w:t>5</w:t>
                  </w:r>
                </w:p>
              </w:tc>
            </w:tr>
            <w:tr w14:paraId="7034CB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1133E7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37E886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vAlign w:val="center"/>
                </w:tcPr>
                <w:p w14:paraId="5E06C8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NH</w:t>
                  </w:r>
                  <w:r>
                    <w:rPr>
                      <w:rFonts w:hint="eastAsia" w:cs="Times New Roman"/>
                      <w:color w:val="000000" w:themeColor="text1"/>
                      <w:sz w:val="18"/>
                      <w:szCs w:val="18"/>
                      <w:highlight w:val="none"/>
                      <w:vertAlign w:val="subscript"/>
                      <w:lang w:val="en-US" w:eastAsia="zh-CN"/>
                      <w14:textFill>
                        <w14:solidFill>
                          <w14:schemeClr w14:val="tx1"/>
                        </w14:solidFill>
                      </w14:textFill>
                    </w:rPr>
                    <w:t>3</w:t>
                  </w:r>
                  <w:r>
                    <w:rPr>
                      <w:rFonts w:hint="eastAsia" w:cs="Times New Roman"/>
                      <w:color w:val="000000" w:themeColor="text1"/>
                      <w:sz w:val="18"/>
                      <w:szCs w:val="18"/>
                      <w:highlight w:val="none"/>
                      <w:vertAlign w:val="baseline"/>
                      <w:lang w:val="en-US" w:eastAsia="zh-CN"/>
                      <w14:textFill>
                        <w14:solidFill>
                          <w14:schemeClr w14:val="tx1"/>
                        </w14:solidFill>
                      </w14:textFill>
                    </w:rPr>
                    <w:t>-N</w:t>
                  </w:r>
                </w:p>
              </w:tc>
              <w:tc>
                <w:tcPr>
                  <w:tcW w:w="500" w:type="pct"/>
                  <w:tcBorders>
                    <w:tl2br w:val="nil"/>
                    <w:tr2bl w:val="nil"/>
                  </w:tcBorders>
                  <w:vAlign w:val="center"/>
                </w:tcPr>
                <w:p w14:paraId="513D45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50</w:t>
                  </w:r>
                </w:p>
              </w:tc>
              <w:tc>
                <w:tcPr>
                  <w:tcW w:w="1070" w:type="dxa"/>
                  <w:tcBorders>
                    <w:tl2br w:val="nil"/>
                    <w:tr2bl w:val="nil"/>
                  </w:tcBorders>
                  <w:vAlign w:val="center"/>
                </w:tcPr>
                <w:p w14:paraId="029E97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1.041</w:t>
                  </w:r>
                </w:p>
              </w:tc>
              <w:tc>
                <w:tcPr>
                  <w:tcW w:w="342" w:type="pct"/>
                  <w:tcBorders>
                    <w:right w:val="single" w:color="000000" w:sz="4" w:space="0"/>
                    <w:tl2br w:val="nil"/>
                    <w:tr2bl w:val="nil"/>
                  </w:tcBorders>
                  <w:shd w:val="clear" w:color="auto" w:fill="auto"/>
                  <w:vAlign w:val="center"/>
                </w:tcPr>
                <w:p w14:paraId="5739EB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w:t>
                  </w:r>
                </w:p>
              </w:tc>
              <w:tc>
                <w:tcPr>
                  <w:tcW w:w="490" w:type="pct"/>
                  <w:tcBorders>
                    <w:left w:val="single" w:color="000000" w:sz="4" w:space="0"/>
                    <w:tl2br w:val="nil"/>
                    <w:tr2bl w:val="nil"/>
                  </w:tcBorders>
                  <w:shd w:val="clear" w:color="auto" w:fill="auto"/>
                  <w:vAlign w:val="center"/>
                </w:tcPr>
                <w:p w14:paraId="7E9B53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48.5</w:t>
                  </w:r>
                </w:p>
              </w:tc>
              <w:tc>
                <w:tcPr>
                  <w:tcW w:w="421" w:type="pct"/>
                  <w:tcBorders>
                    <w:right w:val="single" w:color="000000" w:sz="4" w:space="0"/>
                    <w:tl2br w:val="nil"/>
                    <w:tr2bl w:val="nil"/>
                  </w:tcBorders>
                  <w:shd w:val="clear" w:color="auto" w:fill="auto"/>
                  <w:vAlign w:val="center"/>
                </w:tcPr>
                <w:p w14:paraId="5FE78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13</w:t>
                  </w:r>
                </w:p>
              </w:tc>
              <w:tc>
                <w:tcPr>
                  <w:tcW w:w="397" w:type="pct"/>
                  <w:tcBorders>
                    <w:left w:val="single" w:color="000000" w:sz="4" w:space="0"/>
                    <w:tl2br w:val="nil"/>
                    <w:tr2bl w:val="nil"/>
                  </w:tcBorders>
                  <w:vAlign w:val="center"/>
                </w:tcPr>
                <w:p w14:paraId="3D6F00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42.2</w:t>
                  </w:r>
                </w:p>
              </w:tc>
              <w:tc>
                <w:tcPr>
                  <w:tcW w:w="440" w:type="pct"/>
                  <w:tcBorders>
                    <w:tl2br w:val="nil"/>
                    <w:tr2bl w:val="nil"/>
                  </w:tcBorders>
                  <w:shd w:val="clear" w:color="auto" w:fill="auto"/>
                  <w:vAlign w:val="center"/>
                </w:tcPr>
                <w:p w14:paraId="3556B8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42.2</w:t>
                  </w:r>
                </w:p>
              </w:tc>
              <w:tc>
                <w:tcPr>
                  <w:tcW w:w="957" w:type="dxa"/>
                  <w:tcBorders>
                    <w:tl2br w:val="nil"/>
                    <w:tr2bl w:val="nil"/>
                  </w:tcBorders>
                  <w:vAlign w:val="center"/>
                </w:tcPr>
                <w:p w14:paraId="7DF313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0.87</w:t>
                  </w:r>
                  <w:r>
                    <w:rPr>
                      <w:rFonts w:hint="eastAsia" w:cs="Times New Roman"/>
                      <w:color w:val="000000" w:themeColor="text1"/>
                      <w:sz w:val="18"/>
                      <w:szCs w:val="18"/>
                      <w:highlight w:val="none"/>
                      <w:vertAlign w:val="baseline"/>
                      <w:lang w:val="en-US" w:eastAsia="zh-CN"/>
                      <w14:textFill>
                        <w14:solidFill>
                          <w14:schemeClr w14:val="tx1"/>
                        </w14:solidFill>
                      </w14:textFill>
                    </w:rPr>
                    <w:t>9</w:t>
                  </w:r>
                </w:p>
              </w:tc>
            </w:tr>
            <w:tr w14:paraId="3B77AB9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226" w:type="pct"/>
                  <w:vMerge w:val="continue"/>
                  <w:tcBorders>
                    <w:tl2br w:val="nil"/>
                    <w:tr2bl w:val="nil"/>
                  </w:tcBorders>
                  <w:vAlign w:val="center"/>
                </w:tcPr>
                <w:p w14:paraId="4EADAA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09307F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vAlign w:val="center"/>
                </w:tcPr>
                <w:p w14:paraId="7E596F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粪大肠菌群数MPN/L</w:t>
                  </w:r>
                </w:p>
              </w:tc>
              <w:tc>
                <w:tcPr>
                  <w:tcW w:w="500" w:type="pct"/>
                  <w:tcBorders>
                    <w:tl2br w:val="nil"/>
                    <w:tr2bl w:val="nil"/>
                  </w:tcBorders>
                  <w:vAlign w:val="center"/>
                </w:tcPr>
                <w:p w14:paraId="6A0054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3.0×10</w:t>
                  </w:r>
                  <w:r>
                    <w:rPr>
                      <w:rFonts w:hint="eastAsia" w:cs="Times New Roman"/>
                      <w:color w:val="000000" w:themeColor="text1"/>
                      <w:sz w:val="18"/>
                      <w:szCs w:val="18"/>
                      <w:highlight w:val="none"/>
                      <w:vertAlign w:val="superscript"/>
                      <w:lang w:val="en-US" w:eastAsia="zh-CN"/>
                      <w14:textFill>
                        <w14:solidFill>
                          <w14:schemeClr w14:val="tx1"/>
                        </w14:solidFill>
                      </w14:textFill>
                    </w:rPr>
                    <w:t>8</w:t>
                  </w:r>
                </w:p>
              </w:tc>
              <w:tc>
                <w:tcPr>
                  <w:tcW w:w="1070" w:type="dxa"/>
                  <w:tcBorders>
                    <w:tl2br w:val="nil"/>
                    <w:tr2bl w:val="nil"/>
                  </w:tcBorders>
                  <w:vAlign w:val="center"/>
                </w:tcPr>
                <w:p w14:paraId="40777B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342" w:type="pct"/>
                  <w:tcBorders>
                    <w:right w:val="single" w:color="000000" w:sz="4" w:space="0"/>
                    <w:tl2br w:val="nil"/>
                    <w:tr2bl w:val="nil"/>
                  </w:tcBorders>
                  <w:shd w:val="clear" w:color="auto" w:fill="auto"/>
                  <w:vAlign w:val="center"/>
                </w:tcPr>
                <w:p w14:paraId="6411E6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w:t>
                  </w:r>
                </w:p>
              </w:tc>
              <w:tc>
                <w:tcPr>
                  <w:tcW w:w="490" w:type="pct"/>
                  <w:tcBorders>
                    <w:left w:val="single" w:color="000000" w:sz="4" w:space="0"/>
                    <w:tl2br w:val="nil"/>
                    <w:tr2bl w:val="nil"/>
                  </w:tcBorders>
                  <w:shd w:val="clear" w:color="auto" w:fill="auto"/>
                  <w:vAlign w:val="center"/>
                </w:tcPr>
                <w:p w14:paraId="0BC0BA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3.0×108</w:t>
                  </w:r>
                </w:p>
              </w:tc>
              <w:tc>
                <w:tcPr>
                  <w:tcW w:w="421" w:type="pct"/>
                  <w:tcBorders>
                    <w:right w:val="single" w:color="000000" w:sz="4" w:space="0"/>
                    <w:tl2br w:val="nil"/>
                    <w:tr2bl w:val="nil"/>
                  </w:tcBorders>
                  <w:shd w:val="clear" w:color="auto" w:fill="auto"/>
                  <w:vAlign w:val="center"/>
                </w:tcPr>
                <w:p w14:paraId="514391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99.999</w:t>
                  </w:r>
                </w:p>
              </w:tc>
              <w:tc>
                <w:tcPr>
                  <w:tcW w:w="397" w:type="pct"/>
                  <w:tcBorders>
                    <w:left w:val="single" w:color="000000" w:sz="4" w:space="0"/>
                    <w:tl2br w:val="nil"/>
                    <w:tr2bl w:val="nil"/>
                  </w:tcBorders>
                  <w:vAlign w:val="center"/>
                </w:tcPr>
                <w:p w14:paraId="5F4949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3000</w:t>
                  </w:r>
                </w:p>
              </w:tc>
              <w:tc>
                <w:tcPr>
                  <w:tcW w:w="440" w:type="pct"/>
                  <w:tcBorders>
                    <w:tl2br w:val="nil"/>
                    <w:tr2bl w:val="nil"/>
                  </w:tcBorders>
                  <w:vAlign w:val="center"/>
                </w:tcPr>
                <w:p w14:paraId="57419E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3000</w:t>
                  </w:r>
                </w:p>
              </w:tc>
              <w:tc>
                <w:tcPr>
                  <w:tcW w:w="957" w:type="dxa"/>
                  <w:tcBorders>
                    <w:tl2br w:val="nil"/>
                    <w:tr2bl w:val="nil"/>
                  </w:tcBorders>
                  <w:vAlign w:val="center"/>
                </w:tcPr>
                <w:p w14:paraId="1E769F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w:t>
                  </w:r>
                </w:p>
              </w:tc>
            </w:tr>
            <w:tr w14:paraId="71731D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14FDEF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1DCDB2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vAlign w:val="center"/>
                </w:tcPr>
                <w:p w14:paraId="56A4E6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总余氯</w:t>
                  </w:r>
                </w:p>
              </w:tc>
              <w:tc>
                <w:tcPr>
                  <w:tcW w:w="500" w:type="pct"/>
                  <w:tcBorders>
                    <w:tl2br w:val="nil"/>
                    <w:tr2bl w:val="nil"/>
                  </w:tcBorders>
                  <w:vAlign w:val="center"/>
                </w:tcPr>
                <w:p w14:paraId="22B691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070" w:type="dxa"/>
                  <w:tcBorders>
                    <w:tl2br w:val="nil"/>
                    <w:tr2bl w:val="nil"/>
                  </w:tcBorders>
                  <w:vAlign w:val="center"/>
                </w:tcPr>
                <w:p w14:paraId="3D1DCA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w:t>
                  </w:r>
                </w:p>
              </w:tc>
              <w:tc>
                <w:tcPr>
                  <w:tcW w:w="342" w:type="pct"/>
                  <w:tcBorders>
                    <w:right w:val="single" w:color="000000" w:sz="4" w:space="0"/>
                    <w:tl2br w:val="nil"/>
                    <w:tr2bl w:val="nil"/>
                  </w:tcBorders>
                  <w:shd w:val="clear" w:color="auto" w:fill="auto"/>
                  <w:vAlign w:val="center"/>
                </w:tcPr>
                <w:p w14:paraId="1066D0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90" w:type="pct"/>
                  <w:tcBorders>
                    <w:left w:val="single" w:color="000000" w:sz="4" w:space="0"/>
                    <w:tl2br w:val="nil"/>
                    <w:tr2bl w:val="nil"/>
                  </w:tcBorders>
                  <w:shd w:val="clear" w:color="auto" w:fill="auto"/>
                  <w:vAlign w:val="center"/>
                </w:tcPr>
                <w:p w14:paraId="42CAF9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21" w:type="pct"/>
                  <w:tcBorders>
                    <w:right w:val="single" w:color="000000" w:sz="4" w:space="0"/>
                    <w:tl2br w:val="nil"/>
                    <w:tr2bl w:val="nil"/>
                  </w:tcBorders>
                  <w:shd w:val="clear" w:color="auto" w:fill="auto"/>
                  <w:vAlign w:val="center"/>
                </w:tcPr>
                <w:p w14:paraId="47574F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397" w:type="pct"/>
                  <w:tcBorders>
                    <w:left w:val="single" w:color="000000" w:sz="4" w:space="0"/>
                    <w:tl2br w:val="nil"/>
                    <w:tr2bl w:val="nil"/>
                  </w:tcBorders>
                  <w:vAlign w:val="center"/>
                </w:tcPr>
                <w:p w14:paraId="6C12D7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40" w:type="pct"/>
                  <w:tcBorders>
                    <w:tl2br w:val="nil"/>
                    <w:tr2bl w:val="nil"/>
                  </w:tcBorders>
                  <w:vAlign w:val="center"/>
                </w:tcPr>
                <w:p w14:paraId="164BEB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2-8</w:t>
                  </w:r>
                </w:p>
              </w:tc>
              <w:tc>
                <w:tcPr>
                  <w:tcW w:w="957" w:type="dxa"/>
                  <w:tcBorders>
                    <w:tl2br w:val="nil"/>
                    <w:tr2bl w:val="nil"/>
                  </w:tcBorders>
                  <w:vAlign w:val="center"/>
                </w:tcPr>
                <w:p w14:paraId="3C91F6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w:t>
                  </w:r>
                </w:p>
              </w:tc>
            </w:tr>
            <w:tr w14:paraId="31F8A9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restart"/>
                  <w:tcBorders>
                    <w:tl2br w:val="nil"/>
                    <w:tr2bl w:val="nil"/>
                  </w:tcBorders>
                  <w:vAlign w:val="center"/>
                </w:tcPr>
                <w:p w14:paraId="300685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9号楼医疗废水</w:t>
                  </w:r>
                </w:p>
              </w:tc>
              <w:tc>
                <w:tcPr>
                  <w:tcW w:w="559" w:type="pct"/>
                  <w:vMerge w:val="restart"/>
                  <w:tcBorders>
                    <w:tl2br w:val="nil"/>
                    <w:tr2bl w:val="nil"/>
                  </w:tcBorders>
                  <w:vAlign w:val="center"/>
                </w:tcPr>
                <w:p w14:paraId="3D8989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325.17</w:t>
                  </w:r>
                </w:p>
              </w:tc>
              <w:tc>
                <w:tcPr>
                  <w:tcW w:w="464" w:type="pct"/>
                  <w:tcBorders>
                    <w:tl2br w:val="nil"/>
                    <w:tr2bl w:val="nil"/>
                  </w:tcBorders>
                  <w:shd w:val="clear" w:color="auto" w:fill="auto"/>
                  <w:vAlign w:val="center"/>
                </w:tcPr>
                <w:p w14:paraId="00EC01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CODcr</w:t>
                  </w:r>
                </w:p>
              </w:tc>
              <w:tc>
                <w:tcPr>
                  <w:tcW w:w="500" w:type="pct"/>
                  <w:tcBorders>
                    <w:tl2br w:val="nil"/>
                    <w:tr2bl w:val="nil"/>
                  </w:tcBorders>
                  <w:shd w:val="clear" w:color="auto" w:fill="auto"/>
                  <w:vAlign w:val="center"/>
                </w:tcPr>
                <w:p w14:paraId="54948A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w:t>
                  </w:r>
                </w:p>
              </w:tc>
              <w:tc>
                <w:tcPr>
                  <w:tcW w:w="1070" w:type="dxa"/>
                  <w:tcBorders>
                    <w:tl2br w:val="nil"/>
                    <w:tr2bl w:val="nil"/>
                  </w:tcBorders>
                  <w:shd w:val="clear" w:color="auto" w:fill="auto"/>
                  <w:vAlign w:val="center"/>
                </w:tcPr>
                <w:p w14:paraId="4AF1EE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0.09</w:t>
                  </w:r>
                  <w:r>
                    <w:rPr>
                      <w:rFonts w:hint="eastAsia" w:cs="Times New Roman"/>
                      <w:color w:val="000000" w:themeColor="text1"/>
                      <w:sz w:val="18"/>
                      <w:szCs w:val="18"/>
                      <w:highlight w:val="none"/>
                      <w:vertAlign w:val="baseline"/>
                      <w:lang w:val="en-US" w:eastAsia="zh-CN"/>
                      <w14:textFill>
                        <w14:solidFill>
                          <w14:schemeClr w14:val="tx1"/>
                        </w14:solidFill>
                      </w14:textFill>
                    </w:rPr>
                    <w:t>8</w:t>
                  </w:r>
                </w:p>
              </w:tc>
              <w:tc>
                <w:tcPr>
                  <w:tcW w:w="342" w:type="pct"/>
                  <w:tcBorders>
                    <w:right w:val="single" w:color="000000" w:sz="4" w:space="0"/>
                    <w:tl2br w:val="nil"/>
                    <w:tr2bl w:val="nil"/>
                  </w:tcBorders>
                  <w:shd w:val="clear" w:color="auto" w:fill="auto"/>
                  <w:vAlign w:val="center"/>
                </w:tcPr>
                <w:p w14:paraId="160FAB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15</w:t>
                  </w:r>
                </w:p>
              </w:tc>
              <w:tc>
                <w:tcPr>
                  <w:tcW w:w="490" w:type="pct"/>
                  <w:tcBorders>
                    <w:left w:val="single" w:color="000000" w:sz="4" w:space="0"/>
                    <w:tl2br w:val="nil"/>
                    <w:tr2bl w:val="nil"/>
                  </w:tcBorders>
                  <w:shd w:val="clear" w:color="auto" w:fill="auto"/>
                  <w:vAlign w:val="center"/>
                </w:tcPr>
                <w:p w14:paraId="70F004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255.0</w:t>
                  </w:r>
                </w:p>
              </w:tc>
              <w:tc>
                <w:tcPr>
                  <w:tcW w:w="421" w:type="pct"/>
                  <w:tcBorders>
                    <w:right w:val="single" w:color="000000" w:sz="4" w:space="0"/>
                    <w:tl2br w:val="nil"/>
                    <w:tr2bl w:val="nil"/>
                  </w:tcBorders>
                  <w:shd w:val="clear" w:color="auto" w:fill="auto"/>
                  <w:vAlign w:val="center"/>
                </w:tcPr>
                <w:p w14:paraId="549375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50</w:t>
                  </w:r>
                </w:p>
              </w:tc>
              <w:tc>
                <w:tcPr>
                  <w:tcW w:w="397" w:type="pct"/>
                  <w:tcBorders>
                    <w:left w:val="single" w:color="000000" w:sz="4" w:space="0"/>
                    <w:tl2br w:val="nil"/>
                    <w:tr2bl w:val="nil"/>
                  </w:tcBorders>
                  <w:shd w:val="clear" w:color="auto" w:fill="auto"/>
                  <w:vAlign w:val="center"/>
                </w:tcPr>
                <w:p w14:paraId="69ED8B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127.5</w:t>
                  </w:r>
                </w:p>
              </w:tc>
              <w:tc>
                <w:tcPr>
                  <w:tcW w:w="440" w:type="pct"/>
                  <w:tcBorders>
                    <w:tl2br w:val="nil"/>
                    <w:tr2bl w:val="nil"/>
                  </w:tcBorders>
                  <w:shd w:val="clear" w:color="auto" w:fill="auto"/>
                  <w:vAlign w:val="center"/>
                </w:tcPr>
                <w:p w14:paraId="7DAC1F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127.5</w:t>
                  </w:r>
                </w:p>
              </w:tc>
              <w:tc>
                <w:tcPr>
                  <w:tcW w:w="957" w:type="dxa"/>
                  <w:tcBorders>
                    <w:tl2br w:val="nil"/>
                    <w:tr2bl w:val="nil"/>
                  </w:tcBorders>
                  <w:shd w:val="clear" w:color="auto" w:fill="auto"/>
                  <w:vAlign w:val="center"/>
                </w:tcPr>
                <w:p w14:paraId="19FF3E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0.041</w:t>
                  </w:r>
                  <w:r>
                    <w:rPr>
                      <w:rFonts w:hint="eastAsia" w:cs="Times New Roman"/>
                      <w:color w:val="000000" w:themeColor="text1"/>
                      <w:sz w:val="18"/>
                      <w:szCs w:val="18"/>
                      <w:highlight w:val="none"/>
                      <w:vertAlign w:val="baseline"/>
                      <w:lang w:val="en-US" w:eastAsia="zh-CN"/>
                      <w14:textFill>
                        <w14:solidFill>
                          <w14:schemeClr w14:val="tx1"/>
                        </w14:solidFill>
                      </w14:textFill>
                    </w:rPr>
                    <w:t>5</w:t>
                  </w:r>
                </w:p>
              </w:tc>
            </w:tr>
            <w:tr w14:paraId="34B058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68406C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747529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shd w:val="clear" w:color="auto" w:fill="auto"/>
                  <w:vAlign w:val="center"/>
                </w:tcPr>
                <w:p w14:paraId="741728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BOD</w:t>
                  </w:r>
                  <w:r>
                    <w:rPr>
                      <w:rFonts w:hint="eastAsia" w:cs="Times New Roman"/>
                      <w:color w:val="000000" w:themeColor="text1"/>
                      <w:sz w:val="18"/>
                      <w:szCs w:val="18"/>
                      <w:highlight w:val="none"/>
                      <w:vertAlign w:val="subscript"/>
                      <w:lang w:val="en-US" w:eastAsia="zh-CN"/>
                      <w14:textFill>
                        <w14:solidFill>
                          <w14:schemeClr w14:val="tx1"/>
                        </w14:solidFill>
                      </w14:textFill>
                    </w:rPr>
                    <w:t>5</w:t>
                  </w:r>
                </w:p>
              </w:tc>
              <w:tc>
                <w:tcPr>
                  <w:tcW w:w="500" w:type="pct"/>
                  <w:tcBorders>
                    <w:tl2br w:val="nil"/>
                    <w:tr2bl w:val="nil"/>
                  </w:tcBorders>
                  <w:shd w:val="clear" w:color="auto" w:fill="auto"/>
                  <w:vAlign w:val="center"/>
                </w:tcPr>
                <w:p w14:paraId="5E8835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150</w:t>
                  </w:r>
                </w:p>
              </w:tc>
              <w:tc>
                <w:tcPr>
                  <w:tcW w:w="1070" w:type="dxa"/>
                  <w:tcBorders>
                    <w:tl2br w:val="nil"/>
                    <w:tr2bl w:val="nil"/>
                  </w:tcBorders>
                  <w:shd w:val="clear" w:color="auto" w:fill="auto"/>
                  <w:vAlign w:val="center"/>
                </w:tcPr>
                <w:p w14:paraId="67DB3A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0.04</w:t>
                  </w:r>
                  <w:r>
                    <w:rPr>
                      <w:rFonts w:hint="eastAsia" w:cs="Times New Roman"/>
                      <w:color w:val="000000" w:themeColor="text1"/>
                      <w:sz w:val="18"/>
                      <w:szCs w:val="18"/>
                      <w:highlight w:val="none"/>
                      <w:vertAlign w:val="baseline"/>
                      <w:lang w:val="en-US" w:eastAsia="zh-CN"/>
                      <w14:textFill>
                        <w14:solidFill>
                          <w14:schemeClr w14:val="tx1"/>
                        </w14:solidFill>
                      </w14:textFill>
                    </w:rPr>
                    <w:t>9</w:t>
                  </w:r>
                </w:p>
              </w:tc>
              <w:tc>
                <w:tcPr>
                  <w:tcW w:w="342" w:type="pct"/>
                  <w:tcBorders>
                    <w:right w:val="single" w:color="000000" w:sz="4" w:space="0"/>
                    <w:tl2br w:val="nil"/>
                    <w:tr2bl w:val="nil"/>
                  </w:tcBorders>
                  <w:shd w:val="clear" w:color="auto" w:fill="auto"/>
                  <w:vAlign w:val="center"/>
                </w:tcPr>
                <w:p w14:paraId="7F3C61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w:t>
                  </w:r>
                </w:p>
              </w:tc>
              <w:tc>
                <w:tcPr>
                  <w:tcW w:w="490" w:type="pct"/>
                  <w:tcBorders>
                    <w:left w:val="single" w:color="000000" w:sz="4" w:space="0"/>
                    <w:tl2br w:val="nil"/>
                    <w:tr2bl w:val="nil"/>
                  </w:tcBorders>
                  <w:shd w:val="clear" w:color="auto" w:fill="auto"/>
                  <w:vAlign w:val="center"/>
                </w:tcPr>
                <w:p w14:paraId="7053C7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136.5</w:t>
                  </w:r>
                </w:p>
              </w:tc>
              <w:tc>
                <w:tcPr>
                  <w:tcW w:w="421" w:type="pct"/>
                  <w:tcBorders>
                    <w:right w:val="single" w:color="000000" w:sz="4" w:space="0"/>
                    <w:tl2br w:val="nil"/>
                    <w:tr2bl w:val="nil"/>
                  </w:tcBorders>
                  <w:shd w:val="clear" w:color="auto" w:fill="auto"/>
                  <w:vAlign w:val="center"/>
                </w:tcPr>
                <w:p w14:paraId="556DF5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35</w:t>
                  </w:r>
                </w:p>
              </w:tc>
              <w:tc>
                <w:tcPr>
                  <w:tcW w:w="397" w:type="pct"/>
                  <w:tcBorders>
                    <w:left w:val="single" w:color="000000" w:sz="4" w:space="0"/>
                    <w:tl2br w:val="nil"/>
                    <w:tr2bl w:val="nil"/>
                  </w:tcBorders>
                  <w:shd w:val="clear" w:color="auto" w:fill="auto"/>
                  <w:vAlign w:val="center"/>
                </w:tcPr>
                <w:p w14:paraId="235D93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88.7</w:t>
                  </w:r>
                </w:p>
              </w:tc>
              <w:tc>
                <w:tcPr>
                  <w:tcW w:w="440" w:type="pct"/>
                  <w:tcBorders>
                    <w:tl2br w:val="nil"/>
                    <w:tr2bl w:val="nil"/>
                  </w:tcBorders>
                  <w:shd w:val="clear" w:color="auto" w:fill="auto"/>
                  <w:vAlign w:val="center"/>
                </w:tcPr>
                <w:p w14:paraId="5B65EF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88.7</w:t>
                  </w:r>
                </w:p>
              </w:tc>
              <w:tc>
                <w:tcPr>
                  <w:tcW w:w="957" w:type="dxa"/>
                  <w:tcBorders>
                    <w:tl2br w:val="nil"/>
                    <w:tr2bl w:val="nil"/>
                  </w:tcBorders>
                  <w:shd w:val="clear" w:color="auto" w:fill="auto"/>
                  <w:vAlign w:val="center"/>
                </w:tcPr>
                <w:p w14:paraId="016821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0.0288</w:t>
                  </w:r>
                </w:p>
              </w:tc>
            </w:tr>
            <w:tr w14:paraId="49E77E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30F762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6A0D3A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shd w:val="clear" w:color="auto" w:fill="auto"/>
                  <w:vAlign w:val="center"/>
                </w:tcPr>
                <w:p w14:paraId="529305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SS</w:t>
                  </w:r>
                </w:p>
              </w:tc>
              <w:tc>
                <w:tcPr>
                  <w:tcW w:w="500" w:type="pct"/>
                  <w:tcBorders>
                    <w:tl2br w:val="nil"/>
                    <w:tr2bl w:val="nil"/>
                  </w:tcBorders>
                  <w:shd w:val="clear" w:color="auto" w:fill="auto"/>
                  <w:vAlign w:val="center"/>
                </w:tcPr>
                <w:p w14:paraId="085C74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120</w:t>
                  </w:r>
                </w:p>
              </w:tc>
              <w:tc>
                <w:tcPr>
                  <w:tcW w:w="1070" w:type="dxa"/>
                  <w:tcBorders>
                    <w:tl2br w:val="nil"/>
                    <w:tr2bl w:val="nil"/>
                  </w:tcBorders>
                  <w:shd w:val="clear" w:color="auto" w:fill="auto"/>
                  <w:vAlign w:val="center"/>
                </w:tcPr>
                <w:p w14:paraId="23A057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0.039</w:t>
                  </w:r>
                </w:p>
              </w:tc>
              <w:tc>
                <w:tcPr>
                  <w:tcW w:w="342" w:type="pct"/>
                  <w:tcBorders>
                    <w:right w:val="single" w:color="000000" w:sz="4" w:space="0"/>
                    <w:tl2br w:val="nil"/>
                    <w:tr2bl w:val="nil"/>
                  </w:tcBorders>
                  <w:shd w:val="clear" w:color="auto" w:fill="auto"/>
                  <w:vAlign w:val="center"/>
                </w:tcPr>
                <w:p w14:paraId="6085CA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w:t>
                  </w:r>
                </w:p>
              </w:tc>
              <w:tc>
                <w:tcPr>
                  <w:tcW w:w="490" w:type="pct"/>
                  <w:tcBorders>
                    <w:left w:val="single" w:color="000000" w:sz="4" w:space="0"/>
                    <w:tl2br w:val="nil"/>
                    <w:tr2bl w:val="nil"/>
                  </w:tcBorders>
                  <w:shd w:val="clear" w:color="auto" w:fill="auto"/>
                  <w:vAlign w:val="center"/>
                </w:tcPr>
                <w:p w14:paraId="072A17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84.0</w:t>
                  </w:r>
                </w:p>
              </w:tc>
              <w:tc>
                <w:tcPr>
                  <w:tcW w:w="421" w:type="pct"/>
                  <w:tcBorders>
                    <w:right w:val="single" w:color="000000" w:sz="4" w:space="0"/>
                    <w:tl2br w:val="nil"/>
                    <w:tr2bl w:val="nil"/>
                  </w:tcBorders>
                  <w:shd w:val="clear" w:color="auto" w:fill="auto"/>
                  <w:vAlign w:val="center"/>
                </w:tcPr>
                <w:p w14:paraId="16239C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70</w:t>
                  </w:r>
                </w:p>
              </w:tc>
              <w:tc>
                <w:tcPr>
                  <w:tcW w:w="397" w:type="pct"/>
                  <w:tcBorders>
                    <w:left w:val="single" w:color="000000" w:sz="4" w:space="0"/>
                    <w:tl2br w:val="nil"/>
                    <w:tr2bl w:val="nil"/>
                  </w:tcBorders>
                  <w:shd w:val="clear" w:color="auto" w:fill="auto"/>
                  <w:vAlign w:val="center"/>
                </w:tcPr>
                <w:p w14:paraId="7C1C4F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25.2</w:t>
                  </w:r>
                </w:p>
              </w:tc>
              <w:tc>
                <w:tcPr>
                  <w:tcW w:w="440" w:type="pct"/>
                  <w:tcBorders>
                    <w:tl2br w:val="nil"/>
                    <w:tr2bl w:val="nil"/>
                  </w:tcBorders>
                  <w:shd w:val="clear" w:color="auto" w:fill="auto"/>
                  <w:vAlign w:val="center"/>
                </w:tcPr>
                <w:p w14:paraId="67FAB5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25.2</w:t>
                  </w:r>
                </w:p>
              </w:tc>
              <w:tc>
                <w:tcPr>
                  <w:tcW w:w="957" w:type="dxa"/>
                  <w:tcBorders>
                    <w:tl2br w:val="nil"/>
                    <w:tr2bl w:val="nil"/>
                  </w:tcBorders>
                  <w:shd w:val="clear" w:color="auto" w:fill="auto"/>
                  <w:vAlign w:val="center"/>
                </w:tcPr>
                <w:p w14:paraId="3B2C26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0.00819</w:t>
                  </w:r>
                </w:p>
              </w:tc>
            </w:tr>
            <w:tr w14:paraId="7AE5B7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245C67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260C36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shd w:val="clear" w:color="auto" w:fill="auto"/>
                  <w:vAlign w:val="center"/>
                </w:tcPr>
                <w:p w14:paraId="2BC555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NH</w:t>
                  </w:r>
                  <w:r>
                    <w:rPr>
                      <w:rFonts w:hint="eastAsia" w:cs="Times New Roman"/>
                      <w:color w:val="000000" w:themeColor="text1"/>
                      <w:sz w:val="18"/>
                      <w:szCs w:val="18"/>
                      <w:highlight w:val="none"/>
                      <w:vertAlign w:val="subscript"/>
                      <w:lang w:val="en-US" w:eastAsia="zh-CN"/>
                      <w14:textFill>
                        <w14:solidFill>
                          <w14:schemeClr w14:val="tx1"/>
                        </w14:solidFill>
                      </w14:textFill>
                    </w:rPr>
                    <w:t>3</w:t>
                  </w:r>
                  <w:r>
                    <w:rPr>
                      <w:rFonts w:hint="eastAsia" w:cs="Times New Roman"/>
                      <w:color w:val="000000" w:themeColor="text1"/>
                      <w:sz w:val="18"/>
                      <w:szCs w:val="18"/>
                      <w:highlight w:val="none"/>
                      <w:vertAlign w:val="baseline"/>
                      <w:lang w:val="en-US" w:eastAsia="zh-CN"/>
                      <w14:textFill>
                        <w14:solidFill>
                          <w14:schemeClr w14:val="tx1"/>
                        </w14:solidFill>
                      </w14:textFill>
                    </w:rPr>
                    <w:t>-N</w:t>
                  </w:r>
                </w:p>
              </w:tc>
              <w:tc>
                <w:tcPr>
                  <w:tcW w:w="500" w:type="pct"/>
                  <w:tcBorders>
                    <w:tl2br w:val="nil"/>
                    <w:tr2bl w:val="nil"/>
                  </w:tcBorders>
                  <w:shd w:val="clear" w:color="auto" w:fill="auto"/>
                  <w:vAlign w:val="center"/>
                </w:tcPr>
                <w:p w14:paraId="5AD7D2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50</w:t>
                  </w:r>
                </w:p>
              </w:tc>
              <w:tc>
                <w:tcPr>
                  <w:tcW w:w="1070" w:type="dxa"/>
                  <w:tcBorders>
                    <w:tl2br w:val="nil"/>
                    <w:tr2bl w:val="nil"/>
                  </w:tcBorders>
                  <w:shd w:val="clear" w:color="auto" w:fill="auto"/>
                  <w:vAlign w:val="center"/>
                </w:tcPr>
                <w:p w14:paraId="23E5D0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0.016</w:t>
                  </w:r>
                </w:p>
              </w:tc>
              <w:tc>
                <w:tcPr>
                  <w:tcW w:w="342" w:type="pct"/>
                  <w:tcBorders>
                    <w:right w:val="single" w:color="000000" w:sz="4" w:space="0"/>
                    <w:tl2br w:val="nil"/>
                    <w:tr2bl w:val="nil"/>
                  </w:tcBorders>
                  <w:shd w:val="clear" w:color="auto" w:fill="auto"/>
                  <w:vAlign w:val="center"/>
                </w:tcPr>
                <w:p w14:paraId="0F0043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w:t>
                  </w:r>
                </w:p>
              </w:tc>
              <w:tc>
                <w:tcPr>
                  <w:tcW w:w="490" w:type="pct"/>
                  <w:tcBorders>
                    <w:left w:val="single" w:color="000000" w:sz="4" w:space="0"/>
                    <w:tl2br w:val="nil"/>
                    <w:tr2bl w:val="nil"/>
                  </w:tcBorders>
                  <w:shd w:val="clear" w:color="auto" w:fill="auto"/>
                  <w:vAlign w:val="center"/>
                </w:tcPr>
                <w:p w14:paraId="1CE0C9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48.5</w:t>
                  </w:r>
                </w:p>
              </w:tc>
              <w:tc>
                <w:tcPr>
                  <w:tcW w:w="421" w:type="pct"/>
                  <w:tcBorders>
                    <w:right w:val="single" w:color="000000" w:sz="4" w:space="0"/>
                    <w:tl2br w:val="nil"/>
                    <w:tr2bl w:val="nil"/>
                  </w:tcBorders>
                  <w:shd w:val="clear" w:color="auto" w:fill="auto"/>
                  <w:vAlign w:val="center"/>
                </w:tcPr>
                <w:p w14:paraId="4397F1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13</w:t>
                  </w:r>
                </w:p>
              </w:tc>
              <w:tc>
                <w:tcPr>
                  <w:tcW w:w="397" w:type="pct"/>
                  <w:tcBorders>
                    <w:left w:val="single" w:color="000000" w:sz="4" w:space="0"/>
                    <w:tl2br w:val="nil"/>
                    <w:tr2bl w:val="nil"/>
                  </w:tcBorders>
                  <w:shd w:val="clear" w:color="auto" w:fill="auto"/>
                  <w:vAlign w:val="center"/>
                </w:tcPr>
                <w:p w14:paraId="3B789E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42.2</w:t>
                  </w:r>
                </w:p>
              </w:tc>
              <w:tc>
                <w:tcPr>
                  <w:tcW w:w="440" w:type="pct"/>
                  <w:tcBorders>
                    <w:tl2br w:val="nil"/>
                    <w:tr2bl w:val="nil"/>
                  </w:tcBorders>
                  <w:shd w:val="clear" w:color="auto" w:fill="auto"/>
                  <w:vAlign w:val="center"/>
                </w:tcPr>
                <w:p w14:paraId="31EECE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42.2</w:t>
                  </w:r>
                </w:p>
              </w:tc>
              <w:tc>
                <w:tcPr>
                  <w:tcW w:w="957" w:type="dxa"/>
                  <w:tcBorders>
                    <w:tl2br w:val="nil"/>
                    <w:tr2bl w:val="nil"/>
                  </w:tcBorders>
                  <w:shd w:val="clear" w:color="auto" w:fill="auto"/>
                  <w:vAlign w:val="center"/>
                </w:tcPr>
                <w:p w14:paraId="027EE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default" w:cs="Times New Roman"/>
                      <w:color w:val="000000" w:themeColor="text1"/>
                      <w:sz w:val="18"/>
                      <w:szCs w:val="18"/>
                      <w:highlight w:val="none"/>
                      <w:vertAlign w:val="baseline"/>
                      <w:lang w:val="en-US" w:eastAsia="zh-CN"/>
                      <w14:textFill>
                        <w14:solidFill>
                          <w14:schemeClr w14:val="tx1"/>
                        </w14:solidFill>
                      </w14:textFill>
                    </w:rPr>
                    <w:t>0.0137</w:t>
                  </w:r>
                </w:p>
              </w:tc>
            </w:tr>
            <w:tr w14:paraId="30F161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271C19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4AA14E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shd w:val="clear" w:color="auto" w:fill="auto"/>
                  <w:vAlign w:val="center"/>
                </w:tcPr>
                <w:p w14:paraId="722989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粪大肠菌群数MPN/L</w:t>
                  </w:r>
                </w:p>
              </w:tc>
              <w:tc>
                <w:tcPr>
                  <w:tcW w:w="500" w:type="pct"/>
                  <w:tcBorders>
                    <w:tl2br w:val="nil"/>
                    <w:tr2bl w:val="nil"/>
                  </w:tcBorders>
                  <w:shd w:val="clear" w:color="auto" w:fill="auto"/>
                  <w:vAlign w:val="center"/>
                </w:tcPr>
                <w:p w14:paraId="747AA3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3.0×10</w:t>
                  </w:r>
                  <w:r>
                    <w:rPr>
                      <w:rFonts w:hint="eastAsia" w:cs="Times New Roman"/>
                      <w:color w:val="000000" w:themeColor="text1"/>
                      <w:sz w:val="18"/>
                      <w:szCs w:val="18"/>
                      <w:highlight w:val="none"/>
                      <w:vertAlign w:val="superscript"/>
                      <w:lang w:val="en-US" w:eastAsia="zh-CN"/>
                      <w14:textFill>
                        <w14:solidFill>
                          <w14:schemeClr w14:val="tx1"/>
                        </w14:solidFill>
                      </w14:textFill>
                    </w:rPr>
                    <w:t>8</w:t>
                  </w:r>
                </w:p>
              </w:tc>
              <w:tc>
                <w:tcPr>
                  <w:tcW w:w="610" w:type="pct"/>
                  <w:tcBorders>
                    <w:tl2br w:val="nil"/>
                    <w:tr2bl w:val="nil"/>
                  </w:tcBorders>
                  <w:shd w:val="clear" w:color="auto" w:fill="auto"/>
                  <w:vAlign w:val="center"/>
                </w:tcPr>
                <w:p w14:paraId="19733C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superscript"/>
                      <w:lang w:val="en-US" w:eastAsia="zh-CN"/>
                      <w14:textFill>
                        <w14:solidFill>
                          <w14:schemeClr w14:val="tx1"/>
                        </w14:solidFill>
                      </w14:textFill>
                    </w:rPr>
                    <w:t>/</w:t>
                  </w:r>
                </w:p>
              </w:tc>
              <w:tc>
                <w:tcPr>
                  <w:tcW w:w="342" w:type="pct"/>
                  <w:tcBorders>
                    <w:right w:val="single" w:color="000000" w:sz="4" w:space="0"/>
                    <w:tl2br w:val="nil"/>
                    <w:tr2bl w:val="nil"/>
                  </w:tcBorders>
                  <w:shd w:val="clear" w:color="auto" w:fill="auto"/>
                  <w:vAlign w:val="center"/>
                </w:tcPr>
                <w:p w14:paraId="7B8083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w:t>
                  </w:r>
                </w:p>
              </w:tc>
              <w:tc>
                <w:tcPr>
                  <w:tcW w:w="490" w:type="pct"/>
                  <w:tcBorders>
                    <w:left w:val="single" w:color="000000" w:sz="4" w:space="0"/>
                    <w:tl2br w:val="nil"/>
                    <w:tr2bl w:val="nil"/>
                  </w:tcBorders>
                  <w:shd w:val="clear" w:color="auto" w:fill="auto"/>
                  <w:vAlign w:val="center"/>
                </w:tcPr>
                <w:p w14:paraId="69FEFB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3.0×10</w:t>
                  </w:r>
                  <w:r>
                    <w:rPr>
                      <w:rFonts w:hint="eastAsia" w:cs="Times New Roman"/>
                      <w:color w:val="000000" w:themeColor="text1"/>
                      <w:sz w:val="18"/>
                      <w:szCs w:val="18"/>
                      <w:highlight w:val="none"/>
                      <w:vertAlign w:val="superscript"/>
                      <w:lang w:val="en-US" w:eastAsia="zh-CN"/>
                      <w14:textFill>
                        <w14:solidFill>
                          <w14:schemeClr w14:val="tx1"/>
                        </w14:solidFill>
                      </w14:textFill>
                    </w:rPr>
                    <w:t>8</w:t>
                  </w:r>
                </w:p>
              </w:tc>
              <w:tc>
                <w:tcPr>
                  <w:tcW w:w="421" w:type="pct"/>
                  <w:tcBorders>
                    <w:right w:val="single" w:color="000000" w:sz="4" w:space="0"/>
                    <w:tl2br w:val="nil"/>
                    <w:tr2bl w:val="nil"/>
                  </w:tcBorders>
                  <w:shd w:val="clear" w:color="auto" w:fill="auto"/>
                  <w:vAlign w:val="center"/>
                </w:tcPr>
                <w:p w14:paraId="5DB7FD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99.999</w:t>
                  </w:r>
                </w:p>
              </w:tc>
              <w:tc>
                <w:tcPr>
                  <w:tcW w:w="397" w:type="pct"/>
                  <w:tcBorders>
                    <w:left w:val="single" w:color="000000" w:sz="4" w:space="0"/>
                    <w:tl2br w:val="nil"/>
                    <w:tr2bl w:val="nil"/>
                  </w:tcBorders>
                  <w:shd w:val="clear" w:color="auto" w:fill="auto"/>
                  <w:vAlign w:val="center"/>
                </w:tcPr>
                <w:p w14:paraId="5A9947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3000</w:t>
                  </w:r>
                </w:p>
              </w:tc>
              <w:tc>
                <w:tcPr>
                  <w:tcW w:w="440" w:type="pct"/>
                  <w:tcBorders>
                    <w:tl2br w:val="nil"/>
                    <w:tr2bl w:val="nil"/>
                  </w:tcBorders>
                  <w:shd w:val="clear" w:color="auto" w:fill="auto"/>
                  <w:vAlign w:val="center"/>
                </w:tcPr>
                <w:p w14:paraId="572C92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3000</w:t>
                  </w:r>
                </w:p>
              </w:tc>
              <w:tc>
                <w:tcPr>
                  <w:tcW w:w="546" w:type="pct"/>
                  <w:tcBorders>
                    <w:tl2br w:val="nil"/>
                    <w:tr2bl w:val="nil"/>
                  </w:tcBorders>
                  <w:shd w:val="clear" w:color="auto" w:fill="auto"/>
                  <w:vAlign w:val="center"/>
                </w:tcPr>
                <w:p w14:paraId="6EC9DC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r>
            <w:tr w14:paraId="0BA191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 w:type="pct"/>
                  <w:vMerge w:val="continue"/>
                  <w:tcBorders>
                    <w:tl2br w:val="nil"/>
                    <w:tr2bl w:val="nil"/>
                  </w:tcBorders>
                  <w:vAlign w:val="center"/>
                </w:tcPr>
                <w:p w14:paraId="086E77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559" w:type="pct"/>
                  <w:vMerge w:val="continue"/>
                  <w:tcBorders>
                    <w:tl2br w:val="nil"/>
                    <w:tr2bl w:val="nil"/>
                  </w:tcBorders>
                  <w:vAlign w:val="center"/>
                </w:tcPr>
                <w:p w14:paraId="16EA6F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464" w:type="pct"/>
                  <w:tcBorders>
                    <w:tl2br w:val="nil"/>
                    <w:tr2bl w:val="nil"/>
                  </w:tcBorders>
                  <w:shd w:val="clear" w:color="auto" w:fill="auto"/>
                  <w:vAlign w:val="center"/>
                </w:tcPr>
                <w:p w14:paraId="2360E9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总余氯</w:t>
                  </w:r>
                </w:p>
              </w:tc>
              <w:tc>
                <w:tcPr>
                  <w:tcW w:w="500" w:type="pct"/>
                  <w:tcBorders>
                    <w:tl2br w:val="nil"/>
                    <w:tr2bl w:val="nil"/>
                  </w:tcBorders>
                  <w:shd w:val="clear" w:color="auto" w:fill="auto"/>
                  <w:vAlign w:val="center"/>
                </w:tcPr>
                <w:p w14:paraId="4BA488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610" w:type="pct"/>
                  <w:tcBorders>
                    <w:tl2br w:val="nil"/>
                    <w:tr2bl w:val="nil"/>
                  </w:tcBorders>
                  <w:shd w:val="clear" w:color="auto" w:fill="auto"/>
                  <w:vAlign w:val="center"/>
                </w:tcPr>
                <w:p w14:paraId="3951E9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342" w:type="pct"/>
                  <w:tcBorders>
                    <w:right w:val="single" w:color="000000" w:sz="4" w:space="0"/>
                    <w:tl2br w:val="nil"/>
                    <w:tr2bl w:val="nil"/>
                  </w:tcBorders>
                  <w:shd w:val="clear" w:color="auto" w:fill="auto"/>
                  <w:vAlign w:val="center"/>
                </w:tcPr>
                <w:p w14:paraId="68ECF4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90" w:type="pct"/>
                  <w:tcBorders>
                    <w:left w:val="single" w:color="000000" w:sz="4" w:space="0"/>
                    <w:tl2br w:val="nil"/>
                    <w:tr2bl w:val="nil"/>
                  </w:tcBorders>
                  <w:shd w:val="clear" w:color="auto" w:fill="auto"/>
                  <w:vAlign w:val="center"/>
                </w:tcPr>
                <w:p w14:paraId="59FF6E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21" w:type="pct"/>
                  <w:tcBorders>
                    <w:right w:val="single" w:color="000000" w:sz="4" w:space="0"/>
                    <w:tl2br w:val="nil"/>
                    <w:tr2bl w:val="nil"/>
                  </w:tcBorders>
                  <w:shd w:val="clear" w:color="auto" w:fill="auto"/>
                  <w:vAlign w:val="center"/>
                </w:tcPr>
                <w:p w14:paraId="0A45DE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397" w:type="pct"/>
                  <w:tcBorders>
                    <w:left w:val="single" w:color="000000" w:sz="4" w:space="0"/>
                    <w:tl2br w:val="nil"/>
                    <w:tr2bl w:val="nil"/>
                  </w:tcBorders>
                  <w:shd w:val="clear" w:color="auto" w:fill="auto"/>
                  <w:vAlign w:val="center"/>
                </w:tcPr>
                <w:p w14:paraId="57A17B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40" w:type="pct"/>
                  <w:tcBorders>
                    <w:tl2br w:val="nil"/>
                    <w:tr2bl w:val="nil"/>
                  </w:tcBorders>
                  <w:shd w:val="clear" w:color="auto" w:fill="auto"/>
                  <w:vAlign w:val="center"/>
                </w:tcPr>
                <w:p w14:paraId="7980F5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2-8</w:t>
                  </w:r>
                </w:p>
              </w:tc>
              <w:tc>
                <w:tcPr>
                  <w:tcW w:w="546" w:type="pct"/>
                  <w:tcBorders>
                    <w:tl2br w:val="nil"/>
                    <w:tr2bl w:val="nil"/>
                  </w:tcBorders>
                  <w:shd w:val="clear" w:color="auto" w:fill="auto"/>
                  <w:vAlign w:val="center"/>
                </w:tcPr>
                <w:p w14:paraId="2BAA41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r>
          </w:tbl>
          <w:p w14:paraId="4804CD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根据《医疗机构水污染物排放标准》（GB18466-2005）附录F，项目污水污染物（COD、BOD</w:t>
            </w:r>
            <w:r>
              <w:rPr>
                <w:rFonts w:hint="eastAsia"/>
                <w:b w:val="0"/>
                <w:bCs w:val="0"/>
                <w:color w:val="000000" w:themeColor="text1"/>
                <w:spacing w:val="0"/>
                <w:sz w:val="24"/>
                <w:highlight w:val="none"/>
                <w:vertAlign w:val="subscript"/>
                <w:lang w:val="en-US" w:eastAsia="zh-CN"/>
                <w14:textFill>
                  <w14:solidFill>
                    <w14:schemeClr w14:val="tx1"/>
                  </w14:solidFill>
                </w14:textFill>
              </w:rPr>
              <w:t>5</w:t>
            </w:r>
            <w:r>
              <w:rPr>
                <w:rFonts w:hint="default"/>
                <w:b w:val="0"/>
                <w:bCs w:val="0"/>
                <w:color w:val="000000" w:themeColor="text1"/>
                <w:spacing w:val="0"/>
                <w:sz w:val="24"/>
                <w:highlight w:val="none"/>
                <w:lang w:val="en-US" w:eastAsia="zh-CN"/>
                <w14:textFill>
                  <w14:solidFill>
                    <w14:schemeClr w14:val="tx1"/>
                  </w14:solidFill>
                </w14:textFill>
              </w:rPr>
              <w:t>、SS）单位排放负荷计算公式如下：</w:t>
            </w:r>
          </w:p>
          <w:p w14:paraId="4F228B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L=C×Q/N</w:t>
            </w:r>
          </w:p>
          <w:p w14:paraId="0F90FC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式中：</w:t>
            </w:r>
          </w:p>
          <w:p w14:paraId="2AEC0D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L—水污染单位排放负荷，g/（床位·d）；</w:t>
            </w:r>
          </w:p>
          <w:p w14:paraId="05D3CC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C—污染物排放浓度，mg/L；</w:t>
            </w:r>
          </w:p>
          <w:p w14:paraId="2C6D78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Q—日</w:t>
            </w:r>
            <w:r>
              <w:rPr>
                <w:rFonts w:hint="eastAsia"/>
                <w:b w:val="0"/>
                <w:bCs w:val="0"/>
                <w:color w:val="000000" w:themeColor="text1"/>
                <w:spacing w:val="0"/>
                <w:sz w:val="24"/>
                <w:highlight w:val="none"/>
                <w:lang w:val="en-US" w:eastAsia="zh-CN"/>
                <w14:textFill>
                  <w14:solidFill>
                    <w14:schemeClr w14:val="tx1"/>
                  </w14:solidFill>
                </w14:textFill>
              </w:rPr>
              <w:t>排</w:t>
            </w:r>
            <w:r>
              <w:rPr>
                <w:rFonts w:hint="default"/>
                <w:b w:val="0"/>
                <w:bCs w:val="0"/>
                <w:color w:val="000000" w:themeColor="text1"/>
                <w:spacing w:val="0"/>
                <w:sz w:val="24"/>
                <w:highlight w:val="none"/>
                <w:lang w:val="en-US" w:eastAsia="zh-CN"/>
                <w14:textFill>
                  <w14:solidFill>
                    <w14:schemeClr w14:val="tx1"/>
                  </w14:solidFill>
                </w14:textFill>
              </w:rPr>
              <w:t>水量，m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/d；</w:t>
            </w:r>
          </w:p>
          <w:p w14:paraId="0A66D4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N—床位数，床。</w:t>
            </w:r>
          </w:p>
          <w:p w14:paraId="66AB05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项目每天</w:t>
            </w:r>
            <w:r>
              <w:rPr>
                <w:rFonts w:hint="eastAsia"/>
                <w:b w:val="0"/>
                <w:bCs w:val="0"/>
                <w:color w:val="000000" w:themeColor="text1"/>
                <w:spacing w:val="0"/>
                <w:sz w:val="24"/>
                <w:highlight w:val="none"/>
                <w:lang w:val="en-US" w:eastAsia="zh-CN"/>
                <w14:textFill>
                  <w14:solidFill>
                    <w14:schemeClr w14:val="tx1"/>
                  </w14:solidFill>
                </w14:textFill>
              </w:rPr>
              <w:t>排水63.918</w:t>
            </w:r>
            <w:r>
              <w:rPr>
                <w:rFonts w:hint="default"/>
                <w:b w:val="0"/>
                <w:bCs w:val="0"/>
                <w:color w:val="000000" w:themeColor="text1"/>
                <w:spacing w:val="0"/>
                <w:sz w:val="24"/>
                <w:highlight w:val="none"/>
                <w:lang w:val="en-US" w:eastAsia="zh-CN"/>
                <w14:textFill>
                  <w14:solidFill>
                    <w14:schemeClr w14:val="tx1"/>
                  </w14:solidFill>
                </w14:textFill>
              </w:rPr>
              <w:t>m</w:t>
            </w:r>
            <w:r>
              <w:rPr>
                <w:rFonts w:hint="default"/>
                <w:b w:val="0"/>
                <w:bCs w:val="0"/>
                <w:color w:val="000000" w:themeColor="text1"/>
                <w:spacing w:val="0"/>
                <w:sz w:val="24"/>
                <w:highlight w:val="none"/>
                <w:vertAlign w:val="superscript"/>
                <w:lang w:val="en-US" w:eastAsia="zh-CN"/>
                <w14:textFill>
                  <w14:solidFill>
                    <w14:schemeClr w14:val="tx1"/>
                  </w14:solidFill>
                </w14:textFill>
              </w:rPr>
              <w:t>3</w:t>
            </w:r>
            <w:r>
              <w:rPr>
                <w:rFonts w:hint="default"/>
                <w:b w:val="0"/>
                <w:bCs w:val="0"/>
                <w:color w:val="000000" w:themeColor="text1"/>
                <w:spacing w:val="0"/>
                <w:sz w:val="24"/>
                <w:highlight w:val="none"/>
                <w:lang w:val="en-US" w:eastAsia="zh-CN"/>
                <w14:textFill>
                  <w14:solidFill>
                    <w14:schemeClr w14:val="tx1"/>
                  </w14:solidFill>
                </w14:textFill>
              </w:rPr>
              <w:t>/d，经计算，COD单位排放负荷</w:t>
            </w:r>
            <w:r>
              <w:rPr>
                <w:rFonts w:hint="eastAsia"/>
                <w:b w:val="0"/>
                <w:bCs w:val="0"/>
                <w:color w:val="000000" w:themeColor="text1"/>
                <w:spacing w:val="0"/>
                <w:sz w:val="24"/>
                <w:highlight w:val="none"/>
                <w:lang w:val="en-US" w:eastAsia="zh-CN"/>
                <w14:textFill>
                  <w14:solidFill>
                    <w14:schemeClr w14:val="tx1"/>
                  </w14:solidFill>
                </w14:textFill>
              </w:rPr>
              <w:t>16.575</w:t>
            </w:r>
            <w:r>
              <w:rPr>
                <w:rFonts w:hint="default"/>
                <w:b w:val="0"/>
                <w:bCs w:val="0"/>
                <w:color w:val="000000" w:themeColor="text1"/>
                <w:spacing w:val="0"/>
                <w:sz w:val="24"/>
                <w:highlight w:val="none"/>
                <w:lang w:val="en-US" w:eastAsia="zh-CN"/>
                <w14:textFill>
                  <w14:solidFill>
                    <w14:schemeClr w14:val="tx1"/>
                  </w14:solidFill>
                </w14:textFill>
              </w:rPr>
              <w:t>g/（床位·d）、BOD</w:t>
            </w:r>
            <w:r>
              <w:rPr>
                <w:rFonts w:hint="eastAsia"/>
                <w:b w:val="0"/>
                <w:bCs w:val="0"/>
                <w:color w:val="000000" w:themeColor="text1"/>
                <w:spacing w:val="0"/>
                <w:sz w:val="24"/>
                <w:highlight w:val="none"/>
                <w:vertAlign w:val="subscript"/>
                <w:lang w:val="en-US" w:eastAsia="zh-CN"/>
                <w14:textFill>
                  <w14:solidFill>
                    <w14:schemeClr w14:val="tx1"/>
                  </w14:solidFill>
                </w14:textFill>
              </w:rPr>
              <w:t>5</w:t>
            </w:r>
            <w:r>
              <w:rPr>
                <w:rFonts w:hint="default"/>
                <w:b w:val="0"/>
                <w:bCs w:val="0"/>
                <w:color w:val="000000" w:themeColor="text1"/>
                <w:spacing w:val="0"/>
                <w:sz w:val="24"/>
                <w:highlight w:val="none"/>
                <w:lang w:val="en-US" w:eastAsia="zh-CN"/>
                <w14:textFill>
                  <w14:solidFill>
                    <w14:schemeClr w14:val="tx1"/>
                  </w14:solidFill>
                </w14:textFill>
              </w:rPr>
              <w:t>单位排放负荷</w:t>
            </w:r>
            <w:r>
              <w:rPr>
                <w:rFonts w:hint="eastAsia"/>
                <w:b w:val="0"/>
                <w:bCs w:val="0"/>
                <w:color w:val="000000" w:themeColor="text1"/>
                <w:spacing w:val="0"/>
                <w:sz w:val="24"/>
                <w:highlight w:val="none"/>
                <w:lang w:val="en-US" w:eastAsia="zh-CN"/>
                <w14:textFill>
                  <w14:solidFill>
                    <w14:schemeClr w14:val="tx1"/>
                  </w14:solidFill>
                </w14:textFill>
              </w:rPr>
              <w:t>11.531</w:t>
            </w:r>
            <w:r>
              <w:rPr>
                <w:rFonts w:hint="default"/>
                <w:b w:val="0"/>
                <w:bCs w:val="0"/>
                <w:color w:val="000000" w:themeColor="text1"/>
                <w:spacing w:val="0"/>
                <w:sz w:val="24"/>
                <w:highlight w:val="none"/>
                <w:lang w:val="en-US" w:eastAsia="zh-CN"/>
                <w14:textFill>
                  <w14:solidFill>
                    <w14:schemeClr w14:val="tx1"/>
                  </w14:solidFill>
                </w14:textFill>
              </w:rPr>
              <w:t>g/（床位·d）、SS单位排放负荷</w:t>
            </w:r>
            <w:r>
              <w:rPr>
                <w:rFonts w:hint="eastAsia"/>
                <w:b w:val="0"/>
                <w:bCs w:val="0"/>
                <w:color w:val="000000" w:themeColor="text1"/>
                <w:spacing w:val="0"/>
                <w:sz w:val="24"/>
                <w:highlight w:val="none"/>
                <w:lang w:val="en-US" w:eastAsia="zh-CN"/>
                <w14:textFill>
                  <w14:solidFill>
                    <w14:schemeClr w14:val="tx1"/>
                  </w14:solidFill>
                </w14:textFill>
              </w:rPr>
              <w:t>3.276</w:t>
            </w:r>
            <w:r>
              <w:rPr>
                <w:rFonts w:hint="default"/>
                <w:b w:val="0"/>
                <w:bCs w:val="0"/>
                <w:color w:val="000000" w:themeColor="text1"/>
                <w:spacing w:val="0"/>
                <w:sz w:val="24"/>
                <w:highlight w:val="none"/>
                <w:lang w:val="en-US" w:eastAsia="zh-CN"/>
                <w14:textFill>
                  <w14:solidFill>
                    <w14:schemeClr w14:val="tx1"/>
                  </w14:solidFill>
                </w14:textFill>
              </w:rPr>
              <w:t>g/（床位·d），满足《医疗机构水污染物排放标准》（GB18466-2005）中污水污染物最高允许排放负荷要求。</w:t>
            </w:r>
          </w:p>
          <w:p w14:paraId="1D9DC0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（3）污染物达标排放分析</w:t>
            </w:r>
          </w:p>
          <w:p w14:paraId="68AEB4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本项目医疗废水达标排放情况见下表。</w:t>
            </w:r>
          </w:p>
          <w:p w14:paraId="3E2EC3F8">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表4-6 本项目主要水污染物排放及达标情况</w:t>
            </w:r>
          </w:p>
          <w:tbl>
            <w:tblPr>
              <w:tblStyle w:val="1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567"/>
              <w:gridCol w:w="1623"/>
              <w:gridCol w:w="1103"/>
              <w:gridCol w:w="1197"/>
              <w:gridCol w:w="1536"/>
              <w:gridCol w:w="1537"/>
              <w:gridCol w:w="691"/>
            </w:tblGrid>
            <w:tr w14:paraId="30ADD7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tcBorders>
                    <w:tl2br w:val="nil"/>
                    <w:tr2bl w:val="nil"/>
                  </w:tcBorders>
                  <w:vAlign w:val="center"/>
                </w:tcPr>
                <w:p w14:paraId="3F2849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废水类别</w:t>
                  </w:r>
                </w:p>
              </w:tc>
              <w:tc>
                <w:tcPr>
                  <w:tcW w:w="540" w:type="dxa"/>
                  <w:tcBorders>
                    <w:tl2br w:val="nil"/>
                    <w:tr2bl w:val="nil"/>
                  </w:tcBorders>
                  <w:vAlign w:val="center"/>
                </w:tcPr>
                <w:p w14:paraId="180D55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序号</w:t>
                  </w:r>
                </w:p>
              </w:tc>
              <w:tc>
                <w:tcPr>
                  <w:tcW w:w="1545" w:type="dxa"/>
                  <w:tcBorders>
                    <w:tl2br w:val="nil"/>
                    <w:tr2bl w:val="nil"/>
                  </w:tcBorders>
                  <w:vAlign w:val="center"/>
                </w:tcPr>
                <w:p w14:paraId="057352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污染物名称</w:t>
                  </w:r>
                </w:p>
              </w:tc>
              <w:tc>
                <w:tcPr>
                  <w:tcW w:w="1050" w:type="dxa"/>
                  <w:tcBorders>
                    <w:tl2br w:val="nil"/>
                    <w:tr2bl w:val="nil"/>
                  </w:tcBorders>
                  <w:vAlign w:val="center"/>
                </w:tcPr>
                <w:p w14:paraId="69975D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排放浓度mg/L</w:t>
                  </w:r>
                </w:p>
              </w:tc>
              <w:tc>
                <w:tcPr>
                  <w:tcW w:w="1140" w:type="dxa"/>
                  <w:tcBorders>
                    <w:tl2br w:val="nil"/>
                    <w:tr2bl w:val="nil"/>
                  </w:tcBorders>
                  <w:vAlign w:val="center"/>
                </w:tcPr>
                <w:p w14:paraId="119F27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浓度标准值mg/L</w:t>
                  </w:r>
                </w:p>
              </w:tc>
              <w:tc>
                <w:tcPr>
                  <w:tcW w:w="1462" w:type="dxa"/>
                  <w:tcBorders>
                    <w:tl2br w:val="nil"/>
                    <w:tr2bl w:val="nil"/>
                  </w:tcBorders>
                  <w:vAlign w:val="center"/>
                </w:tcPr>
                <w:p w14:paraId="45C99C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排放负荷[g/（床位·d）]</w:t>
                  </w:r>
                </w:p>
              </w:tc>
              <w:tc>
                <w:tcPr>
                  <w:tcW w:w="1463" w:type="dxa"/>
                  <w:tcBorders>
                    <w:tl2br w:val="nil"/>
                    <w:tr2bl w:val="nil"/>
                  </w:tcBorders>
                  <w:vAlign w:val="center"/>
                </w:tcPr>
                <w:p w14:paraId="26808B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最高允许排放负荷[g/（床位·d）]</w:t>
                  </w:r>
                </w:p>
              </w:tc>
              <w:tc>
                <w:tcPr>
                  <w:tcW w:w="658" w:type="dxa"/>
                  <w:tcBorders>
                    <w:tl2br w:val="nil"/>
                    <w:tr2bl w:val="nil"/>
                  </w:tcBorders>
                  <w:vAlign w:val="center"/>
                </w:tcPr>
                <w:p w14:paraId="61CAB5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达标情况</w:t>
                  </w:r>
                </w:p>
              </w:tc>
            </w:tr>
            <w:tr w14:paraId="04B2DC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restart"/>
                  <w:tcBorders>
                    <w:tl2br w:val="nil"/>
                    <w:tr2bl w:val="nil"/>
                  </w:tcBorders>
                  <w:vAlign w:val="center"/>
                </w:tcPr>
                <w:p w14:paraId="7420F6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医疗废水</w:t>
                  </w:r>
                </w:p>
              </w:tc>
              <w:tc>
                <w:tcPr>
                  <w:tcW w:w="540" w:type="dxa"/>
                  <w:tcBorders>
                    <w:tl2br w:val="nil"/>
                    <w:tr2bl w:val="nil"/>
                  </w:tcBorders>
                  <w:vAlign w:val="center"/>
                </w:tcPr>
                <w:p w14:paraId="263C3E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w:t>
                  </w:r>
                </w:p>
              </w:tc>
              <w:tc>
                <w:tcPr>
                  <w:tcW w:w="1545" w:type="dxa"/>
                  <w:tcBorders>
                    <w:tl2br w:val="nil"/>
                    <w:tr2bl w:val="nil"/>
                  </w:tcBorders>
                  <w:vAlign w:val="center"/>
                </w:tcPr>
                <w:p w14:paraId="694BA9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pH</w:t>
                  </w:r>
                </w:p>
              </w:tc>
              <w:tc>
                <w:tcPr>
                  <w:tcW w:w="1050" w:type="dxa"/>
                  <w:tcBorders>
                    <w:tl2br w:val="nil"/>
                    <w:tr2bl w:val="nil"/>
                  </w:tcBorders>
                  <w:vAlign w:val="center"/>
                </w:tcPr>
                <w:p w14:paraId="7906F7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6.5~9</w:t>
                  </w:r>
                </w:p>
                <w:p w14:paraId="23C101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无量纲</w:t>
                  </w:r>
                </w:p>
              </w:tc>
              <w:tc>
                <w:tcPr>
                  <w:tcW w:w="1140" w:type="dxa"/>
                  <w:tcBorders>
                    <w:tl2br w:val="nil"/>
                    <w:tr2bl w:val="nil"/>
                  </w:tcBorders>
                  <w:vAlign w:val="center"/>
                </w:tcPr>
                <w:p w14:paraId="25DECC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6~9</w:t>
                  </w:r>
                </w:p>
                <w:p w14:paraId="6D28B6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无量纲</w:t>
                  </w:r>
                </w:p>
              </w:tc>
              <w:tc>
                <w:tcPr>
                  <w:tcW w:w="1462" w:type="dxa"/>
                  <w:tcBorders>
                    <w:tl2br w:val="nil"/>
                    <w:tr2bl w:val="nil"/>
                  </w:tcBorders>
                  <w:vAlign w:val="center"/>
                </w:tcPr>
                <w:p w14:paraId="5C58BE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463" w:type="dxa"/>
                  <w:tcBorders>
                    <w:tl2br w:val="nil"/>
                    <w:tr2bl w:val="nil"/>
                  </w:tcBorders>
                  <w:vAlign w:val="center"/>
                </w:tcPr>
                <w:p w14:paraId="5CE890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658" w:type="dxa"/>
                  <w:tcBorders>
                    <w:tl2br w:val="nil"/>
                    <w:tr2bl w:val="nil"/>
                  </w:tcBorders>
                  <w:vAlign w:val="center"/>
                </w:tcPr>
                <w:p w14:paraId="45151E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3272B6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5E0636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5B996D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w:t>
                  </w:r>
                </w:p>
              </w:tc>
              <w:tc>
                <w:tcPr>
                  <w:tcW w:w="1545" w:type="dxa"/>
                  <w:tcBorders>
                    <w:tl2br w:val="nil"/>
                    <w:tr2bl w:val="nil"/>
                  </w:tcBorders>
                  <w:vAlign w:val="center"/>
                </w:tcPr>
                <w:p w14:paraId="43F7D1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CODcr</w:t>
                  </w:r>
                </w:p>
              </w:tc>
              <w:tc>
                <w:tcPr>
                  <w:tcW w:w="1050" w:type="dxa"/>
                  <w:tcBorders>
                    <w:tl2br w:val="nil"/>
                    <w:tr2bl w:val="nil"/>
                  </w:tcBorders>
                  <w:vAlign w:val="center"/>
                </w:tcPr>
                <w:p w14:paraId="07D092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127.5</w:t>
                  </w:r>
                </w:p>
              </w:tc>
              <w:tc>
                <w:tcPr>
                  <w:tcW w:w="1140" w:type="dxa"/>
                  <w:tcBorders>
                    <w:tl2br w:val="nil"/>
                    <w:tr2bl w:val="nil"/>
                  </w:tcBorders>
                  <w:vAlign w:val="center"/>
                </w:tcPr>
                <w:p w14:paraId="701D4D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250</w:t>
                  </w:r>
                </w:p>
              </w:tc>
              <w:tc>
                <w:tcPr>
                  <w:tcW w:w="1462" w:type="dxa"/>
                  <w:tcBorders>
                    <w:tl2br w:val="nil"/>
                    <w:tr2bl w:val="nil"/>
                  </w:tcBorders>
                  <w:vAlign w:val="center"/>
                </w:tcPr>
                <w:p w14:paraId="164BBC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16.575</w:t>
                  </w:r>
                </w:p>
              </w:tc>
              <w:tc>
                <w:tcPr>
                  <w:tcW w:w="1463" w:type="dxa"/>
                  <w:tcBorders>
                    <w:tl2br w:val="nil"/>
                    <w:tr2bl w:val="nil"/>
                  </w:tcBorders>
                  <w:vAlign w:val="center"/>
                </w:tcPr>
                <w:p w14:paraId="61C386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250</w:t>
                  </w:r>
                </w:p>
              </w:tc>
              <w:tc>
                <w:tcPr>
                  <w:tcW w:w="658" w:type="dxa"/>
                  <w:tcBorders>
                    <w:tl2br w:val="nil"/>
                    <w:tr2bl w:val="nil"/>
                  </w:tcBorders>
                  <w:vAlign w:val="center"/>
                </w:tcPr>
                <w:p w14:paraId="09ACA9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45E1FF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33B090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2B871B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w:t>
                  </w:r>
                </w:p>
              </w:tc>
              <w:tc>
                <w:tcPr>
                  <w:tcW w:w="1545" w:type="dxa"/>
                  <w:tcBorders>
                    <w:tl2br w:val="nil"/>
                    <w:tr2bl w:val="nil"/>
                  </w:tcBorders>
                  <w:vAlign w:val="center"/>
                </w:tcPr>
                <w:p w14:paraId="67D1D5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BOD</w:t>
                  </w:r>
                  <w:r>
                    <w:rPr>
                      <w:rFonts w:hint="eastAsia"/>
                      <w:b w:val="0"/>
                      <w:bCs w:val="0"/>
                      <w:color w:val="000000" w:themeColor="text1"/>
                      <w:spacing w:val="0"/>
                      <w:sz w:val="21"/>
                      <w:szCs w:val="21"/>
                      <w:highlight w:val="none"/>
                      <w:vertAlign w:val="subscript"/>
                      <w:lang w:val="en-US" w:eastAsia="zh-CN"/>
                      <w14:textFill>
                        <w14:solidFill>
                          <w14:schemeClr w14:val="tx1"/>
                        </w14:solidFill>
                      </w14:textFill>
                    </w:rPr>
                    <w:t>5</w:t>
                  </w:r>
                </w:p>
              </w:tc>
              <w:tc>
                <w:tcPr>
                  <w:tcW w:w="1050" w:type="dxa"/>
                  <w:tcBorders>
                    <w:tl2br w:val="nil"/>
                    <w:tr2bl w:val="nil"/>
                  </w:tcBorders>
                  <w:vAlign w:val="center"/>
                </w:tcPr>
                <w:p w14:paraId="43ADF4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88.7</w:t>
                  </w:r>
                </w:p>
              </w:tc>
              <w:tc>
                <w:tcPr>
                  <w:tcW w:w="1140" w:type="dxa"/>
                  <w:tcBorders>
                    <w:tl2br w:val="nil"/>
                    <w:tr2bl w:val="nil"/>
                  </w:tcBorders>
                  <w:vAlign w:val="center"/>
                </w:tcPr>
                <w:p w14:paraId="6E3805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100</w:t>
                  </w:r>
                </w:p>
              </w:tc>
              <w:tc>
                <w:tcPr>
                  <w:tcW w:w="1462" w:type="dxa"/>
                  <w:tcBorders>
                    <w:tl2br w:val="nil"/>
                    <w:tr2bl w:val="nil"/>
                  </w:tcBorders>
                  <w:vAlign w:val="center"/>
                </w:tcPr>
                <w:p w14:paraId="26204D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11.531</w:t>
                  </w:r>
                </w:p>
              </w:tc>
              <w:tc>
                <w:tcPr>
                  <w:tcW w:w="1463" w:type="dxa"/>
                  <w:tcBorders>
                    <w:tl2br w:val="nil"/>
                    <w:tr2bl w:val="nil"/>
                  </w:tcBorders>
                  <w:vAlign w:val="center"/>
                </w:tcPr>
                <w:p w14:paraId="63C5FB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100</w:t>
                  </w:r>
                </w:p>
              </w:tc>
              <w:tc>
                <w:tcPr>
                  <w:tcW w:w="658" w:type="dxa"/>
                  <w:tcBorders>
                    <w:tl2br w:val="nil"/>
                    <w:tr2bl w:val="nil"/>
                  </w:tcBorders>
                  <w:vAlign w:val="center"/>
                </w:tcPr>
                <w:p w14:paraId="10F3A0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505A0D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7A5973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06487B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4</w:t>
                  </w:r>
                </w:p>
              </w:tc>
              <w:tc>
                <w:tcPr>
                  <w:tcW w:w="1545" w:type="dxa"/>
                  <w:tcBorders>
                    <w:tl2br w:val="nil"/>
                    <w:tr2bl w:val="nil"/>
                  </w:tcBorders>
                  <w:vAlign w:val="center"/>
                </w:tcPr>
                <w:p w14:paraId="1892EB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SS</w:t>
                  </w:r>
                </w:p>
              </w:tc>
              <w:tc>
                <w:tcPr>
                  <w:tcW w:w="1050" w:type="dxa"/>
                  <w:tcBorders>
                    <w:tl2br w:val="nil"/>
                    <w:tr2bl w:val="nil"/>
                  </w:tcBorders>
                  <w:vAlign w:val="center"/>
                </w:tcPr>
                <w:p w14:paraId="280A5E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25.2</w:t>
                  </w:r>
                </w:p>
              </w:tc>
              <w:tc>
                <w:tcPr>
                  <w:tcW w:w="1140" w:type="dxa"/>
                  <w:tcBorders>
                    <w:tl2br w:val="nil"/>
                    <w:tr2bl w:val="nil"/>
                  </w:tcBorders>
                  <w:vAlign w:val="center"/>
                </w:tcPr>
                <w:p w14:paraId="313493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60</w:t>
                  </w:r>
                </w:p>
              </w:tc>
              <w:tc>
                <w:tcPr>
                  <w:tcW w:w="1462" w:type="dxa"/>
                  <w:tcBorders>
                    <w:tl2br w:val="nil"/>
                    <w:tr2bl w:val="nil"/>
                  </w:tcBorders>
                  <w:vAlign w:val="center"/>
                </w:tcPr>
                <w:p w14:paraId="154E05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3.276</w:t>
                  </w:r>
                </w:p>
              </w:tc>
              <w:tc>
                <w:tcPr>
                  <w:tcW w:w="1463" w:type="dxa"/>
                  <w:tcBorders>
                    <w:tl2br w:val="nil"/>
                    <w:tr2bl w:val="nil"/>
                  </w:tcBorders>
                  <w:vAlign w:val="center"/>
                </w:tcPr>
                <w:p w14:paraId="208D05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60</w:t>
                  </w:r>
                </w:p>
              </w:tc>
              <w:tc>
                <w:tcPr>
                  <w:tcW w:w="658" w:type="dxa"/>
                  <w:tcBorders>
                    <w:tl2br w:val="nil"/>
                    <w:tr2bl w:val="nil"/>
                  </w:tcBorders>
                  <w:vAlign w:val="center"/>
                </w:tcPr>
                <w:p w14:paraId="74DFA3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69DE86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645359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704801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5</w:t>
                  </w:r>
                </w:p>
              </w:tc>
              <w:tc>
                <w:tcPr>
                  <w:tcW w:w="1545" w:type="dxa"/>
                  <w:tcBorders>
                    <w:tl2br w:val="nil"/>
                    <w:tr2bl w:val="nil"/>
                  </w:tcBorders>
                  <w:vAlign w:val="center"/>
                </w:tcPr>
                <w:p w14:paraId="445BBD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NH</w:t>
                  </w:r>
                  <w:r>
                    <w:rPr>
                      <w:rFonts w:hint="eastAsia"/>
                      <w:b w:val="0"/>
                      <w:bCs w:val="0"/>
                      <w:color w:val="000000" w:themeColor="text1"/>
                      <w:spacing w:val="0"/>
                      <w:sz w:val="21"/>
                      <w:szCs w:val="21"/>
                      <w:highlight w:val="none"/>
                      <w:vertAlign w:val="subscript"/>
                      <w:lang w:val="en-US" w:eastAsia="zh-CN"/>
                      <w14:textFill>
                        <w14:solidFill>
                          <w14:schemeClr w14:val="tx1"/>
                        </w14:solidFill>
                      </w14:textFill>
                    </w:rPr>
                    <w:t>3</w:t>
                  </w:r>
                  <w:r>
                    <w:rPr>
                      <w:rFonts w:hint="eastAsia"/>
                      <w:b w:val="0"/>
                      <w:bCs w:val="0"/>
                      <w:color w:val="000000" w:themeColor="text1"/>
                      <w:spacing w:val="0"/>
                      <w:sz w:val="21"/>
                      <w:szCs w:val="21"/>
                      <w:highlight w:val="none"/>
                      <w:vertAlign w:val="baseline"/>
                      <w:lang w:val="en-US" w:eastAsia="zh-CN"/>
                      <w14:textFill>
                        <w14:solidFill>
                          <w14:schemeClr w14:val="tx1"/>
                        </w14:solidFill>
                      </w14:textFill>
                    </w:rPr>
                    <w:t>-N</w:t>
                  </w:r>
                </w:p>
              </w:tc>
              <w:tc>
                <w:tcPr>
                  <w:tcW w:w="1050" w:type="dxa"/>
                  <w:tcBorders>
                    <w:tl2br w:val="nil"/>
                    <w:tr2bl w:val="nil"/>
                  </w:tcBorders>
                  <w:vAlign w:val="center"/>
                </w:tcPr>
                <w:p w14:paraId="025ED4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42.2</w:t>
                  </w:r>
                </w:p>
              </w:tc>
              <w:tc>
                <w:tcPr>
                  <w:tcW w:w="1140" w:type="dxa"/>
                  <w:tcBorders>
                    <w:tl2br w:val="nil"/>
                    <w:tr2bl w:val="nil"/>
                  </w:tcBorders>
                  <w:vAlign w:val="center"/>
                </w:tcPr>
                <w:p w14:paraId="0A17C4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45</w:t>
                  </w:r>
                </w:p>
              </w:tc>
              <w:tc>
                <w:tcPr>
                  <w:tcW w:w="1462" w:type="dxa"/>
                  <w:tcBorders>
                    <w:tl2br w:val="nil"/>
                    <w:tr2bl w:val="nil"/>
                  </w:tcBorders>
                  <w:vAlign w:val="center"/>
                </w:tcPr>
                <w:p w14:paraId="5C05FB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463" w:type="dxa"/>
                  <w:tcBorders>
                    <w:tl2br w:val="nil"/>
                    <w:tr2bl w:val="nil"/>
                  </w:tcBorders>
                  <w:vAlign w:val="center"/>
                </w:tcPr>
                <w:p w14:paraId="71718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658" w:type="dxa"/>
                  <w:tcBorders>
                    <w:tl2br w:val="nil"/>
                    <w:tr2bl w:val="nil"/>
                  </w:tcBorders>
                  <w:vAlign w:val="center"/>
                </w:tcPr>
                <w:p w14:paraId="4386CA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0A62F4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53D8F2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5A504F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w:t>
                  </w:r>
                </w:p>
              </w:tc>
              <w:tc>
                <w:tcPr>
                  <w:tcW w:w="1545" w:type="dxa"/>
                  <w:tcBorders>
                    <w:tl2br w:val="nil"/>
                    <w:tr2bl w:val="nil"/>
                  </w:tcBorders>
                  <w:vAlign w:val="center"/>
                </w:tcPr>
                <w:p w14:paraId="6DBA3E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粪大肠菌群数</w:t>
                  </w:r>
                </w:p>
              </w:tc>
              <w:tc>
                <w:tcPr>
                  <w:tcW w:w="1050" w:type="dxa"/>
                  <w:tcBorders>
                    <w:tl2br w:val="nil"/>
                    <w:tr2bl w:val="nil"/>
                  </w:tcBorders>
                  <w:vAlign w:val="center"/>
                </w:tcPr>
                <w:p w14:paraId="59C6D0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3000</w:t>
                  </w:r>
                </w:p>
                <w:p w14:paraId="453A45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MPN/L</w:t>
                  </w:r>
                </w:p>
              </w:tc>
              <w:tc>
                <w:tcPr>
                  <w:tcW w:w="1140" w:type="dxa"/>
                  <w:tcBorders>
                    <w:tl2br w:val="nil"/>
                    <w:tr2bl w:val="nil"/>
                  </w:tcBorders>
                  <w:vAlign w:val="center"/>
                </w:tcPr>
                <w:p w14:paraId="578143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5000</w:t>
                  </w:r>
                </w:p>
                <w:p w14:paraId="6A194E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MPN/L</w:t>
                  </w:r>
                </w:p>
              </w:tc>
              <w:tc>
                <w:tcPr>
                  <w:tcW w:w="1462" w:type="dxa"/>
                  <w:tcBorders>
                    <w:tl2br w:val="nil"/>
                    <w:tr2bl w:val="nil"/>
                  </w:tcBorders>
                  <w:vAlign w:val="center"/>
                </w:tcPr>
                <w:p w14:paraId="7A097A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463" w:type="dxa"/>
                  <w:tcBorders>
                    <w:tl2br w:val="nil"/>
                    <w:tr2bl w:val="nil"/>
                  </w:tcBorders>
                  <w:vAlign w:val="center"/>
                </w:tcPr>
                <w:p w14:paraId="086A10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658" w:type="dxa"/>
                  <w:tcBorders>
                    <w:tl2br w:val="nil"/>
                    <w:tr2bl w:val="nil"/>
                  </w:tcBorders>
                  <w:vAlign w:val="center"/>
                </w:tcPr>
                <w:p w14:paraId="57F75B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r w14:paraId="351D62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dxa"/>
                  <w:vMerge w:val="continue"/>
                  <w:tcBorders>
                    <w:tl2br w:val="nil"/>
                    <w:tr2bl w:val="nil"/>
                  </w:tcBorders>
                  <w:vAlign w:val="center"/>
                </w:tcPr>
                <w:p w14:paraId="556BE8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540" w:type="dxa"/>
                  <w:tcBorders>
                    <w:tl2br w:val="nil"/>
                    <w:tr2bl w:val="nil"/>
                  </w:tcBorders>
                  <w:vAlign w:val="center"/>
                </w:tcPr>
                <w:p w14:paraId="7BA895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7</w:t>
                  </w:r>
                </w:p>
              </w:tc>
              <w:tc>
                <w:tcPr>
                  <w:tcW w:w="1545" w:type="dxa"/>
                  <w:tcBorders>
                    <w:tl2br w:val="nil"/>
                    <w:tr2bl w:val="nil"/>
                  </w:tcBorders>
                  <w:vAlign w:val="center"/>
                </w:tcPr>
                <w:p w14:paraId="74FD10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总余氯</w:t>
                  </w:r>
                </w:p>
              </w:tc>
              <w:tc>
                <w:tcPr>
                  <w:tcW w:w="1050" w:type="dxa"/>
                  <w:tcBorders>
                    <w:tl2br w:val="nil"/>
                    <w:tr2bl w:val="nil"/>
                  </w:tcBorders>
                  <w:vAlign w:val="center"/>
                </w:tcPr>
                <w:p w14:paraId="193C1B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2-8</w:t>
                  </w:r>
                </w:p>
              </w:tc>
              <w:tc>
                <w:tcPr>
                  <w:tcW w:w="1140" w:type="dxa"/>
                  <w:tcBorders>
                    <w:tl2br w:val="nil"/>
                    <w:tr2bl w:val="nil"/>
                  </w:tcBorders>
                  <w:vAlign w:val="center"/>
                </w:tcPr>
                <w:p w14:paraId="579F55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2-8</w:t>
                  </w:r>
                </w:p>
              </w:tc>
              <w:tc>
                <w:tcPr>
                  <w:tcW w:w="1462" w:type="dxa"/>
                  <w:tcBorders>
                    <w:tl2br w:val="nil"/>
                    <w:tr2bl w:val="nil"/>
                  </w:tcBorders>
                  <w:vAlign w:val="center"/>
                </w:tcPr>
                <w:p w14:paraId="3F2F96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463" w:type="dxa"/>
                  <w:tcBorders>
                    <w:tl2br w:val="nil"/>
                    <w:tr2bl w:val="nil"/>
                  </w:tcBorders>
                  <w:vAlign w:val="center"/>
                </w:tcPr>
                <w:p w14:paraId="2E9370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658" w:type="dxa"/>
                  <w:tcBorders>
                    <w:tl2br w:val="nil"/>
                    <w:tr2bl w:val="nil"/>
                  </w:tcBorders>
                  <w:vAlign w:val="center"/>
                </w:tcPr>
                <w:p w14:paraId="76B5D2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达标</w:t>
                  </w:r>
                </w:p>
              </w:tc>
            </w:tr>
          </w:tbl>
          <w:p w14:paraId="09421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根据上表数据分析，医疗污水中主要水污染物pH、COD</w:t>
            </w:r>
            <w:r>
              <w:rPr>
                <w:rFonts w:hint="eastAsia"/>
                <w:b w:val="0"/>
                <w:bCs w:val="0"/>
                <w:color w:val="000000" w:themeColor="text1"/>
                <w:spacing w:val="0"/>
                <w:sz w:val="24"/>
                <w:highlight w:val="none"/>
                <w:lang w:val="en-US" w:eastAsia="zh-CN"/>
                <w14:textFill>
                  <w14:solidFill>
                    <w14:schemeClr w14:val="tx1"/>
                  </w14:solidFill>
                </w14:textFill>
              </w:rPr>
              <w:t>cr</w:t>
            </w:r>
            <w:r>
              <w:rPr>
                <w:rFonts w:hint="default"/>
                <w:b w:val="0"/>
                <w:bCs w:val="0"/>
                <w:color w:val="000000" w:themeColor="text1"/>
                <w:spacing w:val="0"/>
                <w:sz w:val="24"/>
                <w:highlight w:val="none"/>
                <w:lang w:val="en-US" w:eastAsia="zh-CN"/>
                <w14:textFill>
                  <w14:solidFill>
                    <w14:schemeClr w14:val="tx1"/>
                  </w14:solidFill>
                </w14:textFill>
              </w:rPr>
              <w:t>、BOD</w:t>
            </w:r>
            <w:r>
              <w:rPr>
                <w:rFonts w:hint="default"/>
                <w:b w:val="0"/>
                <w:bCs w:val="0"/>
                <w:color w:val="000000" w:themeColor="text1"/>
                <w:spacing w:val="0"/>
                <w:sz w:val="24"/>
                <w:highlight w:val="none"/>
                <w:vertAlign w:val="subscript"/>
                <w:lang w:val="en-US" w:eastAsia="zh-CN"/>
                <w14:textFill>
                  <w14:solidFill>
                    <w14:schemeClr w14:val="tx1"/>
                  </w14:solidFill>
                </w14:textFill>
              </w:rPr>
              <w:t>5</w:t>
            </w:r>
            <w:r>
              <w:rPr>
                <w:rFonts w:hint="default"/>
                <w:b w:val="0"/>
                <w:bCs w:val="0"/>
                <w:color w:val="000000" w:themeColor="text1"/>
                <w:spacing w:val="0"/>
                <w:sz w:val="24"/>
                <w:highlight w:val="none"/>
                <w:lang w:val="en-US" w:eastAsia="zh-CN"/>
                <w14:textFill>
                  <w14:solidFill>
                    <w14:schemeClr w14:val="tx1"/>
                  </w14:solidFill>
                </w14:textFill>
              </w:rPr>
              <w:t>、SS、粪大肠菌群数排放浓度</w:t>
            </w:r>
            <w:r>
              <w:rPr>
                <w:rFonts w:hint="eastAsia"/>
                <w:b w:val="0"/>
                <w:bCs w:val="0"/>
                <w:color w:val="000000" w:themeColor="text1"/>
                <w:spacing w:val="0"/>
                <w:sz w:val="24"/>
                <w:highlight w:val="none"/>
                <w:lang w:val="en-US" w:eastAsia="zh-CN"/>
                <w14:textFill>
                  <w14:solidFill>
                    <w14:schemeClr w14:val="tx1"/>
                  </w14:solidFill>
                </w14:textFill>
              </w:rPr>
              <w:t>满足</w:t>
            </w:r>
            <w:r>
              <w:rPr>
                <w:rFonts w:hint="default"/>
                <w:b w:val="0"/>
                <w:bCs w:val="0"/>
                <w:color w:val="000000" w:themeColor="text1"/>
                <w:spacing w:val="0"/>
                <w:sz w:val="24"/>
                <w:highlight w:val="none"/>
                <w:lang w:val="en-US" w:eastAsia="zh-CN"/>
                <w14:textFill>
                  <w14:solidFill>
                    <w14:schemeClr w14:val="tx1"/>
                  </w14:solidFill>
                </w14:textFill>
              </w:rPr>
              <w:t>《医疗机构水污染物排放标准》（GB18466-2005）中表2</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预处理标准</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要求</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氨氮排放浓度</w:t>
            </w:r>
            <w:r>
              <w:rPr>
                <w:rFonts w:hint="eastAsia"/>
                <w:b w:val="0"/>
                <w:bCs w:val="0"/>
                <w:color w:val="000000" w:themeColor="text1"/>
                <w:spacing w:val="0"/>
                <w:sz w:val="24"/>
                <w:highlight w:val="none"/>
                <w:lang w:val="en-US" w:eastAsia="zh-CN"/>
                <w14:textFill>
                  <w14:solidFill>
                    <w14:schemeClr w14:val="tx1"/>
                  </w14:solidFill>
                </w14:textFill>
              </w:rPr>
              <w:t>满足</w:t>
            </w:r>
            <w:r>
              <w:rPr>
                <w:rFonts w:hint="default"/>
                <w:b w:val="0"/>
                <w:bCs w:val="0"/>
                <w:color w:val="000000" w:themeColor="text1"/>
                <w:spacing w:val="0"/>
                <w:sz w:val="24"/>
                <w:highlight w:val="none"/>
                <w:lang w:val="en-US" w:eastAsia="zh-CN"/>
                <w14:textFill>
                  <w14:solidFill>
                    <w14:schemeClr w14:val="tx1"/>
                  </w14:solidFill>
                </w14:textFill>
              </w:rPr>
              <w:t>北京市《水污染物综合排放标准》（DB11/307-2013）中</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表3排入公共污水处理系统的水污染物限值</w:t>
            </w:r>
            <w:r>
              <w:rPr>
                <w:rFonts w:hint="eastAsia"/>
                <w:b w:val="0"/>
                <w:bCs w:val="0"/>
                <w:color w:val="000000" w:themeColor="text1"/>
                <w:spacing w:val="0"/>
                <w:sz w:val="24"/>
                <w:highlight w:val="none"/>
                <w:lang w:val="en-US" w:eastAsia="zh-CN"/>
                <w14:textFill>
                  <w14:solidFill>
                    <w14:schemeClr w14:val="tx1"/>
                  </w14:solidFill>
                </w14:textFill>
              </w:rPr>
              <w:t>”；总余氯排放浓度满足</w:t>
            </w:r>
            <w:r>
              <w:rPr>
                <w:rFonts w:hint="default"/>
                <w:b w:val="0"/>
                <w:bCs w:val="0"/>
                <w:color w:val="000000" w:themeColor="text1"/>
                <w:spacing w:val="0"/>
                <w:sz w:val="24"/>
                <w:highlight w:val="none"/>
                <w:lang w:val="en-US" w:eastAsia="zh-CN"/>
                <w14:textFill>
                  <w14:solidFill>
                    <w14:schemeClr w14:val="tx1"/>
                  </w14:solidFill>
                </w14:textFill>
              </w:rPr>
              <w:t>《医疗机构水污染物排放标准》（GB18466-2005）中表2</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预处理标准</w:t>
            </w:r>
            <w:r>
              <w:rPr>
                <w:rFonts w:hint="eastAsia"/>
                <w:b w:val="0"/>
                <w:bCs w:val="0"/>
                <w:color w:val="000000" w:themeColor="text1"/>
                <w:spacing w:val="0"/>
                <w:sz w:val="24"/>
                <w:highlight w:val="none"/>
                <w:lang w:val="en-US" w:eastAsia="zh-CN"/>
                <w14:textFill>
                  <w14:solidFill>
                    <w14:schemeClr w14:val="tx1"/>
                  </w14:solidFill>
                </w14:textFill>
              </w:rPr>
              <w:t>”消毒池出口</w:t>
            </w:r>
            <w:r>
              <w:rPr>
                <w:rFonts w:hint="default"/>
                <w:b w:val="0"/>
                <w:bCs w:val="0"/>
                <w:color w:val="000000" w:themeColor="text1"/>
                <w:spacing w:val="0"/>
                <w:sz w:val="24"/>
                <w:highlight w:val="none"/>
                <w:lang w:val="en-US" w:eastAsia="zh-CN"/>
                <w14:textFill>
                  <w14:solidFill>
                    <w14:schemeClr w14:val="tx1"/>
                  </w14:solidFill>
                </w14:textFill>
              </w:rPr>
              <w:t>要求</w:t>
            </w:r>
            <w:r>
              <w:rPr>
                <w:rFonts w:hint="eastAsia"/>
                <w:b w:val="0"/>
                <w:bCs w:val="0"/>
                <w:color w:val="000000" w:themeColor="text1"/>
                <w:spacing w:val="0"/>
                <w:sz w:val="24"/>
                <w:highlight w:val="none"/>
                <w:lang w:val="en-US" w:eastAsia="zh-CN"/>
                <w14:textFill>
                  <w14:solidFill>
                    <w14:schemeClr w14:val="tx1"/>
                  </w14:solidFill>
                </w14:textFill>
              </w:rPr>
              <w:t>，同时满足</w:t>
            </w:r>
            <w:r>
              <w:rPr>
                <w:rFonts w:hint="default"/>
                <w:b w:val="0"/>
                <w:bCs w:val="0"/>
                <w:color w:val="000000" w:themeColor="text1"/>
                <w:spacing w:val="0"/>
                <w:sz w:val="24"/>
                <w:highlight w:val="none"/>
                <w:lang w:val="en-US" w:eastAsia="zh-CN"/>
                <w14:textFill>
                  <w14:solidFill>
                    <w14:schemeClr w14:val="tx1"/>
                  </w14:solidFill>
                </w14:textFill>
              </w:rPr>
              <w:t>北京市《水污染物综合排放标准》（DB11/307-2013）中</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表3排入公共污水处理系统的水污染物限值</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。COD</w:t>
            </w:r>
            <w:r>
              <w:rPr>
                <w:rFonts w:hint="eastAsia"/>
                <w:b w:val="0"/>
                <w:bCs w:val="0"/>
                <w:color w:val="000000" w:themeColor="text1"/>
                <w:spacing w:val="0"/>
                <w:sz w:val="24"/>
                <w:highlight w:val="none"/>
                <w:lang w:val="en-US" w:eastAsia="zh-CN"/>
                <w14:textFill>
                  <w14:solidFill>
                    <w14:schemeClr w14:val="tx1"/>
                  </w14:solidFill>
                </w14:textFill>
              </w:rPr>
              <w:t>cr</w:t>
            </w:r>
            <w:r>
              <w:rPr>
                <w:rFonts w:hint="default"/>
                <w:b w:val="0"/>
                <w:bCs w:val="0"/>
                <w:color w:val="000000" w:themeColor="text1"/>
                <w:spacing w:val="0"/>
                <w:sz w:val="24"/>
                <w:highlight w:val="none"/>
                <w:lang w:val="en-US" w:eastAsia="zh-CN"/>
                <w14:textFill>
                  <w14:solidFill>
                    <w14:schemeClr w14:val="tx1"/>
                  </w14:solidFill>
                </w14:textFill>
              </w:rPr>
              <w:t>、BOD</w:t>
            </w:r>
            <w:r>
              <w:rPr>
                <w:rFonts w:hint="default"/>
                <w:b w:val="0"/>
                <w:bCs w:val="0"/>
                <w:color w:val="000000" w:themeColor="text1"/>
                <w:spacing w:val="0"/>
                <w:sz w:val="24"/>
                <w:highlight w:val="none"/>
                <w:vertAlign w:val="subscript"/>
                <w:lang w:val="en-US" w:eastAsia="zh-CN"/>
                <w14:textFill>
                  <w14:solidFill>
                    <w14:schemeClr w14:val="tx1"/>
                  </w14:solidFill>
                </w14:textFill>
              </w:rPr>
              <w:t>5</w:t>
            </w:r>
            <w:r>
              <w:rPr>
                <w:rFonts w:hint="default"/>
                <w:b w:val="0"/>
                <w:bCs w:val="0"/>
                <w:color w:val="000000" w:themeColor="text1"/>
                <w:spacing w:val="0"/>
                <w:sz w:val="24"/>
                <w:highlight w:val="none"/>
                <w:lang w:val="en-US" w:eastAsia="zh-CN"/>
                <w14:textFill>
                  <w14:solidFill>
                    <w14:schemeClr w14:val="tx1"/>
                  </w14:solidFill>
                </w14:textFill>
              </w:rPr>
              <w:t>、SS排放负荷符合《医疗机构水污染物排放标准》（GB18466-2005）中表2</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预处理标准</w:t>
            </w:r>
            <w:r>
              <w:rPr>
                <w:rFonts w:hint="eastAsia"/>
                <w:b w:val="0"/>
                <w:bCs w:val="0"/>
                <w:color w:val="000000" w:themeColor="text1"/>
                <w:spacing w:val="0"/>
                <w:sz w:val="24"/>
                <w:highlight w:val="none"/>
                <w:lang w:val="en-US" w:eastAsia="zh-CN"/>
                <w14:textFill>
                  <w14:solidFill>
                    <w14:schemeClr w14:val="tx1"/>
                  </w14:solidFill>
                </w14:textFill>
              </w:rPr>
              <w:t>”</w:t>
            </w:r>
            <w:r>
              <w:rPr>
                <w:rFonts w:hint="default"/>
                <w:b w:val="0"/>
                <w:bCs w:val="0"/>
                <w:color w:val="000000" w:themeColor="text1"/>
                <w:spacing w:val="0"/>
                <w:sz w:val="24"/>
                <w:highlight w:val="none"/>
                <w:lang w:val="en-US" w:eastAsia="zh-CN"/>
                <w14:textFill>
                  <w14:solidFill>
                    <w14:schemeClr w14:val="tx1"/>
                  </w14:solidFill>
                </w14:textFill>
              </w:rPr>
              <w:t>要求。</w:t>
            </w:r>
          </w:p>
          <w:p w14:paraId="7B13C7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（4）污水处理设施可行性分析</w:t>
            </w:r>
          </w:p>
          <w:p w14:paraId="38F479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①污水处理工艺</w:t>
            </w:r>
          </w:p>
          <w:p w14:paraId="1A317B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本项目污水处理工艺为“化粪池+格栅+沉淀+消毒”、“过滤+消毒”，废水全部排入化粪池，再进入自建污水处理设施进行处理，项目3号楼扩建后排水量为86.65m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/d，现有化粪池有效容积为100m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，9号楼排水量为1.035m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/d，新建污水处理设施有效容积为2m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vertAlign w:val="baseli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根据《医疗机构污水处理工程技术标准》（GB51459-2024）中要求：“非传染病医疗机构污水化粪池停留时间宜为12h~24h，清掏周期宜为90d~180d。”本项目为专科医院，化粪池满足停留时间为12h，清掏周期为30d；污水处理设施设计日处理量分别为100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/d、2m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/d，污水处理设施设计处理能力符合《医院污水处理工程技术规范》（HJ2029-2013）中“医院污水处理工程设计水量应在实测或测算的基础上留有设计余量”的要求。</w:t>
            </w:r>
          </w:p>
          <w:p w14:paraId="72743D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②技术可行性分析</w:t>
            </w:r>
          </w:p>
          <w:p w14:paraId="3D360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本项目3号楼医疗污水经化粪池+格栅去除大的漂浮物后，加入聚合氯化铝（PAC）、聚丙烯酰胺（PAM）后进入沉淀池进行沉淀分离，由有资质单位进行清运。沉淀池上清液进入</w:t>
            </w:r>
            <w:r>
              <w:rPr>
                <w:rFonts w:hint="eastAsia"/>
                <w:color w:val="000000" w:themeColor="text1"/>
                <w:highlight w:val="none"/>
                <w:lang w:val="en-US" w:eastAsia="zh-CN"/>
                <w14:textFill>
                  <w14:solidFill>
                    <w14:schemeClr w14:val="tx1"/>
                  </w14:solidFill>
                </w14:textFill>
              </w:rPr>
              <w:t>消毒池</w:t>
            </w:r>
            <w:r>
              <w:rPr>
                <w:rFonts w:hint="eastAsia"/>
                <w:b w:val="0"/>
                <w:bCs w:val="0"/>
                <w:color w:val="000000" w:themeColor="text1"/>
                <w:spacing w:val="0"/>
                <w:sz w:val="24"/>
                <w:highlight w:val="none"/>
                <w:lang w:val="en-US" w:eastAsia="zh-CN"/>
                <w14:textFill>
                  <w14:solidFill>
                    <w14:schemeClr w14:val="tx1"/>
                  </w14:solidFill>
                </w14:textFill>
              </w:rPr>
              <w:t>，经次氯酸钠消毒后排出通过市政管网排至昌平污水处理厂。本项目9号楼医疗污水经过滤去除大的漂浮物后，加入二氧化氯进入</w:t>
            </w:r>
            <w:r>
              <w:rPr>
                <w:rFonts w:hint="eastAsia"/>
                <w:color w:val="000000" w:themeColor="text1"/>
                <w:highlight w:val="none"/>
                <w:lang w:val="en-US" w:eastAsia="zh-CN"/>
                <w14:textFill>
                  <w14:solidFill>
                    <w14:schemeClr w14:val="tx1"/>
                  </w14:solidFill>
                </w14:textFill>
              </w:rPr>
              <w:t>消毒池</w:t>
            </w:r>
            <w:r>
              <w:rPr>
                <w:rFonts w:hint="eastAsia"/>
                <w:b w:val="0"/>
                <w:bCs w:val="0"/>
                <w:color w:val="000000" w:themeColor="text1"/>
                <w:spacing w:val="0"/>
                <w:sz w:val="24"/>
                <w:highlight w:val="none"/>
                <w:lang w:val="en-US" w:eastAsia="zh-CN"/>
                <w14:textFill>
                  <w14:solidFill>
                    <w14:schemeClr w14:val="tx1"/>
                  </w14:solidFill>
                </w14:textFill>
              </w:rPr>
              <w:t>，经消毒后排出通过市政管网排至昌平污水处理厂。</w:t>
            </w:r>
          </w:p>
          <w:p w14:paraId="60A79C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根据《排污许可证申请与核发技术规范 医疗机构》中废气废水治理可行技术参考表中的“表A.2医疗机构排污单位污水治理可行技术参照表”，本项目采用的污水处理工艺属于“一级强化处理+消毒工艺”，为可行技术。</w:t>
            </w:r>
          </w:p>
          <w:p w14:paraId="59F6E6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（5）废水排放口基本信息表</w:t>
            </w:r>
          </w:p>
          <w:p w14:paraId="4417A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本项目废水类别、污染物及污染治理设施信息详见下表。</w:t>
            </w:r>
          </w:p>
          <w:p w14:paraId="133C6D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表4-7 项目废水类别、污染物及污染治理设施信息表</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701"/>
              <w:gridCol w:w="945"/>
              <w:gridCol w:w="896"/>
              <w:gridCol w:w="1020"/>
              <w:gridCol w:w="652"/>
              <w:gridCol w:w="690"/>
              <w:gridCol w:w="881"/>
              <w:gridCol w:w="616"/>
              <w:gridCol w:w="729"/>
              <w:gridCol w:w="1363"/>
            </w:tblGrid>
            <w:tr w14:paraId="69ABC8B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dxa"/>
                  <w:vMerge w:val="restart"/>
                  <w:tcBorders>
                    <w:tl2br w:val="nil"/>
                    <w:tr2bl w:val="nil"/>
                  </w:tcBorders>
                  <w:vAlign w:val="center"/>
                </w:tcPr>
                <w:p w14:paraId="773D03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序号</w:t>
                  </w:r>
                </w:p>
              </w:tc>
              <w:tc>
                <w:tcPr>
                  <w:tcW w:w="687" w:type="dxa"/>
                  <w:vMerge w:val="restart"/>
                  <w:tcBorders>
                    <w:tl2br w:val="nil"/>
                    <w:tr2bl w:val="nil"/>
                  </w:tcBorders>
                  <w:vAlign w:val="center"/>
                </w:tcPr>
                <w:p w14:paraId="43E9F7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废水类别</w:t>
                  </w:r>
                </w:p>
              </w:tc>
              <w:tc>
                <w:tcPr>
                  <w:tcW w:w="926" w:type="dxa"/>
                  <w:vMerge w:val="restart"/>
                  <w:tcBorders>
                    <w:tl2br w:val="nil"/>
                    <w:tr2bl w:val="nil"/>
                  </w:tcBorders>
                  <w:vAlign w:val="center"/>
                </w:tcPr>
                <w:p w14:paraId="54C122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污染物种类</w:t>
                  </w:r>
                </w:p>
              </w:tc>
              <w:tc>
                <w:tcPr>
                  <w:tcW w:w="878" w:type="dxa"/>
                  <w:vMerge w:val="restart"/>
                  <w:tcBorders>
                    <w:tl2br w:val="nil"/>
                    <w:tr2bl w:val="nil"/>
                  </w:tcBorders>
                  <w:vAlign w:val="center"/>
                </w:tcPr>
                <w:p w14:paraId="574DBA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排放去向</w:t>
                  </w:r>
                </w:p>
              </w:tc>
              <w:tc>
                <w:tcPr>
                  <w:tcW w:w="999" w:type="dxa"/>
                  <w:vMerge w:val="restart"/>
                  <w:tcBorders>
                    <w:tl2br w:val="nil"/>
                    <w:tr2bl w:val="nil"/>
                  </w:tcBorders>
                  <w:vAlign w:val="center"/>
                </w:tcPr>
                <w:p w14:paraId="7ED101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排放规律</w:t>
                  </w:r>
                </w:p>
              </w:tc>
              <w:tc>
                <w:tcPr>
                  <w:tcW w:w="2178" w:type="dxa"/>
                  <w:gridSpan w:val="3"/>
                  <w:tcBorders>
                    <w:tl2br w:val="nil"/>
                    <w:tr2bl w:val="nil"/>
                  </w:tcBorders>
                  <w:vAlign w:val="center"/>
                </w:tcPr>
                <w:p w14:paraId="19AC36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污染治理设施</w:t>
                  </w:r>
                </w:p>
              </w:tc>
              <w:tc>
                <w:tcPr>
                  <w:tcW w:w="604" w:type="dxa"/>
                  <w:vMerge w:val="restart"/>
                  <w:tcBorders>
                    <w:tl2br w:val="nil"/>
                    <w:tr2bl w:val="nil"/>
                  </w:tcBorders>
                  <w:vAlign w:val="center"/>
                </w:tcPr>
                <w:p w14:paraId="71B134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排放口编号</w:t>
                  </w:r>
                </w:p>
              </w:tc>
              <w:tc>
                <w:tcPr>
                  <w:tcW w:w="714" w:type="dxa"/>
                  <w:vMerge w:val="restart"/>
                  <w:tcBorders>
                    <w:tl2br w:val="nil"/>
                    <w:tr2bl w:val="nil"/>
                  </w:tcBorders>
                  <w:vAlign w:val="center"/>
                </w:tcPr>
                <w:p w14:paraId="16E04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排放口设置是否符合要求</w:t>
                  </w:r>
                </w:p>
              </w:tc>
              <w:tc>
                <w:tcPr>
                  <w:tcW w:w="1336" w:type="dxa"/>
                  <w:vMerge w:val="restart"/>
                  <w:tcBorders>
                    <w:tl2br w:val="nil"/>
                    <w:tr2bl w:val="nil"/>
                  </w:tcBorders>
                  <w:vAlign w:val="center"/>
                </w:tcPr>
                <w:p w14:paraId="4E4A6C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排放口类型</w:t>
                  </w:r>
                </w:p>
              </w:tc>
            </w:tr>
            <w:tr w14:paraId="1CC989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dxa"/>
                  <w:vMerge w:val="continue"/>
                  <w:tcBorders>
                    <w:tl2br w:val="nil"/>
                    <w:tr2bl w:val="nil"/>
                  </w:tcBorders>
                  <w:vAlign w:val="center"/>
                </w:tcPr>
                <w:p w14:paraId="305EC8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687" w:type="dxa"/>
                  <w:vMerge w:val="continue"/>
                  <w:tcBorders>
                    <w:tl2br w:val="nil"/>
                    <w:tr2bl w:val="nil"/>
                  </w:tcBorders>
                  <w:vAlign w:val="center"/>
                </w:tcPr>
                <w:p w14:paraId="699CB2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926" w:type="dxa"/>
                  <w:vMerge w:val="continue"/>
                  <w:tcBorders>
                    <w:tl2br w:val="nil"/>
                    <w:tr2bl w:val="nil"/>
                  </w:tcBorders>
                  <w:vAlign w:val="center"/>
                </w:tcPr>
                <w:p w14:paraId="02CE2A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878" w:type="dxa"/>
                  <w:vMerge w:val="continue"/>
                  <w:tcBorders>
                    <w:tl2br w:val="nil"/>
                    <w:tr2bl w:val="nil"/>
                  </w:tcBorders>
                  <w:vAlign w:val="center"/>
                </w:tcPr>
                <w:p w14:paraId="6E4FFA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999" w:type="dxa"/>
                  <w:vMerge w:val="continue"/>
                  <w:tcBorders>
                    <w:tl2br w:val="nil"/>
                    <w:tr2bl w:val="nil"/>
                  </w:tcBorders>
                  <w:vAlign w:val="center"/>
                </w:tcPr>
                <w:p w14:paraId="3A3023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639" w:type="dxa"/>
                  <w:tcBorders>
                    <w:tl2br w:val="nil"/>
                    <w:tr2bl w:val="nil"/>
                  </w:tcBorders>
                  <w:vAlign w:val="center"/>
                </w:tcPr>
                <w:p w14:paraId="15AF8B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污染治理设施编号</w:t>
                  </w:r>
                </w:p>
              </w:tc>
              <w:tc>
                <w:tcPr>
                  <w:tcW w:w="676" w:type="dxa"/>
                  <w:tcBorders>
                    <w:tl2br w:val="nil"/>
                    <w:tr2bl w:val="nil"/>
                  </w:tcBorders>
                  <w:vAlign w:val="center"/>
                </w:tcPr>
                <w:p w14:paraId="1009B6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污染治理设施名称</w:t>
                  </w:r>
                </w:p>
              </w:tc>
              <w:tc>
                <w:tcPr>
                  <w:tcW w:w="863" w:type="dxa"/>
                  <w:tcBorders>
                    <w:tl2br w:val="nil"/>
                    <w:tr2bl w:val="nil"/>
                  </w:tcBorders>
                  <w:vAlign w:val="center"/>
                </w:tcPr>
                <w:p w14:paraId="4A0ED8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污染治理设施工艺</w:t>
                  </w:r>
                </w:p>
              </w:tc>
              <w:tc>
                <w:tcPr>
                  <w:tcW w:w="604" w:type="dxa"/>
                  <w:vMerge w:val="continue"/>
                  <w:tcBorders>
                    <w:tl2br w:val="nil"/>
                    <w:tr2bl w:val="nil"/>
                  </w:tcBorders>
                  <w:vAlign w:val="center"/>
                </w:tcPr>
                <w:p w14:paraId="685373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714" w:type="dxa"/>
                  <w:vMerge w:val="continue"/>
                  <w:tcBorders>
                    <w:tl2br w:val="nil"/>
                    <w:tr2bl w:val="nil"/>
                  </w:tcBorders>
                  <w:vAlign w:val="center"/>
                </w:tcPr>
                <w:p w14:paraId="5187D6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1336" w:type="dxa"/>
                  <w:vMerge w:val="continue"/>
                  <w:tcBorders>
                    <w:tl2br w:val="nil"/>
                    <w:tr2bl w:val="nil"/>
                  </w:tcBorders>
                  <w:vAlign w:val="center"/>
                </w:tcPr>
                <w:p w14:paraId="081669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r>
            <w:tr w14:paraId="26E17DC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dxa"/>
                  <w:tcBorders>
                    <w:tl2br w:val="nil"/>
                    <w:tr2bl w:val="nil"/>
                  </w:tcBorders>
                  <w:vAlign w:val="center"/>
                </w:tcPr>
                <w:p w14:paraId="209111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w:t>
                  </w:r>
                </w:p>
              </w:tc>
              <w:tc>
                <w:tcPr>
                  <w:tcW w:w="687" w:type="dxa"/>
                  <w:tcBorders>
                    <w:tl2br w:val="nil"/>
                    <w:tr2bl w:val="nil"/>
                  </w:tcBorders>
                  <w:vAlign w:val="center"/>
                </w:tcPr>
                <w:p w14:paraId="2B524F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3号楼医疗废水</w:t>
                  </w:r>
                </w:p>
              </w:tc>
              <w:tc>
                <w:tcPr>
                  <w:tcW w:w="926" w:type="dxa"/>
                  <w:tcBorders>
                    <w:tl2br w:val="nil"/>
                    <w:tr2bl w:val="nil"/>
                  </w:tcBorders>
                  <w:vAlign w:val="center"/>
                </w:tcPr>
                <w:p w14:paraId="1BE4E9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粪大肠菌群数、COD、BOD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、NH</w:t>
                  </w:r>
                  <w:r>
                    <w:rPr>
                      <w:rFonts w:hint="eastAsia" w:cs="Times New Roman"/>
                      <w:color w:val="000000" w:themeColor="text1"/>
                      <w:sz w:val="18"/>
                      <w:szCs w:val="18"/>
                      <w:highlight w:val="none"/>
                      <w:vertAlign w:val="subscript"/>
                      <w:lang w:val="en-US" w:eastAsia="zh-CN"/>
                      <w14:textFill>
                        <w14:solidFill>
                          <w14:schemeClr w14:val="tx1"/>
                        </w14:solidFill>
                      </w14:textFill>
                    </w:rPr>
                    <w:t>3</w:t>
                  </w:r>
                  <w:r>
                    <w:rPr>
                      <w:rFonts w:hint="eastAsia" w:cs="Times New Roman"/>
                      <w:color w:val="000000" w:themeColor="text1"/>
                      <w:sz w:val="18"/>
                      <w:szCs w:val="18"/>
                      <w:highlight w:val="none"/>
                      <w:vertAlign w:val="baseline"/>
                      <w:lang w:val="en-US" w:eastAsia="zh-CN"/>
                      <w14:textFill>
                        <w14:solidFill>
                          <w14:schemeClr w14:val="tx1"/>
                        </w14:solidFill>
                      </w14:textFill>
                    </w:rPr>
                    <w:t>-N、pH值、SS、总余氯</w:t>
                  </w:r>
                </w:p>
              </w:tc>
              <w:tc>
                <w:tcPr>
                  <w:tcW w:w="878" w:type="dxa"/>
                  <w:tcBorders>
                    <w:tl2br w:val="nil"/>
                    <w:tr2bl w:val="nil"/>
                  </w:tcBorders>
                  <w:vAlign w:val="center"/>
                </w:tcPr>
                <w:p w14:paraId="0A5CB6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经市政管网排入昌平污水处理厂</w:t>
                  </w:r>
                </w:p>
              </w:tc>
              <w:tc>
                <w:tcPr>
                  <w:tcW w:w="999" w:type="dxa"/>
                  <w:tcBorders>
                    <w:tl2br w:val="nil"/>
                    <w:tr2bl w:val="nil"/>
                  </w:tcBorders>
                  <w:vAlign w:val="center"/>
                </w:tcPr>
                <w:p w14:paraId="07E062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间断排放，排放期间流量不稳定且无规律，但不属于冲击型排放</w:t>
                  </w:r>
                </w:p>
              </w:tc>
              <w:tc>
                <w:tcPr>
                  <w:tcW w:w="639" w:type="dxa"/>
                  <w:tcBorders>
                    <w:tl2br w:val="nil"/>
                    <w:tr2bl w:val="nil"/>
                  </w:tcBorders>
                  <w:vAlign w:val="center"/>
                </w:tcPr>
                <w:p w14:paraId="0950B6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676" w:type="dxa"/>
                  <w:tcBorders>
                    <w:tl2br w:val="nil"/>
                    <w:tr2bl w:val="nil"/>
                  </w:tcBorders>
                  <w:vAlign w:val="center"/>
                </w:tcPr>
                <w:p w14:paraId="5F270E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一级强化</w:t>
                  </w:r>
                </w:p>
              </w:tc>
              <w:tc>
                <w:tcPr>
                  <w:tcW w:w="863" w:type="dxa"/>
                  <w:tcBorders>
                    <w:tl2br w:val="nil"/>
                    <w:tr2bl w:val="nil"/>
                  </w:tcBorders>
                  <w:vAlign w:val="center"/>
                </w:tcPr>
                <w:p w14:paraId="3AB944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化粪池+污水处理（格栅+沉淀+消毒）</w:t>
                  </w:r>
                </w:p>
              </w:tc>
              <w:tc>
                <w:tcPr>
                  <w:tcW w:w="604" w:type="dxa"/>
                  <w:tcBorders>
                    <w:tl2br w:val="nil"/>
                    <w:tr2bl w:val="nil"/>
                  </w:tcBorders>
                  <w:vAlign w:val="center"/>
                </w:tcPr>
                <w:p w14:paraId="306EC8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DW</w:t>
                  </w:r>
                </w:p>
                <w:p w14:paraId="5483BB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001</w:t>
                  </w:r>
                </w:p>
              </w:tc>
              <w:tc>
                <w:tcPr>
                  <w:tcW w:w="714" w:type="dxa"/>
                  <w:tcBorders>
                    <w:tl2br w:val="nil"/>
                    <w:tr2bl w:val="nil"/>
                  </w:tcBorders>
                  <w:vAlign w:val="center"/>
                </w:tcPr>
                <w:p w14:paraId="6DD7A2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FE"/>
                  </w:r>
                  <w:r>
                    <w:rPr>
                      <w:rFonts w:hint="eastAsia" w:cs="Times New Roman"/>
                      <w:color w:val="000000" w:themeColor="text1"/>
                      <w:sz w:val="18"/>
                      <w:szCs w:val="18"/>
                      <w:highlight w:val="none"/>
                      <w:vertAlign w:val="baseline"/>
                      <w:lang w:val="en-US" w:eastAsia="zh-CN"/>
                      <w14:textFill>
                        <w14:solidFill>
                          <w14:schemeClr w14:val="tx1"/>
                        </w14:solidFill>
                      </w14:textFill>
                    </w:rPr>
                    <w:t>是</w:t>
                  </w:r>
                </w:p>
                <w:p w14:paraId="1A78AC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否</w:t>
                  </w:r>
                </w:p>
              </w:tc>
              <w:tc>
                <w:tcPr>
                  <w:tcW w:w="1336" w:type="dxa"/>
                  <w:tcBorders>
                    <w:tl2br w:val="nil"/>
                    <w:tr2bl w:val="nil"/>
                  </w:tcBorders>
                  <w:vAlign w:val="center"/>
                </w:tcPr>
                <w:p w14:paraId="0CABF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FE"/>
                  </w:r>
                  <w:r>
                    <w:rPr>
                      <w:rFonts w:hint="eastAsia" w:cs="Times New Roman"/>
                      <w:color w:val="000000" w:themeColor="text1"/>
                      <w:sz w:val="18"/>
                      <w:szCs w:val="18"/>
                      <w:highlight w:val="none"/>
                      <w:vertAlign w:val="baseline"/>
                      <w:lang w:val="en-US" w:eastAsia="zh-CN"/>
                      <w14:textFill>
                        <w14:solidFill>
                          <w14:schemeClr w14:val="tx1"/>
                        </w14:solidFill>
                      </w14:textFill>
                    </w:rPr>
                    <w:t>企业总排口</w:t>
                  </w:r>
                </w:p>
                <w:p w14:paraId="349B05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雨水排放口</w:t>
                  </w:r>
                </w:p>
                <w:p w14:paraId="14DEB0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清净下水排放口</w:t>
                  </w:r>
                </w:p>
                <w:p w14:paraId="771C61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温排水排放口</w:t>
                  </w:r>
                </w:p>
                <w:p w14:paraId="44627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车间或车间处理设施排放</w:t>
                  </w:r>
                </w:p>
              </w:tc>
            </w:tr>
            <w:tr w14:paraId="52CA97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dxa"/>
                  <w:tcBorders>
                    <w:tl2br w:val="nil"/>
                    <w:tr2bl w:val="nil"/>
                  </w:tcBorders>
                  <w:shd w:val="clear" w:color="auto" w:fill="auto"/>
                  <w:vAlign w:val="center"/>
                </w:tcPr>
                <w:p w14:paraId="2D342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kern w:val="2"/>
                      <w:sz w:val="18"/>
                      <w:szCs w:val="18"/>
                      <w:highlight w:val="none"/>
                      <w:vertAlign w:val="baseline"/>
                      <w:lang w:val="en-US" w:eastAsia="zh-CN" w:bidi="ar-SA"/>
                      <w14:textFill>
                        <w14:solidFill>
                          <w14:schemeClr w14:val="tx1"/>
                        </w14:solidFill>
                      </w14:textFill>
                    </w:rPr>
                    <w:t>2</w:t>
                  </w:r>
                </w:p>
              </w:tc>
              <w:tc>
                <w:tcPr>
                  <w:tcW w:w="687" w:type="dxa"/>
                  <w:tcBorders>
                    <w:tl2br w:val="nil"/>
                    <w:tr2bl w:val="nil"/>
                  </w:tcBorders>
                  <w:shd w:val="clear" w:color="auto" w:fill="auto"/>
                  <w:vAlign w:val="center"/>
                </w:tcPr>
                <w:p w14:paraId="161AD3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9号楼医疗废水</w:t>
                  </w:r>
                </w:p>
              </w:tc>
              <w:tc>
                <w:tcPr>
                  <w:tcW w:w="926" w:type="dxa"/>
                  <w:tcBorders>
                    <w:tl2br w:val="nil"/>
                    <w:tr2bl w:val="nil"/>
                  </w:tcBorders>
                  <w:shd w:val="clear" w:color="auto" w:fill="auto"/>
                  <w:vAlign w:val="center"/>
                </w:tcPr>
                <w:p w14:paraId="517880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粪大肠菌群数、COD、BOD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、NH</w:t>
                  </w:r>
                  <w:r>
                    <w:rPr>
                      <w:rFonts w:hint="eastAsia" w:cs="Times New Roman"/>
                      <w:color w:val="000000" w:themeColor="text1"/>
                      <w:sz w:val="18"/>
                      <w:szCs w:val="18"/>
                      <w:highlight w:val="none"/>
                      <w:vertAlign w:val="subscript"/>
                      <w:lang w:val="en-US" w:eastAsia="zh-CN"/>
                      <w14:textFill>
                        <w14:solidFill>
                          <w14:schemeClr w14:val="tx1"/>
                        </w14:solidFill>
                      </w14:textFill>
                    </w:rPr>
                    <w:t>3</w:t>
                  </w:r>
                  <w:r>
                    <w:rPr>
                      <w:rFonts w:hint="eastAsia" w:cs="Times New Roman"/>
                      <w:color w:val="000000" w:themeColor="text1"/>
                      <w:sz w:val="18"/>
                      <w:szCs w:val="18"/>
                      <w:highlight w:val="none"/>
                      <w:vertAlign w:val="baseline"/>
                      <w:lang w:val="en-US" w:eastAsia="zh-CN"/>
                      <w14:textFill>
                        <w14:solidFill>
                          <w14:schemeClr w14:val="tx1"/>
                        </w14:solidFill>
                      </w14:textFill>
                    </w:rPr>
                    <w:t>-N、pH值、SS、总余氯</w:t>
                  </w:r>
                </w:p>
              </w:tc>
              <w:tc>
                <w:tcPr>
                  <w:tcW w:w="878" w:type="dxa"/>
                  <w:tcBorders>
                    <w:tl2br w:val="nil"/>
                    <w:tr2bl w:val="nil"/>
                  </w:tcBorders>
                  <w:shd w:val="clear" w:color="auto" w:fill="auto"/>
                  <w:vAlign w:val="center"/>
                </w:tcPr>
                <w:p w14:paraId="48E22A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经市政管网排入昌平污水处理厂</w:t>
                  </w:r>
                </w:p>
              </w:tc>
              <w:tc>
                <w:tcPr>
                  <w:tcW w:w="999" w:type="dxa"/>
                  <w:tcBorders>
                    <w:tl2br w:val="nil"/>
                    <w:tr2bl w:val="nil"/>
                  </w:tcBorders>
                  <w:shd w:val="clear" w:color="auto" w:fill="auto"/>
                  <w:vAlign w:val="center"/>
                </w:tcPr>
                <w:p w14:paraId="34991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间断排放，排放期间流量不稳定且无规律，但不属于冲击型排放</w:t>
                  </w:r>
                </w:p>
              </w:tc>
              <w:tc>
                <w:tcPr>
                  <w:tcW w:w="639" w:type="dxa"/>
                  <w:tcBorders>
                    <w:tl2br w:val="nil"/>
                    <w:tr2bl w:val="nil"/>
                  </w:tcBorders>
                  <w:shd w:val="clear" w:color="auto" w:fill="auto"/>
                  <w:vAlign w:val="center"/>
                </w:tcPr>
                <w:p w14:paraId="3F46FD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676" w:type="dxa"/>
                  <w:tcBorders>
                    <w:tl2br w:val="nil"/>
                    <w:tr2bl w:val="nil"/>
                  </w:tcBorders>
                  <w:shd w:val="clear" w:color="auto" w:fill="auto"/>
                  <w:vAlign w:val="center"/>
                </w:tcPr>
                <w:p w14:paraId="78E6EB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一级强化</w:t>
                  </w:r>
                </w:p>
              </w:tc>
              <w:tc>
                <w:tcPr>
                  <w:tcW w:w="863" w:type="dxa"/>
                  <w:tcBorders>
                    <w:tl2br w:val="nil"/>
                    <w:tr2bl w:val="nil"/>
                  </w:tcBorders>
                  <w:shd w:val="clear" w:color="auto" w:fill="auto"/>
                  <w:vAlign w:val="center"/>
                </w:tcPr>
                <w:p w14:paraId="6C5FB7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污水处理（过滤+消毒）</w:t>
                  </w:r>
                </w:p>
              </w:tc>
              <w:tc>
                <w:tcPr>
                  <w:tcW w:w="604" w:type="dxa"/>
                  <w:tcBorders>
                    <w:tl2br w:val="nil"/>
                    <w:tr2bl w:val="nil"/>
                  </w:tcBorders>
                  <w:shd w:val="clear" w:color="auto" w:fill="auto"/>
                  <w:vAlign w:val="center"/>
                </w:tcPr>
                <w:p w14:paraId="6B46C5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DW</w:t>
                  </w:r>
                </w:p>
                <w:p w14:paraId="258ACD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002</w:t>
                  </w:r>
                </w:p>
              </w:tc>
              <w:tc>
                <w:tcPr>
                  <w:tcW w:w="714" w:type="dxa"/>
                  <w:tcBorders>
                    <w:tl2br w:val="nil"/>
                    <w:tr2bl w:val="nil"/>
                  </w:tcBorders>
                  <w:shd w:val="clear" w:color="auto" w:fill="auto"/>
                  <w:vAlign w:val="center"/>
                </w:tcPr>
                <w:p w14:paraId="69EF1D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FE"/>
                  </w:r>
                  <w:r>
                    <w:rPr>
                      <w:rFonts w:hint="eastAsia" w:cs="Times New Roman"/>
                      <w:color w:val="000000" w:themeColor="text1"/>
                      <w:sz w:val="18"/>
                      <w:szCs w:val="18"/>
                      <w:highlight w:val="none"/>
                      <w:vertAlign w:val="baseline"/>
                      <w:lang w:val="en-US" w:eastAsia="zh-CN"/>
                      <w14:textFill>
                        <w14:solidFill>
                          <w14:schemeClr w14:val="tx1"/>
                        </w14:solidFill>
                      </w14:textFill>
                    </w:rPr>
                    <w:t>是</w:t>
                  </w:r>
                </w:p>
                <w:p w14:paraId="612AA4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否</w:t>
                  </w:r>
                </w:p>
              </w:tc>
              <w:tc>
                <w:tcPr>
                  <w:tcW w:w="1336" w:type="dxa"/>
                  <w:tcBorders>
                    <w:tl2br w:val="nil"/>
                    <w:tr2bl w:val="nil"/>
                  </w:tcBorders>
                  <w:shd w:val="clear" w:color="auto" w:fill="auto"/>
                  <w:vAlign w:val="center"/>
                </w:tcPr>
                <w:p w14:paraId="0B8441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FE"/>
                  </w:r>
                  <w:r>
                    <w:rPr>
                      <w:rFonts w:hint="eastAsia" w:cs="Times New Roman"/>
                      <w:color w:val="000000" w:themeColor="text1"/>
                      <w:sz w:val="18"/>
                      <w:szCs w:val="18"/>
                      <w:highlight w:val="none"/>
                      <w:vertAlign w:val="baseline"/>
                      <w:lang w:val="en-US" w:eastAsia="zh-CN"/>
                      <w14:textFill>
                        <w14:solidFill>
                          <w14:schemeClr w14:val="tx1"/>
                        </w14:solidFill>
                      </w14:textFill>
                    </w:rPr>
                    <w:t>企业总排口</w:t>
                  </w:r>
                </w:p>
                <w:p w14:paraId="11B3C8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雨水排放口</w:t>
                  </w:r>
                </w:p>
                <w:p w14:paraId="4B1F4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清净下水排放口</w:t>
                  </w:r>
                </w:p>
                <w:p w14:paraId="4B28F4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温排水排放口</w:t>
                  </w:r>
                </w:p>
                <w:p w14:paraId="4DEF6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sym w:font="Wingdings" w:char="00A8"/>
                  </w:r>
                  <w:r>
                    <w:rPr>
                      <w:rFonts w:hint="eastAsia" w:cs="Times New Roman"/>
                      <w:color w:val="000000" w:themeColor="text1"/>
                      <w:sz w:val="18"/>
                      <w:szCs w:val="18"/>
                      <w:highlight w:val="none"/>
                      <w:vertAlign w:val="baseline"/>
                      <w:lang w:val="en-US" w:eastAsia="zh-CN"/>
                      <w14:textFill>
                        <w14:solidFill>
                          <w14:schemeClr w14:val="tx1"/>
                        </w14:solidFill>
                      </w14:textFill>
                    </w:rPr>
                    <w:t>车间或车间处理设施排放</w:t>
                  </w:r>
                </w:p>
              </w:tc>
            </w:tr>
          </w:tbl>
          <w:p w14:paraId="35DDE8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废水间接排放口基本情况详见下表。</w:t>
            </w:r>
          </w:p>
          <w:p w14:paraId="494033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表4-8 废水间接排放口基本情况表</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396"/>
              <w:gridCol w:w="786"/>
              <w:gridCol w:w="1695"/>
              <w:gridCol w:w="1521"/>
              <w:gridCol w:w="396"/>
              <w:gridCol w:w="981"/>
              <w:gridCol w:w="396"/>
              <w:gridCol w:w="576"/>
              <w:gridCol w:w="396"/>
              <w:gridCol w:w="835"/>
              <w:gridCol w:w="966"/>
            </w:tblGrid>
            <w:tr w14:paraId="31B33A6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6" w:type="dxa"/>
                  <w:vMerge w:val="restart"/>
                  <w:tcBorders>
                    <w:tl2br w:val="nil"/>
                    <w:tr2bl w:val="nil"/>
                  </w:tcBorders>
                  <w:vAlign w:val="center"/>
                </w:tcPr>
                <w:p w14:paraId="4FB778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序号</w:t>
                  </w:r>
                </w:p>
              </w:tc>
              <w:tc>
                <w:tcPr>
                  <w:tcW w:w="786" w:type="dxa"/>
                  <w:vMerge w:val="restart"/>
                  <w:tcBorders>
                    <w:tl2br w:val="nil"/>
                    <w:tr2bl w:val="nil"/>
                  </w:tcBorders>
                  <w:vAlign w:val="center"/>
                </w:tcPr>
                <w:p w14:paraId="577C35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排放口编号</w:t>
                  </w:r>
                </w:p>
              </w:tc>
              <w:tc>
                <w:tcPr>
                  <w:tcW w:w="3216" w:type="dxa"/>
                  <w:gridSpan w:val="2"/>
                  <w:tcBorders>
                    <w:tl2br w:val="nil"/>
                    <w:tr2bl w:val="nil"/>
                  </w:tcBorders>
                  <w:vAlign w:val="center"/>
                </w:tcPr>
                <w:p w14:paraId="68D280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排放口地理坐标</w:t>
                  </w:r>
                </w:p>
              </w:tc>
              <w:tc>
                <w:tcPr>
                  <w:tcW w:w="396" w:type="dxa"/>
                  <w:vMerge w:val="restart"/>
                  <w:tcBorders>
                    <w:tl2br w:val="nil"/>
                    <w:tr2bl w:val="nil"/>
                  </w:tcBorders>
                  <w:vAlign w:val="center"/>
                </w:tcPr>
                <w:p w14:paraId="2FB717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排放口类型</w:t>
                  </w:r>
                </w:p>
              </w:tc>
              <w:tc>
                <w:tcPr>
                  <w:tcW w:w="981" w:type="dxa"/>
                  <w:vMerge w:val="restart"/>
                  <w:tcBorders>
                    <w:tl2br w:val="nil"/>
                    <w:tr2bl w:val="nil"/>
                  </w:tcBorders>
                  <w:vAlign w:val="center"/>
                </w:tcPr>
                <w:p w14:paraId="3F1447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废水排放量t/a</w:t>
                  </w:r>
                </w:p>
              </w:tc>
              <w:tc>
                <w:tcPr>
                  <w:tcW w:w="396" w:type="dxa"/>
                  <w:vMerge w:val="restart"/>
                  <w:tcBorders>
                    <w:tl2br w:val="nil"/>
                    <w:tr2bl w:val="nil"/>
                  </w:tcBorders>
                  <w:vAlign w:val="center"/>
                </w:tcPr>
                <w:p w14:paraId="12FBB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排放去向</w:t>
                  </w:r>
                </w:p>
              </w:tc>
              <w:tc>
                <w:tcPr>
                  <w:tcW w:w="576" w:type="dxa"/>
                  <w:vMerge w:val="restart"/>
                  <w:tcBorders>
                    <w:tl2br w:val="nil"/>
                    <w:tr2bl w:val="nil"/>
                  </w:tcBorders>
                  <w:vAlign w:val="center"/>
                </w:tcPr>
                <w:p w14:paraId="5E61C1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排放规律</w:t>
                  </w:r>
                </w:p>
              </w:tc>
              <w:tc>
                <w:tcPr>
                  <w:tcW w:w="2197" w:type="dxa"/>
                  <w:gridSpan w:val="3"/>
                  <w:tcBorders>
                    <w:tl2br w:val="nil"/>
                    <w:tr2bl w:val="nil"/>
                  </w:tcBorders>
                  <w:vAlign w:val="center"/>
                </w:tcPr>
                <w:p w14:paraId="5063ED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收纳污水处理厂信息</w:t>
                  </w:r>
                </w:p>
              </w:tc>
            </w:tr>
            <w:tr w14:paraId="1F9A9396">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6" w:type="dxa"/>
                  <w:vMerge w:val="continue"/>
                  <w:tcBorders>
                    <w:tl2br w:val="nil"/>
                    <w:tr2bl w:val="nil"/>
                  </w:tcBorders>
                  <w:vAlign w:val="center"/>
                </w:tcPr>
                <w:p w14:paraId="54B61E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786" w:type="dxa"/>
                  <w:vMerge w:val="continue"/>
                  <w:tcBorders>
                    <w:tl2br w:val="nil"/>
                    <w:tr2bl w:val="nil"/>
                  </w:tcBorders>
                  <w:vAlign w:val="center"/>
                </w:tcPr>
                <w:p w14:paraId="6D6095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1695" w:type="dxa"/>
                  <w:tcBorders>
                    <w:tl2br w:val="nil"/>
                    <w:tr2bl w:val="nil"/>
                  </w:tcBorders>
                  <w:vAlign w:val="center"/>
                </w:tcPr>
                <w:p w14:paraId="2063AA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经度</w:t>
                  </w:r>
                </w:p>
              </w:tc>
              <w:tc>
                <w:tcPr>
                  <w:tcW w:w="1521" w:type="dxa"/>
                  <w:tcBorders>
                    <w:tl2br w:val="nil"/>
                    <w:tr2bl w:val="nil"/>
                  </w:tcBorders>
                  <w:vAlign w:val="center"/>
                </w:tcPr>
                <w:p w14:paraId="481ECE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纬度</w:t>
                  </w:r>
                </w:p>
              </w:tc>
              <w:tc>
                <w:tcPr>
                  <w:tcW w:w="396" w:type="dxa"/>
                  <w:vMerge w:val="continue"/>
                  <w:tcBorders>
                    <w:tl2br w:val="nil"/>
                    <w:tr2bl w:val="nil"/>
                  </w:tcBorders>
                  <w:vAlign w:val="center"/>
                </w:tcPr>
                <w:p w14:paraId="102242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981" w:type="dxa"/>
                  <w:vMerge w:val="continue"/>
                  <w:tcBorders>
                    <w:tl2br w:val="nil"/>
                    <w:tr2bl w:val="nil"/>
                  </w:tcBorders>
                  <w:vAlign w:val="center"/>
                </w:tcPr>
                <w:p w14:paraId="179516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p>
              </w:tc>
              <w:tc>
                <w:tcPr>
                  <w:tcW w:w="396" w:type="dxa"/>
                  <w:vMerge w:val="continue"/>
                  <w:tcBorders>
                    <w:tl2br w:val="nil"/>
                    <w:tr2bl w:val="nil"/>
                  </w:tcBorders>
                  <w:vAlign w:val="center"/>
                </w:tcPr>
                <w:p w14:paraId="715C8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p>
              </w:tc>
              <w:tc>
                <w:tcPr>
                  <w:tcW w:w="576" w:type="dxa"/>
                  <w:vMerge w:val="continue"/>
                  <w:tcBorders>
                    <w:tl2br w:val="nil"/>
                    <w:tr2bl w:val="nil"/>
                  </w:tcBorders>
                  <w:vAlign w:val="center"/>
                </w:tcPr>
                <w:p w14:paraId="3E4FA5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p>
              </w:tc>
              <w:tc>
                <w:tcPr>
                  <w:tcW w:w="396" w:type="dxa"/>
                  <w:tcBorders>
                    <w:tl2br w:val="nil"/>
                    <w:tr2bl w:val="nil"/>
                  </w:tcBorders>
                  <w:vAlign w:val="center"/>
                </w:tcPr>
                <w:p w14:paraId="327422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名称</w:t>
                  </w:r>
                </w:p>
              </w:tc>
              <w:tc>
                <w:tcPr>
                  <w:tcW w:w="835" w:type="dxa"/>
                  <w:tcBorders>
                    <w:tl2br w:val="nil"/>
                    <w:tr2bl w:val="nil"/>
                  </w:tcBorders>
                  <w:vAlign w:val="center"/>
                </w:tcPr>
                <w:p w14:paraId="2CA256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污染物种类</w:t>
                  </w:r>
                </w:p>
              </w:tc>
              <w:tc>
                <w:tcPr>
                  <w:tcW w:w="966" w:type="dxa"/>
                  <w:tcBorders>
                    <w:tl2br w:val="nil"/>
                    <w:tr2bl w:val="nil"/>
                  </w:tcBorders>
                  <w:vAlign w:val="center"/>
                </w:tcPr>
                <w:p w14:paraId="701ED1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国家或地方污染物排放标准浓度限值/（mg/L）</w:t>
                  </w:r>
                </w:p>
              </w:tc>
            </w:tr>
            <w:tr w14:paraId="49281D1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6" w:type="dxa"/>
                  <w:tcBorders>
                    <w:tl2br w:val="nil"/>
                    <w:tr2bl w:val="nil"/>
                  </w:tcBorders>
                  <w:vAlign w:val="center"/>
                </w:tcPr>
                <w:p w14:paraId="321A2C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w:t>
                  </w:r>
                </w:p>
              </w:tc>
              <w:tc>
                <w:tcPr>
                  <w:tcW w:w="786" w:type="dxa"/>
                  <w:tcBorders>
                    <w:tl2br w:val="nil"/>
                    <w:tr2bl w:val="nil"/>
                  </w:tcBorders>
                  <w:vAlign w:val="center"/>
                </w:tcPr>
                <w:p w14:paraId="7A7CC5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DW001</w:t>
                  </w:r>
                </w:p>
              </w:tc>
              <w:tc>
                <w:tcPr>
                  <w:tcW w:w="1695" w:type="dxa"/>
                  <w:tcBorders>
                    <w:tl2br w:val="nil"/>
                    <w:tr2bl w:val="nil"/>
                  </w:tcBorders>
                  <w:vAlign w:val="center"/>
                </w:tcPr>
                <w:p w14:paraId="1BED1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g116°16'30.185"</w:t>
                  </w:r>
                </w:p>
              </w:tc>
              <w:tc>
                <w:tcPr>
                  <w:tcW w:w="1521" w:type="dxa"/>
                  <w:tcBorders>
                    <w:tl2br w:val="nil"/>
                    <w:tr2bl w:val="nil"/>
                  </w:tcBorders>
                  <w:vAlign w:val="center"/>
                </w:tcPr>
                <w:p w14:paraId="1A806E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40°12'25.091"</w:t>
                  </w:r>
                </w:p>
              </w:tc>
              <w:tc>
                <w:tcPr>
                  <w:tcW w:w="396" w:type="dxa"/>
                  <w:tcBorders>
                    <w:tl2br w:val="nil"/>
                    <w:tr2bl w:val="nil"/>
                  </w:tcBorders>
                  <w:vAlign w:val="center"/>
                </w:tcPr>
                <w:p w14:paraId="2481A5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一般排放口</w:t>
                  </w:r>
                </w:p>
              </w:tc>
              <w:tc>
                <w:tcPr>
                  <w:tcW w:w="981" w:type="dxa"/>
                  <w:tcBorders>
                    <w:tl2br w:val="nil"/>
                    <w:tr2bl w:val="nil"/>
                  </w:tcBorders>
                  <w:vAlign w:val="center"/>
                </w:tcPr>
                <w:p w14:paraId="451C32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20826.405</w:t>
                  </w:r>
                </w:p>
              </w:tc>
              <w:tc>
                <w:tcPr>
                  <w:tcW w:w="396" w:type="dxa"/>
                  <w:tcBorders>
                    <w:tl2br w:val="nil"/>
                    <w:tr2bl w:val="nil"/>
                  </w:tcBorders>
                  <w:vAlign w:val="center"/>
                </w:tcPr>
                <w:p w14:paraId="5594A6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昌平污水处理厂</w:t>
                  </w:r>
                </w:p>
              </w:tc>
              <w:tc>
                <w:tcPr>
                  <w:tcW w:w="576" w:type="dxa"/>
                  <w:tcBorders>
                    <w:tl2br w:val="nil"/>
                    <w:tr2bl w:val="nil"/>
                  </w:tcBorders>
                  <w:vAlign w:val="center"/>
                </w:tcPr>
                <w:p w14:paraId="5A2007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间断排放，排放期间流量不稳定且无规律，但不属于冲击型排放</w:t>
                  </w:r>
                </w:p>
              </w:tc>
              <w:tc>
                <w:tcPr>
                  <w:tcW w:w="396" w:type="dxa"/>
                  <w:tcBorders>
                    <w:tl2br w:val="nil"/>
                    <w:tr2bl w:val="nil"/>
                  </w:tcBorders>
                  <w:vAlign w:val="center"/>
                </w:tcPr>
                <w:p w14:paraId="226481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昌平污水处理厂</w:t>
                  </w:r>
                </w:p>
              </w:tc>
              <w:tc>
                <w:tcPr>
                  <w:tcW w:w="835" w:type="dxa"/>
                  <w:tcBorders>
                    <w:tl2br w:val="nil"/>
                    <w:tr2bl w:val="nil"/>
                  </w:tcBorders>
                  <w:vAlign w:val="center"/>
                </w:tcPr>
                <w:p w14:paraId="46FC3D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pH值、COD、BOD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、SS、氨氮、粪大肠菌群等</w:t>
                  </w:r>
                </w:p>
              </w:tc>
              <w:tc>
                <w:tcPr>
                  <w:tcW w:w="966" w:type="dxa"/>
                  <w:tcBorders>
                    <w:tl2br w:val="nil"/>
                    <w:tr2bl w:val="nil"/>
                  </w:tcBorders>
                  <w:vAlign w:val="center"/>
                </w:tcPr>
                <w:p w14:paraId="6CAE77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pH值：6-9（无量纲）</w:t>
                  </w:r>
                </w:p>
                <w:p w14:paraId="631022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COD：30</w:t>
                  </w:r>
                </w:p>
                <w:p w14:paraId="2EBA79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：6</w:t>
                  </w:r>
                </w:p>
                <w:p w14:paraId="1891FF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SS：5</w:t>
                  </w:r>
                </w:p>
                <w:p w14:paraId="6A8B91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氨氮：1.5（2.5）</w:t>
                  </w:r>
                </w:p>
              </w:tc>
            </w:tr>
            <w:tr w14:paraId="5BF41884">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6" w:type="dxa"/>
                  <w:tcBorders>
                    <w:tl2br w:val="nil"/>
                    <w:tr2bl w:val="nil"/>
                  </w:tcBorders>
                  <w:shd w:val="clear" w:color="auto" w:fill="auto"/>
                  <w:vAlign w:val="center"/>
                </w:tcPr>
                <w:p w14:paraId="6B5968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kern w:val="2"/>
                      <w:sz w:val="18"/>
                      <w:szCs w:val="18"/>
                      <w:highlight w:val="none"/>
                      <w:vertAlign w:val="baseline"/>
                      <w:lang w:val="en-US" w:eastAsia="zh-CN" w:bidi="ar-SA"/>
                      <w14:textFill>
                        <w14:solidFill>
                          <w14:schemeClr w14:val="tx1"/>
                        </w14:solidFill>
                      </w14:textFill>
                    </w:rPr>
                    <w:t>2</w:t>
                  </w:r>
                </w:p>
              </w:tc>
              <w:tc>
                <w:tcPr>
                  <w:tcW w:w="786" w:type="dxa"/>
                  <w:tcBorders>
                    <w:tl2br w:val="nil"/>
                    <w:tr2bl w:val="nil"/>
                  </w:tcBorders>
                  <w:shd w:val="clear" w:color="auto" w:fill="auto"/>
                  <w:vAlign w:val="center"/>
                </w:tcPr>
                <w:p w14:paraId="2484C6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DW002</w:t>
                  </w:r>
                </w:p>
              </w:tc>
              <w:tc>
                <w:tcPr>
                  <w:tcW w:w="1695" w:type="dxa"/>
                  <w:tcBorders>
                    <w:tl2br w:val="nil"/>
                    <w:tr2bl w:val="nil"/>
                  </w:tcBorders>
                  <w:shd w:val="clear" w:color="auto" w:fill="auto"/>
                  <w:vAlign w:val="center"/>
                </w:tcPr>
                <w:p w14:paraId="12BCE4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116°21′50.989″</w:t>
                  </w:r>
                </w:p>
              </w:tc>
              <w:tc>
                <w:tcPr>
                  <w:tcW w:w="1521" w:type="dxa"/>
                  <w:tcBorders>
                    <w:tl2br w:val="nil"/>
                    <w:tr2bl w:val="nil"/>
                  </w:tcBorders>
                  <w:shd w:val="clear" w:color="auto" w:fill="auto"/>
                  <w:vAlign w:val="center"/>
                </w:tcPr>
                <w:p w14:paraId="0005CC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40°1′59.624″</w:t>
                  </w:r>
                </w:p>
              </w:tc>
              <w:tc>
                <w:tcPr>
                  <w:tcW w:w="396" w:type="dxa"/>
                  <w:tcBorders>
                    <w:tl2br w:val="nil"/>
                    <w:tr2bl w:val="nil"/>
                  </w:tcBorders>
                  <w:shd w:val="clear" w:color="auto" w:fill="auto"/>
                  <w:vAlign w:val="center"/>
                </w:tcPr>
                <w:p w14:paraId="0C4ACF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一般排放口</w:t>
                  </w:r>
                </w:p>
              </w:tc>
              <w:tc>
                <w:tcPr>
                  <w:tcW w:w="981" w:type="dxa"/>
                  <w:tcBorders>
                    <w:tl2br w:val="nil"/>
                    <w:tr2bl w:val="nil"/>
                  </w:tcBorders>
                  <w:shd w:val="clear" w:color="auto" w:fill="auto"/>
                  <w:vAlign w:val="center"/>
                </w:tcPr>
                <w:p w14:paraId="731650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325.17</w:t>
                  </w:r>
                </w:p>
              </w:tc>
              <w:tc>
                <w:tcPr>
                  <w:tcW w:w="396" w:type="dxa"/>
                  <w:tcBorders>
                    <w:tl2br w:val="nil"/>
                    <w:tr2bl w:val="nil"/>
                  </w:tcBorders>
                  <w:shd w:val="clear" w:color="auto" w:fill="auto"/>
                  <w:vAlign w:val="center"/>
                </w:tcPr>
                <w:p w14:paraId="62A7F4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昌平污水处理厂</w:t>
                  </w:r>
                </w:p>
              </w:tc>
              <w:tc>
                <w:tcPr>
                  <w:tcW w:w="576" w:type="dxa"/>
                  <w:tcBorders>
                    <w:tl2br w:val="nil"/>
                    <w:tr2bl w:val="nil"/>
                  </w:tcBorders>
                  <w:shd w:val="clear" w:color="auto" w:fill="auto"/>
                  <w:vAlign w:val="center"/>
                </w:tcPr>
                <w:p w14:paraId="64A245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间断排放，排放期间流量不稳定且无规律，但不属于冲击型排放</w:t>
                  </w:r>
                </w:p>
              </w:tc>
              <w:tc>
                <w:tcPr>
                  <w:tcW w:w="396" w:type="dxa"/>
                  <w:tcBorders>
                    <w:tl2br w:val="nil"/>
                    <w:tr2bl w:val="nil"/>
                  </w:tcBorders>
                  <w:shd w:val="clear" w:color="auto" w:fill="auto"/>
                  <w:vAlign w:val="center"/>
                </w:tcPr>
                <w:p w14:paraId="44B600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昌平污水处理厂</w:t>
                  </w:r>
                </w:p>
              </w:tc>
              <w:tc>
                <w:tcPr>
                  <w:tcW w:w="835" w:type="dxa"/>
                  <w:tcBorders>
                    <w:tl2br w:val="nil"/>
                    <w:tr2bl w:val="nil"/>
                  </w:tcBorders>
                  <w:shd w:val="clear" w:color="auto" w:fill="auto"/>
                  <w:vAlign w:val="center"/>
                </w:tcPr>
                <w:p w14:paraId="6752DC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pH值、COD、BOD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、SS、氨氮、粪大肠菌群等</w:t>
                  </w:r>
                </w:p>
              </w:tc>
              <w:tc>
                <w:tcPr>
                  <w:tcW w:w="966" w:type="dxa"/>
                  <w:tcBorders>
                    <w:tl2br w:val="nil"/>
                    <w:tr2bl w:val="nil"/>
                  </w:tcBorders>
                  <w:shd w:val="clear" w:color="auto" w:fill="auto"/>
                  <w:vAlign w:val="center"/>
                </w:tcPr>
                <w:p w14:paraId="7756AC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pH值：6-9（无量纲）</w:t>
                  </w:r>
                </w:p>
                <w:p w14:paraId="069DE0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COD：30</w:t>
                  </w:r>
                </w:p>
                <w:p w14:paraId="3FB927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BOD</w:t>
                  </w:r>
                  <w:r>
                    <w:rPr>
                      <w:rFonts w:hint="eastAsia" w:cs="Times New Roman"/>
                      <w:color w:val="000000" w:themeColor="text1"/>
                      <w:sz w:val="18"/>
                      <w:szCs w:val="18"/>
                      <w:highlight w:val="none"/>
                      <w:vertAlign w:val="subscript"/>
                      <w:lang w:val="en-US" w:eastAsia="zh-CN"/>
                      <w14:textFill>
                        <w14:solidFill>
                          <w14:schemeClr w14:val="tx1"/>
                        </w14:solidFill>
                      </w14:textFill>
                    </w:rPr>
                    <w:t>5</w:t>
                  </w:r>
                  <w:r>
                    <w:rPr>
                      <w:rFonts w:hint="eastAsia" w:cs="Times New Roman"/>
                      <w:color w:val="000000" w:themeColor="text1"/>
                      <w:sz w:val="18"/>
                      <w:szCs w:val="18"/>
                      <w:highlight w:val="none"/>
                      <w:vertAlign w:val="baseline"/>
                      <w:lang w:val="en-US" w:eastAsia="zh-CN"/>
                      <w14:textFill>
                        <w14:solidFill>
                          <w14:schemeClr w14:val="tx1"/>
                        </w14:solidFill>
                      </w14:textFill>
                    </w:rPr>
                    <w:t>：6</w:t>
                  </w:r>
                </w:p>
                <w:p w14:paraId="42FBAD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SS：5</w:t>
                  </w:r>
                </w:p>
                <w:p w14:paraId="3D50F8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氨氮：1.5（2.5）</w:t>
                  </w:r>
                </w:p>
              </w:tc>
            </w:tr>
          </w:tbl>
          <w:p w14:paraId="001DD2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（6）废水排放去向合理性分析</w:t>
            </w:r>
          </w:p>
          <w:p w14:paraId="3D0D11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本项目产生的废水包括门诊废水、病房废水、行政人员废水、卫生清洁排水，均视为医疗污水，废水经“化粪池+污水处理设施”处理后由污水管道排放至市政管网，最终排至昌平污水处理厂。</w:t>
            </w:r>
          </w:p>
          <w:p w14:paraId="276EC2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昌昌平污水处理厂位于昌平区南邵境内，总处理能力为10万m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 xml:space="preserve"> /d，占地面积 8hm</w:t>
            </w:r>
            <w:r>
              <w:rPr>
                <w:rFonts w:hint="eastAsia"/>
                <w:b w:val="0"/>
                <w:bCs w:val="0"/>
                <w:color w:val="000000" w:themeColor="text1"/>
                <w:spacing w:val="0"/>
                <w:sz w:val="24"/>
                <w:highlight w:val="none"/>
                <w:vertAlign w:val="superscript"/>
                <w:lang w:val="en-US" w:eastAsia="zh-CN"/>
                <w14:textFill>
                  <w14:solidFill>
                    <w14:schemeClr w14:val="tx1"/>
                  </w14:solidFill>
                </w14:textFill>
              </w:rPr>
              <w:t>2</w:t>
            </w:r>
            <w:r>
              <w:rPr>
                <w:rFonts w:hint="eastAsia"/>
                <w:b w:val="0"/>
                <w:bCs w:val="0"/>
                <w:color w:val="000000" w:themeColor="text1"/>
                <w:spacing w:val="0"/>
                <w:sz w:val="24"/>
                <w:highlight w:val="none"/>
                <w:lang w:val="en-US" w:eastAsia="zh-CN"/>
                <w14:textFill>
                  <w14:solidFill>
                    <w14:schemeClr w14:val="tx1"/>
                  </w14:solidFill>
                </w14:textFill>
              </w:rPr>
              <w:t>。一期工程于2002年4月开工建设，2003年9月3日建成并投入使用，一期工程设计处理规模为5.4m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/d（包含2009年建成投运的2.0万m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/d再生水系统），处理工艺采用卡鲁塞尔2000式氧化沟工艺，由中节能燕龙(北京)水务有限公司运营。二期工程于2015年4月开工建设，2017年建成投运，设计处理规模为3.0万m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/d，处理工艺为AAO生物处理+连续流砂滤工艺，由北京北控昌祥污水净化有限公司运营。随着区域污水量增加，昌平污水处理厂于2023年12月启动一期工程升级改造，污水处理规模由5.4万m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/d扩至7万m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/d，处理工艺改为“微氧AO+深度处理工艺”，2024年6月通水调试，目前已实现稳定运行。昌平污水处理厂目前一期工程实际废水处理量达3.5~4万m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/d，二期工程实际废水处理量达2.4~2.85万m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/d，总处理废水量约 5.9~6.85万m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/d。根据工程分析结果，本项目废水排放量为21154.455m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/a（单日最大废水排放量63.918m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仅占昌平污水处理厂剩余处理能力的0.2%，废水排放量较小，本项目排放废水的污染物浓度均低于昌平污水处理厂设计进水水质指标，昌平污水处理厂完全有能力接纳本项目废水，废水排放不会对昌平污水处理厂水量造成冲击。根据北京市企业事业单位环境信息公开平台公开数据，2024年3月、6月、9月、12月昌平污水处理厂的出水水质统计见表4-9，各项污染物均满足《城镇污水处理厂水污染物排放标准》（DB11/890-2012）中“表2现有城镇污水处理厂基本控制项目排放限值B标准”，污水处理设施运行稳定。</w:t>
            </w:r>
          </w:p>
          <w:p w14:paraId="276344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bCs/>
                <w:color w:val="000000" w:themeColor="text1"/>
                <w:spacing w:val="-10"/>
                <w:sz w:val="21"/>
                <w:szCs w:val="21"/>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表4-9 昌平污水处理厂出水监测结果</w:t>
            </w:r>
          </w:p>
          <w:tbl>
            <w:tblPr>
              <w:tblStyle w:val="17"/>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1117"/>
              <w:gridCol w:w="1117"/>
              <w:gridCol w:w="1117"/>
              <w:gridCol w:w="1117"/>
              <w:gridCol w:w="1118"/>
              <w:gridCol w:w="1118"/>
              <w:gridCol w:w="1118"/>
            </w:tblGrid>
            <w:tr w14:paraId="0382B9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vMerge w:val="restart"/>
                  <w:tcBorders>
                    <w:tl2br w:val="nil"/>
                    <w:tr2bl w:val="nil"/>
                  </w:tcBorders>
                  <w:vAlign w:val="center"/>
                </w:tcPr>
                <w:p w14:paraId="7FE8B3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监测因子</w:t>
                  </w:r>
                </w:p>
              </w:tc>
              <w:tc>
                <w:tcPr>
                  <w:tcW w:w="1117" w:type="dxa"/>
                  <w:vMerge w:val="restart"/>
                  <w:tcBorders>
                    <w:tl2br w:val="nil"/>
                    <w:tr2bl w:val="nil"/>
                  </w:tcBorders>
                  <w:vAlign w:val="center"/>
                </w:tcPr>
                <w:p w14:paraId="4C5893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单位</w:t>
                  </w:r>
                </w:p>
              </w:tc>
              <w:tc>
                <w:tcPr>
                  <w:tcW w:w="4469" w:type="dxa"/>
                  <w:gridSpan w:val="4"/>
                  <w:tcBorders>
                    <w:tl2br w:val="nil"/>
                    <w:tr2bl w:val="nil"/>
                  </w:tcBorders>
                  <w:vAlign w:val="center"/>
                </w:tcPr>
                <w:p w14:paraId="4B9D60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监测结果</w:t>
                  </w:r>
                </w:p>
              </w:tc>
              <w:tc>
                <w:tcPr>
                  <w:tcW w:w="1118" w:type="dxa"/>
                  <w:vMerge w:val="restart"/>
                  <w:tcBorders>
                    <w:tl2br w:val="nil"/>
                    <w:tr2bl w:val="nil"/>
                  </w:tcBorders>
                  <w:vAlign w:val="center"/>
                </w:tcPr>
                <w:p w14:paraId="6E53FB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标准限值</w:t>
                  </w:r>
                </w:p>
              </w:tc>
              <w:tc>
                <w:tcPr>
                  <w:tcW w:w="1118" w:type="dxa"/>
                  <w:vMerge w:val="restart"/>
                  <w:tcBorders>
                    <w:tl2br w:val="nil"/>
                    <w:tr2bl w:val="nil"/>
                  </w:tcBorders>
                  <w:vAlign w:val="center"/>
                </w:tcPr>
                <w:p w14:paraId="399D2A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达标情况</w:t>
                  </w:r>
                </w:p>
              </w:tc>
            </w:tr>
            <w:tr w14:paraId="378DC0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vMerge w:val="continue"/>
                  <w:tcBorders>
                    <w:tl2br w:val="nil"/>
                    <w:tr2bl w:val="nil"/>
                  </w:tcBorders>
                  <w:vAlign w:val="center"/>
                </w:tcPr>
                <w:p w14:paraId="2BEA7C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1117" w:type="dxa"/>
                  <w:vMerge w:val="continue"/>
                  <w:tcBorders>
                    <w:tl2br w:val="nil"/>
                    <w:tr2bl w:val="nil"/>
                  </w:tcBorders>
                  <w:vAlign w:val="center"/>
                </w:tcPr>
                <w:p w14:paraId="1CD98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1117" w:type="dxa"/>
                  <w:tcBorders>
                    <w:tl2br w:val="nil"/>
                    <w:tr2bl w:val="nil"/>
                  </w:tcBorders>
                  <w:vAlign w:val="center"/>
                </w:tcPr>
                <w:p w14:paraId="06AA00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2024.03</w:t>
                  </w:r>
                </w:p>
              </w:tc>
              <w:tc>
                <w:tcPr>
                  <w:tcW w:w="1117" w:type="dxa"/>
                  <w:tcBorders>
                    <w:tl2br w:val="nil"/>
                    <w:tr2bl w:val="nil"/>
                  </w:tcBorders>
                  <w:vAlign w:val="center"/>
                </w:tcPr>
                <w:p w14:paraId="22EA7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2024.06</w:t>
                  </w:r>
                </w:p>
              </w:tc>
              <w:tc>
                <w:tcPr>
                  <w:tcW w:w="1117" w:type="dxa"/>
                  <w:tcBorders>
                    <w:tl2br w:val="nil"/>
                    <w:tr2bl w:val="nil"/>
                  </w:tcBorders>
                  <w:vAlign w:val="center"/>
                </w:tcPr>
                <w:p w14:paraId="56732C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2024.09</w:t>
                  </w:r>
                </w:p>
              </w:tc>
              <w:tc>
                <w:tcPr>
                  <w:tcW w:w="1118" w:type="dxa"/>
                  <w:tcBorders>
                    <w:tl2br w:val="nil"/>
                    <w:tr2bl w:val="nil"/>
                  </w:tcBorders>
                  <w:vAlign w:val="center"/>
                </w:tcPr>
                <w:p w14:paraId="55FCFA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2024.12</w:t>
                  </w:r>
                </w:p>
              </w:tc>
              <w:tc>
                <w:tcPr>
                  <w:tcW w:w="1118" w:type="dxa"/>
                  <w:vMerge w:val="continue"/>
                  <w:tcBorders>
                    <w:tl2br w:val="nil"/>
                    <w:tr2bl w:val="nil"/>
                  </w:tcBorders>
                  <w:vAlign w:val="center"/>
                </w:tcPr>
                <w:p w14:paraId="5FD4C0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c>
                <w:tcPr>
                  <w:tcW w:w="1118" w:type="dxa"/>
                  <w:vMerge w:val="continue"/>
                  <w:tcBorders>
                    <w:tl2br w:val="nil"/>
                    <w:tr2bl w:val="nil"/>
                  </w:tcBorders>
                  <w:vAlign w:val="center"/>
                </w:tcPr>
                <w:p w14:paraId="0E822E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p>
              </w:tc>
            </w:tr>
            <w:tr w14:paraId="0AFE16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1BB662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pH</w:t>
                  </w:r>
                </w:p>
              </w:tc>
              <w:tc>
                <w:tcPr>
                  <w:tcW w:w="1117" w:type="dxa"/>
                  <w:tcBorders>
                    <w:tl2br w:val="nil"/>
                    <w:tr2bl w:val="nil"/>
                  </w:tcBorders>
                  <w:vAlign w:val="center"/>
                </w:tcPr>
                <w:p w14:paraId="59213A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4906A1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7.2</w:t>
                  </w:r>
                </w:p>
              </w:tc>
              <w:tc>
                <w:tcPr>
                  <w:tcW w:w="1117" w:type="dxa"/>
                  <w:tcBorders>
                    <w:tl2br w:val="nil"/>
                    <w:tr2bl w:val="nil"/>
                  </w:tcBorders>
                  <w:vAlign w:val="center"/>
                </w:tcPr>
                <w:p w14:paraId="6C4A7D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7.5</w:t>
                  </w:r>
                </w:p>
              </w:tc>
              <w:tc>
                <w:tcPr>
                  <w:tcW w:w="1117" w:type="dxa"/>
                  <w:tcBorders>
                    <w:tl2br w:val="nil"/>
                    <w:tr2bl w:val="nil"/>
                  </w:tcBorders>
                  <w:vAlign w:val="center"/>
                </w:tcPr>
                <w:p w14:paraId="3FBB23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7.2</w:t>
                  </w:r>
                </w:p>
              </w:tc>
              <w:tc>
                <w:tcPr>
                  <w:tcW w:w="1118" w:type="dxa"/>
                  <w:tcBorders>
                    <w:tl2br w:val="nil"/>
                    <w:tr2bl w:val="nil"/>
                  </w:tcBorders>
                  <w:vAlign w:val="center"/>
                </w:tcPr>
                <w:p w14:paraId="37A33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7.3</w:t>
                  </w:r>
                </w:p>
              </w:tc>
              <w:tc>
                <w:tcPr>
                  <w:tcW w:w="1118" w:type="dxa"/>
                  <w:tcBorders>
                    <w:tl2br w:val="nil"/>
                    <w:tr2bl w:val="nil"/>
                  </w:tcBorders>
                  <w:vAlign w:val="center"/>
                </w:tcPr>
                <w:p w14:paraId="521BE9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6~9</w:t>
                  </w:r>
                </w:p>
              </w:tc>
              <w:tc>
                <w:tcPr>
                  <w:tcW w:w="1118" w:type="dxa"/>
                  <w:tcBorders>
                    <w:tl2br w:val="nil"/>
                    <w:tr2bl w:val="nil"/>
                  </w:tcBorders>
                  <w:vAlign w:val="center"/>
                </w:tcPr>
                <w:p w14:paraId="6ED5A8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32E6F4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573140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色度</w:t>
                  </w:r>
                </w:p>
              </w:tc>
              <w:tc>
                <w:tcPr>
                  <w:tcW w:w="1117" w:type="dxa"/>
                  <w:tcBorders>
                    <w:tl2br w:val="nil"/>
                    <w:tr2bl w:val="nil"/>
                  </w:tcBorders>
                  <w:vAlign w:val="center"/>
                </w:tcPr>
                <w:p w14:paraId="368728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倍</w:t>
                  </w:r>
                </w:p>
              </w:tc>
              <w:tc>
                <w:tcPr>
                  <w:tcW w:w="1117" w:type="dxa"/>
                  <w:tcBorders>
                    <w:tl2br w:val="nil"/>
                    <w:tr2bl w:val="nil"/>
                  </w:tcBorders>
                  <w:vAlign w:val="center"/>
                </w:tcPr>
                <w:p w14:paraId="38F948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w:t>
                  </w:r>
                </w:p>
              </w:tc>
              <w:tc>
                <w:tcPr>
                  <w:tcW w:w="1117" w:type="dxa"/>
                  <w:tcBorders>
                    <w:tl2br w:val="nil"/>
                    <w:tr2bl w:val="nil"/>
                  </w:tcBorders>
                  <w:vAlign w:val="center"/>
                </w:tcPr>
                <w:p w14:paraId="5951F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w:t>
                  </w:r>
                </w:p>
              </w:tc>
              <w:tc>
                <w:tcPr>
                  <w:tcW w:w="1117" w:type="dxa"/>
                  <w:tcBorders>
                    <w:tl2br w:val="nil"/>
                    <w:tr2bl w:val="nil"/>
                  </w:tcBorders>
                  <w:vAlign w:val="center"/>
                </w:tcPr>
                <w:p w14:paraId="0884CF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w:t>
                  </w:r>
                </w:p>
              </w:tc>
              <w:tc>
                <w:tcPr>
                  <w:tcW w:w="1118" w:type="dxa"/>
                  <w:tcBorders>
                    <w:tl2br w:val="nil"/>
                    <w:tr2bl w:val="nil"/>
                  </w:tcBorders>
                  <w:vAlign w:val="center"/>
                </w:tcPr>
                <w:p w14:paraId="7C081E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w:t>
                  </w:r>
                </w:p>
              </w:tc>
              <w:tc>
                <w:tcPr>
                  <w:tcW w:w="1118" w:type="dxa"/>
                  <w:tcBorders>
                    <w:tl2br w:val="nil"/>
                    <w:tr2bl w:val="nil"/>
                  </w:tcBorders>
                  <w:vAlign w:val="center"/>
                </w:tcPr>
                <w:p w14:paraId="1DC01E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w:t>
                  </w:r>
                </w:p>
              </w:tc>
              <w:tc>
                <w:tcPr>
                  <w:tcW w:w="1118" w:type="dxa"/>
                  <w:tcBorders>
                    <w:tl2br w:val="nil"/>
                    <w:tr2bl w:val="nil"/>
                  </w:tcBorders>
                  <w:vAlign w:val="center"/>
                </w:tcPr>
                <w:p w14:paraId="2D02A7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30EAF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6AD1BB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SS</w:t>
                  </w:r>
                </w:p>
              </w:tc>
              <w:tc>
                <w:tcPr>
                  <w:tcW w:w="1117" w:type="dxa"/>
                  <w:tcBorders>
                    <w:tl2br w:val="nil"/>
                    <w:tr2bl w:val="nil"/>
                  </w:tcBorders>
                  <w:vAlign w:val="center"/>
                </w:tcPr>
                <w:p w14:paraId="3EF44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578A42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7</w:t>
                  </w:r>
                </w:p>
              </w:tc>
              <w:tc>
                <w:tcPr>
                  <w:tcW w:w="1117" w:type="dxa"/>
                  <w:tcBorders>
                    <w:tl2br w:val="nil"/>
                    <w:tr2bl w:val="nil"/>
                  </w:tcBorders>
                  <w:vAlign w:val="center"/>
                </w:tcPr>
                <w:p w14:paraId="144197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w:t>
                  </w:r>
                </w:p>
              </w:tc>
              <w:tc>
                <w:tcPr>
                  <w:tcW w:w="1117" w:type="dxa"/>
                  <w:tcBorders>
                    <w:tl2br w:val="nil"/>
                    <w:tr2bl w:val="nil"/>
                  </w:tcBorders>
                  <w:vAlign w:val="center"/>
                </w:tcPr>
                <w:p w14:paraId="486888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w:t>
                  </w:r>
                </w:p>
              </w:tc>
              <w:tc>
                <w:tcPr>
                  <w:tcW w:w="1118" w:type="dxa"/>
                  <w:tcBorders>
                    <w:tl2br w:val="nil"/>
                    <w:tr2bl w:val="nil"/>
                  </w:tcBorders>
                  <w:vAlign w:val="center"/>
                </w:tcPr>
                <w:p w14:paraId="59F43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17</w:t>
                  </w:r>
                </w:p>
              </w:tc>
              <w:tc>
                <w:tcPr>
                  <w:tcW w:w="1118" w:type="dxa"/>
                  <w:tcBorders>
                    <w:tl2br w:val="nil"/>
                    <w:tr2bl w:val="nil"/>
                  </w:tcBorders>
                  <w:vAlign w:val="center"/>
                </w:tcPr>
                <w:p w14:paraId="35F993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8" w:type="dxa"/>
                  <w:tcBorders>
                    <w:tl2br w:val="nil"/>
                    <w:tr2bl w:val="nil"/>
                  </w:tcBorders>
                  <w:vAlign w:val="center"/>
                </w:tcPr>
                <w:p w14:paraId="7CE35D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24735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601FA0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COD</w:t>
                  </w:r>
                </w:p>
              </w:tc>
              <w:tc>
                <w:tcPr>
                  <w:tcW w:w="1117" w:type="dxa"/>
                  <w:tcBorders>
                    <w:tl2br w:val="nil"/>
                    <w:tr2bl w:val="nil"/>
                  </w:tcBorders>
                  <w:vAlign w:val="center"/>
                </w:tcPr>
                <w:p w14:paraId="58E933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2572D0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22</w:t>
                  </w:r>
                </w:p>
              </w:tc>
              <w:tc>
                <w:tcPr>
                  <w:tcW w:w="1117" w:type="dxa"/>
                  <w:tcBorders>
                    <w:tl2br w:val="nil"/>
                    <w:tr2bl w:val="nil"/>
                  </w:tcBorders>
                  <w:vAlign w:val="center"/>
                </w:tcPr>
                <w:p w14:paraId="6E46B1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16</w:t>
                  </w:r>
                </w:p>
              </w:tc>
              <w:tc>
                <w:tcPr>
                  <w:tcW w:w="1117" w:type="dxa"/>
                  <w:tcBorders>
                    <w:tl2br w:val="nil"/>
                    <w:tr2bl w:val="nil"/>
                  </w:tcBorders>
                  <w:vAlign w:val="center"/>
                </w:tcPr>
                <w:p w14:paraId="5B5D1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17</w:t>
                  </w:r>
                </w:p>
              </w:tc>
              <w:tc>
                <w:tcPr>
                  <w:tcW w:w="1118" w:type="dxa"/>
                  <w:tcBorders>
                    <w:tl2br w:val="nil"/>
                    <w:tr2bl w:val="nil"/>
                  </w:tcBorders>
                  <w:vAlign w:val="center"/>
                </w:tcPr>
                <w:p w14:paraId="706E7E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12</w:t>
                  </w:r>
                </w:p>
              </w:tc>
              <w:tc>
                <w:tcPr>
                  <w:tcW w:w="1118" w:type="dxa"/>
                  <w:tcBorders>
                    <w:tl2br w:val="nil"/>
                    <w:tr2bl w:val="nil"/>
                  </w:tcBorders>
                  <w:vAlign w:val="center"/>
                </w:tcPr>
                <w:p w14:paraId="2B4D49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60</w:t>
                  </w:r>
                </w:p>
              </w:tc>
              <w:tc>
                <w:tcPr>
                  <w:tcW w:w="1118" w:type="dxa"/>
                  <w:tcBorders>
                    <w:tl2br w:val="nil"/>
                    <w:tr2bl w:val="nil"/>
                  </w:tcBorders>
                  <w:vAlign w:val="center"/>
                </w:tcPr>
                <w:p w14:paraId="3D8ADA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189ADE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4C5330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BOD</w:t>
                  </w:r>
                  <w:r>
                    <w:rPr>
                      <w:rFonts w:hint="eastAsia" w:cs="Times New Roman"/>
                      <w:color w:val="000000" w:themeColor="text1"/>
                      <w:sz w:val="18"/>
                      <w:szCs w:val="18"/>
                      <w:highlight w:val="none"/>
                      <w:vertAlign w:val="subscript"/>
                      <w:lang w:val="en-US" w:eastAsia="zh-CN"/>
                      <w14:textFill>
                        <w14:solidFill>
                          <w14:schemeClr w14:val="tx1"/>
                        </w14:solidFill>
                      </w14:textFill>
                    </w:rPr>
                    <w:t>5</w:t>
                  </w:r>
                </w:p>
              </w:tc>
              <w:tc>
                <w:tcPr>
                  <w:tcW w:w="1117" w:type="dxa"/>
                  <w:tcBorders>
                    <w:tl2br w:val="nil"/>
                    <w:tr2bl w:val="nil"/>
                  </w:tcBorders>
                  <w:vAlign w:val="center"/>
                </w:tcPr>
                <w:p w14:paraId="57E7EE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6B0308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5.4</w:t>
                  </w:r>
                </w:p>
              </w:tc>
              <w:tc>
                <w:tcPr>
                  <w:tcW w:w="1117" w:type="dxa"/>
                  <w:tcBorders>
                    <w:tl2br w:val="nil"/>
                    <w:tr2bl w:val="nil"/>
                  </w:tcBorders>
                  <w:vAlign w:val="center"/>
                </w:tcPr>
                <w:p w14:paraId="7B124B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3.8</w:t>
                  </w:r>
                </w:p>
              </w:tc>
              <w:tc>
                <w:tcPr>
                  <w:tcW w:w="1117" w:type="dxa"/>
                  <w:tcBorders>
                    <w:tl2br w:val="nil"/>
                    <w:tr2bl w:val="nil"/>
                  </w:tcBorders>
                  <w:vAlign w:val="center"/>
                </w:tcPr>
                <w:p w14:paraId="2A7CB7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5.5</w:t>
                  </w:r>
                </w:p>
              </w:tc>
              <w:tc>
                <w:tcPr>
                  <w:tcW w:w="1118" w:type="dxa"/>
                  <w:tcBorders>
                    <w:tl2br w:val="nil"/>
                    <w:tr2bl w:val="nil"/>
                  </w:tcBorders>
                  <w:vAlign w:val="center"/>
                </w:tcPr>
                <w:p w14:paraId="6310FF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3.8</w:t>
                  </w:r>
                </w:p>
              </w:tc>
              <w:tc>
                <w:tcPr>
                  <w:tcW w:w="1118" w:type="dxa"/>
                  <w:tcBorders>
                    <w:tl2br w:val="nil"/>
                    <w:tr2bl w:val="nil"/>
                  </w:tcBorders>
                  <w:vAlign w:val="center"/>
                </w:tcPr>
                <w:p w14:paraId="6E0B34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8" w:type="dxa"/>
                  <w:tcBorders>
                    <w:tl2br w:val="nil"/>
                    <w:tr2bl w:val="nil"/>
                  </w:tcBorders>
                  <w:vAlign w:val="center"/>
                </w:tcPr>
                <w:p w14:paraId="1DDCFB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77E970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2EBAC4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NH</w:t>
                  </w:r>
                  <w:r>
                    <w:rPr>
                      <w:rFonts w:hint="eastAsia" w:cs="Times New Roman"/>
                      <w:color w:val="000000" w:themeColor="text1"/>
                      <w:sz w:val="18"/>
                      <w:szCs w:val="18"/>
                      <w:highlight w:val="none"/>
                      <w:vertAlign w:val="subscript"/>
                      <w:lang w:val="en-US" w:eastAsia="zh-CN"/>
                      <w14:textFill>
                        <w14:solidFill>
                          <w14:schemeClr w14:val="tx1"/>
                        </w14:solidFill>
                      </w14:textFill>
                    </w:rPr>
                    <w:t>3</w:t>
                  </w:r>
                  <w:r>
                    <w:rPr>
                      <w:rFonts w:hint="eastAsia" w:cs="Times New Roman"/>
                      <w:color w:val="000000" w:themeColor="text1"/>
                      <w:sz w:val="18"/>
                      <w:szCs w:val="18"/>
                      <w:highlight w:val="none"/>
                      <w:vertAlign w:val="baseline"/>
                      <w:lang w:val="en-US" w:eastAsia="zh-CN"/>
                      <w14:textFill>
                        <w14:solidFill>
                          <w14:schemeClr w14:val="tx1"/>
                        </w14:solidFill>
                      </w14:textFill>
                    </w:rPr>
                    <w:t>-N</w:t>
                  </w:r>
                </w:p>
              </w:tc>
              <w:tc>
                <w:tcPr>
                  <w:tcW w:w="1117" w:type="dxa"/>
                  <w:tcBorders>
                    <w:tl2br w:val="nil"/>
                    <w:tr2bl w:val="nil"/>
                  </w:tcBorders>
                  <w:vAlign w:val="center"/>
                </w:tcPr>
                <w:p w14:paraId="48FBA5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61C856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0.246</w:t>
                  </w:r>
                </w:p>
              </w:tc>
              <w:tc>
                <w:tcPr>
                  <w:tcW w:w="1117" w:type="dxa"/>
                  <w:tcBorders>
                    <w:tl2br w:val="nil"/>
                    <w:tr2bl w:val="nil"/>
                  </w:tcBorders>
                  <w:vAlign w:val="center"/>
                </w:tcPr>
                <w:p w14:paraId="78CF86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0.315</w:t>
                  </w:r>
                </w:p>
              </w:tc>
              <w:tc>
                <w:tcPr>
                  <w:tcW w:w="1117" w:type="dxa"/>
                  <w:tcBorders>
                    <w:tl2br w:val="nil"/>
                    <w:tr2bl w:val="nil"/>
                  </w:tcBorders>
                  <w:vAlign w:val="center"/>
                </w:tcPr>
                <w:p w14:paraId="3BF7B3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0.076</w:t>
                  </w:r>
                </w:p>
              </w:tc>
              <w:tc>
                <w:tcPr>
                  <w:tcW w:w="1118" w:type="dxa"/>
                  <w:tcBorders>
                    <w:tl2br w:val="nil"/>
                    <w:tr2bl w:val="nil"/>
                  </w:tcBorders>
                  <w:vAlign w:val="center"/>
                </w:tcPr>
                <w:p w14:paraId="4304C2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0.284</w:t>
                  </w:r>
                </w:p>
              </w:tc>
              <w:tc>
                <w:tcPr>
                  <w:tcW w:w="1118" w:type="dxa"/>
                  <w:tcBorders>
                    <w:tl2br w:val="nil"/>
                    <w:tr2bl w:val="nil"/>
                  </w:tcBorders>
                  <w:vAlign w:val="center"/>
                </w:tcPr>
                <w:p w14:paraId="4AE530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8（15）</w:t>
                  </w:r>
                </w:p>
              </w:tc>
              <w:tc>
                <w:tcPr>
                  <w:tcW w:w="1118" w:type="dxa"/>
                  <w:tcBorders>
                    <w:tl2br w:val="nil"/>
                    <w:tr2bl w:val="nil"/>
                  </w:tcBorders>
                  <w:vAlign w:val="center"/>
                </w:tcPr>
                <w:p w14:paraId="70186B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4D1B53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085984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TN</w:t>
                  </w:r>
                </w:p>
              </w:tc>
              <w:tc>
                <w:tcPr>
                  <w:tcW w:w="1117" w:type="dxa"/>
                  <w:tcBorders>
                    <w:tl2br w:val="nil"/>
                    <w:tr2bl w:val="nil"/>
                  </w:tcBorders>
                  <w:vAlign w:val="center"/>
                </w:tcPr>
                <w:p w14:paraId="498CB0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17ABCD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5.68</w:t>
                  </w:r>
                </w:p>
              </w:tc>
              <w:tc>
                <w:tcPr>
                  <w:tcW w:w="1117" w:type="dxa"/>
                  <w:tcBorders>
                    <w:tl2br w:val="nil"/>
                    <w:tr2bl w:val="nil"/>
                  </w:tcBorders>
                  <w:vAlign w:val="center"/>
                </w:tcPr>
                <w:p w14:paraId="6DACBA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9.00</w:t>
                  </w:r>
                </w:p>
              </w:tc>
              <w:tc>
                <w:tcPr>
                  <w:tcW w:w="1117" w:type="dxa"/>
                  <w:tcBorders>
                    <w:tl2br w:val="nil"/>
                    <w:tr2bl w:val="nil"/>
                  </w:tcBorders>
                  <w:vAlign w:val="center"/>
                </w:tcPr>
                <w:p w14:paraId="76BFCD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15.7</w:t>
                  </w:r>
                </w:p>
              </w:tc>
              <w:tc>
                <w:tcPr>
                  <w:tcW w:w="1118" w:type="dxa"/>
                  <w:tcBorders>
                    <w:tl2br w:val="nil"/>
                    <w:tr2bl w:val="nil"/>
                  </w:tcBorders>
                  <w:vAlign w:val="center"/>
                </w:tcPr>
                <w:p w14:paraId="3C0702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8.94</w:t>
                  </w:r>
                </w:p>
              </w:tc>
              <w:tc>
                <w:tcPr>
                  <w:tcW w:w="1118" w:type="dxa"/>
                  <w:tcBorders>
                    <w:tl2br w:val="nil"/>
                    <w:tr2bl w:val="nil"/>
                  </w:tcBorders>
                  <w:vAlign w:val="center"/>
                </w:tcPr>
                <w:p w14:paraId="6BDCEB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8" w:type="dxa"/>
                  <w:tcBorders>
                    <w:tl2br w:val="nil"/>
                    <w:tr2bl w:val="nil"/>
                  </w:tcBorders>
                  <w:vAlign w:val="center"/>
                </w:tcPr>
                <w:p w14:paraId="07EB32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77AE13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54D64E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TP</w:t>
                  </w:r>
                </w:p>
              </w:tc>
              <w:tc>
                <w:tcPr>
                  <w:tcW w:w="1117" w:type="dxa"/>
                  <w:tcBorders>
                    <w:tl2br w:val="nil"/>
                    <w:tr2bl w:val="nil"/>
                  </w:tcBorders>
                  <w:vAlign w:val="center"/>
                </w:tcPr>
                <w:p w14:paraId="2820A3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4767D6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0.09</w:t>
                  </w:r>
                </w:p>
              </w:tc>
              <w:tc>
                <w:tcPr>
                  <w:tcW w:w="1117" w:type="dxa"/>
                  <w:tcBorders>
                    <w:tl2br w:val="nil"/>
                    <w:tr2bl w:val="nil"/>
                  </w:tcBorders>
                  <w:vAlign w:val="center"/>
                </w:tcPr>
                <w:p w14:paraId="1D8C9B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0.09</w:t>
                  </w:r>
                </w:p>
              </w:tc>
              <w:tc>
                <w:tcPr>
                  <w:tcW w:w="1117" w:type="dxa"/>
                  <w:tcBorders>
                    <w:tl2br w:val="nil"/>
                    <w:tr2bl w:val="nil"/>
                  </w:tcBorders>
                  <w:vAlign w:val="center"/>
                </w:tcPr>
                <w:p w14:paraId="3E3E1A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0.17</w:t>
                  </w:r>
                </w:p>
              </w:tc>
              <w:tc>
                <w:tcPr>
                  <w:tcW w:w="1118" w:type="dxa"/>
                  <w:tcBorders>
                    <w:tl2br w:val="nil"/>
                    <w:tr2bl w:val="nil"/>
                  </w:tcBorders>
                  <w:vAlign w:val="center"/>
                </w:tcPr>
                <w:p w14:paraId="03B58E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0.12</w:t>
                  </w:r>
                </w:p>
              </w:tc>
              <w:tc>
                <w:tcPr>
                  <w:tcW w:w="1118" w:type="dxa"/>
                  <w:tcBorders>
                    <w:tl2br w:val="nil"/>
                    <w:tr2bl w:val="nil"/>
                  </w:tcBorders>
                  <w:vAlign w:val="center"/>
                </w:tcPr>
                <w:p w14:paraId="61C8B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1.0</w:t>
                  </w:r>
                </w:p>
              </w:tc>
              <w:tc>
                <w:tcPr>
                  <w:tcW w:w="1118" w:type="dxa"/>
                  <w:tcBorders>
                    <w:tl2br w:val="nil"/>
                    <w:tr2bl w:val="nil"/>
                  </w:tcBorders>
                  <w:vAlign w:val="center"/>
                </w:tcPr>
                <w:p w14:paraId="744BD6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0390F1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10A973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石油类</w:t>
                  </w:r>
                </w:p>
              </w:tc>
              <w:tc>
                <w:tcPr>
                  <w:tcW w:w="1117" w:type="dxa"/>
                  <w:tcBorders>
                    <w:tl2br w:val="nil"/>
                    <w:tr2bl w:val="nil"/>
                  </w:tcBorders>
                  <w:vAlign w:val="center"/>
                </w:tcPr>
                <w:p w14:paraId="28B26B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37440F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＜0.06</w:t>
                  </w:r>
                </w:p>
              </w:tc>
              <w:tc>
                <w:tcPr>
                  <w:tcW w:w="1117" w:type="dxa"/>
                  <w:tcBorders>
                    <w:tl2br w:val="nil"/>
                    <w:tr2bl w:val="nil"/>
                  </w:tcBorders>
                  <w:vAlign w:val="center"/>
                </w:tcPr>
                <w:p w14:paraId="0689D9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0.11</w:t>
                  </w:r>
                </w:p>
              </w:tc>
              <w:tc>
                <w:tcPr>
                  <w:tcW w:w="1117" w:type="dxa"/>
                  <w:tcBorders>
                    <w:tl2br w:val="nil"/>
                    <w:tr2bl w:val="nil"/>
                  </w:tcBorders>
                  <w:vAlign w:val="center"/>
                </w:tcPr>
                <w:p w14:paraId="42DBE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0.12</w:t>
                  </w:r>
                </w:p>
              </w:tc>
              <w:tc>
                <w:tcPr>
                  <w:tcW w:w="1118" w:type="dxa"/>
                  <w:tcBorders>
                    <w:tl2br w:val="nil"/>
                    <w:tr2bl w:val="nil"/>
                  </w:tcBorders>
                  <w:vAlign w:val="center"/>
                </w:tcPr>
                <w:p w14:paraId="343602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0.12</w:t>
                  </w:r>
                </w:p>
              </w:tc>
              <w:tc>
                <w:tcPr>
                  <w:tcW w:w="1118" w:type="dxa"/>
                  <w:tcBorders>
                    <w:tl2br w:val="nil"/>
                    <w:tr2bl w:val="nil"/>
                  </w:tcBorders>
                  <w:vAlign w:val="center"/>
                </w:tcPr>
                <w:p w14:paraId="2BA0CA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w:t>
                  </w:r>
                </w:p>
              </w:tc>
              <w:tc>
                <w:tcPr>
                  <w:tcW w:w="1118" w:type="dxa"/>
                  <w:tcBorders>
                    <w:tl2br w:val="nil"/>
                    <w:tr2bl w:val="nil"/>
                  </w:tcBorders>
                  <w:vAlign w:val="center"/>
                </w:tcPr>
                <w:p w14:paraId="02F069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3FEE68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596AD6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动植物油</w:t>
                  </w:r>
                </w:p>
              </w:tc>
              <w:tc>
                <w:tcPr>
                  <w:tcW w:w="1117" w:type="dxa"/>
                  <w:tcBorders>
                    <w:tl2br w:val="nil"/>
                    <w:tr2bl w:val="nil"/>
                  </w:tcBorders>
                  <w:vAlign w:val="center"/>
                </w:tcPr>
                <w:p w14:paraId="162A2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6D5C55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0.11</w:t>
                  </w:r>
                </w:p>
              </w:tc>
              <w:tc>
                <w:tcPr>
                  <w:tcW w:w="1117" w:type="dxa"/>
                  <w:tcBorders>
                    <w:tl2br w:val="nil"/>
                    <w:tr2bl w:val="nil"/>
                  </w:tcBorders>
                  <w:vAlign w:val="center"/>
                </w:tcPr>
                <w:p w14:paraId="4D5488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0.18</w:t>
                  </w:r>
                </w:p>
              </w:tc>
              <w:tc>
                <w:tcPr>
                  <w:tcW w:w="1117" w:type="dxa"/>
                  <w:tcBorders>
                    <w:tl2br w:val="nil"/>
                    <w:tr2bl w:val="nil"/>
                  </w:tcBorders>
                  <w:vAlign w:val="center"/>
                </w:tcPr>
                <w:p w14:paraId="58D532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0.09</w:t>
                  </w:r>
                </w:p>
              </w:tc>
              <w:tc>
                <w:tcPr>
                  <w:tcW w:w="1118" w:type="dxa"/>
                  <w:tcBorders>
                    <w:tl2br w:val="nil"/>
                    <w:tr2bl w:val="nil"/>
                  </w:tcBorders>
                  <w:vAlign w:val="center"/>
                </w:tcPr>
                <w:p w14:paraId="45AA18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＜0.06</w:t>
                  </w:r>
                </w:p>
              </w:tc>
              <w:tc>
                <w:tcPr>
                  <w:tcW w:w="1118" w:type="dxa"/>
                  <w:tcBorders>
                    <w:tl2br w:val="nil"/>
                    <w:tr2bl w:val="nil"/>
                  </w:tcBorders>
                  <w:vAlign w:val="center"/>
                </w:tcPr>
                <w:p w14:paraId="2495A7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3.0</w:t>
                  </w:r>
                </w:p>
              </w:tc>
              <w:tc>
                <w:tcPr>
                  <w:tcW w:w="1118" w:type="dxa"/>
                  <w:tcBorders>
                    <w:tl2br w:val="nil"/>
                    <w:tr2bl w:val="nil"/>
                  </w:tcBorders>
                  <w:vAlign w:val="center"/>
                </w:tcPr>
                <w:p w14:paraId="7CBF50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3A4D85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290D3D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阴离子表面活性剂（LAS）</w:t>
                  </w:r>
                </w:p>
              </w:tc>
              <w:tc>
                <w:tcPr>
                  <w:tcW w:w="1117" w:type="dxa"/>
                  <w:tcBorders>
                    <w:tl2br w:val="nil"/>
                    <w:tr2bl w:val="nil"/>
                  </w:tcBorders>
                  <w:vAlign w:val="center"/>
                </w:tcPr>
                <w:p w14:paraId="068411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541B7A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0.06</w:t>
                  </w:r>
                </w:p>
              </w:tc>
              <w:tc>
                <w:tcPr>
                  <w:tcW w:w="1117" w:type="dxa"/>
                  <w:tcBorders>
                    <w:tl2br w:val="nil"/>
                    <w:tr2bl w:val="nil"/>
                  </w:tcBorders>
                  <w:vAlign w:val="center"/>
                </w:tcPr>
                <w:p w14:paraId="46623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＜0.05</w:t>
                  </w:r>
                </w:p>
              </w:tc>
              <w:tc>
                <w:tcPr>
                  <w:tcW w:w="1117" w:type="dxa"/>
                  <w:tcBorders>
                    <w:tl2br w:val="nil"/>
                    <w:tr2bl w:val="nil"/>
                  </w:tcBorders>
                  <w:vAlign w:val="center"/>
                </w:tcPr>
                <w:p w14:paraId="623708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＜0.05</w:t>
                  </w:r>
                </w:p>
              </w:tc>
              <w:tc>
                <w:tcPr>
                  <w:tcW w:w="1118" w:type="dxa"/>
                  <w:tcBorders>
                    <w:tl2br w:val="nil"/>
                    <w:tr2bl w:val="nil"/>
                  </w:tcBorders>
                  <w:vAlign w:val="center"/>
                </w:tcPr>
                <w:p w14:paraId="17167D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＜0.05</w:t>
                  </w:r>
                </w:p>
              </w:tc>
              <w:tc>
                <w:tcPr>
                  <w:tcW w:w="1118" w:type="dxa"/>
                  <w:tcBorders>
                    <w:tl2br w:val="nil"/>
                    <w:tr2bl w:val="nil"/>
                  </w:tcBorders>
                  <w:vAlign w:val="center"/>
                </w:tcPr>
                <w:p w14:paraId="652C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1.0</w:t>
                  </w:r>
                </w:p>
              </w:tc>
              <w:tc>
                <w:tcPr>
                  <w:tcW w:w="1118" w:type="dxa"/>
                  <w:tcBorders>
                    <w:tl2br w:val="nil"/>
                    <w:tr2bl w:val="nil"/>
                  </w:tcBorders>
                  <w:vAlign w:val="center"/>
                </w:tcPr>
                <w:p w14:paraId="3867C0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6833BB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34BF35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粪大肠杆菌</w:t>
                  </w:r>
                </w:p>
              </w:tc>
              <w:tc>
                <w:tcPr>
                  <w:tcW w:w="1117" w:type="dxa"/>
                  <w:tcBorders>
                    <w:tl2br w:val="nil"/>
                    <w:tr2bl w:val="nil"/>
                  </w:tcBorders>
                  <w:vAlign w:val="center"/>
                </w:tcPr>
                <w:p w14:paraId="0621A5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MPN/L</w:t>
                  </w:r>
                </w:p>
              </w:tc>
              <w:tc>
                <w:tcPr>
                  <w:tcW w:w="1117" w:type="dxa"/>
                  <w:tcBorders>
                    <w:tl2br w:val="nil"/>
                    <w:tr2bl w:val="nil"/>
                  </w:tcBorders>
                  <w:vAlign w:val="center"/>
                </w:tcPr>
                <w:p w14:paraId="307A04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7" w:type="dxa"/>
                  <w:tcBorders>
                    <w:tl2br w:val="nil"/>
                    <w:tr2bl w:val="nil"/>
                  </w:tcBorders>
                  <w:vAlign w:val="center"/>
                </w:tcPr>
                <w:p w14:paraId="7AF37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7" w:type="dxa"/>
                  <w:tcBorders>
                    <w:tl2br w:val="nil"/>
                    <w:tr2bl w:val="nil"/>
                  </w:tcBorders>
                  <w:vAlign w:val="center"/>
                </w:tcPr>
                <w:p w14:paraId="4D43CB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bCs/>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8" w:type="dxa"/>
                  <w:tcBorders>
                    <w:tl2br w:val="nil"/>
                    <w:tr2bl w:val="nil"/>
                  </w:tcBorders>
                  <w:vAlign w:val="center"/>
                </w:tcPr>
                <w:p w14:paraId="731D84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950</w:t>
                  </w:r>
                </w:p>
              </w:tc>
              <w:tc>
                <w:tcPr>
                  <w:tcW w:w="1118" w:type="dxa"/>
                  <w:tcBorders>
                    <w:tl2br w:val="nil"/>
                    <w:tr2bl w:val="nil"/>
                  </w:tcBorders>
                  <w:vAlign w:val="center"/>
                </w:tcPr>
                <w:p w14:paraId="1D2ACC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10000</w:t>
                  </w:r>
                </w:p>
              </w:tc>
              <w:tc>
                <w:tcPr>
                  <w:tcW w:w="1118" w:type="dxa"/>
                  <w:tcBorders>
                    <w:tl2br w:val="nil"/>
                    <w:tr2bl w:val="nil"/>
                  </w:tcBorders>
                  <w:vAlign w:val="center"/>
                </w:tcPr>
                <w:p w14:paraId="64CEF1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346600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6D0894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六价铬</w:t>
                  </w:r>
                </w:p>
              </w:tc>
              <w:tc>
                <w:tcPr>
                  <w:tcW w:w="1117" w:type="dxa"/>
                  <w:tcBorders>
                    <w:tl2br w:val="nil"/>
                    <w:tr2bl w:val="nil"/>
                  </w:tcBorders>
                  <w:vAlign w:val="center"/>
                </w:tcPr>
                <w:p w14:paraId="54FAA8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1B1FB6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20E9C9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1EC8AF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＜0.004</w:t>
                  </w:r>
                </w:p>
              </w:tc>
              <w:tc>
                <w:tcPr>
                  <w:tcW w:w="1118" w:type="dxa"/>
                  <w:tcBorders>
                    <w:tl2br w:val="nil"/>
                    <w:tr2bl w:val="nil"/>
                  </w:tcBorders>
                  <w:vAlign w:val="center"/>
                </w:tcPr>
                <w:p w14:paraId="230B21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＜0.004</w:t>
                  </w:r>
                </w:p>
              </w:tc>
              <w:tc>
                <w:tcPr>
                  <w:tcW w:w="1118" w:type="dxa"/>
                  <w:tcBorders>
                    <w:tl2br w:val="nil"/>
                    <w:tr2bl w:val="nil"/>
                  </w:tcBorders>
                  <w:vAlign w:val="center"/>
                </w:tcPr>
                <w:p w14:paraId="0FAF6D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0.05</w:t>
                  </w:r>
                </w:p>
              </w:tc>
              <w:tc>
                <w:tcPr>
                  <w:tcW w:w="1118" w:type="dxa"/>
                  <w:tcBorders>
                    <w:tl2br w:val="nil"/>
                    <w:tr2bl w:val="nil"/>
                  </w:tcBorders>
                  <w:vAlign w:val="center"/>
                </w:tcPr>
                <w:p w14:paraId="709D86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178FC7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5EFB78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总汞</w:t>
                  </w:r>
                </w:p>
              </w:tc>
              <w:tc>
                <w:tcPr>
                  <w:tcW w:w="1117" w:type="dxa"/>
                  <w:tcBorders>
                    <w:tl2br w:val="nil"/>
                    <w:tr2bl w:val="nil"/>
                  </w:tcBorders>
                  <w:vAlign w:val="center"/>
                </w:tcPr>
                <w:p w14:paraId="414CDA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5F561E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7C5FF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7B2D47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＜0.04</w:t>
                  </w:r>
                </w:p>
              </w:tc>
              <w:tc>
                <w:tcPr>
                  <w:tcW w:w="1118" w:type="dxa"/>
                  <w:tcBorders>
                    <w:tl2br w:val="nil"/>
                    <w:tr2bl w:val="nil"/>
                  </w:tcBorders>
                  <w:vAlign w:val="center"/>
                </w:tcPr>
                <w:p w14:paraId="6FFED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＜0.04</w:t>
                  </w:r>
                </w:p>
              </w:tc>
              <w:tc>
                <w:tcPr>
                  <w:tcW w:w="1118" w:type="dxa"/>
                  <w:tcBorders>
                    <w:tl2br w:val="nil"/>
                    <w:tr2bl w:val="nil"/>
                  </w:tcBorders>
                  <w:vAlign w:val="center"/>
                </w:tcPr>
                <w:p w14:paraId="6333C7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0.001</w:t>
                  </w:r>
                </w:p>
              </w:tc>
              <w:tc>
                <w:tcPr>
                  <w:tcW w:w="1118" w:type="dxa"/>
                  <w:tcBorders>
                    <w:tl2br w:val="nil"/>
                    <w:tr2bl w:val="nil"/>
                  </w:tcBorders>
                  <w:vAlign w:val="center"/>
                </w:tcPr>
                <w:p w14:paraId="7F7CC2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6543B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15656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总镉</w:t>
                  </w:r>
                </w:p>
              </w:tc>
              <w:tc>
                <w:tcPr>
                  <w:tcW w:w="1117" w:type="dxa"/>
                  <w:tcBorders>
                    <w:tl2br w:val="nil"/>
                    <w:tr2bl w:val="nil"/>
                  </w:tcBorders>
                  <w:vAlign w:val="center"/>
                </w:tcPr>
                <w:p w14:paraId="6C75D3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6AE6E1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3FE297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4FA58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＜0.001</w:t>
                  </w:r>
                </w:p>
              </w:tc>
              <w:tc>
                <w:tcPr>
                  <w:tcW w:w="1118" w:type="dxa"/>
                  <w:tcBorders>
                    <w:tl2br w:val="nil"/>
                    <w:tr2bl w:val="nil"/>
                  </w:tcBorders>
                  <w:vAlign w:val="center"/>
                </w:tcPr>
                <w:p w14:paraId="713A02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＜0.001</w:t>
                  </w:r>
                </w:p>
              </w:tc>
              <w:tc>
                <w:tcPr>
                  <w:tcW w:w="1118" w:type="dxa"/>
                  <w:tcBorders>
                    <w:tl2br w:val="nil"/>
                    <w:tr2bl w:val="nil"/>
                  </w:tcBorders>
                  <w:vAlign w:val="center"/>
                </w:tcPr>
                <w:p w14:paraId="7E7724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0.01</w:t>
                  </w:r>
                </w:p>
              </w:tc>
              <w:tc>
                <w:tcPr>
                  <w:tcW w:w="1118" w:type="dxa"/>
                  <w:tcBorders>
                    <w:tl2br w:val="nil"/>
                    <w:tr2bl w:val="nil"/>
                  </w:tcBorders>
                  <w:vAlign w:val="center"/>
                </w:tcPr>
                <w:p w14:paraId="1ED762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6067AF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1A2442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总铬</w:t>
                  </w:r>
                </w:p>
              </w:tc>
              <w:tc>
                <w:tcPr>
                  <w:tcW w:w="1117" w:type="dxa"/>
                  <w:tcBorders>
                    <w:tl2br w:val="nil"/>
                    <w:tr2bl w:val="nil"/>
                  </w:tcBorders>
                  <w:vAlign w:val="center"/>
                </w:tcPr>
                <w:p w14:paraId="467FD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vAlign w:val="center"/>
                </w:tcPr>
                <w:p w14:paraId="231215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12B043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vAlign w:val="center"/>
                </w:tcPr>
                <w:p w14:paraId="1A2394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＜0.004</w:t>
                  </w:r>
                </w:p>
              </w:tc>
              <w:tc>
                <w:tcPr>
                  <w:tcW w:w="1118" w:type="dxa"/>
                  <w:tcBorders>
                    <w:tl2br w:val="nil"/>
                    <w:tr2bl w:val="nil"/>
                  </w:tcBorders>
                  <w:vAlign w:val="center"/>
                </w:tcPr>
                <w:p w14:paraId="4DC3BE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＜0.004</w:t>
                  </w:r>
                </w:p>
              </w:tc>
              <w:tc>
                <w:tcPr>
                  <w:tcW w:w="1118" w:type="dxa"/>
                  <w:tcBorders>
                    <w:tl2br w:val="nil"/>
                    <w:tr2bl w:val="nil"/>
                  </w:tcBorders>
                  <w:vAlign w:val="center"/>
                </w:tcPr>
                <w:p w14:paraId="1E158F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w:t>
                  </w:r>
                </w:p>
              </w:tc>
              <w:tc>
                <w:tcPr>
                  <w:tcW w:w="1118" w:type="dxa"/>
                  <w:tcBorders>
                    <w:tl2br w:val="nil"/>
                    <w:tr2bl w:val="nil"/>
                  </w:tcBorders>
                  <w:vAlign w:val="center"/>
                </w:tcPr>
                <w:p w14:paraId="4F312B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14661F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6F3149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总砷</w:t>
                  </w:r>
                </w:p>
              </w:tc>
              <w:tc>
                <w:tcPr>
                  <w:tcW w:w="1117" w:type="dxa"/>
                  <w:tcBorders>
                    <w:tl2br w:val="nil"/>
                    <w:tr2bl w:val="nil"/>
                  </w:tcBorders>
                  <w:vAlign w:val="center"/>
                </w:tcPr>
                <w:p w14:paraId="2C615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shd w:val="clear" w:color="auto" w:fill="auto"/>
                  <w:vAlign w:val="center"/>
                </w:tcPr>
                <w:p w14:paraId="4F4EA5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7EFCC1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01EC47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＜0.3</w:t>
                  </w:r>
                </w:p>
              </w:tc>
              <w:tc>
                <w:tcPr>
                  <w:tcW w:w="1118" w:type="dxa"/>
                  <w:tcBorders>
                    <w:tl2br w:val="nil"/>
                    <w:tr2bl w:val="nil"/>
                  </w:tcBorders>
                  <w:shd w:val="clear" w:color="auto" w:fill="auto"/>
                  <w:vAlign w:val="center"/>
                </w:tcPr>
                <w:p w14:paraId="2B5E6E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＜0.3</w:t>
                  </w:r>
                </w:p>
              </w:tc>
              <w:tc>
                <w:tcPr>
                  <w:tcW w:w="1118" w:type="dxa"/>
                  <w:tcBorders>
                    <w:tl2br w:val="nil"/>
                    <w:tr2bl w:val="nil"/>
                  </w:tcBorders>
                  <w:shd w:val="clear" w:color="auto" w:fill="auto"/>
                  <w:vAlign w:val="center"/>
                </w:tcPr>
                <w:p w14:paraId="1B8B5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w:t>
                  </w:r>
                </w:p>
              </w:tc>
              <w:tc>
                <w:tcPr>
                  <w:tcW w:w="1118" w:type="dxa"/>
                  <w:tcBorders>
                    <w:tl2br w:val="nil"/>
                    <w:tr2bl w:val="nil"/>
                  </w:tcBorders>
                  <w:vAlign w:val="center"/>
                </w:tcPr>
                <w:p w14:paraId="7AB0A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79406C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62BB0F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总铅</w:t>
                  </w:r>
                </w:p>
              </w:tc>
              <w:tc>
                <w:tcPr>
                  <w:tcW w:w="1117" w:type="dxa"/>
                  <w:tcBorders>
                    <w:tl2br w:val="nil"/>
                    <w:tr2bl w:val="nil"/>
                  </w:tcBorders>
                  <w:vAlign w:val="center"/>
                </w:tcPr>
                <w:p w14:paraId="5456AB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shd w:val="clear" w:color="auto" w:fill="auto"/>
                  <w:vAlign w:val="center"/>
                </w:tcPr>
                <w:p w14:paraId="2CA59D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3AF442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2FE243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＜0.01</w:t>
                  </w:r>
                </w:p>
              </w:tc>
              <w:tc>
                <w:tcPr>
                  <w:tcW w:w="1118" w:type="dxa"/>
                  <w:tcBorders>
                    <w:tl2br w:val="nil"/>
                    <w:tr2bl w:val="nil"/>
                  </w:tcBorders>
                  <w:shd w:val="clear" w:color="auto" w:fill="auto"/>
                  <w:vAlign w:val="center"/>
                </w:tcPr>
                <w:p w14:paraId="53C4D4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＜0.01</w:t>
                  </w:r>
                </w:p>
              </w:tc>
              <w:tc>
                <w:tcPr>
                  <w:tcW w:w="1118" w:type="dxa"/>
                  <w:tcBorders>
                    <w:tl2br w:val="nil"/>
                    <w:tr2bl w:val="nil"/>
                  </w:tcBorders>
                  <w:shd w:val="clear" w:color="auto" w:fill="auto"/>
                  <w:vAlign w:val="center"/>
                </w:tcPr>
                <w:p w14:paraId="0DF1EA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0.1</w:t>
                  </w:r>
                </w:p>
              </w:tc>
              <w:tc>
                <w:tcPr>
                  <w:tcW w:w="1118" w:type="dxa"/>
                  <w:tcBorders>
                    <w:tl2br w:val="nil"/>
                    <w:tr2bl w:val="nil"/>
                  </w:tcBorders>
                  <w:vAlign w:val="center"/>
                </w:tcPr>
                <w:p w14:paraId="27554C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103AFC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00E037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甲基汞</w:t>
                  </w:r>
                </w:p>
              </w:tc>
              <w:tc>
                <w:tcPr>
                  <w:tcW w:w="1117" w:type="dxa"/>
                  <w:tcBorders>
                    <w:tl2br w:val="nil"/>
                    <w:tr2bl w:val="nil"/>
                  </w:tcBorders>
                  <w:vAlign w:val="center"/>
                </w:tcPr>
                <w:p w14:paraId="7F1B84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shd w:val="clear" w:color="auto" w:fill="auto"/>
                  <w:vAlign w:val="center"/>
                </w:tcPr>
                <w:p w14:paraId="547C35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35473B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23B5E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＜10</w:t>
                  </w:r>
                </w:p>
              </w:tc>
              <w:tc>
                <w:tcPr>
                  <w:tcW w:w="1118" w:type="dxa"/>
                  <w:tcBorders>
                    <w:tl2br w:val="nil"/>
                    <w:tr2bl w:val="nil"/>
                  </w:tcBorders>
                  <w:shd w:val="clear" w:color="auto" w:fill="auto"/>
                  <w:vAlign w:val="center"/>
                </w:tcPr>
                <w:p w14:paraId="68BF2E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8" w:type="dxa"/>
                  <w:tcBorders>
                    <w:tl2br w:val="nil"/>
                    <w:tr2bl w:val="nil"/>
                  </w:tcBorders>
                  <w:shd w:val="clear" w:color="auto" w:fill="auto"/>
                  <w:vAlign w:val="center"/>
                </w:tcPr>
                <w:p w14:paraId="760448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不得检出</w:t>
                  </w:r>
                </w:p>
              </w:tc>
              <w:tc>
                <w:tcPr>
                  <w:tcW w:w="1118" w:type="dxa"/>
                  <w:tcBorders>
                    <w:tl2br w:val="nil"/>
                    <w:tr2bl w:val="nil"/>
                  </w:tcBorders>
                  <w:vAlign w:val="center"/>
                </w:tcPr>
                <w:p w14:paraId="129B76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r w14:paraId="1AEE72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7" w:type="dxa"/>
                  <w:tcBorders>
                    <w:tl2br w:val="nil"/>
                    <w:tr2bl w:val="nil"/>
                  </w:tcBorders>
                  <w:vAlign w:val="center"/>
                </w:tcPr>
                <w:p w14:paraId="33E0B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乙基汞</w:t>
                  </w:r>
                </w:p>
              </w:tc>
              <w:tc>
                <w:tcPr>
                  <w:tcW w:w="1117" w:type="dxa"/>
                  <w:tcBorders>
                    <w:tl2br w:val="nil"/>
                    <w:tr2bl w:val="nil"/>
                  </w:tcBorders>
                  <w:vAlign w:val="center"/>
                </w:tcPr>
                <w:p w14:paraId="463796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mg/L</w:t>
                  </w:r>
                </w:p>
              </w:tc>
              <w:tc>
                <w:tcPr>
                  <w:tcW w:w="1117" w:type="dxa"/>
                  <w:tcBorders>
                    <w:tl2br w:val="nil"/>
                    <w:tr2bl w:val="nil"/>
                  </w:tcBorders>
                  <w:shd w:val="clear" w:color="auto" w:fill="auto"/>
                  <w:vAlign w:val="center"/>
                </w:tcPr>
                <w:p w14:paraId="36EECF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35818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7" w:type="dxa"/>
                  <w:tcBorders>
                    <w:tl2br w:val="nil"/>
                    <w:tr2bl w:val="nil"/>
                  </w:tcBorders>
                  <w:shd w:val="clear" w:color="auto" w:fill="auto"/>
                  <w:vAlign w:val="center"/>
                </w:tcPr>
                <w:p w14:paraId="7055D7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＜20</w:t>
                  </w:r>
                </w:p>
              </w:tc>
              <w:tc>
                <w:tcPr>
                  <w:tcW w:w="1118" w:type="dxa"/>
                  <w:tcBorders>
                    <w:tl2br w:val="nil"/>
                    <w:tr2bl w:val="nil"/>
                  </w:tcBorders>
                  <w:shd w:val="clear" w:color="auto" w:fill="auto"/>
                  <w:vAlign w:val="center"/>
                </w:tcPr>
                <w:p w14:paraId="63B599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1118" w:type="dxa"/>
                  <w:tcBorders>
                    <w:tl2br w:val="nil"/>
                    <w:tr2bl w:val="nil"/>
                  </w:tcBorders>
                  <w:shd w:val="clear" w:color="auto" w:fill="auto"/>
                  <w:vAlign w:val="center"/>
                </w:tcPr>
                <w:p w14:paraId="2492EF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18"/>
                      <w:szCs w:val="18"/>
                      <w:highlight w:val="none"/>
                      <w:vertAlign w:val="baseline"/>
                      <w:lang w:val="en-US" w:eastAsia="zh-CN" w:bidi="ar-SA"/>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不得检出</w:t>
                  </w:r>
                </w:p>
              </w:tc>
              <w:tc>
                <w:tcPr>
                  <w:tcW w:w="1118" w:type="dxa"/>
                  <w:tcBorders>
                    <w:tl2br w:val="nil"/>
                    <w:tr2bl w:val="nil"/>
                  </w:tcBorders>
                  <w:vAlign w:val="center"/>
                </w:tcPr>
                <w:p w14:paraId="6AC6AF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达标</w:t>
                  </w:r>
                </w:p>
              </w:tc>
            </w:tr>
          </w:tbl>
          <w:p w14:paraId="2EAD1E05">
            <w:pPr>
              <w:pStyle w:val="13"/>
              <w:keepNext w:val="0"/>
              <w:keepLines w:val="0"/>
              <w:suppressLineNumbers w:val="0"/>
              <w:spacing w:beforeAutospacing="0" w:afterAutospacing="0"/>
              <w:ind w:left="0"/>
              <w:rPr>
                <w:rFonts w:hint="eastAsia" w:ascii="Times New Roman" w:hAnsi="Times New Roman" w:eastAsia="宋体" w:cs="Times New Roman"/>
                <w:b w:val="0"/>
                <w:bCs w:val="0"/>
                <w:color w:val="000000" w:themeColor="text1"/>
                <w:spacing w:val="0"/>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pacing w:val="0"/>
                <w:kern w:val="2"/>
                <w:sz w:val="24"/>
                <w:szCs w:val="24"/>
                <w:highlight w:val="none"/>
                <w:lang w:val="en-US" w:eastAsia="zh-CN" w:bidi="ar-SA"/>
                <w14:textFill>
                  <w14:solidFill>
                    <w14:schemeClr w14:val="tx1"/>
                  </w14:solidFill>
                </w14:textFill>
              </w:rPr>
              <w:t>综上所述，本项目位于昌平污水处理厂的收水范围内，且项目废水排放量较小，昌平污水处理厂能够接纳本项目排放废水量。本项目废水不含重金属、持久性有机物，可生化性较好，不会影响昌平污水处理厂污水处理设施的正常运行。因此，本项目废水排入昌平污水处理厂是可行的。</w:t>
            </w:r>
          </w:p>
          <w:p w14:paraId="29BD4A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（7）废水排放口监测计划</w:t>
            </w:r>
          </w:p>
          <w:p w14:paraId="07558D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按照《排污单位自行监测技术指南 总则》（HJ819-2017）、《排污许可证申请与核发技术规范 医疗机构》（HJ1105-2020）、《建设项目环境影响评价技术指南医疗机构》（DB11/T1927-2021）及《医疗机构水污染物排放标准》（GB18466-2005）中要求，医院应开展自行监测，结合具体情况，可委托其他监测机构代其开展自行监测，排污单位对委托监测的数据负责。本项目废水自行监测要求见下表。</w:t>
            </w:r>
          </w:p>
          <w:p w14:paraId="62373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bCs/>
                <w:color w:val="000000" w:themeColor="text1"/>
                <w:spacing w:val="-10"/>
                <w:sz w:val="21"/>
                <w:szCs w:val="21"/>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表4-10 项目废水监测计划</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1860"/>
              <w:gridCol w:w="1371"/>
              <w:gridCol w:w="3168"/>
              <w:gridCol w:w="1157"/>
            </w:tblGrid>
            <w:tr w14:paraId="5C89CA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tcBorders>
                    <w:tl2br w:val="nil"/>
                    <w:tr2bl w:val="nil"/>
                  </w:tcBorders>
                  <w:vAlign w:val="center"/>
                </w:tcPr>
                <w:p w14:paraId="4B3527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监测点</w:t>
                  </w:r>
                </w:p>
              </w:tc>
              <w:tc>
                <w:tcPr>
                  <w:tcW w:w="1860" w:type="dxa"/>
                  <w:tcBorders>
                    <w:tl2br w:val="nil"/>
                    <w:tr2bl w:val="nil"/>
                  </w:tcBorders>
                  <w:vAlign w:val="center"/>
                </w:tcPr>
                <w:p w14:paraId="000E77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监测项目</w:t>
                  </w:r>
                </w:p>
              </w:tc>
              <w:tc>
                <w:tcPr>
                  <w:tcW w:w="1371" w:type="dxa"/>
                  <w:tcBorders>
                    <w:tl2br w:val="nil"/>
                    <w:tr2bl w:val="nil"/>
                  </w:tcBorders>
                  <w:vAlign w:val="center"/>
                </w:tcPr>
                <w:p w14:paraId="2DCBA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监测频次</w:t>
                  </w:r>
                </w:p>
              </w:tc>
              <w:tc>
                <w:tcPr>
                  <w:tcW w:w="3168" w:type="dxa"/>
                  <w:tcBorders>
                    <w:tl2br w:val="nil"/>
                    <w:tr2bl w:val="nil"/>
                  </w:tcBorders>
                  <w:vAlign w:val="center"/>
                </w:tcPr>
                <w:p w14:paraId="0BCDF9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执行标准</w:t>
                  </w:r>
                </w:p>
              </w:tc>
              <w:tc>
                <w:tcPr>
                  <w:tcW w:w="1157" w:type="dxa"/>
                  <w:tcBorders>
                    <w:tl2br w:val="nil"/>
                    <w:tr2bl w:val="nil"/>
                  </w:tcBorders>
                  <w:vAlign w:val="center"/>
                </w:tcPr>
                <w:p w14:paraId="218156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备注</w:t>
                  </w:r>
                </w:p>
              </w:tc>
            </w:tr>
            <w:tr w14:paraId="0E0103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restart"/>
                  <w:tcBorders>
                    <w:tl2br w:val="nil"/>
                    <w:tr2bl w:val="nil"/>
                  </w:tcBorders>
                  <w:vAlign w:val="center"/>
                </w:tcPr>
                <w:p w14:paraId="342BC0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废水总排口DA001</w:t>
                  </w:r>
                </w:p>
              </w:tc>
              <w:tc>
                <w:tcPr>
                  <w:tcW w:w="1860" w:type="dxa"/>
                  <w:tcBorders>
                    <w:tl2br w:val="nil"/>
                    <w:tr2bl w:val="nil"/>
                  </w:tcBorders>
                  <w:vAlign w:val="center"/>
                </w:tcPr>
                <w:p w14:paraId="6A56C2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流量</w:t>
                  </w:r>
                </w:p>
              </w:tc>
              <w:tc>
                <w:tcPr>
                  <w:tcW w:w="1371" w:type="dxa"/>
                  <w:tcBorders>
                    <w:tl2br w:val="nil"/>
                    <w:tr2bl w:val="nil"/>
                  </w:tcBorders>
                  <w:vAlign w:val="center"/>
                </w:tcPr>
                <w:p w14:paraId="70628F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自动监测</w:t>
                  </w:r>
                </w:p>
              </w:tc>
              <w:tc>
                <w:tcPr>
                  <w:tcW w:w="3168" w:type="dxa"/>
                  <w:tcBorders>
                    <w:tl2br w:val="nil"/>
                    <w:tr2bl w:val="nil"/>
                  </w:tcBorders>
                  <w:vAlign w:val="center"/>
                </w:tcPr>
                <w:p w14:paraId="3B9B88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157" w:type="dxa"/>
                  <w:tcBorders>
                    <w:tl2br w:val="nil"/>
                    <w:tr2bl w:val="nil"/>
                  </w:tcBorders>
                  <w:vAlign w:val="center"/>
                </w:tcPr>
                <w:p w14:paraId="71A4BF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建设单位</w:t>
                  </w:r>
                </w:p>
              </w:tc>
            </w:tr>
            <w:tr w14:paraId="625BE4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727BE8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169EC9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pH值</w:t>
                  </w:r>
                </w:p>
              </w:tc>
              <w:tc>
                <w:tcPr>
                  <w:tcW w:w="1371" w:type="dxa"/>
                  <w:tcBorders>
                    <w:tl2br w:val="nil"/>
                    <w:tr2bl w:val="nil"/>
                  </w:tcBorders>
                  <w:vAlign w:val="center"/>
                </w:tcPr>
                <w:p w14:paraId="35456B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1次/12h</w:t>
                  </w:r>
                </w:p>
              </w:tc>
              <w:tc>
                <w:tcPr>
                  <w:tcW w:w="3168" w:type="dxa"/>
                  <w:vMerge w:val="restart"/>
                  <w:tcBorders>
                    <w:tl2br w:val="nil"/>
                    <w:tr2bl w:val="nil"/>
                  </w:tcBorders>
                  <w:vAlign w:val="center"/>
                </w:tcPr>
                <w:p w14:paraId="744DD4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《医疗机构水污染物排放标准》（GB18466-2005）</w:t>
                  </w: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中“表2 综合医疗机构和其他医疗机构水污染物排放限值（日均值）”中“预处理标准”限值</w:t>
                  </w:r>
                </w:p>
              </w:tc>
              <w:tc>
                <w:tcPr>
                  <w:tcW w:w="1157" w:type="dxa"/>
                  <w:vMerge w:val="restart"/>
                  <w:tcBorders>
                    <w:tl2br w:val="nil"/>
                    <w:tr2bl w:val="nil"/>
                  </w:tcBorders>
                  <w:vAlign w:val="center"/>
                </w:tcPr>
                <w:p w14:paraId="3AE461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委托有资质监测单位</w:t>
                  </w:r>
                </w:p>
              </w:tc>
            </w:tr>
            <w:tr w14:paraId="7B77DF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4D7EE0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4328C1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CODcr、SS</w:t>
                  </w:r>
                </w:p>
              </w:tc>
              <w:tc>
                <w:tcPr>
                  <w:tcW w:w="1371" w:type="dxa"/>
                  <w:tcBorders>
                    <w:tl2br w:val="nil"/>
                    <w:tr2bl w:val="nil"/>
                  </w:tcBorders>
                  <w:vAlign w:val="center"/>
                </w:tcPr>
                <w:p w14:paraId="4A7458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1次/周</w:t>
                  </w:r>
                </w:p>
              </w:tc>
              <w:tc>
                <w:tcPr>
                  <w:tcW w:w="3168" w:type="dxa"/>
                  <w:vMerge w:val="continue"/>
                  <w:tcBorders>
                    <w:tl2br w:val="nil"/>
                    <w:tr2bl w:val="nil"/>
                  </w:tcBorders>
                  <w:vAlign w:val="center"/>
                </w:tcPr>
                <w:p w14:paraId="3860D0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7A8C18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r>
            <w:tr w14:paraId="49D8CA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0265B6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0B1798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粪大肠菌群数</w:t>
                  </w:r>
                </w:p>
              </w:tc>
              <w:tc>
                <w:tcPr>
                  <w:tcW w:w="1371" w:type="dxa"/>
                  <w:tcBorders>
                    <w:tl2br w:val="nil"/>
                    <w:tr2bl w:val="nil"/>
                  </w:tcBorders>
                  <w:vAlign w:val="center"/>
                </w:tcPr>
                <w:p w14:paraId="26521E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1次/月</w:t>
                  </w:r>
                </w:p>
              </w:tc>
              <w:tc>
                <w:tcPr>
                  <w:tcW w:w="3168" w:type="dxa"/>
                  <w:vMerge w:val="continue"/>
                  <w:tcBorders>
                    <w:tl2br w:val="nil"/>
                    <w:tr2bl w:val="nil"/>
                  </w:tcBorders>
                  <w:vAlign w:val="center"/>
                </w:tcPr>
                <w:p w14:paraId="4C0ABC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5CD254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r>
            <w:tr w14:paraId="63D5F0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57656C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300F5F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BOD</w:t>
                  </w:r>
                  <w:r>
                    <w:rPr>
                      <w:rFonts w:hint="eastAsia"/>
                      <w:b w:val="0"/>
                      <w:bCs w:val="0"/>
                      <w:color w:val="000000" w:themeColor="text1"/>
                      <w:spacing w:val="0"/>
                      <w:sz w:val="21"/>
                      <w:szCs w:val="21"/>
                      <w:highlight w:val="none"/>
                      <w:vertAlign w:val="subscript"/>
                      <w:lang w:val="en-US" w:eastAsia="zh-CN"/>
                      <w14:textFill>
                        <w14:solidFill>
                          <w14:schemeClr w14:val="tx1"/>
                        </w14:solidFill>
                      </w14:textFill>
                    </w:rPr>
                    <w:t>5</w:t>
                  </w:r>
                </w:p>
              </w:tc>
              <w:tc>
                <w:tcPr>
                  <w:tcW w:w="1371" w:type="dxa"/>
                  <w:tcBorders>
                    <w:tl2br w:val="nil"/>
                    <w:tr2bl w:val="nil"/>
                  </w:tcBorders>
                  <w:vAlign w:val="center"/>
                </w:tcPr>
                <w:p w14:paraId="29BA20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vMerge w:val="continue"/>
                  <w:tcBorders>
                    <w:tl2br w:val="nil"/>
                    <w:tr2bl w:val="nil"/>
                  </w:tcBorders>
                  <w:vAlign w:val="center"/>
                </w:tcPr>
                <w:p w14:paraId="605CBC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33961E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r>
            <w:tr w14:paraId="2D262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062AFE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5E5736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总余氯</w:t>
                  </w:r>
                </w:p>
              </w:tc>
              <w:tc>
                <w:tcPr>
                  <w:tcW w:w="1371" w:type="dxa"/>
                  <w:tcBorders>
                    <w:tl2br w:val="nil"/>
                    <w:tr2bl w:val="nil"/>
                  </w:tcBorders>
                  <w:vAlign w:val="center"/>
                </w:tcPr>
                <w:p w14:paraId="500314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vMerge w:val="continue"/>
                  <w:tcBorders>
                    <w:tl2br w:val="nil"/>
                    <w:tr2bl w:val="nil"/>
                  </w:tcBorders>
                  <w:vAlign w:val="center"/>
                </w:tcPr>
                <w:p w14:paraId="7A6A89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0717D7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r>
            <w:tr w14:paraId="5DE41F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7944F2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4C0B50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氨氮</w:t>
                  </w:r>
                </w:p>
              </w:tc>
              <w:tc>
                <w:tcPr>
                  <w:tcW w:w="1371" w:type="dxa"/>
                  <w:tcBorders>
                    <w:tl2br w:val="nil"/>
                    <w:tr2bl w:val="nil"/>
                  </w:tcBorders>
                  <w:vAlign w:val="center"/>
                </w:tcPr>
                <w:p w14:paraId="4E1723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tcBorders>
                    <w:tl2br w:val="nil"/>
                    <w:tr2bl w:val="nil"/>
                  </w:tcBorders>
                  <w:vAlign w:val="center"/>
                </w:tcPr>
                <w:p w14:paraId="50BB59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北京市《水污染综合排放标准》（DB11/307-2013）中“表3 排入公共污水处理系统的水污染物排放限值”</w:t>
                  </w:r>
                </w:p>
              </w:tc>
              <w:tc>
                <w:tcPr>
                  <w:tcW w:w="1157" w:type="dxa"/>
                  <w:vMerge w:val="continue"/>
                  <w:tcBorders>
                    <w:tl2br w:val="nil"/>
                    <w:tr2bl w:val="nil"/>
                  </w:tcBorders>
                  <w:vAlign w:val="center"/>
                </w:tcPr>
                <w:p w14:paraId="12D951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73AE05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restart"/>
                  <w:tcBorders>
                    <w:tl2br w:val="nil"/>
                    <w:tr2bl w:val="nil"/>
                  </w:tcBorders>
                  <w:vAlign w:val="center"/>
                </w:tcPr>
                <w:p w14:paraId="54B552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废水总排口DA001</w:t>
                  </w:r>
                </w:p>
              </w:tc>
              <w:tc>
                <w:tcPr>
                  <w:tcW w:w="1860" w:type="dxa"/>
                  <w:tcBorders>
                    <w:tl2br w:val="nil"/>
                    <w:tr2bl w:val="nil"/>
                  </w:tcBorders>
                  <w:vAlign w:val="center"/>
                </w:tcPr>
                <w:p w14:paraId="5995E4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流量</w:t>
                  </w:r>
                </w:p>
              </w:tc>
              <w:tc>
                <w:tcPr>
                  <w:tcW w:w="1371" w:type="dxa"/>
                  <w:tcBorders>
                    <w:tl2br w:val="nil"/>
                    <w:tr2bl w:val="nil"/>
                  </w:tcBorders>
                  <w:vAlign w:val="center"/>
                </w:tcPr>
                <w:p w14:paraId="628875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自动监测</w:t>
                  </w:r>
                </w:p>
              </w:tc>
              <w:tc>
                <w:tcPr>
                  <w:tcW w:w="3168" w:type="dxa"/>
                  <w:tcBorders>
                    <w:tl2br w:val="nil"/>
                    <w:tr2bl w:val="nil"/>
                  </w:tcBorders>
                  <w:vAlign w:val="center"/>
                </w:tcPr>
                <w:p w14:paraId="0481AF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157" w:type="dxa"/>
                  <w:tcBorders>
                    <w:tl2br w:val="nil"/>
                    <w:tr2bl w:val="nil"/>
                  </w:tcBorders>
                  <w:shd w:val="clear" w:color="auto" w:fill="auto"/>
                  <w:vAlign w:val="center"/>
                </w:tcPr>
                <w:p w14:paraId="13B389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建设单位</w:t>
                  </w:r>
                </w:p>
              </w:tc>
            </w:tr>
            <w:tr w14:paraId="64393F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5048D5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5F67B8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pH值</w:t>
                  </w:r>
                </w:p>
              </w:tc>
              <w:tc>
                <w:tcPr>
                  <w:tcW w:w="1371" w:type="dxa"/>
                  <w:tcBorders>
                    <w:tl2br w:val="nil"/>
                    <w:tr2bl w:val="nil"/>
                  </w:tcBorders>
                  <w:vAlign w:val="center"/>
                </w:tcPr>
                <w:p w14:paraId="0B1582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1次/12h</w:t>
                  </w:r>
                </w:p>
              </w:tc>
              <w:tc>
                <w:tcPr>
                  <w:tcW w:w="3168" w:type="dxa"/>
                  <w:vMerge w:val="restart"/>
                  <w:tcBorders>
                    <w:tl2br w:val="nil"/>
                    <w:tr2bl w:val="nil"/>
                  </w:tcBorders>
                  <w:vAlign w:val="center"/>
                </w:tcPr>
                <w:p w14:paraId="5FB648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《医疗机构水污染物排放标准》（GB18466-2005）</w:t>
                  </w: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中“表2 综合医疗机构和其他医疗机构水污染物排放限值（日均值）”中“预处理标准”限值</w:t>
                  </w:r>
                </w:p>
              </w:tc>
              <w:tc>
                <w:tcPr>
                  <w:tcW w:w="1157" w:type="dxa"/>
                  <w:vMerge w:val="restart"/>
                  <w:tcBorders>
                    <w:tl2br w:val="nil"/>
                    <w:tr2bl w:val="nil"/>
                  </w:tcBorders>
                  <w:shd w:val="clear" w:color="auto" w:fill="auto"/>
                  <w:vAlign w:val="center"/>
                </w:tcPr>
                <w:p w14:paraId="70E5C6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委托有资质监测单位</w:t>
                  </w:r>
                </w:p>
              </w:tc>
            </w:tr>
            <w:tr w14:paraId="43E314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4EFF32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2CBE12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CODcr、SS</w:t>
                  </w:r>
                </w:p>
              </w:tc>
              <w:tc>
                <w:tcPr>
                  <w:tcW w:w="1371" w:type="dxa"/>
                  <w:tcBorders>
                    <w:tl2br w:val="nil"/>
                    <w:tr2bl w:val="nil"/>
                  </w:tcBorders>
                  <w:vAlign w:val="center"/>
                </w:tcPr>
                <w:p w14:paraId="6BA406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1次/周</w:t>
                  </w:r>
                </w:p>
              </w:tc>
              <w:tc>
                <w:tcPr>
                  <w:tcW w:w="3168" w:type="dxa"/>
                  <w:vMerge w:val="continue"/>
                  <w:tcBorders>
                    <w:tl2br w:val="nil"/>
                    <w:tr2bl w:val="nil"/>
                  </w:tcBorders>
                  <w:vAlign w:val="center"/>
                </w:tcPr>
                <w:p w14:paraId="3E658B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4B8145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36B9AB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39C46E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5C74D4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粪大肠菌群数</w:t>
                  </w:r>
                </w:p>
              </w:tc>
              <w:tc>
                <w:tcPr>
                  <w:tcW w:w="1371" w:type="dxa"/>
                  <w:tcBorders>
                    <w:tl2br w:val="nil"/>
                    <w:tr2bl w:val="nil"/>
                  </w:tcBorders>
                  <w:vAlign w:val="center"/>
                </w:tcPr>
                <w:p w14:paraId="24C065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1次/月</w:t>
                  </w:r>
                </w:p>
              </w:tc>
              <w:tc>
                <w:tcPr>
                  <w:tcW w:w="3168" w:type="dxa"/>
                  <w:vMerge w:val="continue"/>
                  <w:tcBorders>
                    <w:tl2br w:val="nil"/>
                    <w:tr2bl w:val="nil"/>
                  </w:tcBorders>
                  <w:vAlign w:val="center"/>
                </w:tcPr>
                <w:p w14:paraId="12B197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196C6A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6AEDCF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0F4ED3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62C741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BOD</w:t>
                  </w:r>
                  <w:r>
                    <w:rPr>
                      <w:rFonts w:hint="eastAsia"/>
                      <w:b w:val="0"/>
                      <w:bCs w:val="0"/>
                      <w:color w:val="000000" w:themeColor="text1"/>
                      <w:spacing w:val="0"/>
                      <w:sz w:val="21"/>
                      <w:szCs w:val="21"/>
                      <w:highlight w:val="none"/>
                      <w:vertAlign w:val="subscript"/>
                      <w:lang w:val="en-US" w:eastAsia="zh-CN"/>
                      <w14:textFill>
                        <w14:solidFill>
                          <w14:schemeClr w14:val="tx1"/>
                        </w14:solidFill>
                      </w14:textFill>
                    </w:rPr>
                    <w:t>5</w:t>
                  </w:r>
                </w:p>
              </w:tc>
              <w:tc>
                <w:tcPr>
                  <w:tcW w:w="1371" w:type="dxa"/>
                  <w:tcBorders>
                    <w:tl2br w:val="nil"/>
                    <w:tr2bl w:val="nil"/>
                  </w:tcBorders>
                  <w:vAlign w:val="center"/>
                </w:tcPr>
                <w:p w14:paraId="306458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vMerge w:val="continue"/>
                  <w:tcBorders>
                    <w:tl2br w:val="nil"/>
                    <w:tr2bl w:val="nil"/>
                  </w:tcBorders>
                  <w:vAlign w:val="center"/>
                </w:tcPr>
                <w:p w14:paraId="1DF3F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4E262D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3E519E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256A13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57FF12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总余氯</w:t>
                  </w:r>
                </w:p>
              </w:tc>
              <w:tc>
                <w:tcPr>
                  <w:tcW w:w="1371" w:type="dxa"/>
                  <w:tcBorders>
                    <w:tl2br w:val="nil"/>
                    <w:tr2bl w:val="nil"/>
                  </w:tcBorders>
                  <w:vAlign w:val="center"/>
                </w:tcPr>
                <w:p w14:paraId="25D979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vMerge w:val="continue"/>
                  <w:tcBorders>
                    <w:tl2br w:val="nil"/>
                    <w:tr2bl w:val="nil"/>
                  </w:tcBorders>
                  <w:vAlign w:val="center"/>
                </w:tcPr>
                <w:p w14:paraId="1906D3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157" w:type="dxa"/>
                  <w:vMerge w:val="continue"/>
                  <w:tcBorders>
                    <w:tl2br w:val="nil"/>
                    <w:tr2bl w:val="nil"/>
                  </w:tcBorders>
                  <w:vAlign w:val="center"/>
                </w:tcPr>
                <w:p w14:paraId="36A31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55BA33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vMerge w:val="continue"/>
                  <w:tcBorders>
                    <w:tl2br w:val="nil"/>
                    <w:tr2bl w:val="nil"/>
                  </w:tcBorders>
                  <w:vAlign w:val="center"/>
                </w:tcPr>
                <w:p w14:paraId="543575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860" w:type="dxa"/>
                  <w:tcBorders>
                    <w:tl2br w:val="nil"/>
                    <w:tr2bl w:val="nil"/>
                  </w:tcBorders>
                  <w:vAlign w:val="center"/>
                </w:tcPr>
                <w:p w14:paraId="548EFB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氨氮</w:t>
                  </w:r>
                </w:p>
              </w:tc>
              <w:tc>
                <w:tcPr>
                  <w:tcW w:w="1371" w:type="dxa"/>
                  <w:tcBorders>
                    <w:tl2br w:val="nil"/>
                    <w:tr2bl w:val="nil"/>
                  </w:tcBorders>
                  <w:vAlign w:val="center"/>
                </w:tcPr>
                <w:p w14:paraId="345CE2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1次/季度</w:t>
                  </w:r>
                </w:p>
              </w:tc>
              <w:tc>
                <w:tcPr>
                  <w:tcW w:w="3168" w:type="dxa"/>
                  <w:tcBorders>
                    <w:tl2br w:val="nil"/>
                    <w:tr2bl w:val="nil"/>
                  </w:tcBorders>
                  <w:vAlign w:val="center"/>
                </w:tcPr>
                <w:p w14:paraId="594D71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北京市《水污染综合排放标准》（DB11/307-2013）中“表3 排入公共污水处理系统的水污染物排放限值”</w:t>
                  </w:r>
                </w:p>
              </w:tc>
              <w:tc>
                <w:tcPr>
                  <w:tcW w:w="1157" w:type="dxa"/>
                  <w:vMerge w:val="continue"/>
                  <w:tcBorders>
                    <w:tl2br w:val="nil"/>
                    <w:tr2bl w:val="nil"/>
                  </w:tcBorders>
                  <w:vAlign w:val="center"/>
                </w:tcPr>
                <w:p w14:paraId="79BBF5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15C58D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8" w:type="dxa"/>
                  <w:tcBorders>
                    <w:tl2br w:val="nil"/>
                    <w:tr2bl w:val="nil"/>
                  </w:tcBorders>
                  <w:vAlign w:val="center"/>
                </w:tcPr>
                <w:p w14:paraId="029B26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化粪池、污水处理设施</w:t>
                  </w:r>
                </w:p>
              </w:tc>
              <w:tc>
                <w:tcPr>
                  <w:tcW w:w="1860" w:type="dxa"/>
                  <w:tcBorders>
                    <w:tl2br w:val="nil"/>
                    <w:tr2bl w:val="nil"/>
                  </w:tcBorders>
                  <w:vAlign w:val="center"/>
                </w:tcPr>
                <w:p w14:paraId="326F09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粪大肠菌群数、蛔虫卵死亡率</w:t>
                  </w:r>
                </w:p>
              </w:tc>
              <w:tc>
                <w:tcPr>
                  <w:tcW w:w="1371" w:type="dxa"/>
                  <w:tcBorders>
                    <w:tl2br w:val="nil"/>
                    <w:tr2bl w:val="nil"/>
                  </w:tcBorders>
                  <w:vAlign w:val="center"/>
                </w:tcPr>
                <w:p w14:paraId="2DDF40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污泥清掏前</w:t>
                  </w:r>
                </w:p>
              </w:tc>
              <w:tc>
                <w:tcPr>
                  <w:tcW w:w="3168" w:type="dxa"/>
                  <w:tcBorders>
                    <w:tl2br w:val="nil"/>
                    <w:tr2bl w:val="nil"/>
                  </w:tcBorders>
                  <w:vAlign w:val="center"/>
                </w:tcPr>
                <w:p w14:paraId="7A1653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《医疗机构水污染物排放标准》（GB18466-2005）</w:t>
                  </w:r>
                </w:p>
              </w:tc>
              <w:tc>
                <w:tcPr>
                  <w:tcW w:w="1157" w:type="dxa"/>
                  <w:vMerge w:val="continue"/>
                  <w:tcBorders>
                    <w:tl2br w:val="nil"/>
                    <w:tr2bl w:val="nil"/>
                  </w:tcBorders>
                  <w:vAlign w:val="center"/>
                </w:tcPr>
                <w:p w14:paraId="5B0751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bl>
          <w:p w14:paraId="1344EB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4"/>
                <w:highlight w:val="none"/>
                <w:lang w:val="en-US" w:eastAsia="zh-CN"/>
                <w14:textFill>
                  <w14:solidFill>
                    <w14:schemeClr w14:val="tx1"/>
                  </w14:solidFill>
                </w14:textFill>
              </w:rPr>
              <w:t>3、噪声环境影响分析</w:t>
            </w:r>
          </w:p>
          <w:p w14:paraId="3B97AE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（1）噪声源强及防治措施</w:t>
            </w:r>
          </w:p>
          <w:p w14:paraId="692239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诊疗设备噪声源强较小，运营期噪声设备源主要为污水处理设施（配套的水传输泵）、新风风机（2台）运行过程产生的噪声。为减少设备噪声对周围声环境的影响，对噪声源采取的措施包括：优先选择低噪声生产设备，并加强设备的维护和管理；噪声设备合理布局；污水处理设施（配套的水传输泵）、新风风机（2台）均安装在室内；墙体采用吸音棉等墙体隔声措施；窗户均设置双层隔音玻璃，运营期间关闭门窗。</w:t>
            </w:r>
          </w:p>
          <w:p w14:paraId="2C7792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本项目主要噪声源及源强见下表。</w:t>
            </w:r>
          </w:p>
          <w:p w14:paraId="3936A7F0">
            <w:pPr>
              <w:pStyle w:val="36"/>
              <w:keepNext w:val="0"/>
              <w:keepLines w:val="0"/>
              <w:suppressLineNumbers w:val="0"/>
              <w:bidi w:val="0"/>
              <w:spacing w:before="0" w:beforeAutospacing="0" w:after="0" w:afterAutospacing="0"/>
              <w:ind w:left="0" w:right="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表4-11 主要设备噪声源强</w:t>
            </w:r>
          </w:p>
          <w:tbl>
            <w:tblPr>
              <w:tblStyle w:val="1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3"/>
              <w:gridCol w:w="384"/>
              <w:gridCol w:w="387"/>
              <w:gridCol w:w="544"/>
              <w:gridCol w:w="354"/>
              <w:gridCol w:w="354"/>
              <w:gridCol w:w="354"/>
              <w:gridCol w:w="352"/>
              <w:gridCol w:w="352"/>
              <w:gridCol w:w="352"/>
              <w:gridCol w:w="352"/>
              <w:gridCol w:w="352"/>
              <w:gridCol w:w="352"/>
              <w:gridCol w:w="352"/>
              <w:gridCol w:w="359"/>
              <w:gridCol w:w="388"/>
              <w:gridCol w:w="344"/>
              <w:gridCol w:w="344"/>
              <w:gridCol w:w="344"/>
              <w:gridCol w:w="344"/>
              <w:gridCol w:w="343"/>
              <w:gridCol w:w="344"/>
              <w:gridCol w:w="344"/>
              <w:gridCol w:w="351"/>
              <w:gridCol w:w="215"/>
            </w:tblGrid>
            <w:tr w14:paraId="5350D1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6" w:type="dxa"/>
                  <w:vMerge w:val="restart"/>
                  <w:tcBorders>
                    <w:tl2br w:val="nil"/>
                    <w:tr2bl w:val="nil"/>
                  </w:tcBorders>
                  <w:vAlign w:val="center"/>
                </w:tcPr>
                <w:p w14:paraId="2375CE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bookmarkStart w:id="2" w:name="PT_6"/>
                  <w:r>
                    <w:rPr>
                      <w:rFonts w:hint="default" w:ascii="Times New Roman" w:hAnsi="Times New Roman" w:eastAsia="宋体" w:cs="Times New Roman"/>
                      <w:b/>
                      <w:color w:val="000000" w:themeColor="text1"/>
                      <w:sz w:val="15"/>
                      <w:szCs w:val="15"/>
                      <w:highlight w:val="none"/>
                      <w14:textFill>
                        <w14:solidFill>
                          <w14:schemeClr w14:val="tx1"/>
                        </w14:solidFill>
                      </w14:textFill>
                    </w:rPr>
                    <w:t>序号</w:t>
                  </w:r>
                </w:p>
              </w:tc>
              <w:tc>
                <w:tcPr>
                  <w:tcW w:w="355" w:type="dxa"/>
                  <w:vMerge w:val="restart"/>
                  <w:tcBorders>
                    <w:tl2br w:val="nil"/>
                    <w:tr2bl w:val="nil"/>
                  </w:tcBorders>
                  <w:vAlign w:val="center"/>
                </w:tcPr>
                <w:p w14:paraId="50B3EF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声源名称</w:t>
                  </w:r>
                </w:p>
              </w:tc>
              <w:tc>
                <w:tcPr>
                  <w:tcW w:w="370" w:type="dxa"/>
                  <w:vMerge w:val="restart"/>
                  <w:tcBorders>
                    <w:tl2br w:val="nil"/>
                    <w:tr2bl w:val="nil"/>
                  </w:tcBorders>
                  <w:vAlign w:val="center"/>
                </w:tcPr>
                <w:p w14:paraId="302D52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声源源强</w:t>
                  </w:r>
                </w:p>
              </w:tc>
              <w:tc>
                <w:tcPr>
                  <w:tcW w:w="520" w:type="dxa"/>
                  <w:vMerge w:val="restart"/>
                  <w:tcBorders>
                    <w:tl2br w:val="nil"/>
                    <w:tr2bl w:val="nil"/>
                  </w:tcBorders>
                  <w:vAlign w:val="center"/>
                </w:tcPr>
                <w:p w14:paraId="22EF75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声源控制措施</w:t>
                  </w:r>
                </w:p>
              </w:tc>
              <w:tc>
                <w:tcPr>
                  <w:tcW w:w="1014" w:type="dxa"/>
                  <w:gridSpan w:val="3"/>
                  <w:tcBorders>
                    <w:tl2br w:val="nil"/>
                    <w:tr2bl w:val="nil"/>
                  </w:tcBorders>
                  <w:vAlign w:val="center"/>
                </w:tcPr>
                <w:p w14:paraId="15C3F9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空间相对位置/m</w:t>
                  </w:r>
                </w:p>
              </w:tc>
              <w:tc>
                <w:tcPr>
                  <w:tcW w:w="1344" w:type="dxa"/>
                  <w:gridSpan w:val="4"/>
                  <w:tcBorders>
                    <w:tl2br w:val="nil"/>
                    <w:tr2bl w:val="nil"/>
                  </w:tcBorders>
                  <w:vAlign w:val="center"/>
                </w:tcPr>
                <w:p w14:paraId="244F61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距室内边界距离/m</w:t>
                  </w:r>
                </w:p>
              </w:tc>
              <w:tc>
                <w:tcPr>
                  <w:tcW w:w="1351" w:type="dxa"/>
                  <w:gridSpan w:val="4"/>
                  <w:tcBorders>
                    <w:tl2br w:val="nil"/>
                    <w:tr2bl w:val="nil"/>
                  </w:tcBorders>
                  <w:vAlign w:val="center"/>
                </w:tcPr>
                <w:p w14:paraId="4B6DF7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室内边界声级/dB(A)</w:t>
                  </w:r>
                </w:p>
              </w:tc>
              <w:tc>
                <w:tcPr>
                  <w:tcW w:w="371" w:type="dxa"/>
                  <w:vMerge w:val="restart"/>
                  <w:tcBorders>
                    <w:tl2br w:val="nil"/>
                    <w:tr2bl w:val="nil"/>
                  </w:tcBorders>
                  <w:vAlign w:val="center"/>
                </w:tcPr>
                <w:p w14:paraId="215F3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运行时段</w:t>
                  </w:r>
                </w:p>
              </w:tc>
              <w:tc>
                <w:tcPr>
                  <w:tcW w:w="1316" w:type="dxa"/>
                  <w:gridSpan w:val="4"/>
                  <w:tcBorders>
                    <w:tl2br w:val="nil"/>
                    <w:tr2bl w:val="nil"/>
                  </w:tcBorders>
                  <w:vAlign w:val="center"/>
                </w:tcPr>
                <w:p w14:paraId="0CFC55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建筑物插入损失/dB(A)</w:t>
                  </w:r>
                  <w:bookmarkStart w:id="3" w:name="PT_10"/>
                  <w:bookmarkEnd w:id="3"/>
                </w:p>
              </w:tc>
              <w:tc>
                <w:tcPr>
                  <w:tcW w:w="1526" w:type="dxa"/>
                  <w:gridSpan w:val="5"/>
                  <w:tcBorders>
                    <w:tl2br w:val="nil"/>
                    <w:tr2bl w:val="nil"/>
                  </w:tcBorders>
                  <w:vAlign w:val="center"/>
                </w:tcPr>
                <w:p w14:paraId="5D9A5F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sz w:val="15"/>
                      <w:szCs w:val="15"/>
                      <w:highlight w:val="none"/>
                      <w14:textFill>
                        <w14:solidFill>
                          <w14:schemeClr w14:val="tx1"/>
                        </w14:solidFill>
                      </w14:textFill>
                    </w:rPr>
                  </w:pPr>
                  <w:r>
                    <w:rPr>
                      <w:rFonts w:hint="default" w:ascii="Times New Roman" w:hAnsi="Times New Roman" w:eastAsia="宋体" w:cs="Times New Roman"/>
                      <w:b/>
                      <w:bCs w:val="0"/>
                      <w:color w:val="000000" w:themeColor="text1"/>
                      <w:sz w:val="15"/>
                      <w:szCs w:val="15"/>
                      <w:highlight w:val="none"/>
                      <w14:textFill>
                        <w14:solidFill>
                          <w14:schemeClr w14:val="tx1"/>
                        </w14:solidFill>
                      </w14:textFill>
                    </w:rPr>
                    <w:t>建筑物外噪声声压级/dB(A)</w:t>
                  </w:r>
                </w:p>
              </w:tc>
            </w:tr>
            <w:tr w14:paraId="1C433A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46" w:type="dxa"/>
                  <w:vMerge w:val="continue"/>
                  <w:tcBorders>
                    <w:tl2br w:val="nil"/>
                    <w:tr2bl w:val="nil"/>
                  </w:tcBorders>
                  <w:shd w:val="clear" w:color="auto" w:fill="FFFFFF"/>
                  <w:tcMar>
                    <w:top w:w="0" w:type="dxa"/>
                    <w:left w:w="0" w:type="dxa"/>
                    <w:bottom w:w="0" w:type="dxa"/>
                    <w:right w:w="0" w:type="dxa"/>
                  </w:tcMar>
                  <w:vAlign w:val="center"/>
                </w:tcPr>
                <w:p w14:paraId="55C336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355" w:type="dxa"/>
                  <w:vMerge w:val="continue"/>
                  <w:tcBorders>
                    <w:tl2br w:val="nil"/>
                    <w:tr2bl w:val="nil"/>
                  </w:tcBorders>
                  <w:shd w:val="clear" w:color="auto" w:fill="FFFFFF"/>
                  <w:tcMar>
                    <w:top w:w="0" w:type="dxa"/>
                    <w:left w:w="0" w:type="dxa"/>
                    <w:bottom w:w="0" w:type="dxa"/>
                    <w:right w:w="0" w:type="dxa"/>
                  </w:tcMar>
                  <w:vAlign w:val="center"/>
                </w:tcPr>
                <w:p w14:paraId="436E2E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370" w:type="dxa"/>
                  <w:vMerge w:val="continue"/>
                  <w:tcBorders>
                    <w:tl2br w:val="nil"/>
                    <w:tr2bl w:val="nil"/>
                  </w:tcBorders>
                  <w:shd w:val="clear" w:color="auto" w:fill="FFFFFF"/>
                  <w:tcMar>
                    <w:top w:w="0" w:type="dxa"/>
                    <w:left w:w="0" w:type="dxa"/>
                    <w:bottom w:w="0" w:type="dxa"/>
                    <w:right w:w="0" w:type="dxa"/>
                  </w:tcMar>
                  <w:vAlign w:val="center"/>
                </w:tcPr>
                <w:p w14:paraId="491747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520" w:type="dxa"/>
                  <w:vMerge w:val="continue"/>
                  <w:tcBorders>
                    <w:tl2br w:val="nil"/>
                    <w:tr2bl w:val="nil"/>
                  </w:tcBorders>
                  <w:shd w:val="clear" w:color="auto" w:fill="FFFFFF"/>
                  <w:tcMar>
                    <w:top w:w="0" w:type="dxa"/>
                    <w:left w:w="0" w:type="dxa"/>
                    <w:bottom w:w="0" w:type="dxa"/>
                    <w:right w:w="0" w:type="dxa"/>
                  </w:tcMar>
                  <w:vAlign w:val="center"/>
                </w:tcPr>
                <w:p w14:paraId="0E6AF1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338" w:type="dxa"/>
                  <w:tcBorders>
                    <w:tl2br w:val="nil"/>
                    <w:tr2bl w:val="nil"/>
                  </w:tcBorders>
                  <w:shd w:val="clear" w:color="auto" w:fill="FFFFFF"/>
                  <w:tcMar>
                    <w:top w:w="0" w:type="dxa"/>
                    <w:left w:w="0" w:type="dxa"/>
                    <w:bottom w:w="0" w:type="dxa"/>
                    <w:right w:w="0" w:type="dxa"/>
                  </w:tcMar>
                  <w:vAlign w:val="center"/>
                </w:tcPr>
                <w:p w14:paraId="6638F8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X</w:t>
                  </w:r>
                </w:p>
              </w:tc>
              <w:tc>
                <w:tcPr>
                  <w:tcW w:w="338" w:type="dxa"/>
                  <w:tcBorders>
                    <w:tl2br w:val="nil"/>
                    <w:tr2bl w:val="nil"/>
                  </w:tcBorders>
                  <w:shd w:val="clear" w:color="auto" w:fill="FFFFFF"/>
                  <w:tcMar>
                    <w:top w:w="0" w:type="dxa"/>
                    <w:left w:w="0" w:type="dxa"/>
                    <w:bottom w:w="0" w:type="dxa"/>
                    <w:right w:w="0" w:type="dxa"/>
                  </w:tcMar>
                  <w:vAlign w:val="center"/>
                </w:tcPr>
                <w:p w14:paraId="6AB6E0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Y</w:t>
                  </w:r>
                </w:p>
              </w:tc>
              <w:tc>
                <w:tcPr>
                  <w:tcW w:w="338" w:type="dxa"/>
                  <w:tcBorders>
                    <w:tl2br w:val="nil"/>
                    <w:tr2bl w:val="nil"/>
                  </w:tcBorders>
                  <w:shd w:val="clear" w:color="auto" w:fill="FFFFFF"/>
                  <w:tcMar>
                    <w:top w:w="0" w:type="dxa"/>
                    <w:left w:w="0" w:type="dxa"/>
                    <w:bottom w:w="0" w:type="dxa"/>
                    <w:right w:w="0" w:type="dxa"/>
                  </w:tcMar>
                  <w:vAlign w:val="center"/>
                </w:tcPr>
                <w:p w14:paraId="3AADBA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Z</w:t>
                  </w:r>
                </w:p>
              </w:tc>
              <w:tc>
                <w:tcPr>
                  <w:tcW w:w="336" w:type="dxa"/>
                  <w:tcBorders>
                    <w:tl2br w:val="nil"/>
                    <w:tr2bl w:val="nil"/>
                  </w:tcBorders>
                  <w:shd w:val="clear" w:color="auto" w:fill="FFFFFF"/>
                  <w:tcMar>
                    <w:top w:w="0" w:type="dxa"/>
                    <w:left w:w="0" w:type="dxa"/>
                    <w:bottom w:w="0" w:type="dxa"/>
                    <w:right w:w="0" w:type="dxa"/>
                  </w:tcMar>
                  <w:vAlign w:val="center"/>
                </w:tcPr>
                <w:p w14:paraId="22BC91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东</w:t>
                  </w:r>
                </w:p>
              </w:tc>
              <w:tc>
                <w:tcPr>
                  <w:tcW w:w="336" w:type="dxa"/>
                  <w:tcBorders>
                    <w:tl2br w:val="nil"/>
                    <w:tr2bl w:val="nil"/>
                  </w:tcBorders>
                  <w:shd w:val="clear" w:color="auto" w:fill="FFFFFF"/>
                  <w:tcMar>
                    <w:top w:w="0" w:type="dxa"/>
                    <w:left w:w="0" w:type="dxa"/>
                    <w:bottom w:w="0" w:type="dxa"/>
                    <w:right w:w="0" w:type="dxa"/>
                  </w:tcMar>
                  <w:vAlign w:val="center"/>
                </w:tcPr>
                <w:p w14:paraId="26923E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南</w:t>
                  </w:r>
                </w:p>
              </w:tc>
              <w:tc>
                <w:tcPr>
                  <w:tcW w:w="336" w:type="dxa"/>
                  <w:tcBorders>
                    <w:tl2br w:val="nil"/>
                    <w:tr2bl w:val="nil"/>
                  </w:tcBorders>
                  <w:shd w:val="clear" w:color="auto" w:fill="FFFFFF"/>
                  <w:tcMar>
                    <w:top w:w="0" w:type="dxa"/>
                    <w:left w:w="0" w:type="dxa"/>
                    <w:bottom w:w="0" w:type="dxa"/>
                    <w:right w:w="0" w:type="dxa"/>
                  </w:tcMar>
                  <w:vAlign w:val="center"/>
                </w:tcPr>
                <w:p w14:paraId="138B09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西</w:t>
                  </w:r>
                </w:p>
              </w:tc>
              <w:tc>
                <w:tcPr>
                  <w:tcW w:w="336" w:type="dxa"/>
                  <w:tcBorders>
                    <w:tl2br w:val="nil"/>
                    <w:tr2bl w:val="nil"/>
                  </w:tcBorders>
                  <w:shd w:val="clear" w:color="auto" w:fill="FFFFFF"/>
                  <w:tcMar>
                    <w:top w:w="0" w:type="dxa"/>
                    <w:left w:w="0" w:type="dxa"/>
                    <w:bottom w:w="0" w:type="dxa"/>
                    <w:right w:w="0" w:type="dxa"/>
                  </w:tcMar>
                  <w:vAlign w:val="center"/>
                </w:tcPr>
                <w:p w14:paraId="782698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北</w:t>
                  </w:r>
                </w:p>
              </w:tc>
              <w:tc>
                <w:tcPr>
                  <w:tcW w:w="336" w:type="dxa"/>
                  <w:tcBorders>
                    <w:tl2br w:val="nil"/>
                    <w:tr2bl w:val="nil"/>
                  </w:tcBorders>
                  <w:shd w:val="clear" w:color="auto" w:fill="FFFFFF"/>
                  <w:tcMar>
                    <w:top w:w="0" w:type="dxa"/>
                    <w:left w:w="0" w:type="dxa"/>
                    <w:bottom w:w="0" w:type="dxa"/>
                    <w:right w:w="0" w:type="dxa"/>
                  </w:tcMar>
                  <w:vAlign w:val="center"/>
                </w:tcPr>
                <w:p w14:paraId="4FBC21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东</w:t>
                  </w:r>
                </w:p>
              </w:tc>
              <w:tc>
                <w:tcPr>
                  <w:tcW w:w="336" w:type="dxa"/>
                  <w:tcBorders>
                    <w:tl2br w:val="nil"/>
                    <w:tr2bl w:val="nil"/>
                  </w:tcBorders>
                  <w:shd w:val="clear" w:color="auto" w:fill="FFFFFF"/>
                  <w:tcMar>
                    <w:top w:w="0" w:type="dxa"/>
                    <w:left w:w="0" w:type="dxa"/>
                    <w:bottom w:w="0" w:type="dxa"/>
                    <w:right w:w="0" w:type="dxa"/>
                  </w:tcMar>
                  <w:vAlign w:val="center"/>
                </w:tcPr>
                <w:p w14:paraId="1A84D0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南</w:t>
                  </w:r>
                </w:p>
              </w:tc>
              <w:tc>
                <w:tcPr>
                  <w:tcW w:w="336" w:type="dxa"/>
                  <w:tcBorders>
                    <w:tl2br w:val="nil"/>
                    <w:tr2bl w:val="nil"/>
                  </w:tcBorders>
                  <w:shd w:val="clear" w:color="auto" w:fill="FFFFFF"/>
                  <w:tcMar>
                    <w:top w:w="0" w:type="dxa"/>
                    <w:left w:w="0" w:type="dxa"/>
                    <w:bottom w:w="0" w:type="dxa"/>
                    <w:right w:w="0" w:type="dxa"/>
                  </w:tcMar>
                  <w:vAlign w:val="center"/>
                </w:tcPr>
                <w:p w14:paraId="6C4F25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西</w:t>
                  </w:r>
                </w:p>
              </w:tc>
              <w:tc>
                <w:tcPr>
                  <w:tcW w:w="343" w:type="dxa"/>
                  <w:tcBorders>
                    <w:tl2br w:val="nil"/>
                    <w:tr2bl w:val="nil"/>
                  </w:tcBorders>
                  <w:shd w:val="clear" w:color="auto" w:fill="FFFFFF"/>
                  <w:tcMar>
                    <w:top w:w="0" w:type="dxa"/>
                    <w:left w:w="0" w:type="dxa"/>
                    <w:bottom w:w="0" w:type="dxa"/>
                    <w:right w:w="0" w:type="dxa"/>
                  </w:tcMar>
                  <w:vAlign w:val="center"/>
                </w:tcPr>
                <w:p w14:paraId="324463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北</w:t>
                  </w:r>
                </w:p>
              </w:tc>
              <w:tc>
                <w:tcPr>
                  <w:tcW w:w="371" w:type="dxa"/>
                  <w:vMerge w:val="continue"/>
                  <w:tcBorders>
                    <w:tl2br w:val="nil"/>
                    <w:tr2bl w:val="nil"/>
                  </w:tcBorders>
                  <w:shd w:val="clear" w:color="auto" w:fill="FFFFFF"/>
                  <w:tcMar>
                    <w:top w:w="0" w:type="dxa"/>
                    <w:left w:w="0" w:type="dxa"/>
                    <w:bottom w:w="0" w:type="dxa"/>
                    <w:right w:w="0" w:type="dxa"/>
                  </w:tcMar>
                  <w:vAlign w:val="center"/>
                </w:tcPr>
                <w:p w14:paraId="7DC585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329" w:type="dxa"/>
                  <w:tcBorders>
                    <w:tl2br w:val="nil"/>
                    <w:tr2bl w:val="nil"/>
                  </w:tcBorders>
                  <w:shd w:val="clear" w:color="auto" w:fill="FFFFFF"/>
                  <w:tcMar>
                    <w:top w:w="0" w:type="dxa"/>
                    <w:left w:w="0" w:type="dxa"/>
                    <w:bottom w:w="0" w:type="dxa"/>
                    <w:right w:w="0" w:type="dxa"/>
                  </w:tcMar>
                  <w:vAlign w:val="center"/>
                </w:tcPr>
                <w:p w14:paraId="78D2B8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东</w:t>
                  </w:r>
                </w:p>
              </w:tc>
              <w:tc>
                <w:tcPr>
                  <w:tcW w:w="329" w:type="dxa"/>
                  <w:tcBorders>
                    <w:tl2br w:val="nil"/>
                    <w:tr2bl w:val="nil"/>
                  </w:tcBorders>
                  <w:shd w:val="clear" w:color="auto" w:fill="FFFFFF"/>
                  <w:tcMar>
                    <w:top w:w="0" w:type="dxa"/>
                    <w:left w:w="0" w:type="dxa"/>
                    <w:bottom w:w="0" w:type="dxa"/>
                    <w:right w:w="0" w:type="dxa"/>
                  </w:tcMar>
                  <w:vAlign w:val="center"/>
                </w:tcPr>
                <w:p w14:paraId="5F2AF3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南</w:t>
                  </w:r>
                </w:p>
              </w:tc>
              <w:tc>
                <w:tcPr>
                  <w:tcW w:w="329" w:type="dxa"/>
                  <w:tcBorders>
                    <w:tl2br w:val="nil"/>
                    <w:tr2bl w:val="nil"/>
                  </w:tcBorders>
                  <w:shd w:val="clear" w:color="auto" w:fill="FFFFFF"/>
                  <w:tcMar>
                    <w:top w:w="0" w:type="dxa"/>
                    <w:left w:w="0" w:type="dxa"/>
                    <w:bottom w:w="0" w:type="dxa"/>
                    <w:right w:w="0" w:type="dxa"/>
                  </w:tcMar>
                  <w:vAlign w:val="center"/>
                </w:tcPr>
                <w:p w14:paraId="0614D9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西</w:t>
                  </w:r>
                </w:p>
              </w:tc>
              <w:tc>
                <w:tcPr>
                  <w:tcW w:w="329" w:type="dxa"/>
                  <w:tcBorders>
                    <w:tl2br w:val="nil"/>
                    <w:tr2bl w:val="nil"/>
                  </w:tcBorders>
                  <w:shd w:val="clear" w:color="auto" w:fill="FFFFFF"/>
                  <w:tcMar>
                    <w:top w:w="0" w:type="dxa"/>
                    <w:left w:w="0" w:type="dxa"/>
                    <w:bottom w:w="0" w:type="dxa"/>
                    <w:right w:w="0" w:type="dxa"/>
                  </w:tcMar>
                  <w:vAlign w:val="center"/>
                </w:tcPr>
                <w:p w14:paraId="0EBB3E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北</w:t>
                  </w:r>
                </w:p>
              </w:tc>
              <w:tc>
                <w:tcPr>
                  <w:tcW w:w="328" w:type="dxa"/>
                  <w:tcBorders>
                    <w:tl2br w:val="nil"/>
                    <w:tr2bl w:val="nil"/>
                  </w:tcBorders>
                  <w:shd w:val="clear" w:color="auto" w:fill="FFFFFF"/>
                  <w:tcMar>
                    <w:top w:w="0" w:type="dxa"/>
                    <w:left w:w="0" w:type="dxa"/>
                    <w:bottom w:w="0" w:type="dxa"/>
                    <w:right w:w="0" w:type="dxa"/>
                  </w:tcMar>
                  <w:vAlign w:val="center"/>
                </w:tcPr>
                <w:p w14:paraId="60AA14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东</w:t>
                  </w:r>
                </w:p>
              </w:tc>
              <w:tc>
                <w:tcPr>
                  <w:tcW w:w="329" w:type="dxa"/>
                  <w:tcBorders>
                    <w:tl2br w:val="nil"/>
                    <w:tr2bl w:val="nil"/>
                  </w:tcBorders>
                  <w:shd w:val="clear" w:color="auto" w:fill="FFFFFF"/>
                  <w:tcMar>
                    <w:top w:w="0" w:type="dxa"/>
                    <w:left w:w="0" w:type="dxa"/>
                    <w:bottom w:w="0" w:type="dxa"/>
                    <w:right w:w="0" w:type="dxa"/>
                  </w:tcMar>
                  <w:vAlign w:val="center"/>
                </w:tcPr>
                <w:p w14:paraId="68A58A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南</w:t>
                  </w:r>
                </w:p>
              </w:tc>
              <w:tc>
                <w:tcPr>
                  <w:tcW w:w="329" w:type="dxa"/>
                  <w:tcBorders>
                    <w:tl2br w:val="nil"/>
                    <w:tr2bl w:val="nil"/>
                  </w:tcBorders>
                  <w:shd w:val="clear" w:color="auto" w:fill="FFFFFF"/>
                  <w:tcMar>
                    <w:top w:w="0" w:type="dxa"/>
                    <w:left w:w="0" w:type="dxa"/>
                    <w:bottom w:w="0" w:type="dxa"/>
                    <w:right w:w="0" w:type="dxa"/>
                  </w:tcMar>
                  <w:vAlign w:val="center"/>
                </w:tcPr>
                <w:p w14:paraId="22BF6C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西</w:t>
                  </w:r>
                </w:p>
              </w:tc>
              <w:tc>
                <w:tcPr>
                  <w:tcW w:w="335" w:type="dxa"/>
                  <w:tcBorders>
                    <w:tl2br w:val="nil"/>
                    <w:tr2bl w:val="nil"/>
                  </w:tcBorders>
                  <w:shd w:val="clear" w:color="auto" w:fill="FFFFFF"/>
                  <w:tcMar>
                    <w:top w:w="0" w:type="dxa"/>
                    <w:left w:w="0" w:type="dxa"/>
                    <w:bottom w:w="0" w:type="dxa"/>
                    <w:right w:w="0" w:type="dxa"/>
                  </w:tcMar>
                  <w:vAlign w:val="center"/>
                </w:tcPr>
                <w:p w14:paraId="3D3E3D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北</w:t>
                  </w:r>
                </w:p>
              </w:tc>
              <w:tc>
                <w:tcPr>
                  <w:tcW w:w="205" w:type="dxa"/>
                  <w:tcBorders>
                    <w:tl2br w:val="nil"/>
                    <w:tr2bl w:val="nil"/>
                  </w:tcBorders>
                  <w:shd w:val="clear" w:color="auto" w:fill="FFFFFF"/>
                  <w:tcMar>
                    <w:top w:w="0" w:type="dxa"/>
                    <w:left w:w="0" w:type="dxa"/>
                    <w:bottom w:w="0" w:type="dxa"/>
                    <w:right w:w="0" w:type="dxa"/>
                  </w:tcMar>
                  <w:vAlign w:val="center"/>
                </w:tcPr>
                <w:p w14:paraId="7D2E5A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建筑物外距离</w:t>
                  </w:r>
                </w:p>
              </w:tc>
            </w:tr>
            <w:tr w14:paraId="58CC0F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46" w:type="dxa"/>
                  <w:tcBorders>
                    <w:tl2br w:val="nil"/>
                    <w:tr2bl w:val="nil"/>
                  </w:tcBorders>
                  <w:shd w:val="clear" w:color="auto" w:fill="FFFFFF"/>
                  <w:tcMar>
                    <w:top w:w="0" w:type="dxa"/>
                    <w:left w:w="0" w:type="dxa"/>
                    <w:bottom w:w="0" w:type="dxa"/>
                    <w:right w:w="0" w:type="dxa"/>
                  </w:tcMar>
                  <w:vAlign w:val="center"/>
                </w:tcPr>
                <w:p w14:paraId="69E80C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1</w:t>
                  </w:r>
                </w:p>
              </w:tc>
              <w:tc>
                <w:tcPr>
                  <w:tcW w:w="355" w:type="dxa"/>
                  <w:tcBorders>
                    <w:tl2br w:val="nil"/>
                    <w:tr2bl w:val="nil"/>
                  </w:tcBorders>
                  <w:shd w:val="clear" w:color="auto" w:fill="FFFFFF"/>
                  <w:tcMar>
                    <w:top w:w="0" w:type="dxa"/>
                    <w:left w:w="0" w:type="dxa"/>
                    <w:bottom w:w="0" w:type="dxa"/>
                    <w:right w:w="0" w:type="dxa"/>
                  </w:tcMar>
                  <w:vAlign w:val="center"/>
                </w:tcPr>
                <w:p w14:paraId="02AD34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eastAsia" w:cs="Times New Roman"/>
                      <w:color w:val="000000" w:themeColor="text1"/>
                      <w:sz w:val="15"/>
                      <w:szCs w:val="15"/>
                      <w:highlight w:val="none"/>
                      <w:lang w:eastAsia="zh-CN"/>
                      <w14:textFill>
                        <w14:solidFill>
                          <w14:schemeClr w14:val="tx1"/>
                        </w14:solidFill>
                      </w14:textFill>
                    </w:rPr>
                    <w:t>污水处理设施</w:t>
                  </w:r>
                </w:p>
              </w:tc>
              <w:tc>
                <w:tcPr>
                  <w:tcW w:w="370" w:type="dxa"/>
                  <w:tcBorders>
                    <w:tl2br w:val="nil"/>
                    <w:tr2bl w:val="nil"/>
                  </w:tcBorders>
                  <w:shd w:val="clear" w:color="auto" w:fill="FFFFFF"/>
                  <w:tcMar>
                    <w:top w:w="0" w:type="dxa"/>
                    <w:left w:w="0" w:type="dxa"/>
                    <w:bottom w:w="0" w:type="dxa"/>
                    <w:right w:w="0" w:type="dxa"/>
                  </w:tcMar>
                  <w:vAlign w:val="center"/>
                </w:tcPr>
                <w:p w14:paraId="6F6C47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eastAsia" w:ascii="Times New Roman" w:hAnsi="Times New Roman" w:eastAsia="宋体" w:cs="Times New Roman"/>
                      <w:color w:val="000000" w:themeColor="text1"/>
                      <w:sz w:val="15"/>
                      <w:szCs w:val="15"/>
                      <w:highlight w:val="none"/>
                      <w:lang w:eastAsia="zh-CN"/>
                      <w14:textFill>
                        <w14:solidFill>
                          <w14:schemeClr w14:val="tx1"/>
                        </w14:solidFill>
                      </w14:textFill>
                    </w:rPr>
                    <w:t>7</w:t>
                  </w:r>
                  <w:r>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t>0</w:t>
                  </w:r>
                </w:p>
              </w:tc>
              <w:tc>
                <w:tcPr>
                  <w:tcW w:w="520" w:type="dxa"/>
                  <w:tcBorders>
                    <w:tl2br w:val="nil"/>
                    <w:tr2bl w:val="nil"/>
                  </w:tcBorders>
                  <w:shd w:val="clear" w:color="auto" w:fill="FFFFFF"/>
                  <w:tcMar>
                    <w:top w:w="0" w:type="dxa"/>
                    <w:left w:w="0" w:type="dxa"/>
                    <w:bottom w:w="0" w:type="dxa"/>
                    <w:right w:w="0" w:type="dxa"/>
                  </w:tcMar>
                  <w:vAlign w:val="center"/>
                </w:tcPr>
                <w:p w14:paraId="2A9FA3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减振，室外地埋，隔声</w:t>
                  </w:r>
                </w:p>
              </w:tc>
              <w:tc>
                <w:tcPr>
                  <w:tcW w:w="338" w:type="dxa"/>
                  <w:tcBorders>
                    <w:tl2br w:val="nil"/>
                    <w:tr2bl w:val="nil"/>
                  </w:tcBorders>
                  <w:shd w:val="clear" w:color="auto" w:fill="FFFFFF"/>
                  <w:tcMar>
                    <w:top w:w="0" w:type="dxa"/>
                    <w:left w:w="0" w:type="dxa"/>
                    <w:bottom w:w="0" w:type="dxa"/>
                    <w:right w:w="0" w:type="dxa"/>
                  </w:tcMar>
                  <w:vAlign w:val="center"/>
                </w:tcPr>
                <w:p w14:paraId="766D2D3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-0.4</w:t>
                  </w:r>
                </w:p>
              </w:tc>
              <w:tc>
                <w:tcPr>
                  <w:tcW w:w="338" w:type="dxa"/>
                  <w:tcBorders>
                    <w:tl2br w:val="nil"/>
                    <w:tr2bl w:val="nil"/>
                  </w:tcBorders>
                  <w:shd w:val="clear" w:color="auto" w:fill="FFFFFF"/>
                  <w:tcMar>
                    <w:top w:w="0" w:type="dxa"/>
                    <w:left w:w="0" w:type="dxa"/>
                    <w:bottom w:w="0" w:type="dxa"/>
                    <w:right w:w="0" w:type="dxa"/>
                  </w:tcMar>
                  <w:vAlign w:val="center"/>
                </w:tcPr>
                <w:p w14:paraId="2D2722F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-10.6</w:t>
                  </w:r>
                </w:p>
              </w:tc>
              <w:tc>
                <w:tcPr>
                  <w:tcW w:w="338" w:type="dxa"/>
                  <w:tcBorders>
                    <w:tl2br w:val="nil"/>
                    <w:tr2bl w:val="nil"/>
                  </w:tcBorders>
                  <w:shd w:val="clear" w:color="auto" w:fill="FFFFFF"/>
                  <w:tcMar>
                    <w:top w:w="0" w:type="dxa"/>
                    <w:left w:w="0" w:type="dxa"/>
                    <w:bottom w:w="0" w:type="dxa"/>
                    <w:right w:w="0" w:type="dxa"/>
                  </w:tcMar>
                  <w:vAlign w:val="center"/>
                </w:tcPr>
                <w:p w14:paraId="17AD032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-1.2</w:t>
                  </w:r>
                </w:p>
              </w:tc>
              <w:tc>
                <w:tcPr>
                  <w:tcW w:w="336" w:type="dxa"/>
                  <w:tcBorders>
                    <w:tl2br w:val="nil"/>
                    <w:tr2bl w:val="nil"/>
                  </w:tcBorders>
                  <w:shd w:val="clear" w:color="auto" w:fill="FFFFFF"/>
                  <w:tcMar>
                    <w:top w:w="0" w:type="dxa"/>
                    <w:left w:w="0" w:type="dxa"/>
                    <w:bottom w:w="0" w:type="dxa"/>
                    <w:right w:w="0" w:type="dxa"/>
                  </w:tcMar>
                  <w:vAlign w:val="center"/>
                </w:tcPr>
                <w:p w14:paraId="6771BB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13.2</w:t>
                  </w:r>
                </w:p>
              </w:tc>
              <w:tc>
                <w:tcPr>
                  <w:tcW w:w="336" w:type="dxa"/>
                  <w:tcBorders>
                    <w:tl2br w:val="nil"/>
                    <w:tr2bl w:val="nil"/>
                  </w:tcBorders>
                  <w:shd w:val="clear" w:color="auto" w:fill="FFFFFF"/>
                  <w:tcMar>
                    <w:top w:w="0" w:type="dxa"/>
                    <w:left w:w="0" w:type="dxa"/>
                    <w:bottom w:w="0" w:type="dxa"/>
                    <w:right w:w="0" w:type="dxa"/>
                  </w:tcMar>
                  <w:vAlign w:val="center"/>
                </w:tcPr>
                <w:p w14:paraId="0097DB9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1.1</w:t>
                  </w:r>
                </w:p>
              </w:tc>
              <w:tc>
                <w:tcPr>
                  <w:tcW w:w="336" w:type="dxa"/>
                  <w:tcBorders>
                    <w:tl2br w:val="nil"/>
                    <w:tr2bl w:val="nil"/>
                  </w:tcBorders>
                  <w:shd w:val="clear" w:color="auto" w:fill="FFFFFF"/>
                  <w:tcMar>
                    <w:top w:w="0" w:type="dxa"/>
                    <w:left w:w="0" w:type="dxa"/>
                    <w:bottom w:w="0" w:type="dxa"/>
                    <w:right w:w="0" w:type="dxa"/>
                  </w:tcMar>
                  <w:vAlign w:val="center"/>
                </w:tcPr>
                <w:p w14:paraId="5601947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5.4</w:t>
                  </w:r>
                </w:p>
              </w:tc>
              <w:tc>
                <w:tcPr>
                  <w:tcW w:w="336" w:type="dxa"/>
                  <w:tcBorders>
                    <w:tl2br w:val="nil"/>
                    <w:tr2bl w:val="nil"/>
                  </w:tcBorders>
                  <w:shd w:val="clear" w:color="auto" w:fill="FFFFFF"/>
                  <w:tcMar>
                    <w:top w:w="0" w:type="dxa"/>
                    <w:left w:w="0" w:type="dxa"/>
                    <w:bottom w:w="0" w:type="dxa"/>
                    <w:right w:w="0" w:type="dxa"/>
                  </w:tcMar>
                  <w:vAlign w:val="center"/>
                </w:tcPr>
                <w:p w14:paraId="2C8563A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18.8</w:t>
                  </w:r>
                </w:p>
              </w:tc>
              <w:tc>
                <w:tcPr>
                  <w:tcW w:w="336" w:type="dxa"/>
                  <w:tcBorders>
                    <w:tl2br w:val="nil"/>
                    <w:tr2bl w:val="nil"/>
                  </w:tcBorders>
                  <w:shd w:val="clear" w:color="auto" w:fill="FFFFFF"/>
                  <w:tcMar>
                    <w:top w:w="0" w:type="dxa"/>
                    <w:left w:w="0" w:type="dxa"/>
                    <w:bottom w:w="0" w:type="dxa"/>
                    <w:right w:w="0" w:type="dxa"/>
                  </w:tcMar>
                  <w:vAlign w:val="center"/>
                </w:tcPr>
                <w:p w14:paraId="6AB000F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63.1</w:t>
                  </w:r>
                </w:p>
              </w:tc>
              <w:tc>
                <w:tcPr>
                  <w:tcW w:w="336" w:type="dxa"/>
                  <w:tcBorders>
                    <w:tl2br w:val="nil"/>
                    <w:tr2bl w:val="nil"/>
                  </w:tcBorders>
                  <w:shd w:val="clear" w:color="auto" w:fill="FFFFFF"/>
                  <w:tcMar>
                    <w:top w:w="0" w:type="dxa"/>
                    <w:left w:w="0" w:type="dxa"/>
                    <w:bottom w:w="0" w:type="dxa"/>
                    <w:right w:w="0" w:type="dxa"/>
                  </w:tcMar>
                  <w:vAlign w:val="center"/>
                </w:tcPr>
                <w:p w14:paraId="45363E0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64.3</w:t>
                  </w:r>
                </w:p>
              </w:tc>
              <w:tc>
                <w:tcPr>
                  <w:tcW w:w="336" w:type="dxa"/>
                  <w:tcBorders>
                    <w:tl2br w:val="nil"/>
                    <w:tr2bl w:val="nil"/>
                  </w:tcBorders>
                  <w:shd w:val="clear" w:color="auto" w:fill="FFFFFF"/>
                  <w:tcMar>
                    <w:top w:w="0" w:type="dxa"/>
                    <w:left w:w="0" w:type="dxa"/>
                    <w:bottom w:w="0" w:type="dxa"/>
                    <w:right w:w="0" w:type="dxa"/>
                  </w:tcMar>
                  <w:vAlign w:val="center"/>
                </w:tcPr>
                <w:p w14:paraId="6681CF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63.2</w:t>
                  </w:r>
                </w:p>
              </w:tc>
              <w:tc>
                <w:tcPr>
                  <w:tcW w:w="343" w:type="dxa"/>
                  <w:tcBorders>
                    <w:tl2br w:val="nil"/>
                    <w:tr2bl w:val="nil"/>
                  </w:tcBorders>
                  <w:shd w:val="clear" w:color="auto" w:fill="FFFFFF"/>
                  <w:tcMar>
                    <w:top w:w="0" w:type="dxa"/>
                    <w:left w:w="0" w:type="dxa"/>
                    <w:bottom w:w="0" w:type="dxa"/>
                    <w:right w:w="0" w:type="dxa"/>
                  </w:tcMar>
                  <w:vAlign w:val="center"/>
                </w:tcPr>
                <w:p w14:paraId="31C6164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63.1</w:t>
                  </w:r>
                </w:p>
              </w:tc>
              <w:tc>
                <w:tcPr>
                  <w:tcW w:w="371" w:type="dxa"/>
                  <w:tcBorders>
                    <w:tl2br w:val="nil"/>
                    <w:tr2bl w:val="nil"/>
                  </w:tcBorders>
                  <w:shd w:val="clear" w:color="auto" w:fill="FFFFFF"/>
                  <w:tcMar>
                    <w:top w:w="0" w:type="dxa"/>
                    <w:left w:w="0" w:type="dxa"/>
                    <w:bottom w:w="0" w:type="dxa"/>
                    <w:right w:w="0" w:type="dxa"/>
                  </w:tcMar>
                  <w:vAlign w:val="center"/>
                </w:tcPr>
                <w:p w14:paraId="480E9C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24</w:t>
                  </w:r>
                </w:p>
              </w:tc>
              <w:tc>
                <w:tcPr>
                  <w:tcW w:w="329" w:type="dxa"/>
                  <w:tcBorders>
                    <w:tl2br w:val="nil"/>
                    <w:tr2bl w:val="nil"/>
                  </w:tcBorders>
                  <w:shd w:val="clear" w:color="auto" w:fill="FFFFFF"/>
                  <w:tcMar>
                    <w:top w:w="0" w:type="dxa"/>
                    <w:left w:w="0" w:type="dxa"/>
                    <w:bottom w:w="0" w:type="dxa"/>
                    <w:right w:w="0" w:type="dxa"/>
                  </w:tcMar>
                  <w:vAlign w:val="center"/>
                </w:tcPr>
                <w:p w14:paraId="2F3C5D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1A5FA8C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6A54C1D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33EF5F2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8" w:type="dxa"/>
                  <w:tcBorders>
                    <w:tl2br w:val="nil"/>
                    <w:tr2bl w:val="nil"/>
                  </w:tcBorders>
                  <w:shd w:val="clear" w:color="auto" w:fill="FFFFFF"/>
                  <w:tcMar>
                    <w:top w:w="0" w:type="dxa"/>
                    <w:left w:w="0" w:type="dxa"/>
                    <w:bottom w:w="0" w:type="dxa"/>
                    <w:right w:w="0" w:type="dxa"/>
                  </w:tcMar>
                  <w:vAlign w:val="center"/>
                </w:tcPr>
                <w:p w14:paraId="4DD9A7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37.1</w:t>
                  </w:r>
                </w:p>
              </w:tc>
              <w:tc>
                <w:tcPr>
                  <w:tcW w:w="329" w:type="dxa"/>
                  <w:tcBorders>
                    <w:tl2br w:val="nil"/>
                    <w:tr2bl w:val="nil"/>
                  </w:tcBorders>
                  <w:shd w:val="clear" w:color="auto" w:fill="FFFFFF"/>
                  <w:tcMar>
                    <w:top w:w="0" w:type="dxa"/>
                    <w:left w:w="0" w:type="dxa"/>
                    <w:bottom w:w="0" w:type="dxa"/>
                    <w:right w:w="0" w:type="dxa"/>
                  </w:tcMar>
                  <w:vAlign w:val="center"/>
                </w:tcPr>
                <w:p w14:paraId="5D25361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38.3</w:t>
                  </w:r>
                </w:p>
              </w:tc>
              <w:tc>
                <w:tcPr>
                  <w:tcW w:w="329" w:type="dxa"/>
                  <w:tcBorders>
                    <w:tl2br w:val="nil"/>
                    <w:tr2bl w:val="nil"/>
                  </w:tcBorders>
                  <w:shd w:val="clear" w:color="auto" w:fill="FFFFFF"/>
                  <w:tcMar>
                    <w:top w:w="0" w:type="dxa"/>
                    <w:left w:w="0" w:type="dxa"/>
                    <w:bottom w:w="0" w:type="dxa"/>
                    <w:right w:w="0" w:type="dxa"/>
                  </w:tcMar>
                  <w:vAlign w:val="center"/>
                </w:tcPr>
                <w:p w14:paraId="041D4BD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37.2</w:t>
                  </w:r>
                </w:p>
              </w:tc>
              <w:tc>
                <w:tcPr>
                  <w:tcW w:w="335" w:type="dxa"/>
                  <w:tcBorders>
                    <w:tl2br w:val="nil"/>
                    <w:tr2bl w:val="nil"/>
                  </w:tcBorders>
                  <w:shd w:val="clear" w:color="auto" w:fill="FFFFFF"/>
                  <w:tcMar>
                    <w:top w:w="0" w:type="dxa"/>
                    <w:left w:w="0" w:type="dxa"/>
                    <w:bottom w:w="0" w:type="dxa"/>
                    <w:right w:w="0" w:type="dxa"/>
                  </w:tcMar>
                  <w:vAlign w:val="center"/>
                </w:tcPr>
                <w:p w14:paraId="46A35A0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37.1</w:t>
                  </w:r>
                </w:p>
              </w:tc>
              <w:tc>
                <w:tcPr>
                  <w:tcW w:w="205" w:type="dxa"/>
                  <w:tcBorders>
                    <w:tl2br w:val="nil"/>
                    <w:tr2bl w:val="nil"/>
                  </w:tcBorders>
                  <w:shd w:val="clear" w:color="auto" w:fill="FFFFFF"/>
                  <w:tcMar>
                    <w:top w:w="0" w:type="dxa"/>
                    <w:left w:w="0" w:type="dxa"/>
                    <w:bottom w:w="0" w:type="dxa"/>
                    <w:right w:w="0" w:type="dxa"/>
                  </w:tcMar>
                  <w:vAlign w:val="center"/>
                </w:tcPr>
                <w:p w14:paraId="281AB6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1</w:t>
                  </w:r>
                </w:p>
              </w:tc>
            </w:tr>
            <w:tr w14:paraId="3BE848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46" w:type="dxa"/>
                  <w:tcBorders>
                    <w:tl2br w:val="nil"/>
                    <w:tr2bl w:val="nil"/>
                  </w:tcBorders>
                  <w:shd w:val="clear" w:color="auto" w:fill="FFFFFF"/>
                  <w:tcMar>
                    <w:top w:w="0" w:type="dxa"/>
                    <w:left w:w="0" w:type="dxa"/>
                    <w:bottom w:w="0" w:type="dxa"/>
                    <w:right w:w="0" w:type="dxa"/>
                  </w:tcMar>
                  <w:vAlign w:val="center"/>
                </w:tcPr>
                <w:p w14:paraId="1CB9F6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2</w:t>
                  </w:r>
                </w:p>
              </w:tc>
              <w:tc>
                <w:tcPr>
                  <w:tcW w:w="355" w:type="dxa"/>
                  <w:tcBorders>
                    <w:tl2br w:val="nil"/>
                    <w:tr2bl w:val="nil"/>
                  </w:tcBorders>
                  <w:shd w:val="clear" w:color="auto" w:fill="FFFFFF"/>
                  <w:tcMar>
                    <w:top w:w="0" w:type="dxa"/>
                    <w:left w:w="0" w:type="dxa"/>
                    <w:bottom w:w="0" w:type="dxa"/>
                    <w:right w:w="0" w:type="dxa"/>
                  </w:tcMar>
                  <w:vAlign w:val="center"/>
                </w:tcPr>
                <w:p w14:paraId="5DD4F4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新风风机</w:t>
                  </w:r>
                </w:p>
              </w:tc>
              <w:tc>
                <w:tcPr>
                  <w:tcW w:w="370" w:type="dxa"/>
                  <w:tcBorders>
                    <w:tl2br w:val="nil"/>
                    <w:tr2bl w:val="nil"/>
                  </w:tcBorders>
                  <w:shd w:val="clear" w:color="auto" w:fill="FFFFFF"/>
                  <w:tcMar>
                    <w:top w:w="0" w:type="dxa"/>
                    <w:left w:w="0" w:type="dxa"/>
                    <w:bottom w:w="0" w:type="dxa"/>
                    <w:right w:w="0" w:type="dxa"/>
                  </w:tcMar>
                  <w:vAlign w:val="center"/>
                </w:tcPr>
                <w:p w14:paraId="282CDE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65</w:t>
                  </w:r>
                </w:p>
              </w:tc>
              <w:tc>
                <w:tcPr>
                  <w:tcW w:w="520" w:type="dxa"/>
                  <w:vMerge w:val="restart"/>
                  <w:tcBorders>
                    <w:tl2br w:val="nil"/>
                    <w:tr2bl w:val="nil"/>
                  </w:tcBorders>
                  <w:shd w:val="clear" w:color="auto" w:fill="FFFFFF"/>
                  <w:tcMar>
                    <w:top w:w="0" w:type="dxa"/>
                    <w:left w:w="0" w:type="dxa"/>
                    <w:bottom w:w="0" w:type="dxa"/>
                    <w:right w:w="0" w:type="dxa"/>
                  </w:tcMar>
                  <w:vAlign w:val="center"/>
                </w:tcPr>
                <w:p w14:paraId="6D5D52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减振、室内安装、墙体隔声</w:t>
                  </w:r>
                </w:p>
              </w:tc>
              <w:tc>
                <w:tcPr>
                  <w:tcW w:w="338" w:type="dxa"/>
                  <w:tcBorders>
                    <w:tl2br w:val="nil"/>
                    <w:tr2bl w:val="nil"/>
                  </w:tcBorders>
                  <w:shd w:val="clear" w:color="auto" w:fill="FFFFFF"/>
                  <w:tcMar>
                    <w:top w:w="0" w:type="dxa"/>
                    <w:left w:w="0" w:type="dxa"/>
                    <w:bottom w:w="0" w:type="dxa"/>
                    <w:right w:w="0" w:type="dxa"/>
                  </w:tcMar>
                  <w:vAlign w:val="center"/>
                </w:tcPr>
                <w:p w14:paraId="49BA193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w:t>
                  </w:r>
                </w:p>
              </w:tc>
              <w:tc>
                <w:tcPr>
                  <w:tcW w:w="338" w:type="dxa"/>
                  <w:tcBorders>
                    <w:tl2br w:val="nil"/>
                    <w:tr2bl w:val="nil"/>
                  </w:tcBorders>
                  <w:shd w:val="clear" w:color="auto" w:fill="FFFFFF"/>
                  <w:tcMar>
                    <w:top w:w="0" w:type="dxa"/>
                    <w:left w:w="0" w:type="dxa"/>
                    <w:bottom w:w="0" w:type="dxa"/>
                    <w:right w:w="0" w:type="dxa"/>
                  </w:tcMar>
                  <w:vAlign w:val="center"/>
                </w:tcPr>
                <w:p w14:paraId="720D8D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0.9</w:t>
                  </w:r>
                </w:p>
              </w:tc>
              <w:tc>
                <w:tcPr>
                  <w:tcW w:w="338" w:type="dxa"/>
                  <w:tcBorders>
                    <w:tl2br w:val="nil"/>
                    <w:tr2bl w:val="nil"/>
                  </w:tcBorders>
                  <w:shd w:val="clear" w:color="auto" w:fill="FFFFFF"/>
                  <w:tcMar>
                    <w:top w:w="0" w:type="dxa"/>
                    <w:left w:w="0" w:type="dxa"/>
                    <w:bottom w:w="0" w:type="dxa"/>
                    <w:right w:w="0" w:type="dxa"/>
                  </w:tcMar>
                  <w:vAlign w:val="center"/>
                </w:tcPr>
                <w:p w14:paraId="3270E2F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w:t>
                  </w:r>
                </w:p>
              </w:tc>
              <w:tc>
                <w:tcPr>
                  <w:tcW w:w="336" w:type="dxa"/>
                  <w:tcBorders>
                    <w:tl2br w:val="nil"/>
                    <w:tr2bl w:val="nil"/>
                  </w:tcBorders>
                  <w:shd w:val="clear" w:color="auto" w:fill="FFFFFF"/>
                  <w:tcMar>
                    <w:top w:w="0" w:type="dxa"/>
                    <w:left w:w="0" w:type="dxa"/>
                    <w:bottom w:w="0" w:type="dxa"/>
                    <w:right w:w="0" w:type="dxa"/>
                  </w:tcMar>
                  <w:vAlign w:val="center"/>
                </w:tcPr>
                <w:p w14:paraId="6872B20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4.5</w:t>
                  </w:r>
                </w:p>
              </w:tc>
              <w:tc>
                <w:tcPr>
                  <w:tcW w:w="336" w:type="dxa"/>
                  <w:tcBorders>
                    <w:tl2br w:val="nil"/>
                    <w:tr2bl w:val="nil"/>
                  </w:tcBorders>
                  <w:shd w:val="clear" w:color="auto" w:fill="FFFFFF"/>
                  <w:tcMar>
                    <w:top w:w="0" w:type="dxa"/>
                    <w:left w:w="0" w:type="dxa"/>
                    <w:bottom w:w="0" w:type="dxa"/>
                    <w:right w:w="0" w:type="dxa"/>
                  </w:tcMar>
                  <w:vAlign w:val="center"/>
                </w:tcPr>
                <w:p w14:paraId="7408608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8.1</w:t>
                  </w:r>
                </w:p>
              </w:tc>
              <w:tc>
                <w:tcPr>
                  <w:tcW w:w="336" w:type="dxa"/>
                  <w:tcBorders>
                    <w:tl2br w:val="nil"/>
                    <w:tr2bl w:val="nil"/>
                  </w:tcBorders>
                  <w:shd w:val="clear" w:color="auto" w:fill="FFFFFF"/>
                  <w:tcMar>
                    <w:top w:w="0" w:type="dxa"/>
                    <w:left w:w="0" w:type="dxa"/>
                    <w:bottom w:w="0" w:type="dxa"/>
                    <w:right w:w="0" w:type="dxa"/>
                  </w:tcMar>
                  <w:vAlign w:val="center"/>
                </w:tcPr>
                <w:p w14:paraId="69189ED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11.0</w:t>
                  </w:r>
                </w:p>
              </w:tc>
              <w:tc>
                <w:tcPr>
                  <w:tcW w:w="336" w:type="dxa"/>
                  <w:tcBorders>
                    <w:tl2br w:val="nil"/>
                    <w:tr2bl w:val="nil"/>
                  </w:tcBorders>
                  <w:shd w:val="clear" w:color="auto" w:fill="FFFFFF"/>
                  <w:tcMar>
                    <w:top w:w="0" w:type="dxa"/>
                    <w:left w:w="0" w:type="dxa"/>
                    <w:bottom w:w="0" w:type="dxa"/>
                    <w:right w:w="0" w:type="dxa"/>
                  </w:tcMar>
                  <w:vAlign w:val="center"/>
                </w:tcPr>
                <w:p w14:paraId="109D81D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10.0</w:t>
                  </w:r>
                </w:p>
              </w:tc>
              <w:tc>
                <w:tcPr>
                  <w:tcW w:w="336" w:type="dxa"/>
                  <w:tcBorders>
                    <w:tl2br w:val="nil"/>
                    <w:tr2bl w:val="nil"/>
                  </w:tcBorders>
                  <w:shd w:val="clear" w:color="auto" w:fill="FFFFFF"/>
                  <w:tcMar>
                    <w:top w:w="0" w:type="dxa"/>
                    <w:left w:w="0" w:type="dxa"/>
                    <w:bottom w:w="0" w:type="dxa"/>
                    <w:right w:w="0" w:type="dxa"/>
                  </w:tcMar>
                  <w:vAlign w:val="center"/>
                </w:tcPr>
                <w:p w14:paraId="5BA77FD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58.2</w:t>
                  </w:r>
                </w:p>
              </w:tc>
              <w:tc>
                <w:tcPr>
                  <w:tcW w:w="336" w:type="dxa"/>
                  <w:tcBorders>
                    <w:tl2br w:val="nil"/>
                    <w:tr2bl w:val="nil"/>
                  </w:tcBorders>
                  <w:shd w:val="clear" w:color="auto" w:fill="FFFFFF"/>
                  <w:tcMar>
                    <w:top w:w="0" w:type="dxa"/>
                    <w:left w:w="0" w:type="dxa"/>
                    <w:bottom w:w="0" w:type="dxa"/>
                    <w:right w:w="0" w:type="dxa"/>
                  </w:tcMar>
                  <w:vAlign w:val="center"/>
                </w:tcPr>
                <w:p w14:paraId="30BAB41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36" w:type="dxa"/>
                  <w:tcBorders>
                    <w:tl2br w:val="nil"/>
                    <w:tr2bl w:val="nil"/>
                  </w:tcBorders>
                  <w:shd w:val="clear" w:color="auto" w:fill="FFFFFF"/>
                  <w:tcMar>
                    <w:top w:w="0" w:type="dxa"/>
                    <w:left w:w="0" w:type="dxa"/>
                    <w:bottom w:w="0" w:type="dxa"/>
                    <w:right w:w="0" w:type="dxa"/>
                  </w:tcMar>
                  <w:vAlign w:val="center"/>
                </w:tcPr>
                <w:p w14:paraId="5F09DC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43" w:type="dxa"/>
                  <w:tcBorders>
                    <w:tl2br w:val="nil"/>
                    <w:tr2bl w:val="nil"/>
                  </w:tcBorders>
                  <w:shd w:val="clear" w:color="auto" w:fill="FFFFFF"/>
                  <w:tcMar>
                    <w:top w:w="0" w:type="dxa"/>
                    <w:left w:w="0" w:type="dxa"/>
                    <w:bottom w:w="0" w:type="dxa"/>
                    <w:right w:w="0" w:type="dxa"/>
                  </w:tcMar>
                  <w:vAlign w:val="center"/>
                </w:tcPr>
                <w:p w14:paraId="032C7C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71" w:type="dxa"/>
                  <w:tcBorders>
                    <w:tl2br w:val="nil"/>
                    <w:tr2bl w:val="nil"/>
                  </w:tcBorders>
                  <w:shd w:val="clear" w:color="auto" w:fill="FFFFFF"/>
                  <w:tcMar>
                    <w:top w:w="0" w:type="dxa"/>
                    <w:left w:w="0" w:type="dxa"/>
                    <w:bottom w:w="0" w:type="dxa"/>
                    <w:right w:w="0" w:type="dxa"/>
                  </w:tcMar>
                  <w:vAlign w:val="center"/>
                </w:tcPr>
                <w:p w14:paraId="040C63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24</w:t>
                  </w:r>
                </w:p>
              </w:tc>
              <w:tc>
                <w:tcPr>
                  <w:tcW w:w="329" w:type="dxa"/>
                  <w:tcBorders>
                    <w:tl2br w:val="nil"/>
                    <w:tr2bl w:val="nil"/>
                  </w:tcBorders>
                  <w:shd w:val="clear" w:color="auto" w:fill="FFFFFF"/>
                  <w:tcMar>
                    <w:top w:w="0" w:type="dxa"/>
                    <w:left w:w="0" w:type="dxa"/>
                    <w:bottom w:w="0" w:type="dxa"/>
                    <w:right w:w="0" w:type="dxa"/>
                  </w:tcMar>
                  <w:vAlign w:val="center"/>
                </w:tcPr>
                <w:p w14:paraId="4C59CC0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1B21488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52BF1C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28F2D39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8" w:type="dxa"/>
                  <w:tcBorders>
                    <w:tl2br w:val="nil"/>
                    <w:tr2bl w:val="nil"/>
                  </w:tcBorders>
                  <w:shd w:val="clear" w:color="auto" w:fill="FFFFFF"/>
                  <w:tcMar>
                    <w:top w:w="0" w:type="dxa"/>
                    <w:left w:w="0" w:type="dxa"/>
                    <w:bottom w:w="0" w:type="dxa"/>
                    <w:right w:w="0" w:type="dxa"/>
                  </w:tcMar>
                  <w:vAlign w:val="center"/>
                </w:tcPr>
                <w:p w14:paraId="79ECC3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32.2</w:t>
                  </w:r>
                </w:p>
              </w:tc>
              <w:tc>
                <w:tcPr>
                  <w:tcW w:w="329" w:type="dxa"/>
                  <w:tcBorders>
                    <w:tl2br w:val="nil"/>
                    <w:tr2bl w:val="nil"/>
                  </w:tcBorders>
                  <w:shd w:val="clear" w:color="auto" w:fill="FFFFFF"/>
                  <w:tcMar>
                    <w:top w:w="0" w:type="dxa"/>
                    <w:left w:w="0" w:type="dxa"/>
                    <w:bottom w:w="0" w:type="dxa"/>
                    <w:right w:w="0" w:type="dxa"/>
                  </w:tcMar>
                  <w:vAlign w:val="center"/>
                </w:tcPr>
                <w:p w14:paraId="3F6A1A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329" w:type="dxa"/>
                  <w:tcBorders>
                    <w:tl2br w:val="nil"/>
                    <w:tr2bl w:val="nil"/>
                  </w:tcBorders>
                  <w:shd w:val="clear" w:color="auto" w:fill="FFFFFF"/>
                  <w:tcMar>
                    <w:top w:w="0" w:type="dxa"/>
                    <w:left w:w="0" w:type="dxa"/>
                    <w:bottom w:w="0" w:type="dxa"/>
                    <w:right w:w="0" w:type="dxa"/>
                  </w:tcMar>
                  <w:vAlign w:val="center"/>
                </w:tcPr>
                <w:p w14:paraId="18BC5D7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335" w:type="dxa"/>
                  <w:tcBorders>
                    <w:tl2br w:val="nil"/>
                    <w:tr2bl w:val="nil"/>
                  </w:tcBorders>
                  <w:shd w:val="clear" w:color="auto" w:fill="FFFFFF"/>
                  <w:tcMar>
                    <w:top w:w="0" w:type="dxa"/>
                    <w:left w:w="0" w:type="dxa"/>
                    <w:bottom w:w="0" w:type="dxa"/>
                    <w:right w:w="0" w:type="dxa"/>
                  </w:tcMar>
                  <w:vAlign w:val="center"/>
                </w:tcPr>
                <w:p w14:paraId="4382E7E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205" w:type="dxa"/>
                  <w:tcBorders>
                    <w:tl2br w:val="nil"/>
                    <w:tr2bl w:val="nil"/>
                  </w:tcBorders>
                  <w:shd w:val="clear" w:color="auto" w:fill="FFFFFF"/>
                  <w:tcMar>
                    <w:top w:w="0" w:type="dxa"/>
                    <w:left w:w="0" w:type="dxa"/>
                    <w:bottom w:w="0" w:type="dxa"/>
                    <w:right w:w="0" w:type="dxa"/>
                  </w:tcMar>
                  <w:vAlign w:val="center"/>
                </w:tcPr>
                <w:p w14:paraId="3EE24A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w:t>
                  </w:r>
                </w:p>
              </w:tc>
            </w:tr>
            <w:tr w14:paraId="1E7146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46" w:type="dxa"/>
                  <w:tcBorders>
                    <w:tl2br w:val="nil"/>
                    <w:tr2bl w:val="nil"/>
                  </w:tcBorders>
                  <w:shd w:val="clear" w:color="auto" w:fill="FFFFFF"/>
                  <w:tcMar>
                    <w:top w:w="0" w:type="dxa"/>
                    <w:left w:w="0" w:type="dxa"/>
                    <w:bottom w:w="0" w:type="dxa"/>
                    <w:right w:w="0" w:type="dxa"/>
                  </w:tcMar>
                  <w:vAlign w:val="center"/>
                </w:tcPr>
                <w:p w14:paraId="0F2F90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3</w:t>
                  </w:r>
                </w:p>
              </w:tc>
              <w:tc>
                <w:tcPr>
                  <w:tcW w:w="355" w:type="dxa"/>
                  <w:tcBorders>
                    <w:tl2br w:val="nil"/>
                    <w:tr2bl w:val="nil"/>
                  </w:tcBorders>
                  <w:shd w:val="clear" w:color="auto" w:fill="FFFFFF"/>
                  <w:tcMar>
                    <w:top w:w="0" w:type="dxa"/>
                    <w:left w:w="0" w:type="dxa"/>
                    <w:bottom w:w="0" w:type="dxa"/>
                    <w:right w:w="0" w:type="dxa"/>
                  </w:tcMar>
                  <w:vAlign w:val="center"/>
                </w:tcPr>
                <w:p w14:paraId="2B406A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新风风机</w:t>
                  </w:r>
                </w:p>
              </w:tc>
              <w:tc>
                <w:tcPr>
                  <w:tcW w:w="370" w:type="dxa"/>
                  <w:tcBorders>
                    <w:tl2br w:val="nil"/>
                    <w:tr2bl w:val="nil"/>
                  </w:tcBorders>
                  <w:shd w:val="clear" w:color="auto" w:fill="FFFFFF"/>
                  <w:tcMar>
                    <w:top w:w="0" w:type="dxa"/>
                    <w:left w:w="0" w:type="dxa"/>
                    <w:bottom w:w="0" w:type="dxa"/>
                    <w:right w:w="0" w:type="dxa"/>
                  </w:tcMar>
                  <w:vAlign w:val="center"/>
                </w:tcPr>
                <w:p w14:paraId="58954B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15"/>
                      <w:szCs w:val="15"/>
                      <w:highlight w:val="none"/>
                      <w:lang w:val="en-US" w:eastAsia="zh-CN"/>
                      <w14:textFill>
                        <w14:solidFill>
                          <w14:schemeClr w14:val="tx1"/>
                        </w14:solidFill>
                      </w14:textFill>
                    </w:rPr>
                  </w:pPr>
                  <w:r>
                    <w:rPr>
                      <w:rFonts w:hint="eastAsia" w:cs="Times New Roman"/>
                      <w:color w:val="000000" w:themeColor="text1"/>
                      <w:sz w:val="15"/>
                      <w:szCs w:val="15"/>
                      <w:highlight w:val="none"/>
                      <w:lang w:val="en-US" w:eastAsia="zh-CN"/>
                      <w14:textFill>
                        <w14:solidFill>
                          <w14:schemeClr w14:val="tx1"/>
                        </w14:solidFill>
                      </w14:textFill>
                    </w:rPr>
                    <w:t>65</w:t>
                  </w:r>
                </w:p>
              </w:tc>
              <w:tc>
                <w:tcPr>
                  <w:tcW w:w="520" w:type="dxa"/>
                  <w:vMerge w:val="continue"/>
                  <w:tcBorders>
                    <w:tl2br w:val="nil"/>
                    <w:tr2bl w:val="nil"/>
                  </w:tcBorders>
                  <w:shd w:val="clear" w:color="auto" w:fill="FFFFFF"/>
                  <w:tcMar>
                    <w:top w:w="0" w:type="dxa"/>
                    <w:left w:w="0" w:type="dxa"/>
                    <w:bottom w:w="0" w:type="dxa"/>
                    <w:right w:w="0" w:type="dxa"/>
                  </w:tcMar>
                  <w:vAlign w:val="center"/>
                </w:tcPr>
                <w:p w14:paraId="540500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338" w:type="dxa"/>
                  <w:tcBorders>
                    <w:tl2br w:val="nil"/>
                    <w:tr2bl w:val="nil"/>
                  </w:tcBorders>
                  <w:shd w:val="clear" w:color="auto" w:fill="FFFFFF"/>
                  <w:tcMar>
                    <w:top w:w="0" w:type="dxa"/>
                    <w:left w:w="0" w:type="dxa"/>
                    <w:bottom w:w="0" w:type="dxa"/>
                    <w:right w:w="0" w:type="dxa"/>
                  </w:tcMar>
                  <w:vAlign w:val="center"/>
                </w:tcPr>
                <w:p w14:paraId="3B0A416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-0.6</w:t>
                  </w:r>
                </w:p>
              </w:tc>
              <w:tc>
                <w:tcPr>
                  <w:tcW w:w="338" w:type="dxa"/>
                  <w:tcBorders>
                    <w:tl2br w:val="nil"/>
                    <w:tr2bl w:val="nil"/>
                  </w:tcBorders>
                  <w:shd w:val="clear" w:color="auto" w:fill="FFFFFF"/>
                  <w:tcMar>
                    <w:top w:w="0" w:type="dxa"/>
                    <w:left w:w="0" w:type="dxa"/>
                    <w:bottom w:w="0" w:type="dxa"/>
                    <w:right w:w="0" w:type="dxa"/>
                  </w:tcMar>
                  <w:vAlign w:val="center"/>
                </w:tcPr>
                <w:p w14:paraId="3865F6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-0.4</w:t>
                  </w:r>
                </w:p>
              </w:tc>
              <w:tc>
                <w:tcPr>
                  <w:tcW w:w="338" w:type="dxa"/>
                  <w:tcBorders>
                    <w:tl2br w:val="nil"/>
                    <w:tr2bl w:val="nil"/>
                  </w:tcBorders>
                  <w:shd w:val="clear" w:color="auto" w:fill="FFFFFF"/>
                  <w:tcMar>
                    <w:top w:w="0" w:type="dxa"/>
                    <w:left w:w="0" w:type="dxa"/>
                    <w:bottom w:w="0" w:type="dxa"/>
                    <w:right w:w="0" w:type="dxa"/>
                  </w:tcMar>
                  <w:vAlign w:val="center"/>
                </w:tcPr>
                <w:p w14:paraId="251B1FE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3.5</w:t>
                  </w:r>
                </w:p>
              </w:tc>
              <w:tc>
                <w:tcPr>
                  <w:tcW w:w="336" w:type="dxa"/>
                  <w:tcBorders>
                    <w:tl2br w:val="nil"/>
                    <w:tr2bl w:val="nil"/>
                  </w:tcBorders>
                  <w:shd w:val="clear" w:color="auto" w:fill="FFFFFF"/>
                  <w:tcMar>
                    <w:top w:w="0" w:type="dxa"/>
                    <w:left w:w="0" w:type="dxa"/>
                    <w:bottom w:w="0" w:type="dxa"/>
                    <w:right w:w="0" w:type="dxa"/>
                  </w:tcMar>
                  <w:vAlign w:val="center"/>
                </w:tcPr>
                <w:p w14:paraId="7E6CE8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8.3</w:t>
                  </w:r>
                </w:p>
              </w:tc>
              <w:tc>
                <w:tcPr>
                  <w:tcW w:w="336" w:type="dxa"/>
                  <w:tcBorders>
                    <w:tl2br w:val="nil"/>
                    <w:tr2bl w:val="nil"/>
                  </w:tcBorders>
                  <w:shd w:val="clear" w:color="auto" w:fill="FFFFFF"/>
                  <w:tcMar>
                    <w:top w:w="0" w:type="dxa"/>
                    <w:left w:w="0" w:type="dxa"/>
                    <w:bottom w:w="0" w:type="dxa"/>
                    <w:right w:w="0" w:type="dxa"/>
                  </w:tcMar>
                  <w:vAlign w:val="center"/>
                </w:tcPr>
                <w:p w14:paraId="2EF58E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8.4</w:t>
                  </w:r>
                </w:p>
              </w:tc>
              <w:tc>
                <w:tcPr>
                  <w:tcW w:w="336" w:type="dxa"/>
                  <w:tcBorders>
                    <w:tl2br w:val="nil"/>
                    <w:tr2bl w:val="nil"/>
                  </w:tcBorders>
                  <w:shd w:val="clear" w:color="auto" w:fill="FFFFFF"/>
                  <w:tcMar>
                    <w:top w:w="0" w:type="dxa"/>
                    <w:left w:w="0" w:type="dxa"/>
                    <w:bottom w:w="0" w:type="dxa"/>
                    <w:right w:w="0" w:type="dxa"/>
                  </w:tcMar>
                  <w:vAlign w:val="center"/>
                </w:tcPr>
                <w:p w14:paraId="26419C5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7.2</w:t>
                  </w:r>
                </w:p>
              </w:tc>
              <w:tc>
                <w:tcPr>
                  <w:tcW w:w="336" w:type="dxa"/>
                  <w:tcBorders>
                    <w:tl2br w:val="nil"/>
                    <w:tr2bl w:val="nil"/>
                  </w:tcBorders>
                  <w:shd w:val="clear" w:color="auto" w:fill="FFFFFF"/>
                  <w:tcMar>
                    <w:top w:w="0" w:type="dxa"/>
                    <w:left w:w="0" w:type="dxa"/>
                    <w:bottom w:w="0" w:type="dxa"/>
                    <w:right w:w="0" w:type="dxa"/>
                  </w:tcMar>
                  <w:vAlign w:val="center"/>
                </w:tcPr>
                <w:p w14:paraId="460FF9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9.6</w:t>
                  </w:r>
                </w:p>
              </w:tc>
              <w:tc>
                <w:tcPr>
                  <w:tcW w:w="336" w:type="dxa"/>
                  <w:tcBorders>
                    <w:tl2br w:val="nil"/>
                    <w:tr2bl w:val="nil"/>
                  </w:tcBorders>
                  <w:shd w:val="clear" w:color="auto" w:fill="FFFFFF"/>
                  <w:tcMar>
                    <w:top w:w="0" w:type="dxa"/>
                    <w:left w:w="0" w:type="dxa"/>
                    <w:bottom w:w="0" w:type="dxa"/>
                    <w:right w:w="0" w:type="dxa"/>
                  </w:tcMar>
                  <w:vAlign w:val="center"/>
                </w:tcPr>
                <w:p w14:paraId="1D05B5B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36" w:type="dxa"/>
                  <w:tcBorders>
                    <w:tl2br w:val="nil"/>
                    <w:tr2bl w:val="nil"/>
                  </w:tcBorders>
                  <w:shd w:val="clear" w:color="auto" w:fill="FFFFFF"/>
                  <w:tcMar>
                    <w:top w:w="0" w:type="dxa"/>
                    <w:left w:w="0" w:type="dxa"/>
                    <w:bottom w:w="0" w:type="dxa"/>
                    <w:right w:w="0" w:type="dxa"/>
                  </w:tcMar>
                  <w:vAlign w:val="center"/>
                </w:tcPr>
                <w:p w14:paraId="320FB3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36" w:type="dxa"/>
                  <w:tcBorders>
                    <w:tl2br w:val="nil"/>
                    <w:tr2bl w:val="nil"/>
                  </w:tcBorders>
                  <w:shd w:val="clear" w:color="auto" w:fill="FFFFFF"/>
                  <w:tcMar>
                    <w:top w:w="0" w:type="dxa"/>
                    <w:left w:w="0" w:type="dxa"/>
                    <w:bottom w:w="0" w:type="dxa"/>
                    <w:right w:w="0" w:type="dxa"/>
                  </w:tcMar>
                  <w:vAlign w:val="center"/>
                </w:tcPr>
                <w:p w14:paraId="52816D6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58.2</w:t>
                  </w:r>
                </w:p>
              </w:tc>
              <w:tc>
                <w:tcPr>
                  <w:tcW w:w="343" w:type="dxa"/>
                  <w:tcBorders>
                    <w:tl2br w:val="nil"/>
                    <w:tr2bl w:val="nil"/>
                  </w:tcBorders>
                  <w:shd w:val="clear" w:color="auto" w:fill="FFFFFF"/>
                  <w:tcMar>
                    <w:top w:w="0" w:type="dxa"/>
                    <w:left w:w="0" w:type="dxa"/>
                    <w:bottom w:w="0" w:type="dxa"/>
                    <w:right w:w="0" w:type="dxa"/>
                  </w:tcMar>
                  <w:vAlign w:val="center"/>
                </w:tcPr>
                <w:p w14:paraId="132BE71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58.1</w:t>
                  </w:r>
                </w:p>
              </w:tc>
              <w:tc>
                <w:tcPr>
                  <w:tcW w:w="371" w:type="dxa"/>
                  <w:tcBorders>
                    <w:tl2br w:val="nil"/>
                    <w:tr2bl w:val="nil"/>
                  </w:tcBorders>
                  <w:shd w:val="clear" w:color="auto" w:fill="FFFFFF"/>
                  <w:tcMar>
                    <w:top w:w="0" w:type="dxa"/>
                    <w:left w:w="0" w:type="dxa"/>
                    <w:bottom w:w="0" w:type="dxa"/>
                    <w:right w:w="0" w:type="dxa"/>
                  </w:tcMar>
                  <w:vAlign w:val="center"/>
                </w:tcPr>
                <w:p w14:paraId="0697E5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cs="Times New Roman"/>
                      <w:color w:val="000000" w:themeColor="text1"/>
                      <w:kern w:val="2"/>
                      <w:sz w:val="15"/>
                      <w:szCs w:val="15"/>
                      <w:highlight w:val="none"/>
                      <w:lang w:val="en-US" w:eastAsia="zh-CN" w:bidi="ar-SA"/>
                      <w14:textFill>
                        <w14:solidFill>
                          <w14:schemeClr w14:val="tx1"/>
                        </w14:solidFill>
                      </w14:textFill>
                    </w:rPr>
                    <w:t>24</w:t>
                  </w:r>
                </w:p>
              </w:tc>
              <w:tc>
                <w:tcPr>
                  <w:tcW w:w="329" w:type="dxa"/>
                  <w:tcBorders>
                    <w:tl2br w:val="nil"/>
                    <w:tr2bl w:val="nil"/>
                  </w:tcBorders>
                  <w:shd w:val="clear" w:color="auto" w:fill="FFFFFF"/>
                  <w:tcMar>
                    <w:top w:w="0" w:type="dxa"/>
                    <w:left w:w="0" w:type="dxa"/>
                    <w:bottom w:w="0" w:type="dxa"/>
                    <w:right w:w="0" w:type="dxa"/>
                  </w:tcMar>
                  <w:vAlign w:val="center"/>
                </w:tcPr>
                <w:p w14:paraId="3D9899E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52C2A93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6F0C7B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9" w:type="dxa"/>
                  <w:tcBorders>
                    <w:tl2br w:val="nil"/>
                    <w:tr2bl w:val="nil"/>
                  </w:tcBorders>
                  <w:shd w:val="clear" w:color="auto" w:fill="FFFFFF"/>
                  <w:tcMar>
                    <w:top w:w="0" w:type="dxa"/>
                    <w:left w:w="0" w:type="dxa"/>
                    <w:bottom w:w="0" w:type="dxa"/>
                    <w:right w:w="0" w:type="dxa"/>
                  </w:tcMar>
                  <w:vAlign w:val="center"/>
                </w:tcPr>
                <w:p w14:paraId="6458958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26.0</w:t>
                  </w:r>
                </w:p>
              </w:tc>
              <w:tc>
                <w:tcPr>
                  <w:tcW w:w="328" w:type="dxa"/>
                  <w:tcBorders>
                    <w:tl2br w:val="nil"/>
                    <w:tr2bl w:val="nil"/>
                  </w:tcBorders>
                  <w:shd w:val="clear" w:color="auto" w:fill="FFFFFF"/>
                  <w:tcMar>
                    <w:top w:w="0" w:type="dxa"/>
                    <w:left w:w="0" w:type="dxa"/>
                    <w:bottom w:w="0" w:type="dxa"/>
                    <w:right w:w="0" w:type="dxa"/>
                  </w:tcMar>
                  <w:vAlign w:val="center"/>
                </w:tcPr>
                <w:p w14:paraId="532B04C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329" w:type="dxa"/>
                  <w:tcBorders>
                    <w:tl2br w:val="nil"/>
                    <w:tr2bl w:val="nil"/>
                  </w:tcBorders>
                  <w:shd w:val="clear" w:color="auto" w:fill="FFFFFF"/>
                  <w:tcMar>
                    <w:top w:w="0" w:type="dxa"/>
                    <w:left w:w="0" w:type="dxa"/>
                    <w:bottom w:w="0" w:type="dxa"/>
                    <w:right w:w="0" w:type="dxa"/>
                  </w:tcMar>
                  <w:vAlign w:val="center"/>
                </w:tcPr>
                <w:p w14:paraId="2997071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329" w:type="dxa"/>
                  <w:tcBorders>
                    <w:tl2br w:val="nil"/>
                    <w:tr2bl w:val="nil"/>
                  </w:tcBorders>
                  <w:shd w:val="clear" w:color="auto" w:fill="FFFFFF"/>
                  <w:tcMar>
                    <w:top w:w="0" w:type="dxa"/>
                    <w:left w:w="0" w:type="dxa"/>
                    <w:bottom w:w="0" w:type="dxa"/>
                    <w:right w:w="0" w:type="dxa"/>
                  </w:tcMar>
                  <w:vAlign w:val="center"/>
                </w:tcPr>
                <w:p w14:paraId="18CC02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32.2</w:t>
                  </w:r>
                </w:p>
              </w:tc>
              <w:tc>
                <w:tcPr>
                  <w:tcW w:w="335" w:type="dxa"/>
                  <w:tcBorders>
                    <w:tl2br w:val="nil"/>
                    <w:tr2bl w:val="nil"/>
                  </w:tcBorders>
                  <w:shd w:val="clear" w:color="auto" w:fill="FFFFFF"/>
                  <w:tcMar>
                    <w:top w:w="0" w:type="dxa"/>
                    <w:left w:w="0" w:type="dxa"/>
                    <w:bottom w:w="0" w:type="dxa"/>
                    <w:right w:w="0" w:type="dxa"/>
                  </w:tcMar>
                  <w:vAlign w:val="center"/>
                </w:tcPr>
                <w:p w14:paraId="32576A0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32.1</w:t>
                  </w:r>
                </w:p>
              </w:tc>
              <w:tc>
                <w:tcPr>
                  <w:tcW w:w="205" w:type="dxa"/>
                  <w:tcBorders>
                    <w:tl2br w:val="nil"/>
                    <w:tr2bl w:val="nil"/>
                  </w:tcBorders>
                  <w:shd w:val="clear" w:color="auto" w:fill="FFFFFF"/>
                  <w:tcMar>
                    <w:top w:w="0" w:type="dxa"/>
                    <w:left w:w="0" w:type="dxa"/>
                    <w:bottom w:w="0" w:type="dxa"/>
                    <w:right w:w="0" w:type="dxa"/>
                  </w:tcMar>
                  <w:vAlign w:val="center"/>
                </w:tcPr>
                <w:p w14:paraId="44BF16D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default" w:ascii="Times New Roman" w:hAnsi="Times New Roman" w:eastAsia="Arial" w:cs="Times New Roman"/>
                      <w:color w:val="000000" w:themeColor="text1"/>
                      <w:sz w:val="15"/>
                      <w:szCs w:val="15"/>
                      <w:highlight w:val="none"/>
                      <w14:textFill>
                        <w14:solidFill>
                          <w14:schemeClr w14:val="tx1"/>
                        </w14:solidFill>
                      </w14:textFill>
                    </w:rPr>
                    <w:t>1</w:t>
                  </w:r>
                </w:p>
              </w:tc>
            </w:tr>
            <w:bookmarkEnd w:id="2"/>
          </w:tbl>
          <w:p w14:paraId="1A6C3E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both"/>
              <w:textAlignment w:val="auto"/>
              <w:rPr>
                <w:rFonts w:hint="eastAsia" w:eastAsia="宋体"/>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z w:val="18"/>
                <w:szCs w:val="18"/>
                <w:highlight w:val="none"/>
                <w:lang w:val="en-US" w:eastAsia="zh-CN"/>
                <w14:textFill>
                  <w14:solidFill>
                    <w14:schemeClr w14:val="tx1"/>
                  </w14:solidFill>
                </w14:textFill>
              </w:rPr>
              <w:t>注：</w:t>
            </w:r>
            <w:r>
              <w:rPr>
                <w:rFonts w:hint="eastAsia"/>
                <w:b/>
                <w:bCs/>
                <w:color w:val="000000" w:themeColor="text1"/>
                <w:sz w:val="18"/>
                <w:szCs w:val="18"/>
                <w:highlight w:val="none"/>
                <w14:textFill>
                  <w14:solidFill>
                    <w14:schemeClr w14:val="tx1"/>
                  </w14:solidFill>
                </w14:textFill>
              </w:rPr>
              <w:t>表中坐标以厂界中心（116.364036,40.033374）为坐标原点，正东向为X轴正方向，正北向为Y轴正方向</w:t>
            </w:r>
            <w:r>
              <w:rPr>
                <w:rFonts w:hint="eastAsia"/>
                <w:b/>
                <w:bCs/>
                <w:color w:val="000000" w:themeColor="text1"/>
                <w:sz w:val="18"/>
                <w:szCs w:val="18"/>
                <w:highlight w:val="none"/>
                <w:lang w:eastAsia="zh-CN"/>
                <w14:textFill>
                  <w14:solidFill>
                    <w14:schemeClr w14:val="tx1"/>
                  </w14:solidFill>
                </w14:textFill>
              </w:rPr>
              <w:t>。</w:t>
            </w:r>
          </w:p>
          <w:p w14:paraId="69C6B5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（2）预测模式及结果分析</w:t>
            </w:r>
          </w:p>
          <w:p w14:paraId="55A433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本项目噪声预测采用《环境影响评价技术导则 声环境》（HJ2.4-2021）中推荐的预测模式：</w:t>
            </w:r>
          </w:p>
          <w:p w14:paraId="5B68C1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①室内声源等效室外声源声功率级</w:t>
            </w:r>
          </w:p>
          <w:p w14:paraId="158022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eastAsia="宋体"/>
                <w:b w:val="0"/>
                <w:bCs w:val="0"/>
                <w:color w:val="000000" w:themeColor="text1"/>
                <w:spacing w:val="0"/>
                <w:sz w:val="24"/>
                <w:highlight w:val="none"/>
                <w:lang w:val="en-US" w:eastAsia="zh-CN"/>
                <w14:textFill>
                  <w14:solidFill>
                    <w14:schemeClr w14:val="tx1"/>
                  </w14:solidFill>
                </w14:textFill>
              </w:rPr>
            </w:pPr>
            <m:oMathPara>
              <m:oMath>
                <m:sSub>
                  <m:sSubPr>
                    <m:ctrlPr>
                      <w:rPr>
                        <w:rFonts w:hint="default" w:ascii="Cambria Math" w:hAnsi="Cambria Math"/>
                        <w:bCs w:val="0"/>
                        <w:i/>
                        <w:color w:val="000000" w:themeColor="text1"/>
                        <w:spacing w:val="0"/>
                        <w:sz w:val="24"/>
                        <w:highlight w:val="none"/>
                        <w:lang w:val="en-US"/>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L</m:t>
                    </m:r>
                    <m:ctrlPr>
                      <w:rPr>
                        <w:rFonts w:hint="default" w:ascii="Cambria Math" w:hAnsi="Cambria Math"/>
                        <w:bCs w:val="0"/>
                        <w:i/>
                        <w:color w:val="000000" w:themeColor="text1"/>
                        <w:spacing w:val="0"/>
                        <w:sz w:val="24"/>
                        <w:highlight w:val="none"/>
                        <w:lang w:val="en-US"/>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p2</m:t>
                    </m:r>
                    <m:ctrlPr>
                      <w:rPr>
                        <w:rFonts w:hint="default" w:ascii="Cambria Math" w:hAnsi="Cambria Math"/>
                        <w:bCs w:val="0"/>
                        <w:i/>
                        <w:color w:val="000000" w:themeColor="text1"/>
                        <w:spacing w:val="0"/>
                        <w:sz w:val="24"/>
                        <w:highlight w:val="none"/>
                        <w:lang w:val="en-US"/>
                        <w14:textFill>
                          <w14:solidFill>
                            <w14:schemeClr w14:val="tx1"/>
                          </w14:solidFill>
                        </w14:textFill>
                      </w:rPr>
                    </m:ctrlPr>
                  </m:sub>
                </m:sSub>
                <m:r>
                  <m:rPr/>
                  <w:rPr>
                    <w:rFonts w:hint="default" w:ascii="Cambria Math" w:hAnsi="Cambria Math"/>
                    <w:color w:val="000000" w:themeColor="text1"/>
                    <w:spacing w:val="0"/>
                    <w:sz w:val="24"/>
                    <w:highlight w:val="none"/>
                    <w:lang w:val="en-US" w:eastAsia="zh-CN"/>
                    <w14:textFill>
                      <w14:solidFill>
                        <w14:schemeClr w14:val="tx1"/>
                      </w14:solidFill>
                    </w14:textFill>
                  </w:rPr>
                  <m:t>=</m:t>
                </m:r>
                <m:sSub>
                  <m:sSub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L</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p1</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ub>
                </m:sSub>
                <m:r>
                  <m:rPr/>
                  <w:rPr>
                    <w:rFonts w:hint="default" w:ascii="Cambria Math" w:hAnsi="Cambria Math"/>
                    <w:color w:val="000000" w:themeColor="text1"/>
                    <w:spacing w:val="0"/>
                    <w:sz w:val="24"/>
                    <w:highlight w:val="none"/>
                    <w:lang w:val="en-US" w:eastAsia="zh-CN"/>
                    <w14:textFill>
                      <w14:solidFill>
                        <w14:schemeClr w14:val="tx1"/>
                      </w14:solidFill>
                    </w14:textFill>
                  </w:rPr>
                  <m:t>−</m:t>
                </m:r>
                <m:d>
                  <m:d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dPr>
                  <m:e>
                    <m:r>
                      <m:rPr/>
                      <w:rPr>
                        <w:rFonts w:hint="default" w:ascii="Cambria Math" w:hAnsi="Cambria Math"/>
                        <w:color w:val="000000" w:themeColor="text1"/>
                        <w:spacing w:val="0"/>
                        <w:sz w:val="24"/>
                        <w:highlight w:val="none"/>
                        <w:lang w:val="en-US" w:eastAsia="zh-CN"/>
                        <w14:textFill>
                          <w14:solidFill>
                            <w14:schemeClr w14:val="tx1"/>
                          </w14:solidFill>
                        </w14:textFill>
                      </w:rPr>
                      <m:t>TL+6</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d>
              </m:oMath>
            </m:oMathPara>
          </w:p>
          <w:p w14:paraId="7D2B6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式中：</w:t>
            </w:r>
          </w:p>
          <w:p w14:paraId="35C260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L</w:t>
            </w:r>
            <w:r>
              <w:rPr>
                <w:rFonts w:hint="eastAsia"/>
                <w:b w:val="0"/>
                <w:bCs w:val="0"/>
                <w:color w:val="000000" w:themeColor="text1"/>
                <w:spacing w:val="0"/>
                <w:sz w:val="24"/>
                <w:highlight w:val="none"/>
                <w:vertAlign w:val="subscript"/>
                <w:lang w:val="en-US" w:eastAsia="zh-CN"/>
                <w14:textFill>
                  <w14:solidFill>
                    <w14:schemeClr w14:val="tx1"/>
                  </w14:solidFill>
                </w14:textFill>
              </w:rPr>
              <w:t>p1</w:t>
            </w:r>
            <w:r>
              <w:rPr>
                <w:rFonts w:hint="eastAsia"/>
                <w:b w:val="0"/>
                <w:bCs w:val="0"/>
                <w:color w:val="000000" w:themeColor="text1"/>
                <w:spacing w:val="0"/>
                <w:sz w:val="24"/>
                <w:highlight w:val="none"/>
                <w:vertAlign w:val="baseline"/>
                <w:lang w:val="en-US" w:eastAsia="zh-CN"/>
                <w14:textFill>
                  <w14:solidFill>
                    <w14:schemeClr w14:val="tx1"/>
                  </w14:solidFill>
                </w14:textFill>
              </w:rPr>
              <w:t>—靠近开口处室内某倍频带的声压级，dB；</w:t>
            </w:r>
          </w:p>
          <w:p w14:paraId="626567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L</w:t>
            </w:r>
            <w:r>
              <w:rPr>
                <w:rFonts w:hint="eastAsia"/>
                <w:b w:val="0"/>
                <w:bCs w:val="0"/>
                <w:color w:val="000000" w:themeColor="text1"/>
                <w:spacing w:val="0"/>
                <w:sz w:val="24"/>
                <w:highlight w:val="none"/>
                <w:vertAlign w:val="subscript"/>
                <w:lang w:val="en-US" w:eastAsia="zh-CN"/>
                <w14:textFill>
                  <w14:solidFill>
                    <w14:schemeClr w14:val="tx1"/>
                  </w14:solidFill>
                </w14:textFill>
              </w:rPr>
              <w:t>p2</w:t>
            </w:r>
            <w:r>
              <w:rPr>
                <w:rFonts w:hint="eastAsia"/>
                <w:b w:val="0"/>
                <w:bCs w:val="0"/>
                <w:color w:val="000000" w:themeColor="text1"/>
                <w:spacing w:val="0"/>
                <w:sz w:val="24"/>
                <w:highlight w:val="none"/>
                <w:vertAlign w:val="baseline"/>
                <w:lang w:val="en-US" w:eastAsia="zh-CN"/>
                <w14:textFill>
                  <w14:solidFill>
                    <w14:schemeClr w14:val="tx1"/>
                  </w14:solidFill>
                </w14:textFill>
              </w:rPr>
              <w:t>—靠近开口处室外某倍频带的声压级，dB；</w:t>
            </w:r>
          </w:p>
          <w:p w14:paraId="317C77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TL—隔墙（或窗户）</w:t>
            </w:r>
            <w:r>
              <w:rPr>
                <w:rFonts w:hint="eastAsia"/>
                <w:b w:val="0"/>
                <w:bCs w:val="0"/>
                <w:color w:val="000000" w:themeColor="text1"/>
                <w:spacing w:val="0"/>
                <w:sz w:val="24"/>
                <w:highlight w:val="none"/>
                <w:vertAlign w:val="baseline"/>
                <w:lang w:val="en-US" w:eastAsia="zh-CN"/>
                <w14:textFill>
                  <w14:solidFill>
                    <w14:schemeClr w14:val="tx1"/>
                  </w14:solidFill>
                </w14:textFill>
              </w:rPr>
              <w:t>倍频带的隔声量，dB。</w:t>
            </w:r>
          </w:p>
          <w:p w14:paraId="36825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②</w:t>
            </w:r>
            <w:r>
              <w:rPr>
                <w:rFonts w:hint="eastAsia"/>
                <w:b w:val="0"/>
                <w:bCs w:val="0"/>
                <w:color w:val="000000" w:themeColor="text1"/>
                <w:spacing w:val="0"/>
                <w:sz w:val="24"/>
                <w:highlight w:val="none"/>
                <w:lang w:val="en-US" w:eastAsia="zh-CN"/>
                <w14:textFill>
                  <w14:solidFill>
                    <w14:schemeClr w14:val="tx1"/>
                  </w14:solidFill>
                </w14:textFill>
              </w:rPr>
              <w:t>点声源对预测点（厂界处）产生的贡献值</w:t>
            </w:r>
          </w:p>
          <w:p w14:paraId="206D31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m:oMathPara>
              <m:oMath>
                <m:sSub>
                  <m:sSubPr>
                    <m:ctrlPr>
                      <w:rPr>
                        <w:rFonts w:hint="default" w:ascii="Cambria Math" w:hAnsi="Cambria Math" w:cs="Times New Roman"/>
                        <w:b w:val="0"/>
                        <w:i w:val="0"/>
                        <w:color w:val="000000" w:themeColor="text1"/>
                        <w:spacing w:val="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L</m:t>
                    </m:r>
                    <m:ctrlPr>
                      <w:rPr>
                        <w:rFonts w:hint="default" w:ascii="Cambria Math" w:hAnsi="Cambria Math" w:cs="Times New Roman"/>
                        <w:b w:val="0"/>
                        <w:i w:val="0"/>
                        <w:color w:val="000000" w:themeColor="text1"/>
                        <w:spacing w:val="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eqg</m:t>
                    </m:r>
                    <m:ctrlPr>
                      <w:rPr>
                        <w:rFonts w:hint="default" w:ascii="Cambria Math" w:hAnsi="Cambria Math" w:cs="Times New Roman"/>
                        <w:b w:val="0"/>
                        <w:i w:val="0"/>
                        <w:color w:val="000000" w:themeColor="text1"/>
                        <w:spacing w:val="0"/>
                        <w:kern w:val="2"/>
                        <w:sz w:val="24"/>
                        <w:szCs w:val="24"/>
                        <w:highlight w:val="none"/>
                        <w:lang w:val="en-US" w:eastAsia="zh-CN" w:bidi="ar-SA"/>
                        <w14:textFill>
                          <w14:solidFill>
                            <w14:schemeClr w14:val="tx1"/>
                          </w14:solidFill>
                        </w14:textFill>
                      </w:rPr>
                    </m:ctrlPr>
                  </m:sub>
                </m:s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=10</m:t>
                </m:r>
                <m:func>
                  <m:func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funcPr>
                  <m:fName>
                    <m:r>
                      <m:rPr>
                        <m:sty m:val="p"/>
                      </m:rPr>
                      <w:rPr>
                        <w:rFonts w:hint="default" w:ascii="Cambria Math" w:hAnsi="Cambria Math" w:cs="Times New Roman"/>
                        <w:color w:val="000000" w:themeColor="text1"/>
                        <w:spacing w:val="0"/>
                        <w:kern w:val="2"/>
                        <w:sz w:val="24"/>
                        <w:szCs w:val="24"/>
                        <w:highlight w:val="none"/>
                        <w:lang w:val="en-US" w:bidi="ar-SA"/>
                        <w14:textFill>
                          <w14:solidFill>
                            <w14:schemeClr w14:val="tx1"/>
                          </w14:solidFill>
                        </w14:textFill>
                      </w:rPr>
                      <m:t>lg</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fName>
                  <m:e>
                    <m:d>
                      <m:dPr>
                        <m:begChr m:val="["/>
                        <m:endChr m:val="]"/>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dPr>
                      <m:e>
                        <m:f>
                          <m:f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fPr>
                          <m:num>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1</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num>
                          <m:den>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T</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den>
                        </m:f>
                        <m:d>
                          <m:d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dPr>
                          <m:e>
                            <m:nary>
                              <m:naryPr>
                                <m:chr m:val="∑"/>
                                <m:limLoc m:val="undOv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naryPr>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i=1</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up>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N</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p>
                              <m:e>
                                <m:sSub>
                                  <m:sSub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t</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i</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Sub>
                                <m:sSup>
                                  <m:sSup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p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10</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p>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0.1</m:t>
                                    </m:r>
                                    <m:sSub>
                                      <m:sSub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L</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Ai</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p>
                                </m:sSup>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nary>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m:t>
                            </m:r>
                            <m:nary>
                              <m:naryPr>
                                <m:chr m:val="∑"/>
                                <m:limLoc m:val="undOv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naryPr>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j=1</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up>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M</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p>
                              <m:e>
                                <m:sSub>
                                  <m:sSub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t</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j</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nary>
                            <m:sSup>
                              <m:sSup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p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10</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p>
                                <m:sSub>
                                  <m:sSubP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0.1L</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0"/>
                                        <w:kern w:val="2"/>
                                        <w:sz w:val="24"/>
                                        <w:szCs w:val="24"/>
                                        <w:highlight w:val="none"/>
                                        <w:lang w:val="en-US" w:eastAsia="zh-CN" w:bidi="ar-SA"/>
                                        <w14:textFill>
                                          <w14:solidFill>
                                            <w14:schemeClr w14:val="tx1"/>
                                          </w14:solidFill>
                                        </w14:textFill>
                                      </w:rPr>
                                      <m:t>Aj</m:t>
                                    </m:r>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sup>
                            </m:sSup>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d>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d>
                    <m:ctrlPr>
                      <w:rPr>
                        <w:rFonts w:hint="default" w:ascii="Cambria Math" w:hAnsi="Cambria Math" w:cs="Times New Roman"/>
                        <w:b w:val="0"/>
                        <w:bCs w:val="0"/>
                        <w:color w:val="000000" w:themeColor="text1"/>
                        <w:spacing w:val="0"/>
                        <w:kern w:val="2"/>
                        <w:sz w:val="24"/>
                        <w:szCs w:val="24"/>
                        <w:highlight w:val="none"/>
                        <w:lang w:val="en-US" w:eastAsia="zh-CN" w:bidi="ar-SA"/>
                        <w14:textFill>
                          <w14:solidFill>
                            <w14:schemeClr w14:val="tx1"/>
                          </w14:solidFill>
                        </w14:textFill>
                      </w:rPr>
                    </m:ctrlPr>
                  </m:e>
                </m:func>
              </m:oMath>
            </m:oMathPara>
          </w:p>
          <w:p w14:paraId="412FC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式中：</w:t>
            </w:r>
          </w:p>
          <w:p w14:paraId="43759C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L</w:t>
            </w:r>
            <w:r>
              <w:rPr>
                <w:rFonts w:hint="eastAsia"/>
                <w:b w:val="0"/>
                <w:bCs w:val="0"/>
                <w:color w:val="000000" w:themeColor="text1"/>
                <w:spacing w:val="0"/>
                <w:sz w:val="24"/>
                <w:highlight w:val="none"/>
                <w:vertAlign w:val="subscript"/>
                <w:lang w:val="en-US" w:eastAsia="zh-CN"/>
                <w14:textFill>
                  <w14:solidFill>
                    <w14:schemeClr w14:val="tx1"/>
                  </w14:solidFill>
                </w14:textFill>
              </w:rPr>
              <w:t>eqg</w:t>
            </w:r>
            <w:r>
              <w:rPr>
                <w:rFonts w:hint="eastAsia"/>
                <w:b w:val="0"/>
                <w:bCs w:val="0"/>
                <w:color w:val="000000" w:themeColor="text1"/>
                <w:spacing w:val="0"/>
                <w:sz w:val="24"/>
                <w:highlight w:val="none"/>
                <w:vertAlign w:val="baseline"/>
                <w:lang w:val="en-US" w:eastAsia="zh-CN"/>
                <w14:textFill>
                  <w14:solidFill>
                    <w14:schemeClr w14:val="tx1"/>
                  </w14:solidFill>
                </w14:textFill>
              </w:rPr>
              <w:t>—建设项目声源在预测点产生的噪声贡献值，dB；</w:t>
            </w:r>
          </w:p>
          <w:p w14:paraId="5843A4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T—用于计算等效声级的时间，s；</w:t>
            </w:r>
          </w:p>
          <w:p w14:paraId="22C573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N—室外声源个数；</w:t>
            </w:r>
          </w:p>
          <w:p w14:paraId="1E9194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t</w:t>
            </w:r>
            <w:r>
              <w:rPr>
                <w:rFonts w:hint="eastAsia"/>
                <w:b w:val="0"/>
                <w:bCs w:val="0"/>
                <w:color w:val="000000" w:themeColor="text1"/>
                <w:spacing w:val="0"/>
                <w:sz w:val="24"/>
                <w:highlight w:val="none"/>
                <w:vertAlign w:val="subscript"/>
                <w:lang w:val="en-US" w:eastAsia="zh-CN"/>
                <w14:textFill>
                  <w14:solidFill>
                    <w14:schemeClr w14:val="tx1"/>
                  </w14:solidFill>
                </w14:textFill>
              </w:rPr>
              <w:t>i</w:t>
            </w:r>
            <w:r>
              <w:rPr>
                <w:rFonts w:hint="eastAsia"/>
                <w:b w:val="0"/>
                <w:bCs w:val="0"/>
                <w:color w:val="000000" w:themeColor="text1"/>
                <w:spacing w:val="0"/>
                <w:sz w:val="24"/>
                <w:highlight w:val="none"/>
                <w:vertAlign w:val="baseline"/>
                <w:lang w:val="en-US" w:eastAsia="zh-CN"/>
                <w14:textFill>
                  <w14:solidFill>
                    <w14:schemeClr w14:val="tx1"/>
                  </w14:solidFill>
                </w14:textFill>
              </w:rPr>
              <w:t>—在T时间内i声源工作时间，s；</w:t>
            </w:r>
          </w:p>
          <w:p w14:paraId="55A21C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M—等效室外声源个数；</w:t>
            </w:r>
          </w:p>
          <w:p w14:paraId="74F495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t</w:t>
            </w:r>
            <w:r>
              <w:rPr>
                <w:rFonts w:hint="eastAsia"/>
                <w:b w:val="0"/>
                <w:bCs w:val="0"/>
                <w:color w:val="000000" w:themeColor="text1"/>
                <w:spacing w:val="0"/>
                <w:sz w:val="24"/>
                <w:highlight w:val="none"/>
                <w:vertAlign w:val="subscript"/>
                <w:lang w:val="en-US" w:eastAsia="zh-CN"/>
                <w14:textFill>
                  <w14:solidFill>
                    <w14:schemeClr w14:val="tx1"/>
                  </w14:solidFill>
                </w14:textFill>
              </w:rPr>
              <w:t>j</w:t>
            </w:r>
            <w:r>
              <w:rPr>
                <w:rFonts w:hint="eastAsia"/>
                <w:b w:val="0"/>
                <w:bCs w:val="0"/>
                <w:color w:val="000000" w:themeColor="text1"/>
                <w:spacing w:val="0"/>
                <w:sz w:val="24"/>
                <w:highlight w:val="none"/>
                <w:vertAlign w:val="baseline"/>
                <w:lang w:val="en-US" w:eastAsia="zh-CN"/>
                <w14:textFill>
                  <w14:solidFill>
                    <w14:schemeClr w14:val="tx1"/>
                  </w14:solidFill>
                </w14:textFill>
              </w:rPr>
              <w:t>—在T时间内j声源工作时间，s。</w:t>
            </w:r>
          </w:p>
          <w:p w14:paraId="75D6C3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③</w:t>
            </w:r>
            <w:r>
              <w:rPr>
                <w:rFonts w:hint="eastAsia"/>
                <w:b w:val="0"/>
                <w:bCs w:val="0"/>
                <w:color w:val="000000" w:themeColor="text1"/>
                <w:spacing w:val="0"/>
                <w:sz w:val="24"/>
                <w:highlight w:val="none"/>
                <w:lang w:val="en-US" w:eastAsia="zh-CN"/>
                <w14:textFill>
                  <w14:solidFill>
                    <w14:schemeClr w14:val="tx1"/>
                  </w14:solidFill>
                </w14:textFill>
              </w:rPr>
              <w:t>点声源距离衰减</w:t>
            </w:r>
          </w:p>
          <w:p w14:paraId="592C43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eastAsia="宋体"/>
                <w:b w:val="0"/>
                <w:bCs w:val="0"/>
                <w:color w:val="000000" w:themeColor="text1"/>
                <w:spacing w:val="0"/>
                <w:sz w:val="24"/>
                <w:highlight w:val="none"/>
                <w:lang w:val="en-US" w:eastAsia="zh-CN"/>
                <w14:textFill>
                  <w14:solidFill>
                    <w14:schemeClr w14:val="tx1"/>
                  </w14:solidFill>
                </w14:textFill>
              </w:rPr>
            </w:pPr>
            <m:oMathPara>
              <m:oMath>
                <m:sSub>
                  <m:sSubPr>
                    <m:ctrlPr>
                      <w:rPr>
                        <w:rFonts w:hint="default" w:ascii="Cambria Math" w:hAnsi="Cambria Math"/>
                        <w:bCs w:val="0"/>
                        <w:i/>
                        <w:color w:val="000000" w:themeColor="text1"/>
                        <w:spacing w:val="0"/>
                        <w:sz w:val="24"/>
                        <w:highlight w:val="none"/>
                        <w:lang w:val="en-US"/>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L</m:t>
                    </m:r>
                    <m:ctrlPr>
                      <w:rPr>
                        <w:rFonts w:hint="default" w:ascii="Cambria Math" w:hAnsi="Cambria Math"/>
                        <w:bCs w:val="0"/>
                        <w:i/>
                        <w:color w:val="000000" w:themeColor="text1"/>
                        <w:spacing w:val="0"/>
                        <w:sz w:val="24"/>
                        <w:highlight w:val="none"/>
                        <w:lang w:val="en-US"/>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p</m:t>
                    </m:r>
                    <m:ctrlPr>
                      <w:rPr>
                        <w:rFonts w:hint="default" w:ascii="Cambria Math" w:hAnsi="Cambria Math"/>
                        <w:bCs w:val="0"/>
                        <w:i/>
                        <w:color w:val="000000" w:themeColor="text1"/>
                        <w:spacing w:val="0"/>
                        <w:sz w:val="24"/>
                        <w:highlight w:val="none"/>
                        <w:lang w:val="en-US"/>
                        <w14:textFill>
                          <w14:solidFill>
                            <w14:schemeClr w14:val="tx1"/>
                          </w14:solidFill>
                        </w14:textFill>
                      </w:rPr>
                    </m:ctrlPr>
                  </m:sub>
                </m:sSub>
                <m:d>
                  <m:dPr>
                    <m:ctrlPr>
                      <w:rPr>
                        <w:rFonts w:hint="default" w:ascii="Cambria Math" w:hAnsi="Cambria Math"/>
                        <w:bCs w:val="0"/>
                        <w:i/>
                        <w:color w:val="000000" w:themeColor="text1"/>
                        <w:spacing w:val="0"/>
                        <w:sz w:val="24"/>
                        <w:highlight w:val="none"/>
                        <w:lang w:val="en-US"/>
                        <w14:textFill>
                          <w14:solidFill>
                            <w14:schemeClr w14:val="tx1"/>
                          </w14:solidFill>
                        </w14:textFill>
                      </w:rPr>
                    </m:ctrlPr>
                  </m:dPr>
                  <m:e>
                    <m:r>
                      <m:rPr/>
                      <w:rPr>
                        <w:rFonts w:hint="default" w:ascii="Cambria Math" w:hAnsi="Cambria Math"/>
                        <w:color w:val="000000" w:themeColor="text1"/>
                        <w:spacing w:val="0"/>
                        <w:sz w:val="24"/>
                        <w:highlight w:val="none"/>
                        <w:lang w:val="en-US" w:eastAsia="zh-CN"/>
                        <w14:textFill>
                          <w14:solidFill>
                            <w14:schemeClr w14:val="tx1"/>
                          </w14:solidFill>
                        </w14:textFill>
                      </w:rPr>
                      <m:t>r</m:t>
                    </m:r>
                    <m:ctrlPr>
                      <w:rPr>
                        <w:rFonts w:hint="default" w:ascii="Cambria Math" w:hAnsi="Cambria Math"/>
                        <w:bCs w:val="0"/>
                        <w:i/>
                        <w:color w:val="000000" w:themeColor="text1"/>
                        <w:spacing w:val="0"/>
                        <w:sz w:val="24"/>
                        <w:highlight w:val="none"/>
                        <w:lang w:val="en-US"/>
                        <w14:textFill>
                          <w14:solidFill>
                            <w14:schemeClr w14:val="tx1"/>
                          </w14:solidFill>
                        </w14:textFill>
                      </w:rPr>
                    </m:ctrlPr>
                  </m:e>
                </m:d>
                <m:r>
                  <m:rPr/>
                  <w:rPr>
                    <w:rFonts w:hint="default" w:ascii="Cambria Math" w:hAnsi="Cambria Math"/>
                    <w:color w:val="000000" w:themeColor="text1"/>
                    <w:spacing w:val="0"/>
                    <w:sz w:val="24"/>
                    <w:highlight w:val="none"/>
                    <w:lang w:val="en-US" w:eastAsia="zh-CN"/>
                    <w14:textFill>
                      <w14:solidFill>
                        <w14:schemeClr w14:val="tx1"/>
                      </w14:solidFill>
                    </w14:textFill>
                  </w:rPr>
                  <m:t>=</m:t>
                </m:r>
                <m:sSub>
                  <m:sSub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L</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p</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ub>
                </m:sSub>
                <m:d>
                  <m:d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dPr>
                  <m:e>
                    <m:sSub>
                      <m:sSub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r</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0</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ub>
                    </m:sSub>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d>
                <m:r>
                  <m:rPr/>
                  <w:rPr>
                    <w:rFonts w:hint="default" w:ascii="Cambria Math" w:hAnsi="Cambria Math"/>
                    <w:color w:val="000000" w:themeColor="text1"/>
                    <w:spacing w:val="0"/>
                    <w:sz w:val="24"/>
                    <w:highlight w:val="none"/>
                    <w:lang w:val="en-US" w:eastAsia="zh-CN"/>
                    <w14:textFill>
                      <w14:solidFill>
                        <w14:schemeClr w14:val="tx1"/>
                      </w14:solidFill>
                    </w14:textFill>
                  </w:rPr>
                  <m:t>−20</m:t>
                </m:r>
                <m:func>
                  <m:funcP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funcPr>
                  <m:fName>
                    <m:r>
                      <m:rPr>
                        <m:sty m:val="p"/>
                      </m:rPr>
                      <w:rPr>
                        <w:rFonts w:hint="default" w:ascii="Cambria Math" w:hAnsi="Cambria Math"/>
                        <w:color w:val="000000" w:themeColor="text1"/>
                        <w:spacing w:val="0"/>
                        <w:sz w:val="24"/>
                        <w:highlight w:val="none"/>
                        <w:lang w:val="en-US"/>
                        <w14:textFill>
                          <w14:solidFill>
                            <w14:schemeClr w14:val="tx1"/>
                          </w14:solidFill>
                        </w14:textFill>
                      </w:rPr>
                      <m:t>lg</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fName>
                  <m:e>
                    <m:d>
                      <m:d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dPr>
                      <m:e>
                        <m:f>
                          <m:f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fPr>
                          <m:num>
                            <m:r>
                              <m:rPr/>
                              <w:rPr>
                                <w:rFonts w:hint="default" w:ascii="Cambria Math" w:hAnsi="Cambria Math"/>
                                <w:color w:val="000000" w:themeColor="text1"/>
                                <w:spacing w:val="0"/>
                                <w:sz w:val="24"/>
                                <w:highlight w:val="none"/>
                                <w:lang w:val="en-US" w:eastAsia="zh-CN"/>
                                <w14:textFill>
                                  <w14:solidFill>
                                    <w14:schemeClr w14:val="tx1"/>
                                  </w14:solidFill>
                                </w14:textFill>
                              </w:rPr>
                              <m:t>r</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num>
                          <m:den>
                            <m:sSub>
                              <m:sSubP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SubPr>
                              <m:e>
                                <m:r>
                                  <m:rPr/>
                                  <w:rPr>
                                    <w:rFonts w:hint="default" w:ascii="Cambria Math" w:hAnsi="Cambria Math"/>
                                    <w:color w:val="000000" w:themeColor="text1"/>
                                    <w:spacing w:val="0"/>
                                    <w:sz w:val="24"/>
                                    <w:highlight w:val="none"/>
                                    <w:lang w:val="en-US" w:eastAsia="zh-CN"/>
                                    <w14:textFill>
                                      <w14:solidFill>
                                        <w14:schemeClr w14:val="tx1"/>
                                      </w14:solidFill>
                                    </w14:textFill>
                                  </w:rPr>
                                  <m:t>r</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sub>
                                <m:r>
                                  <m:rPr/>
                                  <w:rPr>
                                    <w:rFonts w:hint="default" w:ascii="Cambria Math" w:hAnsi="Cambria Math"/>
                                    <w:color w:val="000000" w:themeColor="text1"/>
                                    <w:spacing w:val="0"/>
                                    <w:sz w:val="24"/>
                                    <w:highlight w:val="none"/>
                                    <w:lang w:val="en-US" w:eastAsia="zh-CN"/>
                                    <w14:textFill>
                                      <w14:solidFill>
                                        <w14:schemeClr w14:val="tx1"/>
                                      </w14:solidFill>
                                    </w14:textFill>
                                  </w:rPr>
                                  <m:t>0</m:t>
                                </m:r>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sub>
                            </m:sSub>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den>
                        </m:f>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d>
                    <m:ctrlPr>
                      <w:rPr>
                        <w:rFonts w:hint="default" w:ascii="Cambria Math" w:hAnsi="Cambria Math"/>
                        <w:bCs w:val="0"/>
                        <w:i/>
                        <w:color w:val="000000" w:themeColor="text1"/>
                        <w:spacing w:val="0"/>
                        <w:sz w:val="24"/>
                        <w:highlight w:val="none"/>
                        <w:lang w:val="en-US" w:eastAsia="zh-CN"/>
                        <w14:textFill>
                          <w14:solidFill>
                            <w14:schemeClr w14:val="tx1"/>
                          </w14:solidFill>
                        </w14:textFill>
                      </w:rPr>
                    </m:ctrlPr>
                  </m:e>
                </m:func>
              </m:oMath>
            </m:oMathPara>
          </w:p>
          <w:p w14:paraId="48101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式中：</w:t>
            </w:r>
          </w:p>
          <w:p w14:paraId="277EB0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L</w:t>
            </w:r>
            <w:r>
              <w:rPr>
                <w:rFonts w:hint="eastAsia"/>
                <w:b w:val="0"/>
                <w:bCs w:val="0"/>
                <w:color w:val="000000" w:themeColor="text1"/>
                <w:spacing w:val="0"/>
                <w:sz w:val="24"/>
                <w:highlight w:val="none"/>
                <w:vertAlign w:val="subscript"/>
                <w:lang w:val="en-US" w:eastAsia="zh-CN"/>
                <w14:textFill>
                  <w14:solidFill>
                    <w14:schemeClr w14:val="tx1"/>
                  </w14:solidFill>
                </w14:textFill>
              </w:rPr>
              <w:t>p</w:t>
            </w:r>
            <w:r>
              <w:rPr>
                <w:rFonts w:hint="eastAsia"/>
                <w:b w:val="0"/>
                <w:bCs w:val="0"/>
                <w:color w:val="000000" w:themeColor="text1"/>
                <w:spacing w:val="0"/>
                <w:sz w:val="24"/>
                <w:highlight w:val="none"/>
                <w:vertAlign w:val="baseline"/>
                <w:lang w:val="en-US" w:eastAsia="zh-CN"/>
                <w14:textFill>
                  <w14:solidFill>
                    <w14:schemeClr w14:val="tx1"/>
                  </w14:solidFill>
                </w14:textFill>
              </w:rPr>
              <w:t>(r)—距声源r处（厂界处）的A声级，dB(A)；</w:t>
            </w:r>
          </w:p>
          <w:p w14:paraId="7D1484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L</w:t>
            </w:r>
            <w:r>
              <w:rPr>
                <w:rFonts w:hint="eastAsia"/>
                <w:b w:val="0"/>
                <w:bCs w:val="0"/>
                <w:color w:val="000000" w:themeColor="text1"/>
                <w:spacing w:val="0"/>
                <w:sz w:val="24"/>
                <w:highlight w:val="none"/>
                <w:vertAlign w:val="subscript"/>
                <w:lang w:val="en-US" w:eastAsia="zh-CN"/>
                <w14:textFill>
                  <w14:solidFill>
                    <w14:schemeClr w14:val="tx1"/>
                  </w14:solidFill>
                </w14:textFill>
              </w:rPr>
              <w:t>p</w:t>
            </w:r>
            <w:r>
              <w:rPr>
                <w:rFonts w:hint="eastAsia"/>
                <w:b w:val="0"/>
                <w:bCs w:val="0"/>
                <w:color w:val="000000" w:themeColor="text1"/>
                <w:spacing w:val="0"/>
                <w:sz w:val="24"/>
                <w:highlight w:val="none"/>
                <w:vertAlign w:val="baseline"/>
                <w:lang w:val="en-US" w:eastAsia="zh-CN"/>
                <w14:textFill>
                  <w14:solidFill>
                    <w14:schemeClr w14:val="tx1"/>
                  </w14:solidFill>
                </w14:textFill>
              </w:rPr>
              <w:t>(r</w:t>
            </w:r>
            <w:r>
              <w:rPr>
                <w:rFonts w:hint="eastAsia"/>
                <w:b w:val="0"/>
                <w:bCs w:val="0"/>
                <w:color w:val="000000" w:themeColor="text1"/>
                <w:spacing w:val="0"/>
                <w:sz w:val="24"/>
                <w:highlight w:val="none"/>
                <w:vertAlign w:val="subscript"/>
                <w:lang w:val="en-US" w:eastAsia="zh-CN"/>
                <w14:textFill>
                  <w14:solidFill>
                    <w14:schemeClr w14:val="tx1"/>
                  </w14:solidFill>
                </w14:textFill>
              </w:rPr>
              <w:t>0</w:t>
            </w:r>
            <w:r>
              <w:rPr>
                <w:rFonts w:hint="eastAsia"/>
                <w:b w:val="0"/>
                <w:bCs w:val="0"/>
                <w:color w:val="000000" w:themeColor="text1"/>
                <w:spacing w:val="0"/>
                <w:sz w:val="24"/>
                <w:highlight w:val="none"/>
                <w:vertAlign w:val="baseline"/>
                <w:lang w:val="en-US" w:eastAsia="zh-CN"/>
                <w14:textFill>
                  <w14:solidFill>
                    <w14:schemeClr w14:val="tx1"/>
                  </w14:solidFill>
                </w14:textFill>
              </w:rPr>
              <w:t>)—距参考位置r</w:t>
            </w:r>
            <w:r>
              <w:rPr>
                <w:rFonts w:hint="eastAsia"/>
                <w:b w:val="0"/>
                <w:bCs w:val="0"/>
                <w:color w:val="000000" w:themeColor="text1"/>
                <w:spacing w:val="0"/>
                <w:sz w:val="24"/>
                <w:highlight w:val="none"/>
                <w:vertAlign w:val="subscript"/>
                <w:lang w:val="en-US" w:eastAsia="zh-CN"/>
                <w14:textFill>
                  <w14:solidFill>
                    <w14:schemeClr w14:val="tx1"/>
                  </w14:solidFill>
                </w14:textFill>
              </w:rPr>
              <w:t>0</w:t>
            </w:r>
            <w:r>
              <w:rPr>
                <w:rFonts w:hint="eastAsia"/>
                <w:b w:val="0"/>
                <w:bCs w:val="0"/>
                <w:color w:val="000000" w:themeColor="text1"/>
                <w:spacing w:val="0"/>
                <w:sz w:val="24"/>
                <w:highlight w:val="none"/>
                <w:vertAlign w:val="baseline"/>
                <w:lang w:val="en-US" w:eastAsia="zh-CN"/>
                <w14:textFill>
                  <w14:solidFill>
                    <w14:schemeClr w14:val="tx1"/>
                  </w14:solidFill>
                </w14:textFill>
              </w:rPr>
              <w:t>处（声源）的A声级，dB(A)；</w:t>
            </w:r>
          </w:p>
          <w:p w14:paraId="4A8AF2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vertAlign w:val="baseli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r—预测点距声源的距离；</w:t>
            </w:r>
          </w:p>
          <w:p w14:paraId="113FA3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vertAlign w:val="baseline"/>
                <w:lang w:val="en-US" w:eastAsia="zh-CN"/>
                <w14:textFill>
                  <w14:solidFill>
                    <w14:schemeClr w14:val="tx1"/>
                  </w14:solidFill>
                </w14:textFill>
              </w:rPr>
              <w:t>r</w:t>
            </w:r>
            <w:r>
              <w:rPr>
                <w:rFonts w:hint="eastAsia"/>
                <w:b w:val="0"/>
                <w:bCs w:val="0"/>
                <w:color w:val="000000" w:themeColor="text1"/>
                <w:spacing w:val="0"/>
                <w:sz w:val="24"/>
                <w:highlight w:val="none"/>
                <w:vertAlign w:val="subscript"/>
                <w:lang w:val="en-US" w:eastAsia="zh-CN"/>
                <w14:textFill>
                  <w14:solidFill>
                    <w14:schemeClr w14:val="tx1"/>
                  </w14:solidFill>
                </w14:textFill>
              </w:rPr>
              <w:t>0</w:t>
            </w:r>
            <w:r>
              <w:rPr>
                <w:rFonts w:hint="eastAsia"/>
                <w:b w:val="0"/>
                <w:bCs w:val="0"/>
                <w:color w:val="000000" w:themeColor="text1"/>
                <w:spacing w:val="0"/>
                <w:sz w:val="24"/>
                <w:highlight w:val="none"/>
                <w:vertAlign w:val="baseline"/>
                <w:lang w:val="en-US" w:eastAsia="zh-CN"/>
                <w14:textFill>
                  <w14:solidFill>
                    <w14:schemeClr w14:val="tx1"/>
                  </w14:solidFill>
                </w14:textFill>
              </w:rPr>
              <w:t>—参考位置距声源的距离。</w:t>
            </w:r>
          </w:p>
          <w:p w14:paraId="3E55ED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（3）预测结果分析</w:t>
            </w:r>
          </w:p>
          <w:p w14:paraId="1D6C7F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本项目运营期间噪声预测结果如下。</w:t>
            </w:r>
          </w:p>
          <w:p w14:paraId="76AF7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表4-12 项目厂界噪声预测结果一览表  单位：dB(A)</w:t>
            </w:r>
          </w:p>
          <w:tbl>
            <w:tblPr>
              <w:tblStyle w:val="17"/>
              <w:tblW w:w="851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425"/>
              <w:gridCol w:w="1312"/>
              <w:gridCol w:w="1312"/>
              <w:gridCol w:w="1312"/>
              <w:gridCol w:w="1314"/>
              <w:gridCol w:w="1109"/>
            </w:tblGrid>
            <w:tr w14:paraId="74FA6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restart"/>
                  <w:tcBorders>
                    <w:tl2br w:val="nil"/>
                    <w:tr2bl w:val="nil"/>
                  </w:tcBorders>
                  <w:vAlign w:val="center"/>
                </w:tcPr>
                <w:p w14:paraId="39DC24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序号</w:t>
                  </w:r>
                </w:p>
              </w:tc>
              <w:tc>
                <w:tcPr>
                  <w:tcW w:w="1425" w:type="dxa"/>
                  <w:vMerge w:val="restart"/>
                  <w:tcBorders>
                    <w:tl2br w:val="nil"/>
                    <w:tr2bl w:val="nil"/>
                  </w:tcBorders>
                  <w:vAlign w:val="center"/>
                </w:tcPr>
                <w:p w14:paraId="619639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预测点位置</w:t>
                  </w:r>
                </w:p>
              </w:tc>
              <w:tc>
                <w:tcPr>
                  <w:tcW w:w="2624" w:type="dxa"/>
                  <w:gridSpan w:val="2"/>
                  <w:tcBorders>
                    <w:right w:val="single" w:color="auto" w:sz="4" w:space="0"/>
                    <w:tl2br w:val="nil"/>
                    <w:tr2bl w:val="nil"/>
                  </w:tcBorders>
                  <w:vAlign w:val="center"/>
                </w:tcPr>
                <w:p w14:paraId="13C100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贡献值dB</w:t>
                  </w:r>
                  <w:r>
                    <w:rPr>
                      <w:rFonts w:hint="default" w:ascii="Times New Roman" w:hAnsi="Times New Roman" w:eastAsia="宋体" w:cs="Times New Roman"/>
                      <w:b/>
                      <w:color w:val="000000" w:themeColor="text1"/>
                      <w:sz w:val="21"/>
                      <w:szCs w:val="21"/>
                      <w:highlight w:val="none"/>
                      <w14:textFill>
                        <w14:solidFill>
                          <w14:schemeClr w14:val="tx1"/>
                        </w14:solidFill>
                      </w14:textFill>
                    </w:rPr>
                    <w:t>(A)</w:t>
                  </w:r>
                </w:p>
              </w:tc>
              <w:tc>
                <w:tcPr>
                  <w:tcW w:w="2626" w:type="dxa"/>
                  <w:gridSpan w:val="2"/>
                  <w:tcBorders>
                    <w:right w:val="single" w:color="000000" w:sz="4" w:space="0"/>
                    <w:tl2br w:val="nil"/>
                    <w:tr2bl w:val="nil"/>
                  </w:tcBorders>
                  <w:vAlign w:val="center"/>
                </w:tcPr>
                <w:p w14:paraId="63C64A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标准值dB</w:t>
                  </w:r>
                  <w:r>
                    <w:rPr>
                      <w:rFonts w:hint="default" w:ascii="Times New Roman" w:hAnsi="Times New Roman" w:eastAsia="宋体" w:cs="Times New Roman"/>
                      <w:b/>
                      <w:color w:val="000000" w:themeColor="text1"/>
                      <w:sz w:val="21"/>
                      <w:szCs w:val="21"/>
                      <w:highlight w:val="none"/>
                      <w14:textFill>
                        <w14:solidFill>
                          <w14:schemeClr w14:val="tx1"/>
                        </w14:solidFill>
                      </w14:textFill>
                    </w:rPr>
                    <w:t>(A)</w:t>
                  </w:r>
                </w:p>
              </w:tc>
              <w:tc>
                <w:tcPr>
                  <w:tcW w:w="1109" w:type="dxa"/>
                  <w:vMerge w:val="restart"/>
                  <w:tcBorders>
                    <w:left w:val="single" w:color="000000" w:sz="4" w:space="0"/>
                    <w:tl2br w:val="nil"/>
                    <w:tr2bl w:val="nil"/>
                  </w:tcBorders>
                  <w:vAlign w:val="center"/>
                </w:tcPr>
                <w:p w14:paraId="470103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达标情况</w:t>
                  </w:r>
                </w:p>
              </w:tc>
            </w:tr>
            <w:tr w14:paraId="385FAE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continue"/>
                  <w:tcBorders>
                    <w:tl2br w:val="nil"/>
                    <w:tr2bl w:val="nil"/>
                  </w:tcBorders>
                  <w:vAlign w:val="center"/>
                </w:tcPr>
                <w:p w14:paraId="035CA5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z w:val="21"/>
                      <w:szCs w:val="21"/>
                      <w:highlight w:val="none"/>
                      <w:vertAlign w:val="baseline"/>
                      <w:lang w:val="en-US" w:eastAsia="zh-CN"/>
                      <w14:textFill>
                        <w14:solidFill>
                          <w14:schemeClr w14:val="tx1"/>
                        </w14:solidFill>
                      </w14:textFill>
                    </w:rPr>
                  </w:pPr>
                </w:p>
              </w:tc>
              <w:tc>
                <w:tcPr>
                  <w:tcW w:w="1425" w:type="dxa"/>
                  <w:vMerge w:val="continue"/>
                  <w:tcBorders>
                    <w:tl2br w:val="nil"/>
                    <w:tr2bl w:val="nil"/>
                  </w:tcBorders>
                  <w:vAlign w:val="center"/>
                </w:tcPr>
                <w:p w14:paraId="21CE5D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z w:val="21"/>
                      <w:szCs w:val="21"/>
                      <w:highlight w:val="none"/>
                      <w:vertAlign w:val="baseline"/>
                      <w:lang w:val="en-US" w:eastAsia="zh-CN"/>
                      <w14:textFill>
                        <w14:solidFill>
                          <w14:schemeClr w14:val="tx1"/>
                        </w14:solidFill>
                      </w14:textFill>
                    </w:rPr>
                  </w:pPr>
                </w:p>
              </w:tc>
              <w:tc>
                <w:tcPr>
                  <w:tcW w:w="1312" w:type="dxa"/>
                  <w:tcBorders>
                    <w:top w:val="single" w:color="auto" w:sz="4" w:space="0"/>
                    <w:right w:val="single" w:color="auto" w:sz="4" w:space="0"/>
                    <w:tl2br w:val="nil"/>
                    <w:tr2bl w:val="nil"/>
                  </w:tcBorders>
                  <w:vAlign w:val="center"/>
                </w:tcPr>
                <w:p w14:paraId="45C8C8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昼间</w:t>
                  </w:r>
                </w:p>
              </w:tc>
              <w:tc>
                <w:tcPr>
                  <w:tcW w:w="1312" w:type="dxa"/>
                  <w:tcBorders>
                    <w:top w:val="single" w:color="auto" w:sz="4" w:space="0"/>
                    <w:right w:val="single" w:color="auto" w:sz="4" w:space="0"/>
                    <w:tl2br w:val="nil"/>
                    <w:tr2bl w:val="nil"/>
                  </w:tcBorders>
                  <w:vAlign w:val="center"/>
                </w:tcPr>
                <w:p w14:paraId="1D767A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夜间</w:t>
                  </w:r>
                </w:p>
              </w:tc>
              <w:tc>
                <w:tcPr>
                  <w:tcW w:w="1312" w:type="dxa"/>
                  <w:tcBorders>
                    <w:top w:val="single" w:color="auto" w:sz="4" w:space="0"/>
                    <w:right w:val="single" w:color="auto" w:sz="4" w:space="0"/>
                    <w:tl2br w:val="nil"/>
                    <w:tr2bl w:val="nil"/>
                  </w:tcBorders>
                  <w:vAlign w:val="center"/>
                </w:tcPr>
                <w:p w14:paraId="05EDDC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昼间</w:t>
                  </w:r>
                </w:p>
              </w:tc>
              <w:tc>
                <w:tcPr>
                  <w:tcW w:w="1314" w:type="dxa"/>
                  <w:tcBorders>
                    <w:top w:val="single" w:color="auto" w:sz="4" w:space="0"/>
                    <w:right w:val="single" w:color="000000" w:sz="4" w:space="0"/>
                    <w:tl2br w:val="nil"/>
                    <w:tr2bl w:val="nil"/>
                  </w:tcBorders>
                  <w:vAlign w:val="center"/>
                </w:tcPr>
                <w:p w14:paraId="70B966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夜间</w:t>
                  </w:r>
                </w:p>
              </w:tc>
              <w:tc>
                <w:tcPr>
                  <w:tcW w:w="1109" w:type="dxa"/>
                  <w:vMerge w:val="continue"/>
                  <w:tcBorders>
                    <w:left w:val="single" w:color="000000" w:sz="4" w:space="0"/>
                    <w:tl2br w:val="nil"/>
                    <w:tr2bl w:val="nil"/>
                  </w:tcBorders>
                  <w:vAlign w:val="center"/>
                </w:tcPr>
                <w:p w14:paraId="12AE61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z w:val="21"/>
                      <w:szCs w:val="21"/>
                      <w:highlight w:val="none"/>
                      <w:vertAlign w:val="baseline"/>
                      <w:lang w:val="en-US" w:eastAsia="zh-CN"/>
                      <w14:textFill>
                        <w14:solidFill>
                          <w14:schemeClr w14:val="tx1"/>
                        </w14:solidFill>
                      </w14:textFill>
                    </w:rPr>
                  </w:pPr>
                </w:p>
              </w:tc>
            </w:tr>
            <w:tr w14:paraId="3A1B13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14:paraId="2CB7EB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1425" w:type="dxa"/>
                  <w:tcBorders>
                    <w:tl2br w:val="nil"/>
                    <w:tr2bl w:val="nil"/>
                  </w:tcBorders>
                  <w:vAlign w:val="center"/>
                </w:tcPr>
                <w:p w14:paraId="25295F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北厂界</w:t>
                  </w:r>
                </w:p>
              </w:tc>
              <w:tc>
                <w:tcPr>
                  <w:tcW w:w="1312" w:type="dxa"/>
                  <w:tcBorders>
                    <w:tl2br w:val="nil"/>
                    <w:tr2bl w:val="nil"/>
                  </w:tcBorders>
                  <w:shd w:val="clear" w:color="auto" w:fill="auto"/>
                  <w:vAlign w:val="center"/>
                </w:tcPr>
                <w:p w14:paraId="043365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5.3</w:t>
                  </w:r>
                </w:p>
              </w:tc>
              <w:tc>
                <w:tcPr>
                  <w:tcW w:w="1312" w:type="dxa"/>
                  <w:tcBorders>
                    <w:tl2br w:val="nil"/>
                    <w:tr2bl w:val="nil"/>
                  </w:tcBorders>
                  <w:shd w:val="clear" w:color="auto" w:fill="auto"/>
                  <w:vAlign w:val="center"/>
                </w:tcPr>
                <w:p w14:paraId="77F4D3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5.3</w:t>
                  </w:r>
                </w:p>
              </w:tc>
              <w:tc>
                <w:tcPr>
                  <w:tcW w:w="1312" w:type="dxa"/>
                  <w:tcBorders>
                    <w:right w:val="single" w:color="auto" w:sz="4" w:space="0"/>
                    <w:tl2br w:val="nil"/>
                    <w:tr2bl w:val="nil"/>
                  </w:tcBorders>
                  <w:shd w:val="clear" w:color="auto" w:fill="auto"/>
                  <w:vAlign w:val="center"/>
                </w:tcPr>
                <w:p w14:paraId="1D6DDC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55</w:t>
                  </w:r>
                </w:p>
              </w:tc>
              <w:tc>
                <w:tcPr>
                  <w:tcW w:w="1314" w:type="dxa"/>
                  <w:tcBorders>
                    <w:right w:val="single" w:color="000000" w:sz="4" w:space="0"/>
                    <w:tl2br w:val="nil"/>
                    <w:tr2bl w:val="nil"/>
                  </w:tcBorders>
                  <w:shd w:val="clear" w:color="auto" w:fill="auto"/>
                  <w:vAlign w:val="center"/>
                </w:tcPr>
                <w:p w14:paraId="24129F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45</w:t>
                  </w:r>
                </w:p>
              </w:tc>
              <w:tc>
                <w:tcPr>
                  <w:tcW w:w="1109" w:type="dxa"/>
                  <w:tcBorders>
                    <w:left w:val="single" w:color="000000" w:sz="4" w:space="0"/>
                    <w:tl2br w:val="nil"/>
                    <w:tr2bl w:val="nil"/>
                  </w:tcBorders>
                  <w:vAlign w:val="center"/>
                </w:tcPr>
                <w:p w14:paraId="5E7730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达标</w:t>
                  </w:r>
                </w:p>
              </w:tc>
            </w:tr>
            <w:tr w14:paraId="2A2FD4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14:paraId="57CC0C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1425" w:type="dxa"/>
                  <w:tcBorders>
                    <w:tl2br w:val="nil"/>
                    <w:tr2bl w:val="nil"/>
                  </w:tcBorders>
                  <w:vAlign w:val="center"/>
                </w:tcPr>
                <w:p w14:paraId="155B01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南厂界</w:t>
                  </w:r>
                </w:p>
              </w:tc>
              <w:tc>
                <w:tcPr>
                  <w:tcW w:w="1312" w:type="dxa"/>
                  <w:tcBorders>
                    <w:tl2br w:val="nil"/>
                    <w:tr2bl w:val="nil"/>
                  </w:tcBorders>
                  <w:shd w:val="clear" w:color="auto" w:fill="auto"/>
                  <w:vAlign w:val="center"/>
                </w:tcPr>
                <w:p w14:paraId="5A603D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22.6</w:t>
                  </w:r>
                </w:p>
              </w:tc>
              <w:tc>
                <w:tcPr>
                  <w:tcW w:w="1312" w:type="dxa"/>
                  <w:tcBorders>
                    <w:tl2br w:val="nil"/>
                    <w:tr2bl w:val="nil"/>
                  </w:tcBorders>
                  <w:shd w:val="clear" w:color="auto" w:fill="auto"/>
                  <w:vAlign w:val="center"/>
                </w:tcPr>
                <w:p w14:paraId="46960E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22.6</w:t>
                  </w:r>
                </w:p>
              </w:tc>
              <w:tc>
                <w:tcPr>
                  <w:tcW w:w="1312" w:type="dxa"/>
                  <w:tcBorders>
                    <w:right w:val="single" w:color="auto" w:sz="4" w:space="0"/>
                    <w:tl2br w:val="nil"/>
                    <w:tr2bl w:val="nil"/>
                  </w:tcBorders>
                  <w:shd w:val="clear" w:color="auto" w:fill="auto"/>
                  <w:vAlign w:val="center"/>
                </w:tcPr>
                <w:p w14:paraId="64488F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heme="minorBidi"/>
                      <w:color w:val="000000" w:themeColor="text1"/>
                      <w:kern w:val="2"/>
                      <w:sz w:val="21"/>
                      <w:szCs w:val="21"/>
                      <w:highlight w:val="none"/>
                      <w:vertAlign w:val="baseline"/>
                      <w:lang w:val="en-US" w:eastAsia="zh-CN" w:bidi="ar-SA"/>
                      <w14:textFill>
                        <w14:solidFill>
                          <w14:schemeClr w14:val="tx1"/>
                        </w14:solidFill>
                      </w14:textFill>
                    </w:rPr>
                  </w:pPr>
                  <w:r>
                    <w:rPr>
                      <w:rFonts w:hint="eastAsia" w:cstheme="minorBidi"/>
                      <w:color w:val="000000" w:themeColor="text1"/>
                      <w:kern w:val="2"/>
                      <w:sz w:val="21"/>
                      <w:szCs w:val="21"/>
                      <w:highlight w:val="none"/>
                      <w:vertAlign w:val="baseline"/>
                      <w:lang w:val="en-US" w:eastAsia="zh-CN" w:bidi="ar-SA"/>
                      <w14:textFill>
                        <w14:solidFill>
                          <w14:schemeClr w14:val="tx1"/>
                        </w14:solidFill>
                      </w14:textFill>
                    </w:rPr>
                    <w:t>55</w:t>
                  </w:r>
                </w:p>
              </w:tc>
              <w:tc>
                <w:tcPr>
                  <w:tcW w:w="1314" w:type="dxa"/>
                  <w:tcBorders>
                    <w:right w:val="single" w:color="000000" w:sz="4" w:space="0"/>
                    <w:tl2br w:val="nil"/>
                    <w:tr2bl w:val="nil"/>
                  </w:tcBorders>
                  <w:shd w:val="clear" w:color="auto" w:fill="auto"/>
                  <w:vAlign w:val="center"/>
                </w:tcPr>
                <w:p w14:paraId="7E2B77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45</w:t>
                  </w:r>
                </w:p>
              </w:tc>
              <w:tc>
                <w:tcPr>
                  <w:tcW w:w="1109" w:type="dxa"/>
                  <w:tcBorders>
                    <w:left w:val="single" w:color="000000" w:sz="4" w:space="0"/>
                    <w:tl2br w:val="nil"/>
                    <w:tr2bl w:val="nil"/>
                  </w:tcBorders>
                  <w:vAlign w:val="center"/>
                </w:tcPr>
                <w:p w14:paraId="16C551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达标</w:t>
                  </w:r>
                </w:p>
              </w:tc>
            </w:tr>
          </w:tbl>
          <w:p w14:paraId="6AFF59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szCs w:val="24"/>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表4-13 项目敏感目标噪声预测结果一览表  单位：dB(A)</w:t>
            </w:r>
          </w:p>
          <w:tbl>
            <w:tblPr>
              <w:tblStyle w:val="16"/>
              <w:tblW w:w="851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45"/>
              <w:gridCol w:w="693"/>
              <w:gridCol w:w="693"/>
              <w:gridCol w:w="693"/>
              <w:gridCol w:w="693"/>
              <w:gridCol w:w="694"/>
              <w:gridCol w:w="694"/>
              <w:gridCol w:w="695"/>
              <w:gridCol w:w="695"/>
              <w:gridCol w:w="694"/>
              <w:gridCol w:w="699"/>
            </w:tblGrid>
            <w:tr w14:paraId="580F72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dxa"/>
                  <w:vMerge w:val="restart"/>
                  <w:tcBorders>
                    <w:tl2br w:val="nil"/>
                    <w:tr2bl w:val="nil"/>
                  </w:tcBorders>
                  <w:vAlign w:val="center"/>
                </w:tcPr>
                <w:p w14:paraId="7E2D256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序号</w:t>
                  </w:r>
                </w:p>
              </w:tc>
              <w:tc>
                <w:tcPr>
                  <w:tcW w:w="1155" w:type="dxa"/>
                  <w:vMerge w:val="restart"/>
                  <w:tcBorders>
                    <w:tl2br w:val="nil"/>
                    <w:tr2bl w:val="nil"/>
                  </w:tcBorders>
                  <w:vAlign w:val="center"/>
                </w:tcPr>
                <w:p w14:paraId="6D8AD61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声环境保护目标名称</w:t>
                  </w:r>
                </w:p>
              </w:tc>
              <w:tc>
                <w:tcPr>
                  <w:tcW w:w="1394" w:type="dxa"/>
                  <w:gridSpan w:val="2"/>
                  <w:tcBorders>
                    <w:tl2br w:val="nil"/>
                    <w:tr2bl w:val="nil"/>
                  </w:tcBorders>
                  <w:vAlign w:val="center"/>
                </w:tcPr>
                <w:p w14:paraId="318A1BB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噪声现状值/dB(A)</w:t>
                  </w:r>
                </w:p>
              </w:tc>
              <w:tc>
                <w:tcPr>
                  <w:tcW w:w="1394" w:type="dxa"/>
                  <w:gridSpan w:val="2"/>
                  <w:tcBorders>
                    <w:tl2br w:val="nil"/>
                    <w:tr2bl w:val="nil"/>
                  </w:tcBorders>
                  <w:vAlign w:val="center"/>
                </w:tcPr>
                <w:p w14:paraId="1BF7239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噪声标准/dB(A)</w:t>
                  </w:r>
                </w:p>
              </w:tc>
              <w:tc>
                <w:tcPr>
                  <w:tcW w:w="1394" w:type="dxa"/>
                  <w:gridSpan w:val="2"/>
                  <w:tcBorders>
                    <w:tl2br w:val="nil"/>
                    <w:tr2bl w:val="nil"/>
                  </w:tcBorders>
                  <w:vAlign w:val="center"/>
                </w:tcPr>
                <w:p w14:paraId="27C5609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噪声贡献值/dB(A)</w:t>
                  </w:r>
                </w:p>
              </w:tc>
              <w:tc>
                <w:tcPr>
                  <w:tcW w:w="1394" w:type="dxa"/>
                  <w:gridSpan w:val="2"/>
                  <w:tcBorders>
                    <w:tl2br w:val="nil"/>
                    <w:tr2bl w:val="nil"/>
                  </w:tcBorders>
                  <w:vAlign w:val="center"/>
                </w:tcPr>
                <w:p w14:paraId="28582B1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噪声预测值/dB(A)</w:t>
                  </w:r>
                </w:p>
              </w:tc>
              <w:tc>
                <w:tcPr>
                  <w:tcW w:w="1399" w:type="dxa"/>
                  <w:gridSpan w:val="2"/>
                  <w:tcBorders>
                    <w:tl2br w:val="nil"/>
                    <w:tr2bl w:val="nil"/>
                  </w:tcBorders>
                  <w:vAlign w:val="center"/>
                </w:tcPr>
                <w:p w14:paraId="0FDCEAF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达标情况</w:t>
                  </w:r>
                </w:p>
              </w:tc>
            </w:tr>
            <w:tr w14:paraId="3376A4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dxa"/>
                  <w:vMerge w:val="continue"/>
                  <w:tcBorders>
                    <w:tl2br w:val="nil"/>
                    <w:tr2bl w:val="nil"/>
                  </w:tcBorders>
                  <w:shd w:val="clear" w:color="auto" w:fill="FFFFFF"/>
                  <w:vAlign w:val="center"/>
                </w:tcPr>
                <w:p w14:paraId="537962C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55" w:type="dxa"/>
                  <w:vMerge w:val="continue"/>
                  <w:tcBorders>
                    <w:tl2br w:val="nil"/>
                    <w:tr2bl w:val="nil"/>
                  </w:tcBorders>
                  <w:shd w:val="clear" w:color="auto" w:fill="FFFFFF"/>
                  <w:vAlign w:val="center"/>
                </w:tcPr>
                <w:p w14:paraId="0107756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7" w:type="dxa"/>
                  <w:tcBorders>
                    <w:tl2br w:val="nil"/>
                    <w:tr2bl w:val="nil"/>
                  </w:tcBorders>
                  <w:shd w:val="clear" w:color="auto" w:fill="FFFFFF"/>
                  <w:vAlign w:val="center"/>
                </w:tcPr>
                <w:p w14:paraId="2CAF440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697" w:type="dxa"/>
                  <w:tcBorders>
                    <w:tl2br w:val="nil"/>
                    <w:tr2bl w:val="nil"/>
                  </w:tcBorders>
                  <w:shd w:val="clear" w:color="auto" w:fill="FFFFFF"/>
                  <w:vAlign w:val="center"/>
                </w:tcPr>
                <w:p w14:paraId="03D339F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697" w:type="dxa"/>
                  <w:tcBorders>
                    <w:tl2br w:val="nil"/>
                    <w:tr2bl w:val="nil"/>
                  </w:tcBorders>
                  <w:shd w:val="clear" w:color="auto" w:fill="FFFFFF"/>
                  <w:vAlign w:val="center"/>
                </w:tcPr>
                <w:p w14:paraId="5EBC18F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697" w:type="dxa"/>
                  <w:tcBorders>
                    <w:tl2br w:val="nil"/>
                    <w:tr2bl w:val="nil"/>
                  </w:tcBorders>
                  <w:shd w:val="clear" w:color="auto" w:fill="FFFFFF"/>
                  <w:vAlign w:val="center"/>
                </w:tcPr>
                <w:p w14:paraId="7C8F968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697" w:type="dxa"/>
                  <w:tcBorders>
                    <w:tl2br w:val="nil"/>
                    <w:tr2bl w:val="nil"/>
                  </w:tcBorders>
                  <w:shd w:val="clear" w:color="auto" w:fill="FFFFFF"/>
                  <w:vAlign w:val="center"/>
                </w:tcPr>
                <w:p w14:paraId="3299153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697" w:type="dxa"/>
                  <w:tcBorders>
                    <w:tl2br w:val="nil"/>
                    <w:tr2bl w:val="nil"/>
                  </w:tcBorders>
                  <w:shd w:val="clear" w:color="auto" w:fill="FFFFFF"/>
                  <w:vAlign w:val="center"/>
                </w:tcPr>
                <w:p w14:paraId="400E2FE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697" w:type="dxa"/>
                  <w:tcBorders>
                    <w:tl2br w:val="nil"/>
                    <w:tr2bl w:val="nil"/>
                  </w:tcBorders>
                  <w:shd w:val="clear" w:color="auto" w:fill="FFFFFF"/>
                  <w:vAlign w:val="center"/>
                </w:tcPr>
                <w:p w14:paraId="226FFC2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697" w:type="dxa"/>
                  <w:tcBorders>
                    <w:tl2br w:val="nil"/>
                    <w:tr2bl w:val="nil"/>
                  </w:tcBorders>
                  <w:shd w:val="clear" w:color="auto" w:fill="FFFFFF"/>
                  <w:vAlign w:val="center"/>
                </w:tcPr>
                <w:p w14:paraId="205D737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c>
                <w:tcPr>
                  <w:tcW w:w="697" w:type="dxa"/>
                  <w:tcBorders>
                    <w:tl2br w:val="nil"/>
                    <w:tr2bl w:val="nil"/>
                  </w:tcBorders>
                  <w:shd w:val="clear" w:color="auto" w:fill="FFFFFF"/>
                  <w:vAlign w:val="center"/>
                </w:tcPr>
                <w:p w14:paraId="7C2385F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702" w:type="dxa"/>
                  <w:tcBorders>
                    <w:tl2br w:val="nil"/>
                    <w:tr2bl w:val="nil"/>
                  </w:tcBorders>
                  <w:shd w:val="clear" w:color="auto" w:fill="FFFFFF"/>
                  <w:vAlign w:val="center"/>
                </w:tcPr>
                <w:p w14:paraId="6B34650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r>
            <w:tr w14:paraId="36F52C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85" w:type="dxa"/>
                  <w:tcBorders>
                    <w:tl2br w:val="nil"/>
                    <w:tr2bl w:val="nil"/>
                  </w:tcBorders>
                  <w:shd w:val="clear" w:color="auto" w:fill="FFFFFF"/>
                  <w:vAlign w:val="center"/>
                </w:tcPr>
                <w:p w14:paraId="2368DCB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1155" w:type="dxa"/>
                  <w:tcBorders>
                    <w:tl2br w:val="nil"/>
                    <w:tr2bl w:val="nil"/>
                  </w:tcBorders>
                  <w:shd w:val="clear" w:color="auto" w:fill="FFFFFF"/>
                  <w:vAlign w:val="center"/>
                </w:tcPr>
                <w:p w14:paraId="7986202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云尚社区2层南侧</w:t>
                  </w:r>
                </w:p>
              </w:tc>
              <w:tc>
                <w:tcPr>
                  <w:tcW w:w="697" w:type="dxa"/>
                  <w:tcBorders>
                    <w:tl2br w:val="nil"/>
                    <w:tr2bl w:val="nil"/>
                  </w:tcBorders>
                  <w:shd w:val="clear" w:color="auto" w:fill="FFFFFF"/>
                  <w:vAlign w:val="center"/>
                </w:tcPr>
                <w:p w14:paraId="52B4F73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53</w:t>
                  </w:r>
                </w:p>
              </w:tc>
              <w:tc>
                <w:tcPr>
                  <w:tcW w:w="697" w:type="dxa"/>
                  <w:tcBorders>
                    <w:tl2br w:val="nil"/>
                    <w:tr2bl w:val="nil"/>
                  </w:tcBorders>
                  <w:shd w:val="clear" w:color="auto" w:fill="FFFFFF"/>
                  <w:vAlign w:val="center"/>
                </w:tcPr>
                <w:p w14:paraId="550790A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43</w:t>
                  </w:r>
                </w:p>
              </w:tc>
              <w:tc>
                <w:tcPr>
                  <w:tcW w:w="697" w:type="dxa"/>
                  <w:tcBorders>
                    <w:tl2br w:val="nil"/>
                    <w:tr2bl w:val="nil"/>
                  </w:tcBorders>
                  <w:shd w:val="clear" w:color="auto" w:fill="FFFFFF"/>
                  <w:vAlign w:val="center"/>
                </w:tcPr>
                <w:p w14:paraId="205A273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55</w:t>
                  </w:r>
                </w:p>
              </w:tc>
              <w:tc>
                <w:tcPr>
                  <w:tcW w:w="697" w:type="dxa"/>
                  <w:tcBorders>
                    <w:tl2br w:val="nil"/>
                    <w:tr2bl w:val="nil"/>
                  </w:tcBorders>
                  <w:shd w:val="clear" w:color="auto" w:fill="FFFFFF"/>
                  <w:vAlign w:val="center"/>
                </w:tcPr>
                <w:p w14:paraId="43F6648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45</w:t>
                  </w:r>
                </w:p>
              </w:tc>
              <w:tc>
                <w:tcPr>
                  <w:tcW w:w="697" w:type="dxa"/>
                  <w:tcBorders>
                    <w:tl2br w:val="nil"/>
                    <w:tr2bl w:val="nil"/>
                  </w:tcBorders>
                  <w:shd w:val="clear" w:color="auto" w:fill="FFFFFF"/>
                  <w:vAlign w:val="center"/>
                </w:tcPr>
                <w:p w14:paraId="73459B9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7.2</w:t>
                  </w:r>
                </w:p>
              </w:tc>
              <w:tc>
                <w:tcPr>
                  <w:tcW w:w="697" w:type="dxa"/>
                  <w:tcBorders>
                    <w:tl2br w:val="nil"/>
                    <w:tr2bl w:val="nil"/>
                  </w:tcBorders>
                  <w:shd w:val="clear" w:color="auto" w:fill="FFFFFF"/>
                  <w:vAlign w:val="center"/>
                </w:tcPr>
                <w:p w14:paraId="3394955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7.2</w:t>
                  </w:r>
                </w:p>
              </w:tc>
              <w:tc>
                <w:tcPr>
                  <w:tcW w:w="697" w:type="dxa"/>
                  <w:tcBorders>
                    <w:tl2br w:val="nil"/>
                    <w:tr2bl w:val="nil"/>
                  </w:tcBorders>
                  <w:shd w:val="clear" w:color="auto" w:fill="FFFFFF"/>
                  <w:vAlign w:val="center"/>
                </w:tcPr>
                <w:p w14:paraId="3F5AB00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53.0</w:t>
                  </w:r>
                </w:p>
              </w:tc>
              <w:tc>
                <w:tcPr>
                  <w:tcW w:w="697" w:type="dxa"/>
                  <w:tcBorders>
                    <w:tl2br w:val="nil"/>
                    <w:tr2bl w:val="nil"/>
                  </w:tcBorders>
                  <w:shd w:val="clear" w:color="auto" w:fill="FFFFFF"/>
                  <w:vAlign w:val="center"/>
                </w:tcPr>
                <w:p w14:paraId="7D9D039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43.0</w:t>
                  </w:r>
                </w:p>
              </w:tc>
              <w:tc>
                <w:tcPr>
                  <w:tcW w:w="697" w:type="dxa"/>
                  <w:tcBorders>
                    <w:tl2br w:val="nil"/>
                    <w:tr2bl w:val="nil"/>
                  </w:tcBorders>
                  <w:shd w:val="clear" w:color="auto" w:fill="FFFFFF"/>
                  <w:vAlign w:val="center"/>
                </w:tcPr>
                <w:p w14:paraId="1BA034E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c>
                <w:tcPr>
                  <w:tcW w:w="702" w:type="dxa"/>
                  <w:tcBorders>
                    <w:tl2br w:val="nil"/>
                    <w:tr2bl w:val="nil"/>
                  </w:tcBorders>
                  <w:shd w:val="clear" w:color="auto" w:fill="FFFFFF"/>
                  <w:vAlign w:val="center"/>
                </w:tcPr>
                <w:p w14:paraId="4F0A0E6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7B729E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385" w:type="dxa"/>
                  <w:tcBorders>
                    <w:tl2br w:val="nil"/>
                    <w:tr2bl w:val="nil"/>
                  </w:tcBorders>
                  <w:shd w:val="clear" w:color="auto" w:fill="FFFFFF"/>
                  <w:vAlign w:val="center"/>
                </w:tcPr>
                <w:p w14:paraId="63FE63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w:t>
                  </w:r>
                </w:p>
              </w:tc>
              <w:tc>
                <w:tcPr>
                  <w:tcW w:w="1155" w:type="dxa"/>
                  <w:tcBorders>
                    <w:tl2br w:val="nil"/>
                    <w:tr2bl w:val="nil"/>
                  </w:tcBorders>
                  <w:shd w:val="clear" w:color="auto" w:fill="FFFFFF"/>
                  <w:vAlign w:val="center"/>
                </w:tcPr>
                <w:p w14:paraId="4F3FE4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云尚社区2层北侧</w:t>
                  </w:r>
                </w:p>
              </w:tc>
              <w:tc>
                <w:tcPr>
                  <w:tcW w:w="697" w:type="dxa"/>
                  <w:tcBorders>
                    <w:tl2br w:val="nil"/>
                    <w:tr2bl w:val="nil"/>
                  </w:tcBorders>
                  <w:shd w:val="clear" w:color="auto" w:fill="FFFFFF"/>
                  <w:vAlign w:val="center"/>
                </w:tcPr>
                <w:p w14:paraId="07F2D9A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54</w:t>
                  </w:r>
                </w:p>
              </w:tc>
              <w:tc>
                <w:tcPr>
                  <w:tcW w:w="697" w:type="dxa"/>
                  <w:tcBorders>
                    <w:tl2br w:val="nil"/>
                    <w:tr2bl w:val="nil"/>
                  </w:tcBorders>
                  <w:shd w:val="clear" w:color="auto" w:fill="FFFFFF"/>
                  <w:vAlign w:val="center"/>
                </w:tcPr>
                <w:p w14:paraId="1CF128F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w:t>
                  </w:r>
                </w:p>
              </w:tc>
              <w:tc>
                <w:tcPr>
                  <w:tcW w:w="697" w:type="dxa"/>
                  <w:tcBorders>
                    <w:tl2br w:val="nil"/>
                    <w:tr2bl w:val="nil"/>
                  </w:tcBorders>
                  <w:shd w:val="clear" w:color="auto" w:fill="FFFFFF"/>
                  <w:vAlign w:val="center"/>
                </w:tcPr>
                <w:p w14:paraId="1885904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55</w:t>
                  </w:r>
                </w:p>
              </w:tc>
              <w:tc>
                <w:tcPr>
                  <w:tcW w:w="697" w:type="dxa"/>
                  <w:tcBorders>
                    <w:tl2br w:val="nil"/>
                    <w:tr2bl w:val="nil"/>
                  </w:tcBorders>
                  <w:shd w:val="clear" w:color="auto" w:fill="FFFFFF"/>
                  <w:vAlign w:val="center"/>
                </w:tcPr>
                <w:p w14:paraId="693EDED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45</w:t>
                  </w:r>
                </w:p>
              </w:tc>
              <w:tc>
                <w:tcPr>
                  <w:tcW w:w="697" w:type="dxa"/>
                  <w:tcBorders>
                    <w:tl2br w:val="nil"/>
                    <w:tr2bl w:val="nil"/>
                  </w:tcBorders>
                  <w:shd w:val="clear" w:color="auto" w:fill="FFFFFF"/>
                  <w:vAlign w:val="center"/>
                </w:tcPr>
                <w:p w14:paraId="4B32AB3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5.4</w:t>
                  </w:r>
                </w:p>
              </w:tc>
              <w:tc>
                <w:tcPr>
                  <w:tcW w:w="697" w:type="dxa"/>
                  <w:tcBorders>
                    <w:tl2br w:val="nil"/>
                    <w:tr2bl w:val="nil"/>
                  </w:tcBorders>
                  <w:shd w:val="clear" w:color="auto" w:fill="FFFFFF"/>
                  <w:vAlign w:val="center"/>
                </w:tcPr>
                <w:p w14:paraId="776C5EA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5.4</w:t>
                  </w:r>
                </w:p>
              </w:tc>
              <w:tc>
                <w:tcPr>
                  <w:tcW w:w="697" w:type="dxa"/>
                  <w:tcBorders>
                    <w:tl2br w:val="nil"/>
                    <w:tr2bl w:val="nil"/>
                  </w:tcBorders>
                  <w:shd w:val="clear" w:color="auto" w:fill="FFFFFF"/>
                  <w:vAlign w:val="center"/>
                </w:tcPr>
                <w:p w14:paraId="66CD8FC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54.0</w:t>
                  </w:r>
                </w:p>
              </w:tc>
              <w:tc>
                <w:tcPr>
                  <w:tcW w:w="697" w:type="dxa"/>
                  <w:tcBorders>
                    <w:tl2br w:val="nil"/>
                    <w:tr2bl w:val="nil"/>
                  </w:tcBorders>
                  <w:shd w:val="clear" w:color="auto" w:fill="FFFFFF"/>
                  <w:vAlign w:val="center"/>
                </w:tcPr>
                <w:p w14:paraId="7E8B8BB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42.0</w:t>
                  </w:r>
                </w:p>
              </w:tc>
              <w:tc>
                <w:tcPr>
                  <w:tcW w:w="697" w:type="dxa"/>
                  <w:tcBorders>
                    <w:tl2br w:val="nil"/>
                    <w:tr2bl w:val="nil"/>
                  </w:tcBorders>
                  <w:shd w:val="clear" w:color="auto" w:fill="FFFFFF"/>
                  <w:vAlign w:val="center"/>
                </w:tcPr>
                <w:p w14:paraId="267D787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c>
                <w:tcPr>
                  <w:tcW w:w="702" w:type="dxa"/>
                  <w:tcBorders>
                    <w:tl2br w:val="nil"/>
                    <w:tr2bl w:val="nil"/>
                  </w:tcBorders>
                  <w:shd w:val="clear" w:color="auto" w:fill="FFFFFF"/>
                  <w:vAlign w:val="center"/>
                </w:tcPr>
                <w:p w14:paraId="16264F8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14:paraId="4D2E03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由上表预测结果可知，本项目噪声在厂界及较近敏感目标处的贡献值很小，运营后医院厂界昼间和夜间噪声贡献值均可以满足</w:t>
            </w:r>
            <w:r>
              <w:rPr>
                <w:rFonts w:hint="default"/>
                <w:b w:val="0"/>
                <w:bCs w:val="0"/>
                <w:color w:val="000000" w:themeColor="text1"/>
                <w:spacing w:val="0"/>
                <w:sz w:val="24"/>
                <w:highlight w:val="none"/>
                <w:lang w:val="en-US" w:eastAsia="zh-CN"/>
                <w14:textFill>
                  <w14:solidFill>
                    <w14:schemeClr w14:val="tx1"/>
                  </w14:solidFill>
                </w14:textFill>
              </w:rPr>
              <w:t>《工业企业厂界环境噪声排放标准》（GB12348-2008）中</w:t>
            </w:r>
            <w:r>
              <w:rPr>
                <w:rFonts w:hint="eastAsia"/>
                <w:b w:val="0"/>
                <w:bCs w:val="0"/>
                <w:color w:val="000000" w:themeColor="text1"/>
                <w:spacing w:val="0"/>
                <w:sz w:val="24"/>
                <w:highlight w:val="none"/>
                <w:lang w:val="en-US" w:eastAsia="zh-CN"/>
                <w14:textFill>
                  <w14:solidFill>
                    <w14:schemeClr w14:val="tx1"/>
                  </w14:solidFill>
                </w14:textFill>
              </w:rPr>
              <w:t>1</w:t>
            </w:r>
            <w:r>
              <w:rPr>
                <w:rFonts w:hint="default"/>
                <w:b w:val="0"/>
                <w:bCs w:val="0"/>
                <w:color w:val="000000" w:themeColor="text1"/>
                <w:spacing w:val="0"/>
                <w:sz w:val="24"/>
                <w:highlight w:val="none"/>
                <w:lang w:val="en-US" w:eastAsia="zh-CN"/>
                <w14:textFill>
                  <w14:solidFill>
                    <w14:schemeClr w14:val="tx1"/>
                  </w14:solidFill>
                </w14:textFill>
              </w:rPr>
              <w:t>类标准限值的要求</w:t>
            </w:r>
            <w:r>
              <w:rPr>
                <w:rFonts w:hint="eastAsia"/>
                <w:b w:val="0"/>
                <w:bCs w:val="0"/>
                <w:color w:val="000000" w:themeColor="text1"/>
                <w:spacing w:val="0"/>
                <w:sz w:val="24"/>
                <w:highlight w:val="none"/>
                <w:lang w:val="en-US" w:eastAsia="zh-CN"/>
                <w14:textFill>
                  <w14:solidFill>
                    <w14:schemeClr w14:val="tx1"/>
                  </w14:solidFill>
                </w14:textFill>
              </w:rPr>
              <w:t>；声环境敏感点处昼间、夜间预测值能满足</w:t>
            </w:r>
            <w:r>
              <w:rPr>
                <w:rFonts w:hint="default"/>
                <w:b w:val="0"/>
                <w:bCs w:val="0"/>
                <w:color w:val="000000" w:themeColor="text1"/>
                <w:spacing w:val="0"/>
                <w:sz w:val="24"/>
                <w:highlight w:val="none"/>
                <w:lang w:val="en-US" w:eastAsia="zh-CN"/>
                <w14:textFill>
                  <w14:solidFill>
                    <w14:schemeClr w14:val="tx1"/>
                  </w14:solidFill>
                </w14:textFill>
              </w:rPr>
              <w:t>《声环境质量标准》（GB3096-2008）</w:t>
            </w:r>
            <w:r>
              <w:rPr>
                <w:rFonts w:hint="eastAsia"/>
                <w:b w:val="0"/>
                <w:bCs w:val="0"/>
                <w:color w:val="000000" w:themeColor="text1"/>
                <w:spacing w:val="0"/>
                <w:sz w:val="24"/>
                <w:highlight w:val="none"/>
                <w:lang w:val="en-US" w:eastAsia="zh-CN"/>
                <w14:textFill>
                  <w14:solidFill>
                    <w14:schemeClr w14:val="tx1"/>
                  </w14:solidFill>
                </w14:textFill>
              </w:rPr>
              <w:t>中相应的1类标准限值要求。</w:t>
            </w:r>
          </w:p>
          <w:p w14:paraId="47D114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4</w:t>
            </w:r>
            <w:r>
              <w:rPr>
                <w:rFonts w:hint="default"/>
                <w:b w:val="0"/>
                <w:bCs w:val="0"/>
                <w:color w:val="000000" w:themeColor="text1"/>
                <w:spacing w:val="0"/>
                <w:sz w:val="24"/>
                <w:highlight w:val="none"/>
                <w:lang w:val="en-US" w:eastAsia="zh-CN"/>
                <w14:textFill>
                  <w14:solidFill>
                    <w14:schemeClr w14:val="tx1"/>
                  </w14:solidFill>
                </w14:textFill>
              </w:rPr>
              <w:t>）外部噪声</w:t>
            </w:r>
            <w:r>
              <w:rPr>
                <w:rFonts w:hint="eastAsia"/>
                <w:b w:val="0"/>
                <w:bCs w:val="0"/>
                <w:color w:val="000000" w:themeColor="text1"/>
                <w:spacing w:val="0"/>
                <w:sz w:val="24"/>
                <w:highlight w:val="none"/>
                <w:lang w:val="en-US" w:eastAsia="zh-CN"/>
                <w14:textFill>
                  <w14:solidFill>
                    <w14:schemeClr w14:val="tx1"/>
                  </w14:solidFill>
                </w14:textFill>
              </w:rPr>
              <w:t>对本项目声环境</w:t>
            </w:r>
            <w:r>
              <w:rPr>
                <w:rFonts w:hint="default"/>
                <w:b w:val="0"/>
                <w:bCs w:val="0"/>
                <w:color w:val="000000" w:themeColor="text1"/>
                <w:spacing w:val="0"/>
                <w:sz w:val="24"/>
                <w:highlight w:val="none"/>
                <w:lang w:val="en-US" w:eastAsia="zh-CN"/>
                <w14:textFill>
                  <w14:solidFill>
                    <w14:schemeClr w14:val="tx1"/>
                  </w14:solidFill>
                </w14:textFill>
              </w:rPr>
              <w:t>影响分析</w:t>
            </w:r>
          </w:p>
          <w:p w14:paraId="2FE2F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w:t>
            </w:r>
            <w:r>
              <w:rPr>
                <w:rFonts w:hint="eastAsia"/>
                <w:b w:val="0"/>
                <w:bCs w:val="0"/>
                <w:color w:val="000000" w:themeColor="text1"/>
                <w:spacing w:val="0"/>
                <w:sz w:val="24"/>
                <w:highlight w:val="none"/>
                <w:lang w:val="en-US" w:eastAsia="zh-CN"/>
                <w14:textFill>
                  <w14:solidFill>
                    <w14:schemeClr w14:val="tx1"/>
                  </w14:solidFill>
                </w14:textFill>
              </w:rPr>
              <w:t>为专科医院项目，</w:t>
            </w:r>
            <w:r>
              <w:rPr>
                <w:rFonts w:hint="default"/>
                <w:b w:val="0"/>
                <w:bCs w:val="0"/>
                <w:color w:val="000000" w:themeColor="text1"/>
                <w:spacing w:val="0"/>
                <w:sz w:val="24"/>
                <w:highlight w:val="none"/>
                <w:lang w:val="en-US" w:eastAsia="zh-CN"/>
                <w14:textFill>
                  <w14:solidFill>
                    <w14:schemeClr w14:val="tx1"/>
                  </w14:solidFill>
                </w14:textFill>
              </w:rPr>
              <w:t>自身</w:t>
            </w:r>
            <w:r>
              <w:rPr>
                <w:rFonts w:hint="eastAsia"/>
                <w:b w:val="0"/>
                <w:bCs w:val="0"/>
                <w:color w:val="000000" w:themeColor="text1"/>
                <w:spacing w:val="0"/>
                <w:sz w:val="24"/>
                <w:highlight w:val="none"/>
                <w:lang w:val="en-US" w:eastAsia="zh-CN"/>
                <w14:textFill>
                  <w14:solidFill>
                    <w14:schemeClr w14:val="tx1"/>
                  </w14:solidFill>
                </w14:textFill>
              </w:rPr>
              <w:t>即</w:t>
            </w:r>
            <w:r>
              <w:rPr>
                <w:rFonts w:hint="default"/>
                <w:b w:val="0"/>
                <w:bCs w:val="0"/>
                <w:color w:val="000000" w:themeColor="text1"/>
                <w:spacing w:val="0"/>
                <w:sz w:val="24"/>
                <w:highlight w:val="none"/>
                <w:lang w:val="en-US" w:eastAsia="zh-CN"/>
                <w14:textFill>
                  <w14:solidFill>
                    <w14:schemeClr w14:val="tx1"/>
                  </w14:solidFill>
                </w14:textFill>
              </w:rPr>
              <w:t>为噪声敏感目标建设项目，根据现场踏勘，本项目周边无工业高噪声源，外界声源主要来自于项目周边</w:t>
            </w:r>
            <w:r>
              <w:rPr>
                <w:rFonts w:hint="eastAsia"/>
                <w:b w:val="0"/>
                <w:bCs w:val="0"/>
                <w:color w:val="000000" w:themeColor="text1"/>
                <w:spacing w:val="0"/>
                <w:sz w:val="24"/>
                <w:highlight w:val="none"/>
                <w:lang w:val="en-US" w:eastAsia="zh-CN"/>
                <w14:textFill>
                  <w14:solidFill>
                    <w14:schemeClr w14:val="tx1"/>
                  </w14:solidFill>
                </w14:textFill>
              </w:rPr>
              <w:t>商场往来人群噪声</w:t>
            </w:r>
            <w:r>
              <w:rPr>
                <w:rFonts w:hint="default"/>
                <w:b w:val="0"/>
                <w:bCs w:val="0"/>
                <w:color w:val="000000" w:themeColor="text1"/>
                <w:spacing w:val="0"/>
                <w:sz w:val="24"/>
                <w:highlight w:val="none"/>
                <w:lang w:val="en-US" w:eastAsia="zh-CN"/>
                <w14:textFill>
                  <w14:solidFill>
                    <w14:schemeClr w14:val="tx1"/>
                  </w14:solidFill>
                </w14:textFill>
              </w:rPr>
              <w:t>。由于医院各功能单元，如病房、医护人员休息室、各诊室等对声环境要求较高，项目租用的建筑在建造时考虑到外界噪声影响的问题，已对建筑墙体采用减噪材料（双层石膏板，硅酸钙板，岩棉等）进行建造。本项目窗户均安装使用</w:t>
            </w:r>
            <w:r>
              <w:rPr>
                <w:rFonts w:hint="eastAsia"/>
                <w:b w:val="0"/>
                <w:bCs w:val="0"/>
                <w:color w:val="000000" w:themeColor="text1"/>
                <w:spacing w:val="0"/>
                <w:sz w:val="24"/>
                <w:highlight w:val="none"/>
                <w:lang w:val="en-US" w:eastAsia="zh-CN"/>
                <w14:textFill>
                  <w14:solidFill>
                    <w14:schemeClr w14:val="tx1"/>
                  </w14:solidFill>
                </w14:textFill>
              </w:rPr>
              <w:t>双层</w:t>
            </w:r>
            <w:r>
              <w:rPr>
                <w:rFonts w:hint="default"/>
                <w:b w:val="0"/>
                <w:bCs w:val="0"/>
                <w:color w:val="000000" w:themeColor="text1"/>
                <w:spacing w:val="0"/>
                <w:sz w:val="24"/>
                <w:highlight w:val="none"/>
                <w:lang w:val="en-US" w:eastAsia="zh-CN"/>
                <w14:textFill>
                  <w14:solidFill>
                    <w14:schemeClr w14:val="tx1"/>
                  </w14:solidFill>
                </w14:textFill>
              </w:rPr>
              <w:t>隔声玻璃采光窗等措施，能够有效阻隔外界噪声对本项目的影响，符合《建筑环境通用规范》（GB55016-2021）中医院建筑主要房间室内允许噪声级的低限标准。</w:t>
            </w:r>
          </w:p>
          <w:p w14:paraId="7DF1CD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（5）监测计划</w:t>
            </w:r>
          </w:p>
          <w:p w14:paraId="6D18AC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运营期建设单位应根据《排污单位自行监测技术指南 总则》（HJ819-2017）中相关要求开展自主监测，本项目运营期</w:t>
            </w:r>
            <w:r>
              <w:rPr>
                <w:rFonts w:hint="default"/>
                <w:b w:val="0"/>
                <w:bCs w:val="0"/>
                <w:color w:val="000000" w:themeColor="text1"/>
                <w:spacing w:val="0"/>
                <w:sz w:val="24"/>
                <w:highlight w:val="none"/>
                <w:lang w:val="en-US" w:eastAsia="zh-CN"/>
                <w14:textFill>
                  <w14:solidFill>
                    <w14:schemeClr w14:val="tx1"/>
                  </w14:solidFill>
                </w14:textFill>
              </w:rPr>
              <w:t>噪声监测计划见下表所示</w:t>
            </w:r>
            <w:r>
              <w:rPr>
                <w:rFonts w:hint="eastAsia"/>
                <w:b w:val="0"/>
                <w:bCs w:val="0"/>
                <w:color w:val="000000" w:themeColor="text1"/>
                <w:spacing w:val="0"/>
                <w:sz w:val="24"/>
                <w:highlight w:val="none"/>
                <w:lang w:val="en-US" w:eastAsia="zh-CN"/>
                <w14:textFill>
                  <w14:solidFill>
                    <w14:schemeClr w14:val="tx1"/>
                  </w14:solidFill>
                </w14:textFill>
              </w:rPr>
              <w:t>。</w:t>
            </w:r>
          </w:p>
          <w:p w14:paraId="533805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10"/>
                <w:sz w:val="21"/>
                <w:szCs w:val="21"/>
                <w:highlight w:val="none"/>
                <w:lang w:val="en-US" w:eastAsia="zh-CN"/>
                <w14:textFill>
                  <w14:solidFill>
                    <w14:schemeClr w14:val="tx1"/>
                  </w14:solidFill>
                </w14:textFill>
              </w:rPr>
              <w:t>表4-14 噪声监测计划</w:t>
            </w:r>
          </w:p>
          <w:tbl>
            <w:tblPr>
              <w:tblStyle w:val="16"/>
              <w:tblW w:w="8513"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940"/>
              <w:gridCol w:w="1354"/>
              <w:gridCol w:w="1488"/>
              <w:gridCol w:w="3731"/>
            </w:tblGrid>
            <w:tr w14:paraId="39E3C3F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940" w:type="dxa"/>
                  <w:tcBorders>
                    <w:tl2br w:val="nil"/>
                    <w:tr2bl w:val="nil"/>
                  </w:tcBorders>
                  <w:noWrap w:val="0"/>
                  <w:vAlign w:val="center"/>
                </w:tcPr>
                <w:p w14:paraId="154A42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监测</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位置</w:t>
                  </w:r>
                </w:p>
              </w:tc>
              <w:tc>
                <w:tcPr>
                  <w:tcW w:w="1354" w:type="dxa"/>
                  <w:tcBorders>
                    <w:tl2br w:val="nil"/>
                    <w:tr2bl w:val="nil"/>
                  </w:tcBorders>
                  <w:noWrap w:val="0"/>
                  <w:vAlign w:val="center"/>
                </w:tcPr>
                <w:p w14:paraId="034AD4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监测</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因子</w:t>
                  </w:r>
                </w:p>
              </w:tc>
              <w:tc>
                <w:tcPr>
                  <w:tcW w:w="1488" w:type="dxa"/>
                  <w:tcBorders>
                    <w:tl2br w:val="nil"/>
                    <w:tr2bl w:val="nil"/>
                  </w:tcBorders>
                  <w:noWrap w:val="0"/>
                  <w:vAlign w:val="center"/>
                </w:tcPr>
                <w:p w14:paraId="48FCDE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检测频次</w:t>
                  </w:r>
                </w:p>
              </w:tc>
              <w:tc>
                <w:tcPr>
                  <w:tcW w:w="3731" w:type="dxa"/>
                  <w:tcBorders>
                    <w:tl2br w:val="nil"/>
                    <w:tr2bl w:val="nil"/>
                  </w:tcBorders>
                  <w:noWrap w:val="0"/>
                  <w:vAlign w:val="center"/>
                </w:tcPr>
                <w:p w14:paraId="45A88A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pacing w:val="-10"/>
                      <w:sz w:val="21"/>
                      <w:szCs w:val="21"/>
                      <w:highlight w:val="none"/>
                      <w:lang w:eastAsia="zh-CN"/>
                      <w14:textFill>
                        <w14:solidFill>
                          <w14:schemeClr w14:val="tx1"/>
                        </w14:solidFill>
                      </w14:textFill>
                    </w:rPr>
                    <w:t>执行标准</w:t>
                  </w:r>
                </w:p>
              </w:tc>
            </w:tr>
            <w:tr w14:paraId="7687EB6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940" w:type="dxa"/>
                  <w:tcBorders>
                    <w:tl2br w:val="nil"/>
                    <w:tr2bl w:val="nil"/>
                  </w:tcBorders>
                  <w:noWrap w:val="0"/>
                  <w:vAlign w:val="center"/>
                </w:tcPr>
                <w:p w14:paraId="673BDF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东、南、西、北</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厂界</w:t>
                  </w:r>
                </w:p>
              </w:tc>
              <w:tc>
                <w:tcPr>
                  <w:tcW w:w="1354" w:type="dxa"/>
                  <w:tcBorders>
                    <w:tl2br w:val="nil"/>
                    <w:tr2bl w:val="nil"/>
                  </w:tcBorders>
                  <w:noWrap w:val="0"/>
                  <w:vAlign w:val="center"/>
                </w:tcPr>
                <w:p w14:paraId="7423D7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等效连续A声级</w:t>
                  </w:r>
                </w:p>
              </w:tc>
              <w:tc>
                <w:tcPr>
                  <w:tcW w:w="1488" w:type="dxa"/>
                  <w:tcBorders>
                    <w:tl2br w:val="nil"/>
                    <w:tr2bl w:val="nil"/>
                  </w:tcBorders>
                  <w:noWrap w:val="0"/>
                  <w:vAlign w:val="center"/>
                </w:tcPr>
                <w:p w14:paraId="6C72BB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次</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季度</w:t>
                  </w:r>
                </w:p>
              </w:tc>
              <w:tc>
                <w:tcPr>
                  <w:tcW w:w="3731" w:type="dxa"/>
                  <w:tcBorders>
                    <w:tl2br w:val="nil"/>
                    <w:tr2bl w:val="nil"/>
                  </w:tcBorders>
                  <w:noWrap w:val="0"/>
                  <w:vAlign w:val="center"/>
                </w:tcPr>
                <w:p w14:paraId="1A9C83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《工业企业厂界环境噪声排放标准》</w:t>
                  </w:r>
                  <w:r>
                    <w:rPr>
                      <w:rFonts w:hint="default" w:ascii="Times New Roman" w:hAnsi="Times New Roman" w:eastAsia="宋体" w:cs="Times New Roman"/>
                      <w:color w:val="000000" w:themeColor="text1"/>
                      <w:sz w:val="21"/>
                      <w:szCs w:val="21"/>
                      <w:highlight w:val="none"/>
                      <w14:textFill>
                        <w14:solidFill>
                          <w14:schemeClr w14:val="tx1"/>
                        </w14:solidFill>
                      </w14:textFill>
                    </w:rPr>
                    <w:t>(GB12348-2008)</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类标准</w:t>
                  </w:r>
                </w:p>
              </w:tc>
            </w:tr>
          </w:tbl>
          <w:p w14:paraId="284466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42" w:firstLineChars="200"/>
              <w:jc w:val="both"/>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10"/>
                <w:sz w:val="24"/>
                <w:highlight w:val="none"/>
                <w:lang w:val="en-US" w:eastAsia="zh-CN"/>
                <w14:textFill>
                  <w14:solidFill>
                    <w14:schemeClr w14:val="tx1"/>
                  </w14:solidFill>
                </w14:textFill>
              </w:rPr>
              <w:t>4、固体废物环境影响分析</w:t>
            </w:r>
          </w:p>
          <w:p w14:paraId="4790C9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本项目运营期产生的固体废物为危险废物（医疗废物、其他危险废物）和一般固体废物（生活垃圾和一般固体废物）。</w:t>
            </w:r>
          </w:p>
          <w:p w14:paraId="0E45B2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（1）固体废物源强分析</w:t>
            </w:r>
          </w:p>
          <w:p w14:paraId="3F9C0A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1）危险废物</w:t>
            </w:r>
          </w:p>
          <w:p w14:paraId="3C25D2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危险废物主要包括医疗废物和其他危险废物，本项目不设置手术室，量体温采用电子体温计，不涉及含汞血压计、含汞体温计等，临近过期的中成药品提前联系供应商回收或换新药，不在院内贮存。因此医疗废物不包含病理性废物、化学性废物、药物性废物。</w:t>
            </w:r>
          </w:p>
          <w:p w14:paraId="20171A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①</w:t>
            </w:r>
            <w:r>
              <w:rPr>
                <w:rFonts w:hint="eastAsia"/>
                <w:b w:val="0"/>
                <w:bCs w:val="0"/>
                <w:color w:val="000000" w:themeColor="text1"/>
                <w:spacing w:val="0"/>
                <w:sz w:val="24"/>
                <w:highlight w:val="none"/>
                <w:lang w:val="en-US" w:eastAsia="zh-CN"/>
                <w14:textFill>
                  <w14:solidFill>
                    <w14:schemeClr w14:val="tx1"/>
                  </w14:solidFill>
                </w14:textFill>
              </w:rPr>
              <w:t>医疗废物</w:t>
            </w:r>
          </w:p>
          <w:p w14:paraId="738E3F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根据《国家危险废物名录（2025年版）》，以及《医疗废物分类目录（2021年版）》（国卫医函[2021]238号，国家卫健委、国家生态环境部），项目运营期间产生医疗废物，医疗废物的具体分类详见下表所示。</w:t>
            </w:r>
          </w:p>
          <w:p w14:paraId="4A31F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表4-15 项目医疗废物产生种类一览表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379"/>
              <w:gridCol w:w="2387"/>
              <w:gridCol w:w="4444"/>
            </w:tblGrid>
            <w:tr w14:paraId="54C971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tcBorders>
                    <w:tl2br w:val="nil"/>
                    <w:tr2bl w:val="nil"/>
                  </w:tcBorders>
                  <w:vAlign w:val="center"/>
                </w:tcPr>
                <w:p w14:paraId="3FDF0D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编号</w:t>
                  </w:r>
                </w:p>
              </w:tc>
              <w:tc>
                <w:tcPr>
                  <w:tcW w:w="1313" w:type="dxa"/>
                  <w:tcBorders>
                    <w:tl2br w:val="nil"/>
                    <w:tr2bl w:val="nil"/>
                  </w:tcBorders>
                  <w:vAlign w:val="center"/>
                </w:tcPr>
                <w:p w14:paraId="6C74E1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类别</w:t>
                  </w:r>
                </w:p>
              </w:tc>
              <w:tc>
                <w:tcPr>
                  <w:tcW w:w="2272" w:type="dxa"/>
                  <w:tcBorders>
                    <w:tl2br w:val="nil"/>
                    <w:tr2bl w:val="nil"/>
                  </w:tcBorders>
                  <w:vAlign w:val="center"/>
                </w:tcPr>
                <w:p w14:paraId="2A1405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特征</w:t>
                  </w:r>
                </w:p>
              </w:tc>
              <w:tc>
                <w:tcPr>
                  <w:tcW w:w="4229" w:type="dxa"/>
                  <w:tcBorders>
                    <w:tl2br w:val="nil"/>
                    <w:tr2bl w:val="nil"/>
                  </w:tcBorders>
                  <w:vAlign w:val="center"/>
                </w:tcPr>
                <w:p w14:paraId="3CB04D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常见组分或废物名称</w:t>
                  </w:r>
                </w:p>
              </w:tc>
            </w:tr>
            <w:tr w14:paraId="682D9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restart"/>
                  <w:tcBorders>
                    <w:tl2br w:val="nil"/>
                    <w:tr2bl w:val="nil"/>
                  </w:tcBorders>
                  <w:vAlign w:val="center"/>
                </w:tcPr>
                <w:p w14:paraId="018472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w:t>
                  </w:r>
                </w:p>
              </w:tc>
              <w:tc>
                <w:tcPr>
                  <w:tcW w:w="1313" w:type="dxa"/>
                  <w:vMerge w:val="restart"/>
                  <w:tcBorders>
                    <w:tl2br w:val="nil"/>
                    <w:tr2bl w:val="nil"/>
                  </w:tcBorders>
                  <w:vAlign w:val="center"/>
                </w:tcPr>
                <w:p w14:paraId="20F68D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感染性废物</w:t>
                  </w:r>
                </w:p>
              </w:tc>
              <w:tc>
                <w:tcPr>
                  <w:tcW w:w="2272" w:type="dxa"/>
                  <w:vMerge w:val="restart"/>
                  <w:tcBorders>
                    <w:tl2br w:val="nil"/>
                    <w:tr2bl w:val="nil"/>
                  </w:tcBorders>
                  <w:vAlign w:val="center"/>
                </w:tcPr>
                <w:p w14:paraId="63E6DB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携带病原微生物具有引发感染性疾病传播危险的医疗废物</w:t>
                  </w:r>
                </w:p>
              </w:tc>
              <w:tc>
                <w:tcPr>
                  <w:tcW w:w="4229" w:type="dxa"/>
                  <w:tcBorders>
                    <w:tl2br w:val="nil"/>
                    <w:tr2bl w:val="nil"/>
                  </w:tcBorders>
                  <w:vAlign w:val="center"/>
                </w:tcPr>
                <w:p w14:paraId="713223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被病人血液、体液、排泄物污染的物品</w:t>
                  </w:r>
                </w:p>
              </w:tc>
            </w:tr>
            <w:tr w14:paraId="57730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3F2876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13" w:type="dxa"/>
                  <w:vMerge w:val="continue"/>
                  <w:tcBorders>
                    <w:tl2br w:val="nil"/>
                    <w:tr2bl w:val="nil"/>
                  </w:tcBorders>
                  <w:vAlign w:val="center"/>
                </w:tcPr>
                <w:p w14:paraId="721595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2272" w:type="dxa"/>
                  <w:vMerge w:val="continue"/>
                  <w:tcBorders>
                    <w:tl2br w:val="nil"/>
                    <w:tr2bl w:val="nil"/>
                  </w:tcBorders>
                  <w:vAlign w:val="center"/>
                </w:tcPr>
                <w:p w14:paraId="62A734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4229" w:type="dxa"/>
                  <w:tcBorders>
                    <w:tl2br w:val="nil"/>
                    <w:tr2bl w:val="nil"/>
                  </w:tcBorders>
                  <w:vAlign w:val="center"/>
                </w:tcPr>
                <w:p w14:paraId="061775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废弃的血液、血清</w:t>
                  </w:r>
                </w:p>
              </w:tc>
            </w:tr>
            <w:tr w14:paraId="0C2476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08A135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13" w:type="dxa"/>
                  <w:vMerge w:val="continue"/>
                  <w:tcBorders>
                    <w:tl2br w:val="nil"/>
                    <w:tr2bl w:val="nil"/>
                  </w:tcBorders>
                  <w:vAlign w:val="center"/>
                </w:tcPr>
                <w:p w14:paraId="64B23D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2272" w:type="dxa"/>
                  <w:vMerge w:val="continue"/>
                  <w:tcBorders>
                    <w:tl2br w:val="nil"/>
                    <w:tr2bl w:val="nil"/>
                  </w:tcBorders>
                  <w:vAlign w:val="center"/>
                </w:tcPr>
                <w:p w14:paraId="1BA078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4229" w:type="dxa"/>
                  <w:tcBorders>
                    <w:tl2br w:val="nil"/>
                    <w:tr2bl w:val="nil"/>
                  </w:tcBorders>
                  <w:vAlign w:val="center"/>
                </w:tcPr>
                <w:p w14:paraId="6814EE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废弃的一次性医疗用品及一次性医疗器械</w:t>
                  </w:r>
                </w:p>
              </w:tc>
            </w:tr>
            <w:tr w14:paraId="7D913E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restart"/>
                  <w:tcBorders>
                    <w:tl2br w:val="nil"/>
                    <w:tr2bl w:val="nil"/>
                  </w:tcBorders>
                  <w:vAlign w:val="center"/>
                </w:tcPr>
                <w:p w14:paraId="6C08E3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w:t>
                  </w:r>
                </w:p>
              </w:tc>
              <w:tc>
                <w:tcPr>
                  <w:tcW w:w="1313" w:type="dxa"/>
                  <w:vMerge w:val="restart"/>
                  <w:tcBorders>
                    <w:tl2br w:val="nil"/>
                    <w:tr2bl w:val="nil"/>
                  </w:tcBorders>
                  <w:vAlign w:val="center"/>
                </w:tcPr>
                <w:p w14:paraId="3679A8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损伤性废物</w:t>
                  </w:r>
                </w:p>
              </w:tc>
              <w:tc>
                <w:tcPr>
                  <w:tcW w:w="2272" w:type="dxa"/>
                  <w:vMerge w:val="restart"/>
                  <w:tcBorders>
                    <w:tl2br w:val="nil"/>
                    <w:tr2bl w:val="nil"/>
                  </w:tcBorders>
                  <w:vAlign w:val="center"/>
                </w:tcPr>
                <w:p w14:paraId="5D8091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能够刺伤或者割伤人体的废弃的医用锐器</w:t>
                  </w:r>
                </w:p>
              </w:tc>
              <w:tc>
                <w:tcPr>
                  <w:tcW w:w="4229" w:type="dxa"/>
                  <w:tcBorders>
                    <w:tl2br w:val="nil"/>
                    <w:tr2bl w:val="nil"/>
                  </w:tcBorders>
                  <w:vAlign w:val="center"/>
                </w:tcPr>
                <w:p w14:paraId="2FA15D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医用针头、缝合针等</w:t>
                  </w:r>
                </w:p>
              </w:tc>
            </w:tr>
            <w:tr w14:paraId="4BB7B5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75A32F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13" w:type="dxa"/>
                  <w:vMerge w:val="continue"/>
                  <w:tcBorders>
                    <w:tl2br w:val="nil"/>
                    <w:tr2bl w:val="nil"/>
                  </w:tcBorders>
                  <w:vAlign w:val="center"/>
                </w:tcPr>
                <w:p w14:paraId="461CB8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2272" w:type="dxa"/>
                  <w:vMerge w:val="continue"/>
                  <w:tcBorders>
                    <w:tl2br w:val="nil"/>
                    <w:tr2bl w:val="nil"/>
                  </w:tcBorders>
                  <w:vAlign w:val="center"/>
                </w:tcPr>
                <w:p w14:paraId="275F4A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4229" w:type="dxa"/>
                  <w:tcBorders>
                    <w:tl2br w:val="nil"/>
                    <w:tr2bl w:val="nil"/>
                  </w:tcBorders>
                  <w:vAlign w:val="center"/>
                </w:tcPr>
                <w:p w14:paraId="472134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各类医用锐器</w:t>
                  </w:r>
                </w:p>
              </w:tc>
            </w:tr>
            <w:tr w14:paraId="53122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Merge w:val="continue"/>
                  <w:tcBorders>
                    <w:tl2br w:val="nil"/>
                    <w:tr2bl w:val="nil"/>
                  </w:tcBorders>
                  <w:vAlign w:val="center"/>
                </w:tcPr>
                <w:p w14:paraId="209B2A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313" w:type="dxa"/>
                  <w:vMerge w:val="continue"/>
                  <w:tcBorders>
                    <w:tl2br w:val="nil"/>
                    <w:tr2bl w:val="nil"/>
                  </w:tcBorders>
                  <w:vAlign w:val="center"/>
                </w:tcPr>
                <w:p w14:paraId="636C03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2272" w:type="dxa"/>
                  <w:vMerge w:val="continue"/>
                  <w:tcBorders>
                    <w:tl2br w:val="nil"/>
                    <w:tr2bl w:val="nil"/>
                  </w:tcBorders>
                  <w:vAlign w:val="center"/>
                </w:tcPr>
                <w:p w14:paraId="0E6CCA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4229" w:type="dxa"/>
                  <w:tcBorders>
                    <w:tl2br w:val="nil"/>
                    <w:tr2bl w:val="nil"/>
                  </w:tcBorders>
                  <w:vAlign w:val="center"/>
                </w:tcPr>
                <w:p w14:paraId="75DC06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载玻片、玻璃试管、玻璃安瓿等</w:t>
                  </w:r>
                </w:p>
              </w:tc>
            </w:tr>
          </w:tbl>
          <w:p w14:paraId="511EB5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依据《第一次全国污染源普查城镇生活源产排污系数手册》及《医疗废物排放统计变量的选择及排放系数的确定》中的相关数据进行核算</w:t>
            </w:r>
            <w:r>
              <w:rPr>
                <w:rFonts w:hint="eastAsia"/>
                <w:b w:val="0"/>
                <w:bCs w:val="0"/>
                <w:color w:val="000000" w:themeColor="text1"/>
                <w:spacing w:val="0"/>
                <w:sz w:val="24"/>
                <w:highlight w:val="none"/>
                <w:lang w:val="en-US" w:eastAsia="zh-CN"/>
                <w14:textFill>
                  <w14:solidFill>
                    <w14:schemeClr w14:val="tx1"/>
                  </w14:solidFill>
                </w14:textFill>
              </w:rPr>
              <w:t>。</w:t>
            </w:r>
          </w:p>
          <w:p w14:paraId="75B479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表4-16 医院运行医疗废物（HW01）产生一览表</w:t>
            </w:r>
          </w:p>
          <w:tbl>
            <w:tblPr>
              <w:tblStyle w:val="17"/>
              <w:tblW w:w="851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500"/>
              <w:gridCol w:w="930"/>
              <w:gridCol w:w="2348"/>
              <w:gridCol w:w="1245"/>
              <w:gridCol w:w="1762"/>
            </w:tblGrid>
            <w:tr w14:paraId="4D527A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vAlign w:val="center"/>
                </w:tcPr>
                <w:p w14:paraId="7E3D0B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项目</w:t>
                  </w:r>
                </w:p>
              </w:tc>
              <w:tc>
                <w:tcPr>
                  <w:tcW w:w="1500" w:type="dxa"/>
                  <w:tcBorders>
                    <w:tl2br w:val="nil"/>
                    <w:tr2bl w:val="nil"/>
                  </w:tcBorders>
                  <w:vAlign w:val="center"/>
                </w:tcPr>
                <w:p w14:paraId="406D54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危险废物类别</w:t>
                  </w:r>
                </w:p>
              </w:tc>
              <w:tc>
                <w:tcPr>
                  <w:tcW w:w="930" w:type="dxa"/>
                  <w:tcBorders>
                    <w:tl2br w:val="nil"/>
                    <w:tr2bl w:val="nil"/>
                  </w:tcBorders>
                  <w:vAlign w:val="center"/>
                </w:tcPr>
                <w:p w14:paraId="26EB14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来源</w:t>
                  </w:r>
                </w:p>
              </w:tc>
              <w:tc>
                <w:tcPr>
                  <w:tcW w:w="2348" w:type="dxa"/>
                  <w:tcBorders>
                    <w:tl2br w:val="nil"/>
                    <w:tr2bl w:val="nil"/>
                  </w:tcBorders>
                  <w:vAlign w:val="center"/>
                </w:tcPr>
                <w:p w14:paraId="08C040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估算标准</w:t>
                  </w:r>
                </w:p>
              </w:tc>
              <w:tc>
                <w:tcPr>
                  <w:tcW w:w="1245" w:type="dxa"/>
                  <w:tcBorders>
                    <w:tl2br w:val="nil"/>
                    <w:tr2bl w:val="nil"/>
                  </w:tcBorders>
                  <w:vAlign w:val="center"/>
                </w:tcPr>
                <w:p w14:paraId="080945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规模</w:t>
                  </w:r>
                </w:p>
              </w:tc>
              <w:tc>
                <w:tcPr>
                  <w:tcW w:w="1762" w:type="dxa"/>
                  <w:tcBorders>
                    <w:tl2br w:val="nil"/>
                    <w:tr2bl w:val="nil"/>
                  </w:tcBorders>
                  <w:vAlign w:val="center"/>
                </w:tcPr>
                <w:p w14:paraId="0EA8C4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产生量</w:t>
                  </w:r>
                </w:p>
              </w:tc>
            </w:tr>
            <w:tr w14:paraId="753CFD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restart"/>
                  <w:tcBorders>
                    <w:tl2br w:val="nil"/>
                    <w:tr2bl w:val="nil"/>
                  </w:tcBorders>
                  <w:vAlign w:val="center"/>
                </w:tcPr>
                <w:p w14:paraId="126282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医疗废物</w:t>
                  </w:r>
                </w:p>
              </w:tc>
              <w:tc>
                <w:tcPr>
                  <w:tcW w:w="1500" w:type="dxa"/>
                  <w:vMerge w:val="restart"/>
                  <w:tcBorders>
                    <w:tl2br w:val="nil"/>
                    <w:tr2bl w:val="nil"/>
                  </w:tcBorders>
                  <w:vAlign w:val="center"/>
                </w:tcPr>
                <w:p w14:paraId="2B8B3A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HW01</w:t>
                  </w:r>
                </w:p>
              </w:tc>
              <w:tc>
                <w:tcPr>
                  <w:tcW w:w="930" w:type="dxa"/>
                  <w:tcBorders>
                    <w:tl2br w:val="nil"/>
                    <w:tr2bl w:val="nil"/>
                  </w:tcBorders>
                  <w:vAlign w:val="center"/>
                </w:tcPr>
                <w:p w14:paraId="024C4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病房</w:t>
                  </w:r>
                </w:p>
              </w:tc>
              <w:tc>
                <w:tcPr>
                  <w:tcW w:w="2348" w:type="dxa"/>
                  <w:tcBorders>
                    <w:tl2br w:val="nil"/>
                    <w:tr2bl w:val="nil"/>
                  </w:tcBorders>
                  <w:vAlign w:val="center"/>
                </w:tcPr>
                <w:p w14:paraId="48AB3F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住院病人0.39kg/床</w:t>
                  </w:r>
                  <w:r>
                    <w:rPr>
                      <w:rFonts w:hint="default" w:ascii="Times New Roman" w:hAnsi="Times New Roman" w:cs="Times New Roman"/>
                      <w:b w:val="0"/>
                      <w:bCs w:val="0"/>
                      <w:color w:val="000000" w:themeColor="text1"/>
                      <w:spacing w:val="0"/>
                      <w:sz w:val="21"/>
                      <w:szCs w:val="21"/>
                      <w:highlight w:val="none"/>
                      <w:vertAlign w:val="baseline"/>
                      <w:lang w:val="en-US" w:eastAsia="zh-CN"/>
                      <w14:textFill>
                        <w14:solidFill>
                          <w14:schemeClr w14:val="tx1"/>
                        </w14:solidFill>
                      </w14:textFill>
                    </w:rPr>
                    <w:t>·</w:t>
                  </w:r>
                  <w:r>
                    <w:rPr>
                      <w:rFonts w:hint="eastAsia"/>
                      <w:b w:val="0"/>
                      <w:bCs w:val="0"/>
                      <w:color w:val="000000" w:themeColor="text1"/>
                      <w:spacing w:val="0"/>
                      <w:sz w:val="21"/>
                      <w:szCs w:val="21"/>
                      <w:highlight w:val="none"/>
                      <w:vertAlign w:val="baseline"/>
                      <w:lang w:val="en-US" w:eastAsia="zh-CN"/>
                      <w14:textFill>
                        <w14:solidFill>
                          <w14:schemeClr w14:val="tx1"/>
                        </w14:solidFill>
                      </w14:textFill>
                    </w:rPr>
                    <w:t>d</w:t>
                  </w:r>
                </w:p>
              </w:tc>
              <w:tc>
                <w:tcPr>
                  <w:tcW w:w="1245" w:type="dxa"/>
                  <w:tcBorders>
                    <w:tl2br w:val="nil"/>
                    <w:tr2bl w:val="nil"/>
                  </w:tcBorders>
                  <w:vAlign w:val="center"/>
                </w:tcPr>
                <w:p w14:paraId="346F7B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221床</w:t>
                  </w:r>
                </w:p>
              </w:tc>
              <w:tc>
                <w:tcPr>
                  <w:tcW w:w="1762" w:type="dxa"/>
                  <w:tcBorders>
                    <w:tl2br w:val="nil"/>
                    <w:tr2bl w:val="nil"/>
                  </w:tcBorders>
                  <w:vAlign w:val="center"/>
                </w:tcPr>
                <w:p w14:paraId="1C3097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31.46t/a</w:t>
                  </w:r>
                </w:p>
              </w:tc>
            </w:tr>
            <w:tr w14:paraId="07B1FA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continue"/>
                  <w:tcBorders>
                    <w:tl2br w:val="nil"/>
                    <w:tr2bl w:val="nil"/>
                  </w:tcBorders>
                  <w:vAlign w:val="center"/>
                </w:tcPr>
                <w:p w14:paraId="507BA7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500" w:type="dxa"/>
                  <w:vMerge w:val="continue"/>
                  <w:tcBorders>
                    <w:tl2br w:val="nil"/>
                    <w:tr2bl w:val="nil"/>
                  </w:tcBorders>
                  <w:vAlign w:val="center"/>
                </w:tcPr>
                <w:p w14:paraId="7C52BB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930" w:type="dxa"/>
                  <w:tcBorders>
                    <w:tl2br w:val="nil"/>
                    <w:tr2bl w:val="nil"/>
                  </w:tcBorders>
                  <w:vAlign w:val="center"/>
                </w:tcPr>
                <w:p w14:paraId="6A941A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门诊</w:t>
                  </w:r>
                </w:p>
              </w:tc>
              <w:tc>
                <w:tcPr>
                  <w:tcW w:w="2348" w:type="dxa"/>
                  <w:tcBorders>
                    <w:tl2br w:val="nil"/>
                    <w:tr2bl w:val="nil"/>
                  </w:tcBorders>
                  <w:vAlign w:val="center"/>
                </w:tcPr>
                <w:p w14:paraId="590C35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门诊病人0.055kg/人次</w:t>
                  </w:r>
                </w:p>
              </w:tc>
              <w:tc>
                <w:tcPr>
                  <w:tcW w:w="1245" w:type="dxa"/>
                  <w:tcBorders>
                    <w:tl2br w:val="nil"/>
                    <w:tr2bl w:val="nil"/>
                  </w:tcBorders>
                  <w:vAlign w:val="center"/>
                </w:tcPr>
                <w:p w14:paraId="463D36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345人次/d</w:t>
                  </w:r>
                </w:p>
              </w:tc>
              <w:tc>
                <w:tcPr>
                  <w:tcW w:w="1762" w:type="dxa"/>
                  <w:tcBorders>
                    <w:tl2br w:val="nil"/>
                    <w:tr2bl w:val="nil"/>
                  </w:tcBorders>
                  <w:vAlign w:val="center"/>
                </w:tcPr>
                <w:p w14:paraId="7266FB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6.93t/a</w:t>
                  </w:r>
                </w:p>
              </w:tc>
            </w:tr>
            <w:tr w14:paraId="26791F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continue"/>
                  <w:tcBorders>
                    <w:tl2br w:val="nil"/>
                    <w:tr2bl w:val="nil"/>
                  </w:tcBorders>
                  <w:vAlign w:val="center"/>
                </w:tcPr>
                <w:p w14:paraId="7F591D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1500" w:type="dxa"/>
                  <w:vMerge w:val="continue"/>
                  <w:tcBorders>
                    <w:tl2br w:val="nil"/>
                    <w:tr2bl w:val="nil"/>
                  </w:tcBorders>
                  <w:vAlign w:val="center"/>
                </w:tcPr>
                <w:p w14:paraId="0DA08B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4523" w:type="dxa"/>
                  <w:gridSpan w:val="3"/>
                  <w:tcBorders>
                    <w:tl2br w:val="nil"/>
                    <w:tr2bl w:val="nil"/>
                  </w:tcBorders>
                  <w:vAlign w:val="center"/>
                </w:tcPr>
                <w:p w14:paraId="410373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合计</w:t>
                  </w:r>
                </w:p>
              </w:tc>
              <w:tc>
                <w:tcPr>
                  <w:tcW w:w="1762" w:type="dxa"/>
                  <w:tcBorders>
                    <w:tl2br w:val="nil"/>
                    <w:tr2bl w:val="nil"/>
                  </w:tcBorders>
                  <w:vAlign w:val="center"/>
                </w:tcPr>
                <w:p w14:paraId="603B90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38.39t/a</w:t>
                  </w:r>
                </w:p>
              </w:tc>
            </w:tr>
          </w:tbl>
          <w:p w14:paraId="28D96F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②</w:t>
            </w:r>
            <w:r>
              <w:rPr>
                <w:rFonts w:hint="eastAsia"/>
                <w:b w:val="0"/>
                <w:bCs w:val="0"/>
                <w:color w:val="000000" w:themeColor="text1"/>
                <w:spacing w:val="0"/>
                <w:sz w:val="24"/>
                <w:highlight w:val="none"/>
                <w:lang w:val="en-US" w:eastAsia="zh-CN"/>
                <w14:textFill>
                  <w14:solidFill>
                    <w14:schemeClr w14:val="tx1"/>
                  </w14:solidFill>
                </w14:textFill>
              </w:rPr>
              <w:t>其他危险废物</w:t>
            </w:r>
          </w:p>
          <w:p w14:paraId="1B4FA3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A污泥、栅渣</w:t>
            </w:r>
          </w:p>
          <w:p w14:paraId="3ADD35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根据《医疗机构水污染物排放标准》（GB18466-2005）中有关污泥控制与处置的规定：栅渣、化粪池和</w:t>
            </w:r>
            <w:r>
              <w:rPr>
                <w:rFonts w:hint="eastAsia"/>
                <w:b w:val="0"/>
                <w:bCs w:val="0"/>
                <w:color w:val="000000" w:themeColor="text1"/>
                <w:spacing w:val="0"/>
                <w:sz w:val="24"/>
                <w:highlight w:val="none"/>
                <w:lang w:val="en-US" w:eastAsia="zh-CN"/>
                <w14:textFill>
                  <w14:solidFill>
                    <w14:schemeClr w14:val="tx1"/>
                  </w14:solidFill>
                </w14:textFill>
              </w:rPr>
              <w:t>污水处理设施</w:t>
            </w:r>
            <w:r>
              <w:rPr>
                <w:rFonts w:hint="default"/>
                <w:b w:val="0"/>
                <w:bCs w:val="0"/>
                <w:color w:val="000000" w:themeColor="text1"/>
                <w:spacing w:val="0"/>
                <w:sz w:val="24"/>
                <w:highlight w:val="none"/>
                <w:lang w:val="en-US" w:eastAsia="zh-CN"/>
                <w14:textFill>
                  <w14:solidFill>
                    <w14:schemeClr w14:val="tx1"/>
                  </w14:solidFill>
                </w14:textFill>
              </w:rPr>
              <w:t>污泥属危险废物，应按危险废物进行处理和处置。本次评价化粪池污泥、</w:t>
            </w:r>
            <w:r>
              <w:rPr>
                <w:rFonts w:hint="eastAsia"/>
                <w:b w:val="0"/>
                <w:bCs w:val="0"/>
                <w:color w:val="000000" w:themeColor="text1"/>
                <w:spacing w:val="0"/>
                <w:sz w:val="24"/>
                <w:highlight w:val="none"/>
                <w:lang w:val="en-US" w:eastAsia="zh-CN"/>
                <w14:textFill>
                  <w14:solidFill>
                    <w14:schemeClr w14:val="tx1"/>
                  </w14:solidFill>
                </w14:textFill>
              </w:rPr>
              <w:t>污水处理设施</w:t>
            </w:r>
            <w:r>
              <w:rPr>
                <w:rFonts w:hint="default"/>
                <w:b w:val="0"/>
                <w:bCs w:val="0"/>
                <w:color w:val="000000" w:themeColor="text1"/>
                <w:spacing w:val="0"/>
                <w:sz w:val="24"/>
                <w:highlight w:val="none"/>
                <w:lang w:val="en-US" w:eastAsia="zh-CN"/>
                <w14:textFill>
                  <w14:solidFill>
                    <w14:schemeClr w14:val="tx1"/>
                  </w14:solidFill>
                </w14:textFill>
              </w:rPr>
              <w:t>栅渣及污泥源强通过系数法核算。</w:t>
            </w:r>
          </w:p>
          <w:p w14:paraId="273CE3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a化粪池污泥</w:t>
            </w:r>
          </w:p>
          <w:p w14:paraId="553582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在医疗污水处理过程中，污水中所含的80%以上的病菌和90%以上的寄生虫卵被集中在污泥中，化粪池污泥产生量根据《医院污水处理技术指南》（环发[2003]197号）核算，化粪池污泥（含水率约95%）产生量按0.15kg/人</w:t>
            </w:r>
            <w:r>
              <w:rPr>
                <w:rFonts w:hint="default" w:ascii="Times New Roman" w:hAnsi="Times New Roman" w:cs="Times New Roman"/>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d计算，本项目医务人员及就诊、住院病人等总数约908人，因此，化粪池污泥产生量约为0.1362t/d（49.713t/a）。本项目化粪池定期（每月）由资质单位清掏转运。</w:t>
            </w:r>
          </w:p>
          <w:p w14:paraId="799ECF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b污水处理设施栅渣</w:t>
            </w:r>
          </w:p>
          <w:p w14:paraId="4652E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栅渣属于危险废物（HW49其他危险废物）。项目格栅间隙为3mm，根据《给水排水设计手册》第5册《城镇排水》中格栅的设计数据显示，栅渣量与删条间隙的经验数据为格栅间隙1.5~10mm时，栅渣量（含水率95%）为0.12~0.15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栅渣/10</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废水，容重约900-1100kg/m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w:t>
            </w:r>
          </w:p>
          <w:p w14:paraId="2473F3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本项目按最大数值取值，3号楼污水处理设施处理废水量20826.405m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/a，则栅渣量为3.44t/a。本项目栅渣定期（每月）由资质单位清掏转运。</w:t>
            </w:r>
          </w:p>
          <w:p w14:paraId="2C8684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c污泥</w:t>
            </w:r>
          </w:p>
          <w:p w14:paraId="53D3D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根据《废水污染控制技术手册》，沉淀池污泥产生量参照下式进行计算：</w:t>
            </w:r>
          </w:p>
          <w:p w14:paraId="3CC917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eastAsia="宋体"/>
                <w:b w:val="0"/>
                <w:bCs w:val="0"/>
                <w:color w:val="000000" w:themeColor="text1"/>
                <w:spacing w:val="0"/>
                <w:sz w:val="24"/>
                <w:highlight w:val="none"/>
                <w:lang w:val="en-US" w:eastAsia="zh-CN"/>
                <w14:textFill>
                  <w14:solidFill>
                    <w14:schemeClr w14:val="tx1"/>
                  </w14:solidFill>
                </w14:textFill>
              </w:rPr>
            </w:pPr>
            <m:oMathPara>
              <m:oMath>
                <m:r>
                  <m:rPr>
                    <m:sty m:val="p"/>
                  </m:rPr>
                  <w:rPr>
                    <w:rFonts w:hint="default" w:ascii="Cambria Math" w:hAnsi="Cambria Math"/>
                    <w:color w:val="000000" w:themeColor="text1"/>
                    <w:spacing w:val="0"/>
                    <w:sz w:val="24"/>
                    <w:highlight w:val="none"/>
                    <w:lang w:val="en-US"/>
                    <w14:textFill>
                      <w14:solidFill>
                        <w14:schemeClr w14:val="tx1"/>
                      </w14:solidFill>
                    </w14:textFill>
                  </w:rPr>
                  <m:t>∆</m:t>
                </m:r>
                <m:sSub>
                  <m:sSubPr>
                    <m:ctrlPr>
                      <w:rPr>
                        <w:rFonts w:hint="default" w:ascii="Cambria Math" w:hAnsi="Cambria Math"/>
                        <w:bCs w:val="0"/>
                        <w:color w:val="000000" w:themeColor="text1"/>
                        <w:spacing w:val="0"/>
                        <w:sz w:val="24"/>
                        <w:highlight w:val="none"/>
                        <w:lang w:val="en-US"/>
                        <w14:textFill>
                          <w14:solidFill>
                            <w14:schemeClr w14:val="tx1"/>
                          </w14:solidFill>
                        </w14:textFill>
                      </w:rPr>
                    </m:ctrlPr>
                  </m:sSubPr>
                  <m:e>
                    <m:r>
                      <m:rPr>
                        <m:sty m:val="p"/>
                      </m:rPr>
                      <w:rPr>
                        <w:rFonts w:hint="default" w:ascii="Cambria Math" w:hAnsi="Cambria Math"/>
                        <w:color w:val="000000" w:themeColor="text1"/>
                        <w:spacing w:val="0"/>
                        <w:sz w:val="24"/>
                        <w:highlight w:val="none"/>
                        <w:lang w:val="en-US" w:eastAsia="zh-CN"/>
                        <w14:textFill>
                          <w14:solidFill>
                            <w14:schemeClr w14:val="tx1"/>
                          </w14:solidFill>
                        </w14:textFill>
                      </w:rPr>
                      <m:t>X</m:t>
                    </m:r>
                    <m:ctrlPr>
                      <w:rPr>
                        <w:rFonts w:hint="default" w:ascii="Cambria Math" w:hAnsi="Cambria Math"/>
                        <w:bCs w:val="0"/>
                        <w:color w:val="000000" w:themeColor="text1"/>
                        <w:spacing w:val="0"/>
                        <w:sz w:val="24"/>
                        <w:highlight w:val="none"/>
                        <w:lang w:val="en-US"/>
                        <w14:textFill>
                          <w14:solidFill>
                            <w14:schemeClr w14:val="tx1"/>
                          </w14:solidFill>
                        </w14:textFill>
                      </w:rPr>
                    </m:ctrlPr>
                  </m:e>
                  <m:sub>
                    <m:r>
                      <m:rPr>
                        <m:sty m:val="p"/>
                      </m:rPr>
                      <w:rPr>
                        <w:rFonts w:hint="default" w:ascii="Cambria Math" w:hAnsi="Cambria Math"/>
                        <w:color w:val="000000" w:themeColor="text1"/>
                        <w:spacing w:val="0"/>
                        <w:sz w:val="24"/>
                        <w:highlight w:val="none"/>
                        <w:lang w:val="en-US" w:eastAsia="zh-CN"/>
                        <w14:textFill>
                          <w14:solidFill>
                            <w14:schemeClr w14:val="tx1"/>
                          </w14:solidFill>
                        </w14:textFill>
                      </w:rPr>
                      <m:t>1</m:t>
                    </m:r>
                    <m:ctrlPr>
                      <w:rPr>
                        <w:rFonts w:hint="default" w:ascii="Cambria Math" w:hAnsi="Cambria Math"/>
                        <w:bCs w:val="0"/>
                        <w:color w:val="000000" w:themeColor="text1"/>
                        <w:spacing w:val="0"/>
                        <w:sz w:val="24"/>
                        <w:highlight w:val="none"/>
                        <w:lang w:val="en-US"/>
                        <w14:textFill>
                          <w14:solidFill>
                            <w14:schemeClr w14:val="tx1"/>
                          </w14:solidFill>
                        </w14:textFill>
                      </w:rPr>
                    </m:ctrlPr>
                  </m:sub>
                </m:sSub>
                <m:r>
                  <m:rPr>
                    <m:sty m:val="p"/>
                  </m:rPr>
                  <w:rPr>
                    <w:rFonts w:hint="default" w:ascii="Cambria Math" w:hAnsi="Cambria Math"/>
                    <w:color w:val="000000" w:themeColor="text1"/>
                    <w:spacing w:val="0"/>
                    <w:sz w:val="24"/>
                    <w:highlight w:val="none"/>
                    <w:lang w:val="en-US" w:eastAsia="zh-CN"/>
                    <w14:textFill>
                      <w14:solidFill>
                        <w14:schemeClr w14:val="tx1"/>
                      </w14:solidFill>
                    </w14:textFill>
                  </w:rPr>
                  <m:t>=aQ</m:t>
                </m:r>
                <m:d>
                  <m:dP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dPr>
                  <m:e>
                    <m:sSub>
                      <m:sSubP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sSubPr>
                      <m:e>
                        <m:r>
                          <m:rPr>
                            <m:sty m:val="p"/>
                          </m:rPr>
                          <w:rPr>
                            <w:rFonts w:hint="default" w:ascii="Cambria Math" w:hAnsi="Cambria Math"/>
                            <w:color w:val="000000" w:themeColor="text1"/>
                            <w:spacing w:val="0"/>
                            <w:sz w:val="24"/>
                            <w:highlight w:val="none"/>
                            <w:lang w:val="en-US" w:eastAsia="zh-CN"/>
                            <w14:textFill>
                              <w14:solidFill>
                                <w14:schemeClr w14:val="tx1"/>
                              </w14:solidFill>
                            </w14:textFill>
                          </w:rPr>
                          <m:t>S</m:t>
                        </m: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e>
                      <m:sub>
                        <m:r>
                          <m:rPr>
                            <m:sty m:val="p"/>
                          </m:rPr>
                          <w:rPr>
                            <w:rFonts w:hint="default" w:ascii="Cambria Math" w:hAnsi="Cambria Math"/>
                            <w:color w:val="000000" w:themeColor="text1"/>
                            <w:spacing w:val="0"/>
                            <w:sz w:val="24"/>
                            <w:highlight w:val="none"/>
                            <w:lang w:val="en-US" w:eastAsia="zh-CN"/>
                            <w14:textFill>
                              <w14:solidFill>
                                <w14:schemeClr w14:val="tx1"/>
                              </w14:solidFill>
                            </w14:textFill>
                          </w:rPr>
                          <m:t>pi</m:t>
                        </m: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sub>
                    </m:sSub>
                    <m:r>
                      <m:rPr>
                        <m:sty m:val="p"/>
                      </m:rPr>
                      <w:rPr>
                        <w:rFonts w:hint="default" w:ascii="Cambria Math" w:hAnsi="Cambria Math"/>
                        <w:color w:val="000000" w:themeColor="text1"/>
                        <w:spacing w:val="0"/>
                        <w:sz w:val="24"/>
                        <w:highlight w:val="none"/>
                        <w:lang w:val="en-US" w:eastAsia="zh-CN"/>
                        <w14:textFill>
                          <w14:solidFill>
                            <w14:schemeClr w14:val="tx1"/>
                          </w14:solidFill>
                        </w14:textFill>
                      </w:rPr>
                      <m:t>−</m:t>
                    </m:r>
                    <m:sSub>
                      <m:sSubP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sSubPr>
                      <m:e>
                        <m:r>
                          <m:rPr>
                            <m:sty m:val="p"/>
                          </m:rPr>
                          <w:rPr>
                            <w:rFonts w:hint="default" w:ascii="Cambria Math" w:hAnsi="Cambria Math"/>
                            <w:color w:val="000000" w:themeColor="text1"/>
                            <w:spacing w:val="0"/>
                            <w:sz w:val="24"/>
                            <w:highlight w:val="none"/>
                            <w:lang w:val="en-US" w:eastAsia="zh-CN"/>
                            <w14:textFill>
                              <w14:solidFill>
                                <w14:schemeClr w14:val="tx1"/>
                              </w14:solidFill>
                            </w14:textFill>
                          </w:rPr>
                          <m:t>S</m:t>
                        </m: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e>
                      <m:sub>
                        <m:r>
                          <m:rPr>
                            <m:sty m:val="p"/>
                          </m:rPr>
                          <w:rPr>
                            <w:rFonts w:hint="default" w:ascii="Cambria Math" w:hAnsi="Cambria Math"/>
                            <w:color w:val="000000" w:themeColor="text1"/>
                            <w:spacing w:val="0"/>
                            <w:sz w:val="24"/>
                            <w:highlight w:val="none"/>
                            <w:lang w:val="en-US" w:eastAsia="zh-CN"/>
                            <w14:textFill>
                              <w14:solidFill>
                                <w14:schemeClr w14:val="tx1"/>
                              </w14:solidFill>
                            </w14:textFill>
                          </w:rPr>
                          <m:t>po</m:t>
                        </m:r>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sub>
                    </m:sSub>
                    <m:ctrlPr>
                      <w:rPr>
                        <w:rFonts w:hint="default" w:ascii="Cambria Math" w:hAnsi="Cambria Math"/>
                        <w:bCs w:val="0"/>
                        <w:color w:val="000000" w:themeColor="text1"/>
                        <w:spacing w:val="0"/>
                        <w:sz w:val="24"/>
                        <w:highlight w:val="none"/>
                        <w:lang w:val="en-US" w:eastAsia="zh-CN"/>
                        <w14:textFill>
                          <w14:solidFill>
                            <w14:schemeClr w14:val="tx1"/>
                          </w14:solidFill>
                        </w14:textFill>
                      </w:rPr>
                    </m:ctrlPr>
                  </m:e>
                </m:d>
              </m:oMath>
            </m:oMathPara>
          </w:p>
          <w:p w14:paraId="3A0366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式中：</w:t>
            </w:r>
          </w:p>
          <w:p w14:paraId="687310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a—系数，本次取值0.95；</w:t>
            </w:r>
          </w:p>
          <w:p w14:paraId="1E8C26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Q—平均日废水流量，m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/d；</w:t>
            </w:r>
          </w:p>
          <w:p w14:paraId="26FB65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Spi、Spo—进出水悬浮物浓度，kg/m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w:t>
            </w:r>
          </w:p>
          <w:p w14:paraId="7DD2F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本项目废水处理量为21154.455m</w:t>
            </w:r>
            <w:r>
              <w:rPr>
                <w:rFonts w:hint="eastAsia"/>
                <w:b w:val="0"/>
                <w:bCs w:val="0"/>
                <w:color w:val="000000" w:themeColor="text1"/>
                <w:spacing w:val="0"/>
                <w:sz w:val="24"/>
                <w:highlight w:val="none"/>
                <w:vertAlign w:val="superscript"/>
                <w:lang w:val="en-US" w:eastAsia="zh-CN"/>
                <w14:textFill>
                  <w14:solidFill>
                    <w14:schemeClr w14:val="tx1"/>
                  </w14:solidFill>
                </w14:textFill>
              </w:rPr>
              <w:t>3</w:t>
            </w:r>
            <w:r>
              <w:rPr>
                <w:rFonts w:hint="eastAsia"/>
                <w:b w:val="0"/>
                <w:bCs w:val="0"/>
                <w:color w:val="000000" w:themeColor="text1"/>
                <w:spacing w:val="0"/>
                <w:sz w:val="24"/>
                <w:highlight w:val="none"/>
                <w:lang w:val="en-US" w:eastAsia="zh-CN"/>
                <w14:textFill>
                  <w14:solidFill>
                    <w14:schemeClr w14:val="tx1"/>
                  </w14:solidFill>
                </w14:textFill>
              </w:rPr>
              <w:t>/a，悬浮物进出浓度分别为84.0mg/L和25.2mg/L，则沉淀产生的污泥量（含水率为95%）为1.244t/a。本项目污水处理设施污泥定期（每月）由资质单位清掏转运，</w:t>
            </w:r>
            <w:r>
              <w:rPr>
                <w:rFonts w:hint="eastAsia" w:cs="Times New Roman"/>
                <w:b w:val="0"/>
                <w:bCs w:val="0"/>
                <w:color w:val="000000" w:themeColor="text1"/>
                <w:kern w:val="0"/>
                <w:sz w:val="24"/>
                <w:szCs w:val="24"/>
                <w:highlight w:val="none"/>
                <w:lang w:eastAsia="zh-CN"/>
                <w14:textFill>
                  <w14:solidFill>
                    <w14:schemeClr w14:val="tx1"/>
                  </w14:solidFill>
                </w14:textFill>
              </w:rPr>
              <w:t>化粪池污泥、污水处理设施栅渣及污泥清淘前</w:t>
            </w:r>
            <w:r>
              <w:rPr>
                <w:rFonts w:hint="eastAsia" w:cs="Times New Roman"/>
                <w:b w:val="0"/>
                <w:bCs w:val="0"/>
                <w:color w:val="000000" w:themeColor="text1"/>
                <w:kern w:val="0"/>
                <w:sz w:val="24"/>
                <w:szCs w:val="24"/>
                <w:highlight w:val="none"/>
                <w:lang w:val="en-US" w:eastAsia="zh-CN"/>
                <w14:textFill>
                  <w14:solidFill>
                    <w14:schemeClr w14:val="tx1"/>
                  </w14:solidFill>
                </w14:textFill>
              </w:rPr>
              <w:t>应进行消毒，满足粪大肠菌群数≤100MPN/L，蛔虫卵死亡率＞95%</w:t>
            </w:r>
            <w:r>
              <w:rPr>
                <w:rFonts w:hint="eastAsia"/>
                <w:b w:val="0"/>
                <w:bCs w:val="0"/>
                <w:color w:val="000000" w:themeColor="text1"/>
                <w:spacing w:val="0"/>
                <w:sz w:val="24"/>
                <w:highlight w:val="none"/>
                <w:lang w:val="en-US" w:eastAsia="zh-CN"/>
                <w14:textFill>
                  <w14:solidFill>
                    <w14:schemeClr w14:val="tx1"/>
                  </w14:solidFill>
                </w14:textFill>
              </w:rPr>
              <w:t>。</w:t>
            </w:r>
          </w:p>
          <w:p w14:paraId="7C9FC9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综上，项目化粪池污泥（含水率95%）、污水处理设施栅渣（含水率95%）和污泥（含水率95%）总产生量约为54.397t/a。</w:t>
            </w:r>
          </w:p>
          <w:p w14:paraId="3DD2A6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B消毒剂沾染物</w:t>
            </w:r>
          </w:p>
          <w:p w14:paraId="2A4139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本项目门诊和病房在日常消毒会使用酒精和碘伏消毒液，地面清洁使用次氯酸钠溶液（含次氯酸钠6.5%），污水处理会使用次氯酸钠溶液（含次氯酸钠13%）。以上消毒剂使用会产生废桶、废瓶等消毒剂沾染物。</w:t>
            </w:r>
          </w:p>
          <w:p w14:paraId="4B72F2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根据医院提供资料，门诊和病床使用酒精、碘伏消毒液、次氯酸钠溶液等消毒剂沾染物产生量约1t/a。</w:t>
            </w:r>
          </w:p>
          <w:p w14:paraId="7D99AA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本项目危险废物</w:t>
            </w:r>
            <w:r>
              <w:rPr>
                <w:rFonts w:hint="eastAsia"/>
                <w:b w:val="0"/>
                <w:bCs w:val="0"/>
                <w:color w:val="000000" w:themeColor="text1"/>
                <w:spacing w:val="0"/>
                <w:sz w:val="24"/>
                <w:highlight w:val="none"/>
                <w:lang w:val="en-US" w:eastAsia="zh-CN"/>
                <w14:textFill>
                  <w14:solidFill>
                    <w14:schemeClr w14:val="tx1"/>
                  </w14:solidFill>
                </w14:textFill>
              </w:rPr>
              <w:t>信息</w:t>
            </w:r>
            <w:r>
              <w:rPr>
                <w:rFonts w:hint="default"/>
                <w:b w:val="0"/>
                <w:bCs w:val="0"/>
                <w:color w:val="000000" w:themeColor="text1"/>
                <w:spacing w:val="0"/>
                <w:sz w:val="24"/>
                <w:highlight w:val="none"/>
                <w:lang w:val="en-US" w:eastAsia="zh-CN"/>
                <w14:textFill>
                  <w14:solidFill>
                    <w14:schemeClr w14:val="tx1"/>
                  </w14:solidFill>
                </w14:textFill>
              </w:rPr>
              <w:t>见下表。</w:t>
            </w:r>
          </w:p>
          <w:p w14:paraId="4F6541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表4-17 本项目危险废物信息汇总表</w:t>
            </w:r>
          </w:p>
          <w:tbl>
            <w:tblPr>
              <w:tblStyle w:val="1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545"/>
              <w:gridCol w:w="818"/>
              <w:gridCol w:w="1143"/>
              <w:gridCol w:w="655"/>
              <w:gridCol w:w="1653"/>
              <w:gridCol w:w="711"/>
              <w:gridCol w:w="711"/>
              <w:gridCol w:w="894"/>
            </w:tblGrid>
            <w:tr w14:paraId="1467EE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tcBorders>
                    <w:tl2br w:val="nil"/>
                    <w:tr2bl w:val="nil"/>
                  </w:tcBorders>
                  <w:vAlign w:val="center"/>
                </w:tcPr>
                <w:p w14:paraId="72B283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名称</w:t>
                  </w:r>
                </w:p>
              </w:tc>
              <w:tc>
                <w:tcPr>
                  <w:tcW w:w="1500" w:type="dxa"/>
                  <w:tcBorders>
                    <w:tl2br w:val="nil"/>
                    <w:tr2bl w:val="nil"/>
                  </w:tcBorders>
                  <w:vAlign w:val="center"/>
                </w:tcPr>
                <w:p w14:paraId="106855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代码</w:t>
                  </w:r>
                </w:p>
              </w:tc>
              <w:tc>
                <w:tcPr>
                  <w:tcW w:w="765" w:type="dxa"/>
                  <w:tcBorders>
                    <w:tl2br w:val="nil"/>
                    <w:tr2bl w:val="nil"/>
                  </w:tcBorders>
                  <w:vAlign w:val="center"/>
                </w:tcPr>
                <w:p w14:paraId="51FFA4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产生量t/a</w:t>
                  </w:r>
                </w:p>
              </w:tc>
              <w:tc>
                <w:tcPr>
                  <w:tcW w:w="1110" w:type="dxa"/>
                  <w:tcBorders>
                    <w:tl2br w:val="nil"/>
                    <w:tr2bl w:val="nil"/>
                  </w:tcBorders>
                  <w:vAlign w:val="center"/>
                </w:tcPr>
                <w:p w14:paraId="7DDBD9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产生工序</w:t>
                  </w:r>
                </w:p>
              </w:tc>
              <w:tc>
                <w:tcPr>
                  <w:tcW w:w="495" w:type="dxa"/>
                  <w:tcBorders>
                    <w:tl2br w:val="nil"/>
                    <w:tr2bl w:val="nil"/>
                  </w:tcBorders>
                  <w:vAlign w:val="center"/>
                </w:tcPr>
                <w:p w14:paraId="0ADCFE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形态</w:t>
                  </w:r>
                </w:p>
              </w:tc>
              <w:tc>
                <w:tcPr>
                  <w:tcW w:w="1605" w:type="dxa"/>
                  <w:tcBorders>
                    <w:tl2br w:val="nil"/>
                    <w:tr2bl w:val="nil"/>
                  </w:tcBorders>
                  <w:vAlign w:val="center"/>
                </w:tcPr>
                <w:p w14:paraId="7B8B87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有害成分</w:t>
                  </w:r>
                </w:p>
              </w:tc>
              <w:tc>
                <w:tcPr>
                  <w:tcW w:w="690" w:type="dxa"/>
                  <w:tcBorders>
                    <w:tl2br w:val="nil"/>
                    <w:tr2bl w:val="nil"/>
                  </w:tcBorders>
                  <w:vAlign w:val="center"/>
                </w:tcPr>
                <w:p w14:paraId="0DBDB8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产废周期</w:t>
                  </w:r>
                </w:p>
              </w:tc>
              <w:tc>
                <w:tcPr>
                  <w:tcW w:w="690" w:type="dxa"/>
                  <w:tcBorders>
                    <w:tl2br w:val="nil"/>
                    <w:tr2bl w:val="nil"/>
                  </w:tcBorders>
                  <w:vAlign w:val="center"/>
                </w:tcPr>
                <w:p w14:paraId="6FDF6D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危险特性</w:t>
                  </w:r>
                </w:p>
              </w:tc>
              <w:tc>
                <w:tcPr>
                  <w:tcW w:w="868" w:type="dxa"/>
                  <w:tcBorders>
                    <w:tl2br w:val="nil"/>
                    <w:tr2bl w:val="nil"/>
                  </w:tcBorders>
                  <w:vAlign w:val="center"/>
                </w:tcPr>
                <w:p w14:paraId="30CE88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污染防治措施</w:t>
                  </w:r>
                </w:p>
              </w:tc>
            </w:tr>
            <w:tr w14:paraId="66E9B8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restart"/>
                  <w:tcBorders>
                    <w:tl2br w:val="nil"/>
                    <w:tr2bl w:val="nil"/>
                  </w:tcBorders>
                  <w:vAlign w:val="center"/>
                </w:tcPr>
                <w:p w14:paraId="413B52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HW01医疗废物</w:t>
                  </w:r>
                </w:p>
              </w:tc>
              <w:tc>
                <w:tcPr>
                  <w:tcW w:w="1500" w:type="dxa"/>
                  <w:tcBorders>
                    <w:tl2br w:val="nil"/>
                    <w:tr2bl w:val="nil"/>
                  </w:tcBorders>
                  <w:vAlign w:val="center"/>
                </w:tcPr>
                <w:p w14:paraId="0F2B01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感染性废物841-001-01</w:t>
                  </w:r>
                </w:p>
              </w:tc>
              <w:tc>
                <w:tcPr>
                  <w:tcW w:w="765" w:type="dxa"/>
                  <w:vMerge w:val="restart"/>
                  <w:tcBorders>
                    <w:tl2br w:val="nil"/>
                    <w:tr2bl w:val="nil"/>
                  </w:tcBorders>
                  <w:vAlign w:val="center"/>
                </w:tcPr>
                <w:p w14:paraId="18EECF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38.39</w:t>
                  </w:r>
                </w:p>
              </w:tc>
              <w:tc>
                <w:tcPr>
                  <w:tcW w:w="1110" w:type="dxa"/>
                  <w:tcBorders>
                    <w:tl2br w:val="nil"/>
                    <w:tr2bl w:val="nil"/>
                  </w:tcBorders>
                  <w:vAlign w:val="center"/>
                </w:tcPr>
                <w:p w14:paraId="412E7C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医疗处置、检验</w:t>
                  </w:r>
                </w:p>
              </w:tc>
              <w:tc>
                <w:tcPr>
                  <w:tcW w:w="495" w:type="dxa"/>
                  <w:vMerge w:val="restart"/>
                  <w:tcBorders>
                    <w:tl2br w:val="nil"/>
                    <w:tr2bl w:val="nil"/>
                  </w:tcBorders>
                  <w:vAlign w:val="center"/>
                </w:tcPr>
                <w:p w14:paraId="22D280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固态、液态</w:t>
                  </w:r>
                </w:p>
              </w:tc>
              <w:tc>
                <w:tcPr>
                  <w:tcW w:w="1605" w:type="dxa"/>
                  <w:tcBorders>
                    <w:tl2br w:val="nil"/>
                    <w:tr2bl w:val="nil"/>
                  </w:tcBorders>
                  <w:vAlign w:val="center"/>
                </w:tcPr>
                <w:p w14:paraId="204692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废试剂盒，实验废液人体血液样本、体液样本，沾染血液、组织液的棉球，纱布，口罩</w:t>
                  </w:r>
                </w:p>
              </w:tc>
              <w:tc>
                <w:tcPr>
                  <w:tcW w:w="690" w:type="dxa"/>
                  <w:vMerge w:val="restart"/>
                  <w:tcBorders>
                    <w:tl2br w:val="nil"/>
                    <w:tr2bl w:val="nil"/>
                  </w:tcBorders>
                  <w:vAlign w:val="center"/>
                </w:tcPr>
                <w:p w14:paraId="5E623E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每日</w:t>
                  </w:r>
                </w:p>
              </w:tc>
              <w:tc>
                <w:tcPr>
                  <w:tcW w:w="690" w:type="dxa"/>
                  <w:tcBorders>
                    <w:tl2br w:val="nil"/>
                    <w:tr2bl w:val="nil"/>
                  </w:tcBorders>
                  <w:vAlign w:val="center"/>
                </w:tcPr>
                <w:p w14:paraId="5E44F0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In</w:t>
                  </w:r>
                </w:p>
              </w:tc>
              <w:tc>
                <w:tcPr>
                  <w:tcW w:w="868" w:type="dxa"/>
                  <w:vMerge w:val="restart"/>
                  <w:tcBorders>
                    <w:tl2br w:val="nil"/>
                    <w:tr2bl w:val="nil"/>
                  </w:tcBorders>
                  <w:vAlign w:val="center"/>
                </w:tcPr>
                <w:p w14:paraId="397935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暂存于医疗废物暂存间医疗废物隔间，定期委托资质单位清运处置</w:t>
                  </w:r>
                </w:p>
              </w:tc>
            </w:tr>
            <w:tr w14:paraId="6D311F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tcBorders>
                    <w:tl2br w:val="nil"/>
                    <w:tr2bl w:val="nil"/>
                  </w:tcBorders>
                  <w:vAlign w:val="center"/>
                </w:tcPr>
                <w:p w14:paraId="4BC0A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500" w:type="dxa"/>
                  <w:tcBorders>
                    <w:tl2br w:val="nil"/>
                    <w:tr2bl w:val="nil"/>
                  </w:tcBorders>
                  <w:vAlign w:val="center"/>
                </w:tcPr>
                <w:p w14:paraId="7F7CBE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损伤性废物841-002-01</w:t>
                  </w:r>
                </w:p>
              </w:tc>
              <w:tc>
                <w:tcPr>
                  <w:tcW w:w="765" w:type="dxa"/>
                  <w:vMerge w:val="continue"/>
                  <w:tcBorders>
                    <w:tl2br w:val="nil"/>
                    <w:tr2bl w:val="nil"/>
                  </w:tcBorders>
                  <w:vAlign w:val="center"/>
                </w:tcPr>
                <w:p w14:paraId="19E191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110" w:type="dxa"/>
                  <w:tcBorders>
                    <w:tl2br w:val="nil"/>
                    <w:tr2bl w:val="nil"/>
                  </w:tcBorders>
                  <w:vAlign w:val="center"/>
                </w:tcPr>
                <w:p w14:paraId="195E44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医疗处置</w:t>
                  </w:r>
                </w:p>
              </w:tc>
              <w:tc>
                <w:tcPr>
                  <w:tcW w:w="495" w:type="dxa"/>
                  <w:vMerge w:val="continue"/>
                  <w:tcBorders>
                    <w:tl2br w:val="nil"/>
                    <w:tr2bl w:val="nil"/>
                  </w:tcBorders>
                  <w:vAlign w:val="center"/>
                </w:tcPr>
                <w:p w14:paraId="378C48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605" w:type="dxa"/>
                  <w:tcBorders>
                    <w:tl2br w:val="nil"/>
                    <w:tr2bl w:val="nil"/>
                  </w:tcBorders>
                  <w:vAlign w:val="center"/>
                </w:tcPr>
                <w:p w14:paraId="5F320B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注射器、输液器针头等物品</w:t>
                  </w:r>
                </w:p>
              </w:tc>
              <w:tc>
                <w:tcPr>
                  <w:tcW w:w="690" w:type="dxa"/>
                  <w:vMerge w:val="continue"/>
                  <w:tcBorders>
                    <w:tl2br w:val="nil"/>
                    <w:tr2bl w:val="nil"/>
                  </w:tcBorders>
                  <w:vAlign w:val="center"/>
                </w:tcPr>
                <w:p w14:paraId="5D42D5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690" w:type="dxa"/>
                  <w:tcBorders>
                    <w:tl2br w:val="nil"/>
                    <w:tr2bl w:val="nil"/>
                  </w:tcBorders>
                  <w:vAlign w:val="center"/>
                </w:tcPr>
                <w:p w14:paraId="5AA98D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In</w:t>
                  </w:r>
                </w:p>
              </w:tc>
              <w:tc>
                <w:tcPr>
                  <w:tcW w:w="868" w:type="dxa"/>
                  <w:vMerge w:val="continue"/>
                  <w:tcBorders>
                    <w:tl2br w:val="nil"/>
                    <w:tr2bl w:val="nil"/>
                  </w:tcBorders>
                  <w:vAlign w:val="center"/>
                </w:tcPr>
                <w:p w14:paraId="105725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r>
            <w:tr w14:paraId="5927D5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89" w:type="dxa"/>
                  <w:vMerge w:val="restart"/>
                  <w:tcBorders>
                    <w:tl2br w:val="nil"/>
                    <w:tr2bl w:val="nil"/>
                  </w:tcBorders>
                  <w:vAlign w:val="center"/>
                </w:tcPr>
                <w:p w14:paraId="79F71F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HW49其他危险废物</w:t>
                  </w:r>
                </w:p>
              </w:tc>
              <w:tc>
                <w:tcPr>
                  <w:tcW w:w="1500" w:type="dxa"/>
                  <w:tcBorders>
                    <w:tl2br w:val="nil"/>
                    <w:tr2bl w:val="nil"/>
                  </w:tcBorders>
                  <w:shd w:val="clear" w:color="auto" w:fill="auto"/>
                  <w:vAlign w:val="center"/>
                </w:tcPr>
                <w:p w14:paraId="148313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消毒剂沾染物900-041-49</w:t>
                  </w:r>
                </w:p>
              </w:tc>
              <w:tc>
                <w:tcPr>
                  <w:tcW w:w="765" w:type="dxa"/>
                  <w:tcBorders>
                    <w:tl2br w:val="nil"/>
                    <w:tr2bl w:val="nil"/>
                  </w:tcBorders>
                  <w:shd w:val="clear" w:color="auto" w:fill="auto"/>
                  <w:vAlign w:val="center"/>
                </w:tcPr>
                <w:p w14:paraId="443D1B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1</w:t>
                  </w:r>
                </w:p>
              </w:tc>
              <w:tc>
                <w:tcPr>
                  <w:tcW w:w="1110" w:type="dxa"/>
                  <w:tcBorders>
                    <w:tl2br w:val="nil"/>
                    <w:tr2bl w:val="nil"/>
                  </w:tcBorders>
                  <w:shd w:val="clear" w:color="auto" w:fill="auto"/>
                  <w:vAlign w:val="center"/>
                </w:tcPr>
                <w:p w14:paraId="13AC57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污水处理设施和医院院区消毒</w:t>
                  </w:r>
                </w:p>
              </w:tc>
              <w:tc>
                <w:tcPr>
                  <w:tcW w:w="495" w:type="dxa"/>
                  <w:tcBorders>
                    <w:tl2br w:val="nil"/>
                    <w:tr2bl w:val="nil"/>
                  </w:tcBorders>
                  <w:shd w:val="clear" w:color="auto" w:fill="auto"/>
                  <w:vAlign w:val="center"/>
                </w:tcPr>
                <w:p w14:paraId="7FC4D9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固态</w:t>
                  </w:r>
                </w:p>
              </w:tc>
              <w:tc>
                <w:tcPr>
                  <w:tcW w:w="1605" w:type="dxa"/>
                  <w:tcBorders>
                    <w:tl2br w:val="nil"/>
                    <w:tr2bl w:val="nil"/>
                  </w:tcBorders>
                  <w:shd w:val="clear" w:color="auto" w:fill="auto"/>
                  <w:vAlign w:val="center"/>
                </w:tcPr>
                <w:p w14:paraId="62D4E5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次氯酸钠等</w:t>
                  </w:r>
                </w:p>
              </w:tc>
              <w:tc>
                <w:tcPr>
                  <w:tcW w:w="690" w:type="dxa"/>
                  <w:tcBorders>
                    <w:tl2br w:val="nil"/>
                    <w:tr2bl w:val="nil"/>
                  </w:tcBorders>
                  <w:shd w:val="clear" w:color="auto" w:fill="auto"/>
                  <w:vAlign w:val="center"/>
                </w:tcPr>
                <w:p w14:paraId="1A58E3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每日</w:t>
                  </w:r>
                </w:p>
              </w:tc>
              <w:tc>
                <w:tcPr>
                  <w:tcW w:w="690" w:type="dxa"/>
                  <w:tcBorders>
                    <w:tl2br w:val="nil"/>
                    <w:tr2bl w:val="nil"/>
                  </w:tcBorders>
                  <w:shd w:val="clear" w:color="auto" w:fill="auto"/>
                  <w:vAlign w:val="center"/>
                </w:tcPr>
                <w:p w14:paraId="1D097F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T</w:t>
                  </w:r>
                </w:p>
              </w:tc>
              <w:tc>
                <w:tcPr>
                  <w:tcW w:w="868" w:type="dxa"/>
                  <w:tcBorders>
                    <w:tl2br w:val="nil"/>
                    <w:tr2bl w:val="nil"/>
                  </w:tcBorders>
                  <w:shd w:val="clear" w:color="auto" w:fill="auto"/>
                  <w:vAlign w:val="center"/>
                </w:tcPr>
                <w:p w14:paraId="77179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暂存于医疗废物暂存间其他危险废物隔间，定期委托资质单位清运处置</w:t>
                  </w:r>
                </w:p>
              </w:tc>
            </w:tr>
            <w:tr w14:paraId="329801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89" w:type="dxa"/>
                  <w:vMerge w:val="continue"/>
                  <w:tcBorders>
                    <w:tl2br w:val="nil"/>
                    <w:tr2bl w:val="nil"/>
                  </w:tcBorders>
                  <w:vAlign w:val="center"/>
                </w:tcPr>
                <w:p w14:paraId="16B38F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p>
              </w:tc>
              <w:tc>
                <w:tcPr>
                  <w:tcW w:w="1500" w:type="dxa"/>
                  <w:tcBorders>
                    <w:tl2br w:val="nil"/>
                    <w:tr2bl w:val="nil"/>
                  </w:tcBorders>
                  <w:shd w:val="clear" w:color="auto" w:fill="auto"/>
                  <w:vAlign w:val="center"/>
                </w:tcPr>
                <w:p w14:paraId="29344B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污泥、栅渣772-006-49</w:t>
                  </w:r>
                </w:p>
              </w:tc>
              <w:tc>
                <w:tcPr>
                  <w:tcW w:w="765" w:type="dxa"/>
                  <w:tcBorders>
                    <w:tl2br w:val="nil"/>
                    <w:tr2bl w:val="nil"/>
                  </w:tcBorders>
                  <w:shd w:val="clear" w:color="auto" w:fill="auto"/>
                  <w:vAlign w:val="center"/>
                </w:tcPr>
                <w:p w14:paraId="7F0EFA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t>54.397</w:t>
                  </w:r>
                </w:p>
              </w:tc>
              <w:tc>
                <w:tcPr>
                  <w:tcW w:w="1110" w:type="dxa"/>
                  <w:tcBorders>
                    <w:tl2br w:val="nil"/>
                    <w:tr2bl w:val="nil"/>
                  </w:tcBorders>
                  <w:shd w:val="clear" w:color="auto" w:fill="auto"/>
                  <w:vAlign w:val="center"/>
                </w:tcPr>
                <w:p w14:paraId="75D541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污水处理设施污泥、栅渣、化粪池污泥等</w:t>
                  </w:r>
                </w:p>
              </w:tc>
              <w:tc>
                <w:tcPr>
                  <w:tcW w:w="495" w:type="dxa"/>
                  <w:tcBorders>
                    <w:tl2br w:val="nil"/>
                    <w:tr2bl w:val="nil"/>
                  </w:tcBorders>
                  <w:shd w:val="clear" w:color="auto" w:fill="auto"/>
                  <w:vAlign w:val="center"/>
                </w:tcPr>
                <w:p w14:paraId="5AC5A1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固态</w:t>
                  </w:r>
                </w:p>
              </w:tc>
              <w:tc>
                <w:tcPr>
                  <w:tcW w:w="1605" w:type="dxa"/>
                  <w:tcBorders>
                    <w:tl2br w:val="nil"/>
                    <w:tr2bl w:val="nil"/>
                  </w:tcBorders>
                  <w:shd w:val="clear" w:color="auto" w:fill="auto"/>
                  <w:vAlign w:val="center"/>
                </w:tcPr>
                <w:p w14:paraId="0DB97D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被病人血</w:t>
                  </w:r>
                </w:p>
                <w:p w14:paraId="3312C4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液、体液、</w:t>
                  </w:r>
                </w:p>
                <w:p w14:paraId="6DEC5B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排泄物污染</w:t>
                  </w:r>
                </w:p>
                <w:p w14:paraId="767C8E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的物品</w:t>
                  </w:r>
                </w:p>
              </w:tc>
              <w:tc>
                <w:tcPr>
                  <w:tcW w:w="690" w:type="dxa"/>
                  <w:tcBorders>
                    <w:tl2br w:val="nil"/>
                    <w:tr2bl w:val="nil"/>
                  </w:tcBorders>
                  <w:shd w:val="clear" w:color="auto" w:fill="auto"/>
                  <w:vAlign w:val="center"/>
                </w:tcPr>
                <w:p w14:paraId="50216E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每日</w:t>
                  </w:r>
                </w:p>
              </w:tc>
              <w:tc>
                <w:tcPr>
                  <w:tcW w:w="690" w:type="dxa"/>
                  <w:tcBorders>
                    <w:tl2br w:val="nil"/>
                    <w:tr2bl w:val="nil"/>
                  </w:tcBorders>
                  <w:shd w:val="clear" w:color="auto" w:fill="auto"/>
                  <w:vAlign w:val="center"/>
                </w:tcPr>
                <w:p w14:paraId="41FD0A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T/In</w:t>
                  </w:r>
                </w:p>
              </w:tc>
              <w:tc>
                <w:tcPr>
                  <w:tcW w:w="868" w:type="dxa"/>
                  <w:tcBorders>
                    <w:tl2br w:val="nil"/>
                    <w:tr2bl w:val="nil"/>
                  </w:tcBorders>
                  <w:shd w:val="clear" w:color="auto" w:fill="auto"/>
                  <w:vAlign w:val="center"/>
                </w:tcPr>
                <w:p w14:paraId="0F1FBE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0"/>
                      <w:kern w:val="2"/>
                      <w:sz w:val="21"/>
                      <w:szCs w:val="21"/>
                      <w:highlight w:val="none"/>
                      <w:vertAlign w:val="baseline"/>
                      <w:lang w:val="en-US" w:eastAsia="zh-CN" w:bidi="ar-SA"/>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定期委托资质单位清掏，随清随运，不在医院内暂存</w:t>
                  </w:r>
                </w:p>
              </w:tc>
            </w:tr>
          </w:tbl>
          <w:p w14:paraId="0A58CD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2）一般固体废物</w:t>
            </w:r>
          </w:p>
          <w:p w14:paraId="41AC20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项目产生的一般固体废物主要为诊断、治疗、住院过程中产生的无害的医药外包装物、未被污染的一次性输液瓶（袋）。</w:t>
            </w:r>
          </w:p>
          <w:p w14:paraId="0CC4E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①</w:t>
            </w:r>
            <w:r>
              <w:rPr>
                <w:rFonts w:hint="eastAsia"/>
                <w:b w:val="0"/>
                <w:bCs w:val="0"/>
                <w:color w:val="000000" w:themeColor="text1"/>
                <w:spacing w:val="0"/>
                <w:sz w:val="24"/>
                <w:highlight w:val="none"/>
                <w:lang w:val="en-US" w:eastAsia="zh-CN"/>
                <w14:textFill>
                  <w14:solidFill>
                    <w14:schemeClr w14:val="tx1"/>
                  </w14:solidFill>
                </w14:textFill>
              </w:rPr>
              <w:t>无害的医药外包装物</w:t>
            </w:r>
          </w:p>
          <w:p w14:paraId="7E4A76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根据《固体废物分类与代码目录》，无害的医药外包装物固废代码为900-005-S17。</w:t>
            </w:r>
          </w:p>
          <w:p w14:paraId="5FCBD1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根据医院提供资料，本项目无害的医药外包装物产生量约为3t/a。分类收集，直接交由物资回收部门处理，不在院内贮存。</w:t>
            </w:r>
          </w:p>
          <w:p w14:paraId="40E3A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②未被污染的一次性输液瓶（袋）</w:t>
            </w:r>
          </w:p>
          <w:p w14:paraId="010EE2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医疗废物分类名录（2021年版）》，未被病人血液、体液、排泄物污染的各种玻璃（一次性塑料）输液瓶（袋），不属于医疗废物，不必按照医疗废物进行管理。根据医院提供资料，本项目未被污染的一次性输液瓶（袋）年产生量约2.0t/a，日产日清，移交回收企业回收。</w:t>
            </w:r>
          </w:p>
          <w:p w14:paraId="4C44A8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上述一般固体废物均日产日清，不在院内贮存。</w:t>
            </w:r>
          </w:p>
          <w:p w14:paraId="48C113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表4-18 一般固体废物产生情况一览表</w:t>
            </w:r>
          </w:p>
          <w:tbl>
            <w:tblPr>
              <w:tblStyle w:val="17"/>
              <w:tblW w:w="851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2115"/>
              <w:gridCol w:w="1125"/>
              <w:gridCol w:w="1545"/>
              <w:gridCol w:w="1380"/>
              <w:gridCol w:w="1619"/>
            </w:tblGrid>
            <w:tr w14:paraId="74222E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dxa"/>
                  <w:tcBorders>
                    <w:tl2br w:val="nil"/>
                    <w:tr2bl w:val="nil"/>
                  </w:tcBorders>
                  <w:vAlign w:val="center"/>
                </w:tcPr>
                <w:p w14:paraId="362369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废物属性</w:t>
                  </w:r>
                </w:p>
              </w:tc>
              <w:tc>
                <w:tcPr>
                  <w:tcW w:w="2115" w:type="dxa"/>
                  <w:tcBorders>
                    <w:tl2br w:val="nil"/>
                    <w:tr2bl w:val="nil"/>
                  </w:tcBorders>
                  <w:vAlign w:val="center"/>
                </w:tcPr>
                <w:p w14:paraId="63E6ED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产生环节</w:t>
                  </w:r>
                </w:p>
              </w:tc>
              <w:tc>
                <w:tcPr>
                  <w:tcW w:w="1125" w:type="dxa"/>
                  <w:tcBorders>
                    <w:tl2br w:val="nil"/>
                    <w:tr2bl w:val="nil"/>
                  </w:tcBorders>
                  <w:vAlign w:val="center"/>
                </w:tcPr>
                <w:p w14:paraId="060BA4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产生情况t/a</w:t>
                  </w:r>
                </w:p>
              </w:tc>
              <w:tc>
                <w:tcPr>
                  <w:tcW w:w="1545" w:type="dxa"/>
                  <w:tcBorders>
                    <w:tl2br w:val="nil"/>
                    <w:tr2bl w:val="nil"/>
                  </w:tcBorders>
                  <w:vAlign w:val="center"/>
                </w:tcPr>
                <w:p w14:paraId="51D817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自行处置/利用量t/a</w:t>
                  </w:r>
                </w:p>
              </w:tc>
              <w:tc>
                <w:tcPr>
                  <w:tcW w:w="1380" w:type="dxa"/>
                  <w:tcBorders>
                    <w:tl2br w:val="nil"/>
                    <w:tr2bl w:val="nil"/>
                  </w:tcBorders>
                  <w:vAlign w:val="center"/>
                </w:tcPr>
                <w:p w14:paraId="7D5C6A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委托处置/利用量t/a</w:t>
                  </w:r>
                </w:p>
              </w:tc>
              <w:tc>
                <w:tcPr>
                  <w:tcW w:w="1619" w:type="dxa"/>
                  <w:tcBorders>
                    <w:tl2br w:val="nil"/>
                    <w:tr2bl w:val="nil"/>
                  </w:tcBorders>
                  <w:vAlign w:val="center"/>
                </w:tcPr>
                <w:p w14:paraId="2309DF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0"/>
                      <w:sz w:val="21"/>
                      <w:szCs w:val="21"/>
                      <w:highlight w:val="none"/>
                      <w:vertAlign w:val="baseline"/>
                      <w:lang w:val="en-US" w:eastAsia="zh-CN"/>
                      <w14:textFill>
                        <w14:solidFill>
                          <w14:schemeClr w14:val="tx1"/>
                        </w14:solidFill>
                      </w14:textFill>
                    </w:rPr>
                  </w:pPr>
                  <w:r>
                    <w:rPr>
                      <w:rFonts w:hint="eastAsia"/>
                      <w:b/>
                      <w:bCs/>
                      <w:color w:val="000000" w:themeColor="text1"/>
                      <w:spacing w:val="0"/>
                      <w:sz w:val="21"/>
                      <w:szCs w:val="21"/>
                      <w:highlight w:val="none"/>
                      <w:vertAlign w:val="baseline"/>
                      <w:lang w:val="en-US" w:eastAsia="zh-CN"/>
                      <w14:textFill>
                        <w14:solidFill>
                          <w14:schemeClr w14:val="tx1"/>
                        </w14:solidFill>
                      </w14:textFill>
                    </w:rPr>
                    <w:t>最终去向</w:t>
                  </w:r>
                </w:p>
              </w:tc>
            </w:tr>
            <w:tr w14:paraId="305CC1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dxa"/>
                  <w:vMerge w:val="restart"/>
                  <w:tcBorders>
                    <w:tl2br w:val="nil"/>
                    <w:tr2bl w:val="nil"/>
                  </w:tcBorders>
                  <w:vAlign w:val="center"/>
                </w:tcPr>
                <w:p w14:paraId="50767D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一般固体废物</w:t>
                  </w:r>
                </w:p>
              </w:tc>
              <w:tc>
                <w:tcPr>
                  <w:tcW w:w="2115" w:type="dxa"/>
                  <w:tcBorders>
                    <w:tl2br w:val="nil"/>
                    <w:tr2bl w:val="nil"/>
                  </w:tcBorders>
                  <w:vAlign w:val="center"/>
                </w:tcPr>
                <w:p w14:paraId="7C5553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无害的医药外包装物</w:t>
                  </w:r>
                </w:p>
              </w:tc>
              <w:tc>
                <w:tcPr>
                  <w:tcW w:w="1125" w:type="dxa"/>
                  <w:tcBorders>
                    <w:tl2br w:val="nil"/>
                    <w:tr2bl w:val="nil"/>
                  </w:tcBorders>
                  <w:vAlign w:val="center"/>
                </w:tcPr>
                <w:p w14:paraId="38EC6F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w:t>
                  </w:r>
                </w:p>
              </w:tc>
              <w:tc>
                <w:tcPr>
                  <w:tcW w:w="1545" w:type="dxa"/>
                  <w:tcBorders>
                    <w:tl2br w:val="nil"/>
                    <w:tr2bl w:val="nil"/>
                  </w:tcBorders>
                  <w:vAlign w:val="center"/>
                </w:tcPr>
                <w:p w14:paraId="0EBCD7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380" w:type="dxa"/>
                  <w:tcBorders>
                    <w:tl2br w:val="nil"/>
                    <w:tr2bl w:val="nil"/>
                  </w:tcBorders>
                  <w:vAlign w:val="center"/>
                </w:tcPr>
                <w:p w14:paraId="290A29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3</w:t>
                  </w:r>
                </w:p>
              </w:tc>
              <w:tc>
                <w:tcPr>
                  <w:tcW w:w="1619" w:type="dxa"/>
                  <w:tcBorders>
                    <w:tl2br w:val="nil"/>
                    <w:tr2bl w:val="nil"/>
                  </w:tcBorders>
                  <w:vAlign w:val="center"/>
                </w:tcPr>
                <w:p w14:paraId="7035E7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分类收集后由物资部门回收</w:t>
                  </w:r>
                </w:p>
              </w:tc>
            </w:tr>
            <w:tr w14:paraId="171AB2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9" w:type="dxa"/>
                  <w:vMerge w:val="continue"/>
                  <w:tcBorders>
                    <w:tl2br w:val="nil"/>
                    <w:tr2bl w:val="nil"/>
                  </w:tcBorders>
                  <w:vAlign w:val="center"/>
                </w:tcPr>
                <w:p w14:paraId="7EBFF9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p>
              </w:tc>
              <w:tc>
                <w:tcPr>
                  <w:tcW w:w="2115" w:type="dxa"/>
                  <w:tcBorders>
                    <w:tl2br w:val="nil"/>
                    <w:tr2bl w:val="nil"/>
                  </w:tcBorders>
                  <w:vAlign w:val="center"/>
                </w:tcPr>
                <w:p w14:paraId="33AAD9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default"/>
                      <w:b w:val="0"/>
                      <w:bCs w:val="0"/>
                      <w:color w:val="000000" w:themeColor="text1"/>
                      <w:spacing w:val="0"/>
                      <w:sz w:val="21"/>
                      <w:szCs w:val="21"/>
                      <w:highlight w:val="none"/>
                      <w:vertAlign w:val="baseline"/>
                      <w:lang w:val="en-US" w:eastAsia="zh-CN"/>
                      <w14:textFill>
                        <w14:solidFill>
                          <w14:schemeClr w14:val="tx1"/>
                        </w14:solidFill>
                      </w14:textFill>
                    </w:rPr>
                    <w:t>未被污染的一次性输液瓶（袋）</w:t>
                  </w:r>
                </w:p>
              </w:tc>
              <w:tc>
                <w:tcPr>
                  <w:tcW w:w="1125" w:type="dxa"/>
                  <w:tcBorders>
                    <w:tl2br w:val="nil"/>
                    <w:tr2bl w:val="nil"/>
                  </w:tcBorders>
                  <w:vAlign w:val="center"/>
                </w:tcPr>
                <w:p w14:paraId="565F3B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w:t>
                  </w:r>
                </w:p>
              </w:tc>
              <w:tc>
                <w:tcPr>
                  <w:tcW w:w="1545" w:type="dxa"/>
                  <w:tcBorders>
                    <w:tl2br w:val="nil"/>
                    <w:tr2bl w:val="nil"/>
                  </w:tcBorders>
                  <w:vAlign w:val="center"/>
                </w:tcPr>
                <w:p w14:paraId="427D16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380" w:type="dxa"/>
                  <w:tcBorders>
                    <w:tl2br w:val="nil"/>
                    <w:tr2bl w:val="nil"/>
                  </w:tcBorders>
                  <w:vAlign w:val="center"/>
                </w:tcPr>
                <w:p w14:paraId="0A2455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2</w:t>
                  </w:r>
                </w:p>
              </w:tc>
              <w:tc>
                <w:tcPr>
                  <w:tcW w:w="1619" w:type="dxa"/>
                  <w:tcBorders>
                    <w:tl2br w:val="nil"/>
                    <w:tr2bl w:val="nil"/>
                  </w:tcBorders>
                  <w:vAlign w:val="center"/>
                </w:tcPr>
                <w:p w14:paraId="40C393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移交回收企业回收</w:t>
                  </w:r>
                </w:p>
              </w:tc>
            </w:tr>
            <w:tr w14:paraId="496C47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4" w:type="dxa"/>
                  <w:gridSpan w:val="2"/>
                  <w:tcBorders>
                    <w:tl2br w:val="nil"/>
                    <w:tr2bl w:val="nil"/>
                  </w:tcBorders>
                  <w:vAlign w:val="center"/>
                </w:tcPr>
                <w:p w14:paraId="6C87C0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合计</w:t>
                  </w:r>
                </w:p>
              </w:tc>
              <w:tc>
                <w:tcPr>
                  <w:tcW w:w="1125" w:type="dxa"/>
                  <w:tcBorders>
                    <w:tl2br w:val="nil"/>
                    <w:tr2bl w:val="nil"/>
                  </w:tcBorders>
                  <w:vAlign w:val="center"/>
                </w:tcPr>
                <w:p w14:paraId="07BAC3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5</w:t>
                  </w:r>
                </w:p>
              </w:tc>
              <w:tc>
                <w:tcPr>
                  <w:tcW w:w="1545" w:type="dxa"/>
                  <w:tcBorders>
                    <w:tl2br w:val="nil"/>
                    <w:tr2bl w:val="nil"/>
                  </w:tcBorders>
                  <w:vAlign w:val="center"/>
                </w:tcPr>
                <w:p w14:paraId="63378C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c>
                <w:tcPr>
                  <w:tcW w:w="1380" w:type="dxa"/>
                  <w:tcBorders>
                    <w:tl2br w:val="nil"/>
                    <w:tr2bl w:val="nil"/>
                  </w:tcBorders>
                  <w:vAlign w:val="center"/>
                </w:tcPr>
                <w:p w14:paraId="136101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5</w:t>
                  </w:r>
                </w:p>
              </w:tc>
              <w:tc>
                <w:tcPr>
                  <w:tcW w:w="1619" w:type="dxa"/>
                  <w:tcBorders>
                    <w:tl2br w:val="nil"/>
                    <w:tr2bl w:val="nil"/>
                  </w:tcBorders>
                  <w:vAlign w:val="center"/>
                </w:tcPr>
                <w:p w14:paraId="6919BA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w:t>
                  </w:r>
                </w:p>
              </w:tc>
            </w:tr>
          </w:tbl>
          <w:p w14:paraId="739564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3）生活垃圾</w:t>
            </w:r>
          </w:p>
          <w:p w14:paraId="556C90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①医院员工生活垃圾</w:t>
            </w:r>
          </w:p>
          <w:p w14:paraId="535F20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本项目医护人员共计为342人，生活垃圾包括办公垃圾按0.5kg/人·d计，年工作300天，医院员工生活垃圾产生量约为51.3t/a。</w:t>
            </w:r>
          </w:p>
          <w:p w14:paraId="3828F4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②病房生活垃圾</w:t>
            </w:r>
          </w:p>
          <w:p w14:paraId="43D2D4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本项目共设置221张住院床位，住院病人生活垃圾按每床1.0kg/d计，年工作365天，则病房生活垃圾产生量约为80.665t/a。</w:t>
            </w:r>
          </w:p>
          <w:p w14:paraId="426E7F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③门诊病人生活垃圾</w:t>
            </w:r>
          </w:p>
          <w:p w14:paraId="14D97E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本项目医院最大门诊量设计60人/d，生活垃圾按0.1kg/人，年工作365天，则门诊病人生活垃圾产生量约为12.593t/a。</w:t>
            </w:r>
          </w:p>
          <w:p w14:paraId="2D1FE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综上，本项目生活垃圾产生量约为144.548t/a。生活垃圾分类收集，集中收集后由环卫部门统一清运，日产日清。</w:t>
            </w:r>
          </w:p>
          <w:p w14:paraId="6DEB7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（2）环境管理要求</w:t>
            </w:r>
          </w:p>
          <w:p w14:paraId="3BB3C2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①选址可行性</w:t>
            </w:r>
          </w:p>
          <w:p w14:paraId="2EE35D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建设单位按照《中华人民共和国固体废物污染环境防治法》（2020年版）、《危险废物贮存污染控制标准》（GB18597-2023）、《北京市危险废物污染环境防治条例》（2020年6月5日通过，2020年9月1日实施）等文件的相关规定进行危险废物暂存间的设计和建设，并做好“四防”（防风、防雨、防晒、防渗漏）。项目设置1个医疗废物暂存间，位于在医院中部，暂存间为封闭结构，室内采取防渗措施，下方不与地下土层直接相临。危险废物不露天存放，暂存间具有防风、放雨、防晒及防渗漏能力，其选址是可行的。</w:t>
            </w:r>
          </w:p>
          <w:p w14:paraId="2C7C27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此外，医疗废物暂存间门上应张贴专用警示标识。项目医疗废物暂存间（设施）基本情况见下表。</w:t>
            </w:r>
          </w:p>
          <w:p w14:paraId="3DBC62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本项目医疗废物暂存间内进行分隔，医疗废物与其他危险废物分开贮存。</w:t>
            </w:r>
          </w:p>
          <w:p w14:paraId="280831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b/>
                <w:bCs/>
                <w:color w:val="000000" w:themeColor="text1"/>
                <w:spacing w:val="-10"/>
                <w:sz w:val="21"/>
                <w:szCs w:val="21"/>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表4-19 危险废物贮存场所（设施）基本情况表</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1012"/>
              <w:gridCol w:w="1205"/>
              <w:gridCol w:w="2255"/>
              <w:gridCol w:w="869"/>
              <w:gridCol w:w="854"/>
              <w:gridCol w:w="841"/>
              <w:gridCol w:w="1377"/>
            </w:tblGrid>
            <w:tr w14:paraId="1A9986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458639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序号</w:t>
                  </w:r>
                </w:p>
              </w:tc>
              <w:tc>
                <w:tcPr>
                  <w:tcW w:w="963" w:type="dxa"/>
                  <w:tcBorders>
                    <w:tl2br w:val="nil"/>
                    <w:tr2bl w:val="nil"/>
                  </w:tcBorders>
                  <w:vAlign w:val="center"/>
                </w:tcPr>
                <w:p w14:paraId="5A38EB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贮存</w:t>
                  </w:r>
                </w:p>
                <w:p w14:paraId="00A01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场所</w:t>
                  </w:r>
                </w:p>
              </w:tc>
              <w:tc>
                <w:tcPr>
                  <w:tcW w:w="1147" w:type="dxa"/>
                  <w:tcBorders>
                    <w:tl2br w:val="nil"/>
                    <w:tr2bl w:val="nil"/>
                  </w:tcBorders>
                  <w:vAlign w:val="center"/>
                </w:tcPr>
                <w:p w14:paraId="49B78C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危险废物名称</w:t>
                  </w:r>
                </w:p>
              </w:tc>
              <w:tc>
                <w:tcPr>
                  <w:tcW w:w="2146" w:type="dxa"/>
                  <w:tcBorders>
                    <w:tl2br w:val="nil"/>
                    <w:tr2bl w:val="nil"/>
                  </w:tcBorders>
                  <w:vAlign w:val="center"/>
                </w:tcPr>
                <w:p w14:paraId="4E8D79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危险废物类别</w:t>
                  </w:r>
                </w:p>
              </w:tc>
              <w:tc>
                <w:tcPr>
                  <w:tcW w:w="827" w:type="dxa"/>
                  <w:tcBorders>
                    <w:tl2br w:val="nil"/>
                    <w:tr2bl w:val="nil"/>
                  </w:tcBorders>
                  <w:vAlign w:val="center"/>
                </w:tcPr>
                <w:p w14:paraId="6CBBD1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建筑</w:t>
                  </w:r>
                </w:p>
                <w:p w14:paraId="18A705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面积</w:t>
                  </w:r>
                </w:p>
              </w:tc>
              <w:tc>
                <w:tcPr>
                  <w:tcW w:w="813" w:type="dxa"/>
                  <w:tcBorders>
                    <w:tl2br w:val="nil"/>
                    <w:tr2bl w:val="nil"/>
                  </w:tcBorders>
                  <w:vAlign w:val="center"/>
                </w:tcPr>
                <w:p w14:paraId="25217D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贮存</w:t>
                  </w:r>
                </w:p>
                <w:p w14:paraId="60C65B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能力</w:t>
                  </w:r>
                </w:p>
              </w:tc>
              <w:tc>
                <w:tcPr>
                  <w:tcW w:w="800" w:type="dxa"/>
                  <w:tcBorders>
                    <w:tl2br w:val="nil"/>
                    <w:tr2bl w:val="nil"/>
                  </w:tcBorders>
                  <w:vAlign w:val="center"/>
                </w:tcPr>
                <w:p w14:paraId="346DD5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贮存</w:t>
                  </w:r>
                </w:p>
                <w:p w14:paraId="510079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方式</w:t>
                  </w:r>
                </w:p>
              </w:tc>
              <w:tc>
                <w:tcPr>
                  <w:tcW w:w="1311" w:type="dxa"/>
                  <w:tcBorders>
                    <w:tl2br w:val="nil"/>
                    <w:tr2bl w:val="nil"/>
                  </w:tcBorders>
                  <w:vAlign w:val="center"/>
                </w:tcPr>
                <w:p w14:paraId="65EA4A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贮存周期</w:t>
                  </w:r>
                </w:p>
              </w:tc>
            </w:tr>
            <w:tr w14:paraId="53AAF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7E5633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1</w:t>
                  </w:r>
                </w:p>
              </w:tc>
              <w:tc>
                <w:tcPr>
                  <w:tcW w:w="963" w:type="dxa"/>
                  <w:vMerge w:val="restart"/>
                  <w:tcBorders>
                    <w:tl2br w:val="nil"/>
                    <w:tr2bl w:val="nil"/>
                  </w:tcBorders>
                  <w:vAlign w:val="center"/>
                </w:tcPr>
                <w:p w14:paraId="42C154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医疗废物暂存间</w:t>
                  </w:r>
                </w:p>
              </w:tc>
              <w:tc>
                <w:tcPr>
                  <w:tcW w:w="1147" w:type="dxa"/>
                  <w:vMerge w:val="restart"/>
                  <w:tcBorders>
                    <w:tl2br w:val="nil"/>
                    <w:tr2bl w:val="nil"/>
                  </w:tcBorders>
                  <w:vAlign w:val="center"/>
                </w:tcPr>
                <w:p w14:paraId="6EB9B7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t>医疗废物HW01</w:t>
                  </w:r>
                </w:p>
              </w:tc>
              <w:tc>
                <w:tcPr>
                  <w:tcW w:w="2146" w:type="dxa"/>
                  <w:tcBorders>
                    <w:tl2br w:val="nil"/>
                    <w:tr2bl w:val="nil"/>
                  </w:tcBorders>
                  <w:vAlign w:val="center"/>
                </w:tcPr>
                <w:p w14:paraId="0B3BB8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感染性废物841-001-01</w:t>
                  </w:r>
                </w:p>
              </w:tc>
              <w:tc>
                <w:tcPr>
                  <w:tcW w:w="827" w:type="dxa"/>
                  <w:vMerge w:val="restart"/>
                  <w:tcBorders>
                    <w:tl2br w:val="nil"/>
                    <w:tr2bl w:val="nil"/>
                  </w:tcBorders>
                  <w:vAlign w:val="center"/>
                </w:tcPr>
                <w:p w14:paraId="7B55DC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5m</w:t>
                  </w:r>
                  <w:r>
                    <w:rPr>
                      <w:rFonts w:hint="eastAsia"/>
                      <w:b w:val="0"/>
                      <w:bCs w:val="0"/>
                      <w:color w:val="000000" w:themeColor="text1"/>
                      <w:spacing w:val="-10"/>
                      <w:sz w:val="21"/>
                      <w:szCs w:val="21"/>
                      <w:highlight w:val="none"/>
                      <w:vertAlign w:val="superscript"/>
                      <w:lang w:val="en-US" w:eastAsia="zh-CN"/>
                      <w14:textFill>
                        <w14:solidFill>
                          <w14:schemeClr w14:val="tx1"/>
                        </w14:solidFill>
                      </w14:textFill>
                    </w:rPr>
                    <w:t>2</w:t>
                  </w:r>
                </w:p>
              </w:tc>
              <w:tc>
                <w:tcPr>
                  <w:tcW w:w="813" w:type="dxa"/>
                  <w:vMerge w:val="restart"/>
                  <w:tcBorders>
                    <w:tl2br w:val="nil"/>
                    <w:tr2bl w:val="nil"/>
                  </w:tcBorders>
                  <w:vAlign w:val="center"/>
                </w:tcPr>
                <w:p w14:paraId="29AE86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4t</w:t>
                  </w:r>
                </w:p>
              </w:tc>
              <w:tc>
                <w:tcPr>
                  <w:tcW w:w="800" w:type="dxa"/>
                  <w:vMerge w:val="restart"/>
                  <w:tcBorders>
                    <w:tl2br w:val="nil"/>
                    <w:tr2bl w:val="nil"/>
                  </w:tcBorders>
                  <w:vAlign w:val="center"/>
                </w:tcPr>
                <w:p w14:paraId="6D41DD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桶装</w:t>
                  </w:r>
                </w:p>
                <w:p w14:paraId="3D0CED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瓶装</w:t>
                  </w:r>
                </w:p>
              </w:tc>
              <w:tc>
                <w:tcPr>
                  <w:tcW w:w="1311" w:type="dxa"/>
                  <w:vMerge w:val="restart"/>
                  <w:tcBorders>
                    <w:tl2br w:val="nil"/>
                    <w:tr2bl w:val="nil"/>
                  </w:tcBorders>
                  <w:vAlign w:val="center"/>
                </w:tcPr>
                <w:p w14:paraId="28BE8E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每日</w:t>
                  </w:r>
                </w:p>
              </w:tc>
            </w:tr>
            <w:tr w14:paraId="2D82ED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16EBA0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2</w:t>
                  </w:r>
                </w:p>
              </w:tc>
              <w:tc>
                <w:tcPr>
                  <w:tcW w:w="963" w:type="dxa"/>
                  <w:vMerge w:val="continue"/>
                  <w:tcBorders>
                    <w:tl2br w:val="nil"/>
                    <w:tr2bl w:val="nil"/>
                  </w:tcBorders>
                  <w:vAlign w:val="center"/>
                </w:tcPr>
                <w:p w14:paraId="44B5B1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1147" w:type="dxa"/>
                  <w:vMerge w:val="continue"/>
                  <w:tcBorders>
                    <w:tl2br w:val="nil"/>
                    <w:tr2bl w:val="nil"/>
                  </w:tcBorders>
                  <w:vAlign w:val="center"/>
                </w:tcPr>
                <w:p w14:paraId="38B5C5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pPr>
                </w:p>
              </w:tc>
              <w:tc>
                <w:tcPr>
                  <w:tcW w:w="2146" w:type="dxa"/>
                  <w:tcBorders>
                    <w:tl2br w:val="nil"/>
                    <w:tr2bl w:val="nil"/>
                  </w:tcBorders>
                  <w:vAlign w:val="center"/>
                </w:tcPr>
                <w:p w14:paraId="0B76B4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损伤性废物841-002-01</w:t>
                  </w:r>
                </w:p>
              </w:tc>
              <w:tc>
                <w:tcPr>
                  <w:tcW w:w="827" w:type="dxa"/>
                  <w:vMerge w:val="continue"/>
                  <w:tcBorders>
                    <w:tl2br w:val="nil"/>
                    <w:tr2bl w:val="nil"/>
                  </w:tcBorders>
                  <w:vAlign w:val="center"/>
                </w:tcPr>
                <w:p w14:paraId="6FFB08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813" w:type="dxa"/>
                  <w:vMerge w:val="continue"/>
                  <w:tcBorders>
                    <w:tl2br w:val="nil"/>
                    <w:tr2bl w:val="nil"/>
                  </w:tcBorders>
                  <w:vAlign w:val="center"/>
                </w:tcPr>
                <w:p w14:paraId="450C16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800" w:type="dxa"/>
                  <w:vMerge w:val="continue"/>
                  <w:tcBorders>
                    <w:tl2br w:val="nil"/>
                    <w:tr2bl w:val="nil"/>
                  </w:tcBorders>
                  <w:vAlign w:val="center"/>
                </w:tcPr>
                <w:p w14:paraId="34E88B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1311" w:type="dxa"/>
                  <w:vMerge w:val="continue"/>
                  <w:tcBorders>
                    <w:tl2br w:val="nil"/>
                    <w:tr2bl w:val="nil"/>
                  </w:tcBorders>
                  <w:vAlign w:val="center"/>
                </w:tcPr>
                <w:p w14:paraId="37160B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r>
            <w:tr w14:paraId="10BB1C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1673CF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3</w:t>
                  </w:r>
                </w:p>
              </w:tc>
              <w:tc>
                <w:tcPr>
                  <w:tcW w:w="963" w:type="dxa"/>
                  <w:vMerge w:val="continue"/>
                  <w:tcBorders>
                    <w:tl2br w:val="nil"/>
                    <w:tr2bl w:val="nil"/>
                  </w:tcBorders>
                  <w:vAlign w:val="center"/>
                </w:tcPr>
                <w:p w14:paraId="16EA40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1147" w:type="dxa"/>
                  <w:tcBorders>
                    <w:tl2br w:val="nil"/>
                    <w:tr2bl w:val="nil"/>
                  </w:tcBorders>
                  <w:vAlign w:val="center"/>
                </w:tcPr>
                <w:p w14:paraId="2F6289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t>其他危险废物HW49</w:t>
                  </w:r>
                </w:p>
              </w:tc>
              <w:tc>
                <w:tcPr>
                  <w:tcW w:w="2146" w:type="dxa"/>
                  <w:tcBorders>
                    <w:tl2br w:val="nil"/>
                    <w:tr2bl w:val="nil"/>
                  </w:tcBorders>
                  <w:vAlign w:val="center"/>
                </w:tcPr>
                <w:p w14:paraId="309AAA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消毒剂沾染物900-041-49</w:t>
                  </w:r>
                </w:p>
              </w:tc>
              <w:tc>
                <w:tcPr>
                  <w:tcW w:w="827" w:type="dxa"/>
                  <w:tcBorders>
                    <w:tl2br w:val="nil"/>
                    <w:tr2bl w:val="nil"/>
                  </w:tcBorders>
                  <w:vAlign w:val="center"/>
                </w:tcPr>
                <w:p w14:paraId="28D437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1m</w:t>
                  </w:r>
                  <w:r>
                    <w:rPr>
                      <w:rFonts w:hint="eastAsia"/>
                      <w:b w:val="0"/>
                      <w:bCs w:val="0"/>
                      <w:color w:val="000000" w:themeColor="text1"/>
                      <w:spacing w:val="-10"/>
                      <w:sz w:val="21"/>
                      <w:szCs w:val="21"/>
                      <w:highlight w:val="none"/>
                      <w:vertAlign w:val="superscript"/>
                      <w:lang w:val="en-US" w:eastAsia="zh-CN"/>
                      <w14:textFill>
                        <w14:solidFill>
                          <w14:schemeClr w14:val="tx1"/>
                        </w14:solidFill>
                      </w14:textFill>
                    </w:rPr>
                    <w:t>2</w:t>
                  </w:r>
                </w:p>
              </w:tc>
              <w:tc>
                <w:tcPr>
                  <w:tcW w:w="813" w:type="dxa"/>
                  <w:tcBorders>
                    <w:tl2br w:val="nil"/>
                    <w:tr2bl w:val="nil"/>
                  </w:tcBorders>
                  <w:vAlign w:val="center"/>
                </w:tcPr>
                <w:p w14:paraId="6AC0E8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0.8t</w:t>
                  </w:r>
                </w:p>
              </w:tc>
              <w:tc>
                <w:tcPr>
                  <w:tcW w:w="800" w:type="dxa"/>
                  <w:tcBorders>
                    <w:tl2br w:val="nil"/>
                    <w:tr2bl w:val="nil"/>
                  </w:tcBorders>
                  <w:vAlign w:val="center"/>
                </w:tcPr>
                <w:p w14:paraId="729A74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桶装</w:t>
                  </w:r>
                </w:p>
              </w:tc>
              <w:tc>
                <w:tcPr>
                  <w:tcW w:w="1311" w:type="dxa"/>
                  <w:tcBorders>
                    <w:tl2br w:val="nil"/>
                    <w:tr2bl w:val="nil"/>
                  </w:tcBorders>
                  <w:vAlign w:val="center"/>
                </w:tcPr>
                <w:p w14:paraId="786AFB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半年</w:t>
                  </w:r>
                </w:p>
              </w:tc>
            </w:tr>
            <w:tr w14:paraId="016628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2F8548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4</w:t>
                  </w:r>
                </w:p>
              </w:tc>
              <w:tc>
                <w:tcPr>
                  <w:tcW w:w="963" w:type="dxa"/>
                  <w:tcBorders>
                    <w:tl2br w:val="nil"/>
                    <w:tr2bl w:val="nil"/>
                  </w:tcBorders>
                  <w:vAlign w:val="center"/>
                </w:tcPr>
                <w:p w14:paraId="695AB4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化粪池</w:t>
                  </w:r>
                </w:p>
              </w:tc>
              <w:tc>
                <w:tcPr>
                  <w:tcW w:w="1147" w:type="dxa"/>
                  <w:tcBorders>
                    <w:tl2br w:val="nil"/>
                    <w:tr2bl w:val="nil"/>
                  </w:tcBorders>
                  <w:vAlign w:val="center"/>
                </w:tcPr>
                <w:p w14:paraId="397C4F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t>粪便</w:t>
                  </w:r>
                </w:p>
              </w:tc>
              <w:tc>
                <w:tcPr>
                  <w:tcW w:w="2146" w:type="dxa"/>
                  <w:vMerge w:val="restart"/>
                  <w:tcBorders>
                    <w:tl2br w:val="nil"/>
                    <w:tr2bl w:val="nil"/>
                  </w:tcBorders>
                  <w:vAlign w:val="center"/>
                </w:tcPr>
                <w:p w14:paraId="37958E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0"/>
                      <w:sz w:val="21"/>
                      <w:szCs w:val="21"/>
                      <w:highlight w:val="none"/>
                      <w:vertAlign w:val="baseline"/>
                      <w:lang w:val="en-US" w:eastAsia="zh-CN"/>
                      <w14:textFill>
                        <w14:solidFill>
                          <w14:schemeClr w14:val="tx1"/>
                        </w14:solidFill>
                      </w14:textFill>
                    </w:rPr>
                    <w:t>污泥、栅渣772-006-49</w:t>
                  </w:r>
                </w:p>
              </w:tc>
              <w:tc>
                <w:tcPr>
                  <w:tcW w:w="827" w:type="dxa"/>
                  <w:tcBorders>
                    <w:tl2br w:val="nil"/>
                    <w:tr2bl w:val="nil"/>
                  </w:tcBorders>
                  <w:vAlign w:val="center"/>
                </w:tcPr>
                <w:p w14:paraId="17C0F3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化粪池</w:t>
                  </w:r>
                </w:p>
              </w:tc>
              <w:tc>
                <w:tcPr>
                  <w:tcW w:w="813" w:type="dxa"/>
                  <w:tcBorders>
                    <w:tl2br w:val="nil"/>
                    <w:tr2bl w:val="nil"/>
                  </w:tcBorders>
                  <w:vAlign w:val="center"/>
                </w:tcPr>
                <w:p w14:paraId="09B556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5t</w:t>
                  </w:r>
                </w:p>
              </w:tc>
              <w:tc>
                <w:tcPr>
                  <w:tcW w:w="800" w:type="dxa"/>
                  <w:tcBorders>
                    <w:tl2br w:val="nil"/>
                    <w:tr2bl w:val="nil"/>
                  </w:tcBorders>
                  <w:vAlign w:val="center"/>
                </w:tcPr>
                <w:p w14:paraId="7F5C85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池体</w:t>
                  </w:r>
                </w:p>
              </w:tc>
              <w:tc>
                <w:tcPr>
                  <w:tcW w:w="1311" w:type="dxa"/>
                  <w:tcBorders>
                    <w:tl2br w:val="nil"/>
                    <w:tr2bl w:val="nil"/>
                  </w:tcBorders>
                  <w:vAlign w:val="center"/>
                </w:tcPr>
                <w:p w14:paraId="6FBF0A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每月清掏，随清随运不在院区贮存</w:t>
                  </w:r>
                </w:p>
              </w:tc>
            </w:tr>
            <w:tr w14:paraId="426427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dxa"/>
                  <w:tcBorders>
                    <w:tl2br w:val="nil"/>
                    <w:tr2bl w:val="nil"/>
                  </w:tcBorders>
                  <w:vAlign w:val="center"/>
                </w:tcPr>
                <w:p w14:paraId="193757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5</w:t>
                  </w:r>
                </w:p>
              </w:tc>
              <w:tc>
                <w:tcPr>
                  <w:tcW w:w="963" w:type="dxa"/>
                  <w:tcBorders>
                    <w:tl2br w:val="nil"/>
                    <w:tr2bl w:val="nil"/>
                  </w:tcBorders>
                  <w:vAlign w:val="center"/>
                </w:tcPr>
                <w:p w14:paraId="264F8E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污水处理设施</w:t>
                  </w:r>
                </w:p>
              </w:tc>
              <w:tc>
                <w:tcPr>
                  <w:tcW w:w="1147" w:type="dxa"/>
                  <w:tcBorders>
                    <w:tl2br w:val="nil"/>
                    <w:tr2bl w:val="nil"/>
                  </w:tcBorders>
                  <w:vAlign w:val="center"/>
                </w:tcPr>
                <w:p w14:paraId="5FAC17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spacing w:val="-10"/>
                      <w:kern w:val="2"/>
                      <w:sz w:val="21"/>
                      <w:szCs w:val="21"/>
                      <w:highlight w:val="none"/>
                      <w:vertAlign w:val="baseline"/>
                      <w:lang w:val="en-US" w:eastAsia="zh-CN" w:bidi="ar-SA"/>
                      <w14:textFill>
                        <w14:solidFill>
                          <w14:schemeClr w14:val="tx1"/>
                        </w14:solidFill>
                      </w14:textFill>
                    </w:rPr>
                    <w:t>栅渣、污泥等</w:t>
                  </w:r>
                </w:p>
              </w:tc>
              <w:tc>
                <w:tcPr>
                  <w:tcW w:w="2146" w:type="dxa"/>
                  <w:vMerge w:val="continue"/>
                  <w:tcBorders>
                    <w:tl2br w:val="nil"/>
                    <w:tr2bl w:val="nil"/>
                  </w:tcBorders>
                  <w:vAlign w:val="center"/>
                </w:tcPr>
                <w:p w14:paraId="14AC0E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p>
              </w:tc>
              <w:tc>
                <w:tcPr>
                  <w:tcW w:w="827" w:type="dxa"/>
                  <w:tcBorders>
                    <w:tl2br w:val="nil"/>
                    <w:tr2bl w:val="nil"/>
                  </w:tcBorders>
                  <w:vAlign w:val="center"/>
                </w:tcPr>
                <w:p w14:paraId="0C07CF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污水处理设施</w:t>
                  </w:r>
                </w:p>
              </w:tc>
              <w:tc>
                <w:tcPr>
                  <w:tcW w:w="813" w:type="dxa"/>
                  <w:tcBorders>
                    <w:tl2br w:val="nil"/>
                    <w:tr2bl w:val="nil"/>
                  </w:tcBorders>
                  <w:vAlign w:val="center"/>
                </w:tcPr>
                <w:p w14:paraId="6AE242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3t</w:t>
                  </w:r>
                </w:p>
              </w:tc>
              <w:tc>
                <w:tcPr>
                  <w:tcW w:w="800" w:type="dxa"/>
                  <w:tcBorders>
                    <w:tl2br w:val="nil"/>
                    <w:tr2bl w:val="nil"/>
                  </w:tcBorders>
                  <w:vAlign w:val="center"/>
                </w:tcPr>
                <w:p w14:paraId="54DE5F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池体</w:t>
                  </w:r>
                </w:p>
              </w:tc>
              <w:tc>
                <w:tcPr>
                  <w:tcW w:w="1311" w:type="dxa"/>
                  <w:tcBorders>
                    <w:tl2br w:val="nil"/>
                    <w:tr2bl w:val="nil"/>
                  </w:tcBorders>
                  <w:vAlign w:val="center"/>
                </w:tcPr>
                <w:p w14:paraId="2A4EB7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eastAsia"/>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每月</w:t>
                  </w:r>
                </w:p>
              </w:tc>
            </w:tr>
          </w:tbl>
          <w:p w14:paraId="00E4EC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②医疗废物贮存要求</w:t>
            </w:r>
          </w:p>
          <w:p w14:paraId="7A9058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医疗废物的收集、运输过程主要需防止医疗废物中的病原体传播。因此，临床感染性废物将就地消毒灭菌，装入黄色塑料袋密封；医用锐器(一次性银针及损伤性废物)放入专用利器盒，再放入黄色塑料袋内；黄色塑料袋包装的废物由医院每日定时收集，运至医院内的医疗废物暂存间，暂存间内设密闭容器和冷藏设备。医院内部医疗废物的收集、运输通道全部在室内进行，建设单位对医疗废物进行密封封装，避免传染性废物产生致病菌等空气传播，以及异味等废气污染物，并最终转移至污水处理设施进行处理。</w:t>
            </w:r>
          </w:p>
          <w:p w14:paraId="748A3A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③危险废物暂存中对环境影响分析</w:t>
            </w:r>
          </w:p>
          <w:p w14:paraId="6DDC19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产生的危险废物包括医疗废物（损伤性废物、感染性废物、化学性废物以及药物性废物）、消毒剂沾染物、栅渣、污泥等。其中医疗废物中实验废液中含有少量挥发性成分，建设单位将其封装在密封瓶或密封桶中，暂存周期较短，期间不会废气不会散溢至外环境。全部危险废物均放置在专用防渗防腐蚀容器中封装，不与上下水交叉，不会产生废水。</w:t>
            </w:r>
          </w:p>
          <w:p w14:paraId="7ED80E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项目医疗废物暂存间内进行地面硬化，设计采用渗透系数K</w:t>
            </w:r>
            <w:r>
              <w:rPr>
                <w:rFonts w:hint="default" w:ascii="Times New Roman" w:hAnsi="Times New Roman" w:cs="Times New Roman"/>
                <w:b w:val="0"/>
                <w:bCs w:val="0"/>
                <w:color w:val="000000" w:themeColor="text1"/>
                <w:spacing w:val="0"/>
                <w:sz w:val="24"/>
                <w:highlight w:val="none"/>
                <w:lang w:val="en-US" w:eastAsia="zh-CN"/>
                <w14:textFill>
                  <w14:solidFill>
                    <w14:schemeClr w14:val="tx1"/>
                  </w14:solidFill>
                </w14:textFill>
              </w:rPr>
              <w:t>≤</w:t>
            </w:r>
            <w:r>
              <w:rPr>
                <w:rFonts w:hint="eastAsia"/>
                <w:b w:val="0"/>
                <w:bCs w:val="0"/>
                <w:color w:val="000000" w:themeColor="text1"/>
                <w:spacing w:val="0"/>
                <w:sz w:val="24"/>
                <w:highlight w:val="none"/>
                <w:lang w:val="en-US" w:eastAsia="zh-CN"/>
                <w14:textFill>
                  <w14:solidFill>
                    <w14:schemeClr w14:val="tx1"/>
                  </w14:solidFill>
                </w14:textFill>
              </w:rPr>
              <w:t>1×10</w:t>
            </w:r>
            <w:r>
              <w:rPr>
                <w:rFonts w:hint="eastAsia"/>
                <w:b w:val="0"/>
                <w:bCs w:val="0"/>
                <w:color w:val="000000" w:themeColor="text1"/>
                <w:spacing w:val="0"/>
                <w:sz w:val="24"/>
                <w:highlight w:val="none"/>
                <w:vertAlign w:val="superscript"/>
                <w:lang w:val="en-US" w:eastAsia="zh-CN"/>
                <w14:textFill>
                  <w14:solidFill>
                    <w14:schemeClr w14:val="tx1"/>
                  </w14:solidFill>
                </w14:textFill>
              </w:rPr>
              <w:t>-10</w:t>
            </w:r>
            <w:r>
              <w:rPr>
                <w:rFonts w:hint="eastAsia"/>
                <w:b w:val="0"/>
                <w:bCs w:val="0"/>
                <w:color w:val="000000" w:themeColor="text1"/>
                <w:spacing w:val="0"/>
                <w:sz w:val="24"/>
                <w:highlight w:val="none"/>
                <w:lang w:val="en-US" w:eastAsia="zh-CN"/>
                <w14:textFill>
                  <w14:solidFill>
                    <w14:schemeClr w14:val="tx1"/>
                  </w14:solidFill>
                </w14:textFill>
              </w:rPr>
              <w:t>cm/s的防渗材料进行防渗处理，地面垫层和墙面墙裙采用聚乙烯复合防水材料，厚度为2mm，墙裙高度1m。暂存间内进行围堰设置。</w:t>
            </w:r>
          </w:p>
          <w:p w14:paraId="53C579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在采取严格的防渗措施后，项目暂存的危险废物不会发生渗漏污染地下水体及土壤的情形。</w:t>
            </w:r>
          </w:p>
          <w:p w14:paraId="69DB1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④运输过程的环境影响分析及治理措施</w:t>
            </w:r>
          </w:p>
          <w:p w14:paraId="0F6D82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各个诊室、处置室等产生医疗废物的地点（房间）均设置医疗废物收集容器，按照生活垃圾、医疗废物、其他垃圾等分类设置暂存桶，随时收集病患和其他人员产生的各类废物。其中医疗废物在每日集中时段由负责专门岗位的人员按照既定设计路线，检查医疗废物收集情况，并将各个暂存容器集中转运至危险废物废物暂存间，再进行分类存放。内部转移路线全部在建筑内部。转运过程全封闭不会发生遗撒、散落污染外环境及环境保护目标的情况。对于其他危险废物，产生环节较为单一，产生周期较长，运输过程较为简单，应由专人负责，将危险废物沿既定路线进行转移至暂存间。建设单位还须委派专人记录台账，对进出库的危险废物进行数量、名称、类别、暂存时间、管理人员等信息的记录。</w:t>
            </w:r>
          </w:p>
          <w:p w14:paraId="41A93D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⑤委托处置危险废物的环境影响分析及治理措施</w:t>
            </w:r>
          </w:p>
          <w:p w14:paraId="7E4B7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产生危险废物按照国家相关法规和标准规范要求处置，使用专用容器分类收集，暂存于医疗废物暂存间，委托有危险废物运输、处置资质单位清运、处置，并且在建设单位运营之前签订相应的处置合同，其处理处置满足环保要求，危险废物交接时填写《危险废物转移联单》。</w:t>
            </w:r>
          </w:p>
          <w:p w14:paraId="2CAF86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医疗废物的转运由专人负责，按照既定的时间、路线进行运送。转运的同时认真执行《危险废物转移管理办法》（2022年1月1日实施），及时登记。登记内容包括：医疗废物的来源种类、重量或数量、交接时间、最终去向以及经办人签名等项目，并保存登记资料至少五年。废物都得到了合理处置，不会对周围环境产生大的不利影响。</w:t>
            </w:r>
          </w:p>
          <w:p w14:paraId="17DB9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⑥危险废物日常管理要求</w:t>
            </w:r>
          </w:p>
          <w:p w14:paraId="1821B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建设单位应定期开展对员工的培训教育，了解相关法律法规，制定相关的操作规程。医疗废物、其他危险废物与其他废物不得混放，必须使用专用容器盛放，并暂存至医疗废物暂存间。医疗废物暂存间由专人进行管理，日常为锁闭状态。每日由专职工作人员进行废物转移至暂存间，并进行分类暂存。危险废物出入库时需要如实记录台账登记，并在与转运处置单位交接时做好转移联单。在日常管理中，应由专人定期检查医疗废物暂存间地面、墙面有无破损裂缝，化粪池等污水处理构筑物是否有损坏及裂缝，以及暂存容器是否老化腐蚀或包装袋是否出现破损。如出现问题，应采取及时进行修复或购置新容器等措施。</w:t>
            </w:r>
          </w:p>
          <w:p w14:paraId="65F88D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⑦一般固废治理措施</w:t>
            </w:r>
          </w:p>
          <w:p w14:paraId="3CF761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项目应按照《中华人民共和国固体废物污染环境防治法》（2020年版）、《一般工业固体废物贮存和填埋污染控制标准》（GB18599-2020）等规定中的要求对该类废物进行处置，建设单位将生活垃圾进行分类暂存，按照环卫部门的要求每日定时定点至其指定区域，由其清运处置。项目产生的仪器设备及原辅材料的废包装物定期委托环卫部门清运处置。</w:t>
            </w:r>
          </w:p>
          <w:p w14:paraId="51CB3E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（3）固体废物环境影响分析结论</w:t>
            </w:r>
          </w:p>
          <w:p w14:paraId="73B155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对生活垃圾，以及一般固体废物的处置能够满足《中华人民共和国固体废物污染环境防治法》（2020年版）、《北京市生活垃圾管理条例》（北京市人民代表大会常务委员会公告，[十五届]第39号，2020年9月25日施行），以及《一般工业固体废物贮存和填埋污染控制标准》（GB18599-2020）等相关规定。对医疗废物及其他危险废物的收集、暂存及委托转运处置，能够满足《医疗废物管理条例》（中华人民共和国国务院令第380号令）、《危险废物贮存污染控制标准》（GB18597-2023）、《北京市危险废物污染环境防治条例》（2020年6月5日通过，2020年9月1日实施）等相关规定的要求。建设单位对固体废物加强管理，及时妥善处理，运营期项目固体废物对周围环境影响较小。</w:t>
            </w:r>
          </w:p>
          <w:p w14:paraId="4A8FEC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4"/>
                <w:highlight w:val="none"/>
                <w:lang w:val="en-US" w:eastAsia="zh-CN"/>
                <w14:textFill>
                  <w14:solidFill>
                    <w14:schemeClr w14:val="tx1"/>
                  </w14:solidFill>
                </w14:textFill>
              </w:rPr>
              <w:t>5、地下水和土壤环境影响分析</w:t>
            </w:r>
          </w:p>
          <w:p w14:paraId="14E1AB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运营过程中，所排废水包括医院全部排水（门诊废水、病房废水、行政人员废水、卫生清洁排水等），废水经自建污水处理设施处理后，最终经市政污水管网进入昌平污水处理厂集中处理。项目污水处理间及医疗废物暂存间等相关涉水区域均采取严格的防渗措施。</w:t>
            </w:r>
          </w:p>
          <w:p w14:paraId="529073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（1）重点防渗区防渗措施</w:t>
            </w:r>
          </w:p>
          <w:p w14:paraId="05C799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①污水处理设施</w:t>
            </w:r>
          </w:p>
          <w:p w14:paraId="475FE4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污水处理设施为一体化处理设施，设置于3号楼西北侧，9号楼</w:t>
            </w:r>
            <w:r>
              <w:rPr>
                <w:rFonts w:hint="eastAsia"/>
                <w:b w:val="0"/>
                <w:bCs w:val="0"/>
                <w:color w:val="000000" w:themeColor="text1"/>
                <w:spacing w:val="0"/>
                <w:sz w:val="24"/>
                <w:highlight w:val="none"/>
                <w:lang w:val="en-US" w:eastAsia="zh-CN"/>
                <w14:textFill>
                  <w14:solidFill>
                    <w14:schemeClr w14:val="tx1"/>
                  </w14:solidFill>
                </w14:textFill>
              </w:rPr>
              <w:t>北侧</w:t>
            </w:r>
            <w:r>
              <w:rPr>
                <w:rFonts w:hint="eastAsia"/>
                <w:b w:val="0"/>
                <w:bCs w:val="0"/>
                <w:color w:val="000000" w:themeColor="text1"/>
                <w:spacing w:val="0"/>
                <w:sz w:val="24"/>
                <w:highlight w:val="none"/>
                <w:lang w:val="en-US" w:eastAsia="zh-CN"/>
                <w14:textFill>
                  <w14:solidFill>
                    <w14:schemeClr w14:val="tx1"/>
                  </w14:solidFill>
                </w14:textFill>
              </w:rPr>
              <w:t>，安装方式为地埋，放置在地下混凝土池体内，池体上方加盖覆盖。混凝土池体采用1m厚黏土层，铺装防渗材料。防渗材料宜采用高密度聚乙烯防渗层或其他材料，材料的渗透系数K不大于1.0×10</w:t>
            </w:r>
            <w:r>
              <w:rPr>
                <w:rFonts w:hint="eastAsia"/>
                <w:b w:val="0"/>
                <w:bCs w:val="0"/>
                <w:color w:val="000000" w:themeColor="text1"/>
                <w:spacing w:val="0"/>
                <w:sz w:val="24"/>
                <w:highlight w:val="none"/>
                <w:vertAlign w:val="superscript"/>
                <w:lang w:val="en-US" w:eastAsia="zh-CN"/>
                <w14:textFill>
                  <w14:solidFill>
                    <w14:schemeClr w14:val="tx1"/>
                  </w14:solidFill>
                </w14:textFill>
              </w:rPr>
              <w:t>-10</w:t>
            </w:r>
            <w:r>
              <w:rPr>
                <w:rFonts w:hint="eastAsia"/>
                <w:b w:val="0"/>
                <w:bCs w:val="0"/>
                <w:color w:val="000000" w:themeColor="text1"/>
                <w:spacing w:val="0"/>
                <w:sz w:val="24"/>
                <w:highlight w:val="none"/>
                <w:lang w:val="en-US" w:eastAsia="zh-CN"/>
                <w14:textFill>
                  <w14:solidFill>
                    <w14:schemeClr w14:val="tx1"/>
                  </w14:solidFill>
                </w14:textFill>
              </w:rPr>
              <w:t>cm/s。污水管道采用防渗、防腐厚壁UPVC塑料件管材。</w:t>
            </w:r>
          </w:p>
          <w:p w14:paraId="291EC5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②</w:t>
            </w:r>
            <w:r>
              <w:rPr>
                <w:rFonts w:hint="eastAsia"/>
                <w:b w:val="0"/>
                <w:bCs w:val="0"/>
                <w:color w:val="000000" w:themeColor="text1"/>
                <w:spacing w:val="0"/>
                <w:sz w:val="24"/>
                <w:highlight w:val="none"/>
                <w:lang w:val="en-US" w:eastAsia="zh-CN"/>
                <w14:textFill>
                  <w14:solidFill>
                    <w14:schemeClr w14:val="tx1"/>
                  </w14:solidFill>
                </w14:textFill>
              </w:rPr>
              <w:t>医疗废物暂存间</w:t>
            </w:r>
          </w:p>
          <w:p w14:paraId="6DD12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医疗废物暂存间</w:t>
            </w:r>
            <w:r>
              <w:rPr>
                <w:rFonts w:hint="default"/>
                <w:b w:val="0"/>
                <w:bCs w:val="0"/>
                <w:color w:val="000000" w:themeColor="text1"/>
                <w:spacing w:val="0"/>
                <w:sz w:val="24"/>
                <w:highlight w:val="none"/>
                <w:lang w:val="en-US" w:eastAsia="zh-CN"/>
                <w14:textFill>
                  <w14:solidFill>
                    <w14:schemeClr w14:val="tx1"/>
                  </w14:solidFill>
                </w14:textFill>
              </w:rPr>
              <w:t>暂存的医疗废物</w:t>
            </w:r>
            <w:r>
              <w:rPr>
                <w:rFonts w:hint="eastAsia"/>
                <w:b w:val="0"/>
                <w:bCs w:val="0"/>
                <w:color w:val="000000" w:themeColor="text1"/>
                <w:spacing w:val="0"/>
                <w:sz w:val="24"/>
                <w:highlight w:val="none"/>
                <w:lang w:val="en-US" w:eastAsia="zh-CN"/>
                <w14:textFill>
                  <w14:solidFill>
                    <w14:schemeClr w14:val="tx1"/>
                  </w14:solidFill>
                </w14:textFill>
              </w:rPr>
              <w:t>、危险废物</w:t>
            </w:r>
            <w:r>
              <w:rPr>
                <w:rFonts w:hint="default"/>
                <w:b w:val="0"/>
                <w:bCs w:val="0"/>
                <w:color w:val="000000" w:themeColor="text1"/>
                <w:spacing w:val="0"/>
                <w:sz w:val="24"/>
                <w:highlight w:val="none"/>
                <w:lang w:val="en-US" w:eastAsia="zh-CN"/>
                <w14:textFill>
                  <w14:solidFill>
                    <w14:schemeClr w14:val="tx1"/>
                  </w14:solidFill>
                </w14:textFill>
              </w:rPr>
              <w:t>均严格执行《医疗废物管理条例》，建设单位及时收集本单位产生的医疗废物，并按类别分置于防渗漏、防锐器穿透的专用包装物或者密闭的容器内，防止其中的液体渗漏；对</w:t>
            </w:r>
            <w:r>
              <w:rPr>
                <w:rFonts w:hint="eastAsia"/>
                <w:b w:val="0"/>
                <w:bCs w:val="0"/>
                <w:color w:val="000000" w:themeColor="text1"/>
                <w:spacing w:val="0"/>
                <w:sz w:val="24"/>
                <w:highlight w:val="none"/>
                <w:lang w:val="en-US" w:eastAsia="zh-CN"/>
                <w14:textFill>
                  <w14:solidFill>
                    <w14:schemeClr w14:val="tx1"/>
                  </w14:solidFill>
                </w14:textFill>
              </w:rPr>
              <w:t>医疗</w:t>
            </w:r>
            <w:r>
              <w:rPr>
                <w:rFonts w:hint="default"/>
                <w:b w:val="0"/>
                <w:bCs w:val="0"/>
                <w:color w:val="000000" w:themeColor="text1"/>
                <w:spacing w:val="0"/>
                <w:sz w:val="24"/>
                <w:highlight w:val="none"/>
                <w:lang w:val="en-US" w:eastAsia="zh-CN"/>
                <w14:textFill>
                  <w14:solidFill>
                    <w14:schemeClr w14:val="tx1"/>
                  </w14:solidFill>
                </w14:textFill>
              </w:rPr>
              <w:t>废物暂存间进行地面硬化和防渗处理。防渗材料设计采用高密度聚乙烯防渗层，材料厚度为2mm，渗透系数K不大于1.0×10</w:t>
            </w:r>
            <w:r>
              <w:rPr>
                <w:rFonts w:hint="default"/>
                <w:b w:val="0"/>
                <w:bCs w:val="0"/>
                <w:color w:val="000000" w:themeColor="text1"/>
                <w:spacing w:val="0"/>
                <w:sz w:val="24"/>
                <w:highlight w:val="none"/>
                <w:vertAlign w:val="superscript"/>
                <w:lang w:val="en-US" w:eastAsia="zh-CN"/>
                <w14:textFill>
                  <w14:solidFill>
                    <w14:schemeClr w14:val="tx1"/>
                  </w14:solidFill>
                </w14:textFill>
              </w:rPr>
              <w:t>-10</w:t>
            </w:r>
            <w:r>
              <w:rPr>
                <w:rFonts w:hint="default"/>
                <w:b w:val="0"/>
                <w:bCs w:val="0"/>
                <w:color w:val="000000" w:themeColor="text1"/>
                <w:spacing w:val="0"/>
                <w:sz w:val="24"/>
                <w:highlight w:val="none"/>
                <w:lang w:val="en-US" w:eastAsia="zh-CN"/>
                <w14:textFill>
                  <w14:solidFill>
                    <w14:schemeClr w14:val="tx1"/>
                  </w14:solidFill>
                </w14:textFill>
              </w:rPr>
              <w:t>cm/s。暂存间防渗材料墙面返高设计为2m。</w:t>
            </w:r>
          </w:p>
          <w:p w14:paraId="2D0CF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（2）一般防渗区防渗措施</w:t>
            </w:r>
          </w:p>
          <w:p w14:paraId="1463A2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default"/>
                <w:b w:val="0"/>
                <w:bCs w:val="0"/>
                <w:color w:val="000000" w:themeColor="text1"/>
                <w:spacing w:val="0"/>
                <w:sz w:val="24"/>
                <w:highlight w:val="none"/>
                <w:lang w:val="en-US" w:eastAsia="zh-CN"/>
                <w14:textFill>
                  <w14:solidFill>
                    <w14:schemeClr w14:val="tx1"/>
                  </w14:solidFill>
                </w14:textFill>
              </w:rPr>
              <w:t>本项目涉及有上下水管路房间的地面拟采取防渗处理，材料的渗透系数K不大于1.0×10</w:t>
            </w:r>
            <w:r>
              <w:rPr>
                <w:rFonts w:hint="default"/>
                <w:b w:val="0"/>
                <w:bCs w:val="0"/>
                <w:color w:val="000000" w:themeColor="text1"/>
                <w:spacing w:val="0"/>
                <w:sz w:val="24"/>
                <w:highlight w:val="none"/>
                <w:vertAlign w:val="superscript"/>
                <w:lang w:val="en-US" w:eastAsia="zh-CN"/>
                <w14:textFill>
                  <w14:solidFill>
                    <w14:schemeClr w14:val="tx1"/>
                  </w14:solidFill>
                </w14:textFill>
              </w:rPr>
              <w:t>-7</w:t>
            </w:r>
            <w:r>
              <w:rPr>
                <w:rFonts w:hint="default"/>
                <w:b w:val="0"/>
                <w:bCs w:val="0"/>
                <w:color w:val="000000" w:themeColor="text1"/>
                <w:spacing w:val="0"/>
                <w:sz w:val="24"/>
                <w:highlight w:val="none"/>
                <w:lang w:val="en-US" w:eastAsia="zh-CN"/>
                <w14:textFill>
                  <w14:solidFill>
                    <w14:schemeClr w14:val="tx1"/>
                  </w14:solidFill>
                </w14:textFill>
              </w:rPr>
              <w:t>cm/s。</w:t>
            </w:r>
          </w:p>
          <w:p w14:paraId="65AEC1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医院一般固体废物全部分类暂存后及时处理；危险废物全部分类收集暂存定期委托资质单位处置；</w:t>
            </w:r>
            <w:r>
              <w:rPr>
                <w:rFonts w:hint="default"/>
                <w:b w:val="0"/>
                <w:bCs w:val="0"/>
                <w:color w:val="000000" w:themeColor="text1"/>
                <w:spacing w:val="0"/>
                <w:sz w:val="24"/>
                <w:highlight w:val="none"/>
                <w:lang w:val="en-US" w:eastAsia="zh-CN"/>
                <w14:textFill>
                  <w14:solidFill>
                    <w14:schemeClr w14:val="tx1"/>
                  </w14:solidFill>
                </w14:textFill>
              </w:rPr>
              <w:t>生活垃圾设置密封垃圾箱，均不在露天堆放，并及时外运处理，以避免对地下水及土壤环境造成影响的可能。在保障各项防渗措施及其他管理措施治理效果的情况下，本项目不存在对地下水及土壤造成环境污染的途径。</w:t>
            </w:r>
          </w:p>
          <w:p w14:paraId="3C57B5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bCs/>
                <w:color w:val="000000" w:themeColor="text1"/>
                <w:spacing w:val="0"/>
                <w:sz w:val="24"/>
                <w:highlight w:val="none"/>
                <w:lang w:val="en-US" w:eastAsia="zh-CN"/>
                <w14:textFill>
                  <w14:solidFill>
                    <w14:schemeClr w14:val="tx1"/>
                  </w14:solidFill>
                </w14:textFill>
              </w:rPr>
              <w:t>6、环境风险影响分析</w:t>
            </w:r>
          </w:p>
          <w:p w14:paraId="278B4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（1）风险源调查</w:t>
            </w:r>
          </w:p>
          <w:p w14:paraId="75B23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建设项目环境风险评价技术导则》（HJ169-2018）附录B重点关注的危险物质及临界量，以及《企业突发环境事件风险分级方法》（HJ941-2018）附录A突发环境事件风险物质及临界量清单，本项目医院涉及的危险化学品为次氯酸钠溶液、酒精。</w:t>
            </w:r>
          </w:p>
          <w:p w14:paraId="0B4BD3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根据《建设项目环境风险评价技术导则》（HJ169-2018）附录C，计算所涉及的每种危险物质在厂界内的最大存在总量与其在附录B中对应临界量的比值Q，来判断建设项目的风险潜势。当存在多种危险物质时，应按下式计算物质总量与其临界量的比值（Q）：</w:t>
            </w:r>
          </w:p>
          <w:p w14:paraId="0A5E42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4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m:oMathPara>
              <m:oMath>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Q=</m:t>
                </m:r>
                <m:f>
                  <m:f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fPr>
                  <m:num>
                    <m:sSub>
                      <m:sSub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1</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num>
                  <m:den>
                    <m:sSub>
                      <m:sSub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1</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den>
                </m:f>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m:t>
                </m:r>
                <m:f>
                  <m:f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fPr>
                  <m:num>
                    <m:sSub>
                      <m:sSub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2</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num>
                  <m:den>
                    <m:sSub>
                      <m:sSubP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2</m:t>
                        </m:r>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Times New Roman"/>
                        <w:b w:val="0"/>
                        <w:bCs w:val="0"/>
                        <w:color w:val="000000" w:themeColor="text1"/>
                        <w:spacing w:val="-10"/>
                        <w:kern w:val="2"/>
                        <w:sz w:val="24"/>
                        <w:szCs w:val="24"/>
                        <w:highlight w:val="none"/>
                        <w:lang w:val="en-US" w:eastAsia="zh-CN" w:bidi="ar-SA"/>
                        <w14:textFill>
                          <w14:solidFill>
                            <w14:schemeClr w14:val="tx1"/>
                          </w14:solidFill>
                        </w14:textFill>
                      </w:rPr>
                    </m:ctrlPr>
                  </m:den>
                </m:f>
                <m:r>
                  <m:rPr>
                    <m:sty m:val="p"/>
                  </m:rPr>
                  <w:rPr>
                    <w:rFonts w:hint="default" w:ascii="Cambria Math" w:hAnsi="Cambria Math" w:cs="Times New Roman"/>
                    <w:color w:val="000000" w:themeColor="text1"/>
                    <w:spacing w:val="-10"/>
                    <w:kern w:val="2"/>
                    <w:sz w:val="24"/>
                    <w:szCs w:val="24"/>
                    <w:highlight w:val="none"/>
                    <w:lang w:val="en-US" w:eastAsia="zh-CN" w:bidi="ar-SA"/>
                    <w14:textFill>
                      <w14:solidFill>
                        <w14:schemeClr w14:val="tx1"/>
                      </w14:solidFill>
                    </w14:textFill>
                  </w:rPr>
                  <m:t>+</m:t>
                </m:r>
                <m:r>
                  <m:rPr>
                    <m:sty m:val="p"/>
                  </m:rPr>
                  <w:rPr>
                    <w:rFonts w:hint="default" w:ascii="Cambria Math" w:hAnsi="Cambria Math" w:cs="Cambria Math"/>
                    <w:color w:val="000000" w:themeColor="text1"/>
                    <w:spacing w:val="-10"/>
                    <w:kern w:val="2"/>
                    <w:sz w:val="24"/>
                    <w:szCs w:val="24"/>
                    <w:highlight w:val="none"/>
                    <w:lang w:val="en-US" w:eastAsia="zh-CN" w:bidi="ar-SA"/>
                    <w14:textFill>
                      <w14:solidFill>
                        <w14:schemeClr w14:val="tx1"/>
                      </w14:solidFill>
                    </w14:textFill>
                  </w:rPr>
                  <m:t>⋯+</m:t>
                </m:r>
                <m:f>
                  <m:fP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fPr>
                  <m:num>
                    <m:sSub>
                      <m:sSubP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Cambria Math"/>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Cambria Math"/>
                            <w:color w:val="000000" w:themeColor="text1"/>
                            <w:spacing w:val="-10"/>
                            <w:kern w:val="2"/>
                            <w:sz w:val="24"/>
                            <w:szCs w:val="24"/>
                            <w:highlight w:val="none"/>
                            <w:lang w:val="en-US" w:eastAsia="zh-CN" w:bidi="ar-SA"/>
                            <w14:textFill>
                              <w14:solidFill>
                                <w14:schemeClr w14:val="tx1"/>
                              </w14:solidFill>
                            </w14:textFill>
                          </w:rPr>
                          <m:t>n</m:t>
                        </m: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num>
                  <m:den>
                    <m:sSub>
                      <m:sSubP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sSubPr>
                      <m:e>
                        <m:r>
                          <m:rPr>
                            <m:sty m:val="p"/>
                          </m:rPr>
                          <w:rPr>
                            <w:rFonts w:hint="default" w:ascii="Cambria Math" w:hAnsi="Cambria Math" w:cs="Cambria Math"/>
                            <w:color w:val="000000" w:themeColor="text1"/>
                            <w:spacing w:val="-10"/>
                            <w:kern w:val="2"/>
                            <w:sz w:val="24"/>
                            <w:szCs w:val="24"/>
                            <w:highlight w:val="none"/>
                            <w:lang w:val="en-US" w:eastAsia="zh-CN" w:bidi="ar-SA"/>
                            <w14:textFill>
                              <w14:solidFill>
                                <w14:schemeClr w14:val="tx1"/>
                              </w14:solidFill>
                            </w14:textFill>
                          </w:rPr>
                          <m:t>Q</m:t>
                        </m: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e>
                      <m:sub>
                        <m:r>
                          <m:rPr>
                            <m:sty m:val="p"/>
                          </m:rPr>
                          <w:rPr>
                            <w:rFonts w:hint="default" w:ascii="Cambria Math" w:hAnsi="Cambria Math" w:cs="Cambria Math"/>
                            <w:color w:val="000000" w:themeColor="text1"/>
                            <w:spacing w:val="-10"/>
                            <w:kern w:val="2"/>
                            <w:sz w:val="24"/>
                            <w:szCs w:val="24"/>
                            <w:highlight w:val="none"/>
                            <w:lang w:val="en-US" w:eastAsia="zh-CN" w:bidi="ar-SA"/>
                            <w14:textFill>
                              <w14:solidFill>
                                <w14:schemeClr w14:val="tx1"/>
                              </w14:solidFill>
                            </w14:textFill>
                          </w:rPr>
                          <m:t>n</m:t>
                        </m:r>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sub>
                    </m:sSub>
                    <m:ctrlPr>
                      <w:rPr>
                        <w:rFonts w:hint="default" w:ascii="Cambria Math" w:hAnsi="Cambria Math" w:cs="Cambria Math"/>
                        <w:b w:val="0"/>
                        <w:bCs w:val="0"/>
                        <w:color w:val="000000" w:themeColor="text1"/>
                        <w:spacing w:val="-10"/>
                        <w:kern w:val="2"/>
                        <w:sz w:val="24"/>
                        <w:szCs w:val="24"/>
                        <w:highlight w:val="none"/>
                        <w:lang w:val="en-US" w:eastAsia="zh-CN" w:bidi="ar-SA"/>
                        <w14:textFill>
                          <w14:solidFill>
                            <w14:schemeClr w14:val="tx1"/>
                          </w14:solidFill>
                        </w14:textFill>
                      </w:rPr>
                    </m:ctrlPr>
                  </m:den>
                </m:f>
              </m:oMath>
            </m:oMathPara>
          </w:p>
          <w:p w14:paraId="37590D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40" w:firstLineChars="200"/>
              <w:jc w:val="both"/>
              <w:textAlignment w:val="auto"/>
              <w:rPr>
                <w:rFonts w:hint="eastAsia" w:cs="Times New Roman"/>
                <w:b w:val="0"/>
                <w:bCs w:val="0"/>
                <w:color w:val="000000" w:themeColor="text1"/>
                <w:spacing w:val="-10"/>
                <w:sz w:val="24"/>
                <w:highlight w:val="none"/>
                <w:lang w:val="en-US" w:eastAsia="zh-CN"/>
                <w14:textFill>
                  <w14:solidFill>
                    <w14:schemeClr w14:val="tx1"/>
                  </w14:solidFill>
                </w14:textFill>
              </w:rPr>
            </w:pPr>
            <w:r>
              <w:rPr>
                <w:rFonts w:hint="eastAsia" w:cs="Times New Roman"/>
                <w:b w:val="0"/>
                <w:bCs w:val="0"/>
                <w:color w:val="000000" w:themeColor="text1"/>
                <w:spacing w:val="-10"/>
                <w:sz w:val="24"/>
                <w:highlight w:val="none"/>
                <w:lang w:val="en-US" w:eastAsia="zh-CN"/>
                <w14:textFill>
                  <w14:solidFill>
                    <w14:schemeClr w14:val="tx1"/>
                  </w14:solidFill>
                </w14:textFill>
              </w:rPr>
              <w:t>式中：</w:t>
            </w:r>
          </w:p>
          <w:p w14:paraId="69A893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40" w:firstLineChars="200"/>
              <w:jc w:val="both"/>
              <w:textAlignment w:val="auto"/>
              <w:rPr>
                <w:rFonts w:hint="eastAsia" w:cs="Times New Roman"/>
                <w:b w:val="0"/>
                <w:bCs w:val="0"/>
                <w:color w:val="000000" w:themeColor="text1"/>
                <w:spacing w:val="-10"/>
                <w:sz w:val="24"/>
                <w:highlight w:val="none"/>
                <w:vertAlign w:val="baseline"/>
                <w:lang w:val="en-US" w:eastAsia="zh-CN"/>
                <w14:textFill>
                  <w14:solidFill>
                    <w14:schemeClr w14:val="tx1"/>
                  </w14:solidFill>
                </w14:textFill>
              </w:rPr>
            </w:pP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1</w:t>
            </w: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2</w:t>
            </w: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n</w:t>
            </w:r>
            <w:r>
              <w:rPr>
                <w:rFonts w:hint="eastAsia" w:cs="Times New Roman"/>
                <w:b w:val="0"/>
                <w:bCs w:val="0"/>
                <w:color w:val="000000" w:themeColor="text1"/>
                <w:spacing w:val="-10"/>
                <w:sz w:val="24"/>
                <w:highlight w:val="none"/>
                <w:vertAlign w:val="baseline"/>
                <w:lang w:val="en-US" w:eastAsia="zh-CN"/>
                <w14:textFill>
                  <w14:solidFill>
                    <w14:schemeClr w14:val="tx1"/>
                  </w14:solidFill>
                </w14:textFill>
              </w:rPr>
              <w:t>—每种危险物质的最大存储总量，t</w:t>
            </w:r>
          </w:p>
          <w:p w14:paraId="5FDBE5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4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1</w:t>
            </w: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2</w:t>
            </w:r>
            <w:r>
              <w:rPr>
                <w:rFonts w:hint="eastAsia" w:cs="Times New Roman"/>
                <w:b w:val="0"/>
                <w:bCs w:val="0"/>
                <w:color w:val="000000" w:themeColor="text1"/>
                <w:spacing w:val="-10"/>
                <w:sz w:val="24"/>
                <w:highlight w:val="none"/>
                <w:lang w:val="en-US" w:eastAsia="zh-CN"/>
                <w14:textFill>
                  <w14:solidFill>
                    <w14:schemeClr w14:val="tx1"/>
                  </w14:solidFill>
                </w14:textFill>
              </w:rPr>
              <w:t>、……Q</w:t>
            </w:r>
            <w:r>
              <w:rPr>
                <w:rFonts w:hint="eastAsia" w:cs="Times New Roman"/>
                <w:b w:val="0"/>
                <w:bCs w:val="0"/>
                <w:color w:val="000000" w:themeColor="text1"/>
                <w:spacing w:val="-10"/>
                <w:sz w:val="24"/>
                <w:highlight w:val="none"/>
                <w:vertAlign w:val="subscript"/>
                <w:lang w:val="en-US" w:eastAsia="zh-CN"/>
                <w14:textFill>
                  <w14:solidFill>
                    <w14:schemeClr w14:val="tx1"/>
                  </w14:solidFill>
                </w14:textFill>
              </w:rPr>
              <w:t>n</w:t>
            </w:r>
            <w:r>
              <w:rPr>
                <w:rFonts w:hint="eastAsia" w:cs="Times New Roman"/>
                <w:b w:val="0"/>
                <w:bCs w:val="0"/>
                <w:color w:val="000000" w:themeColor="text1"/>
                <w:spacing w:val="-10"/>
                <w:sz w:val="24"/>
                <w:highlight w:val="none"/>
                <w:vertAlign w:val="baseline"/>
                <w:lang w:val="en-US" w:eastAsia="zh-CN"/>
                <w14:textFill>
                  <w14:solidFill>
                    <w14:schemeClr w14:val="tx1"/>
                  </w14:solidFill>
                </w14:textFill>
              </w:rPr>
              <w:t>—每种危险物质的临界量，t。</w:t>
            </w:r>
          </w:p>
          <w:p w14:paraId="3371DA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当Q＜1时，该项目环境风险潜势为</w:t>
            </w:r>
            <w:r>
              <w:rPr>
                <w:rFonts w:hint="default" w:ascii="Times New Roman" w:hAnsi="Times New Roman" w:cs="Times New Roman"/>
                <w:b w:val="0"/>
                <w:bCs w:val="0"/>
                <w:color w:val="000000" w:themeColor="text1"/>
                <w:spacing w:val="0"/>
                <w:sz w:val="24"/>
                <w:highlight w:val="none"/>
                <w:lang w:val="en-US" w:eastAsia="zh-CN"/>
                <w14:textFill>
                  <w14:solidFill>
                    <w14:schemeClr w14:val="tx1"/>
                  </w14:solidFill>
                </w14:textFill>
              </w:rPr>
              <w:t>Ⅰ</w:t>
            </w:r>
            <w:r>
              <w:rPr>
                <w:rFonts w:hint="eastAsia"/>
                <w:b w:val="0"/>
                <w:bCs w:val="0"/>
                <w:color w:val="000000" w:themeColor="text1"/>
                <w:spacing w:val="0"/>
                <w:sz w:val="24"/>
                <w:highlight w:val="none"/>
                <w:lang w:val="en-US" w:eastAsia="zh-CN"/>
                <w14:textFill>
                  <w14:solidFill>
                    <w14:schemeClr w14:val="tx1"/>
                  </w14:solidFill>
                </w14:textFill>
              </w:rPr>
              <w:t>。</w:t>
            </w:r>
          </w:p>
          <w:p w14:paraId="0AFF25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 w:val="0"/>
                <w:bCs w:val="0"/>
                <w:color w:val="000000" w:themeColor="text1"/>
                <w:spacing w:val="0"/>
                <w:sz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0"/>
                <w:sz w:val="24"/>
                <w:highlight w:val="none"/>
                <w:lang w:val="en-US" w:eastAsia="zh-CN"/>
                <w14:textFill>
                  <w14:solidFill>
                    <w14:schemeClr w14:val="tx1"/>
                  </w14:solidFill>
                </w14:textFill>
              </w:rPr>
              <w:t>当Q≥1时，将Q值划分为：（1）1≤Q＜10；（2）10≤Q＜100；（3）Q≥100。</w:t>
            </w:r>
          </w:p>
          <w:p w14:paraId="500F3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pacing w:val="0"/>
                <w:sz w:val="24"/>
                <w:highlight w:val="none"/>
                <w:lang w:val="en-US" w:eastAsia="zh-CN"/>
                <w14:textFill>
                  <w14:solidFill>
                    <w14:schemeClr w14:val="tx1"/>
                  </w14:solidFill>
                </w14:textFill>
              </w:rPr>
            </w:pPr>
            <w:r>
              <w:rPr>
                <w:rFonts w:hint="eastAsia"/>
                <w:b w:val="0"/>
                <w:bCs w:val="0"/>
                <w:color w:val="000000" w:themeColor="text1"/>
                <w:spacing w:val="0"/>
                <w:sz w:val="24"/>
                <w:highlight w:val="none"/>
                <w:lang w:val="en-US" w:eastAsia="zh-CN"/>
                <w14:textFill>
                  <w14:solidFill>
                    <w14:schemeClr w14:val="tx1"/>
                  </w14:solidFill>
                </w14:textFill>
              </w:rPr>
              <w:t>本项目医院危险物质储存数量见下表。</w:t>
            </w:r>
          </w:p>
          <w:p w14:paraId="15CD46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val="0"/>
                <w:bCs w:val="0"/>
                <w:color w:val="000000" w:themeColor="text1"/>
                <w:spacing w:val="-10"/>
                <w:sz w:val="24"/>
                <w:highlight w:val="none"/>
                <w:lang w:val="en-US" w:eastAsia="zh-CN"/>
                <w14:textFill>
                  <w14:solidFill>
                    <w14:schemeClr w14:val="tx1"/>
                  </w14:solidFill>
                </w14:textFill>
              </w:rPr>
            </w:pPr>
            <w:r>
              <w:rPr>
                <w:rFonts w:hint="eastAsia"/>
                <w:b/>
                <w:bCs/>
                <w:color w:val="000000" w:themeColor="text1"/>
                <w:spacing w:val="0"/>
                <w:sz w:val="21"/>
                <w:szCs w:val="21"/>
                <w:highlight w:val="none"/>
                <w:lang w:val="en-US" w:eastAsia="zh-CN"/>
                <w14:textFill>
                  <w14:solidFill>
                    <w14:schemeClr w14:val="tx1"/>
                  </w14:solidFill>
                </w14:textFill>
              </w:rPr>
              <w:t>表4-19 本项目危险物质汇总表</w:t>
            </w:r>
          </w:p>
          <w:tbl>
            <w:tblPr>
              <w:tblStyle w:val="17"/>
              <w:tblW w:w="851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2003"/>
              <w:gridCol w:w="1417"/>
              <w:gridCol w:w="1891"/>
              <w:gridCol w:w="1350"/>
              <w:gridCol w:w="1109"/>
            </w:tblGrid>
            <w:tr w14:paraId="772F10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5" w:type="dxa"/>
                  <w:tcBorders>
                    <w:tl2br w:val="nil"/>
                    <w:tr2bl w:val="nil"/>
                  </w:tcBorders>
                  <w:vAlign w:val="center"/>
                </w:tcPr>
                <w:p w14:paraId="10945E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序号</w:t>
                  </w:r>
                </w:p>
              </w:tc>
              <w:tc>
                <w:tcPr>
                  <w:tcW w:w="2003" w:type="dxa"/>
                  <w:tcBorders>
                    <w:tl2br w:val="nil"/>
                    <w:tr2bl w:val="nil"/>
                  </w:tcBorders>
                  <w:vAlign w:val="center"/>
                </w:tcPr>
                <w:p w14:paraId="1D6811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名称</w:t>
                  </w:r>
                </w:p>
              </w:tc>
              <w:tc>
                <w:tcPr>
                  <w:tcW w:w="1417" w:type="dxa"/>
                  <w:tcBorders>
                    <w:tl2br w:val="nil"/>
                    <w:tr2bl w:val="nil"/>
                  </w:tcBorders>
                  <w:vAlign w:val="center"/>
                </w:tcPr>
                <w:p w14:paraId="0A0019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CAS号</w:t>
                  </w:r>
                </w:p>
              </w:tc>
              <w:tc>
                <w:tcPr>
                  <w:tcW w:w="1891" w:type="dxa"/>
                  <w:tcBorders>
                    <w:tl2br w:val="nil"/>
                    <w:tr2bl w:val="nil"/>
                  </w:tcBorders>
                  <w:vAlign w:val="center"/>
                </w:tcPr>
                <w:p w14:paraId="2F352A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折算后最大储存量</w:t>
                  </w:r>
                </w:p>
              </w:tc>
              <w:tc>
                <w:tcPr>
                  <w:tcW w:w="1350" w:type="dxa"/>
                  <w:tcBorders>
                    <w:tl2br w:val="nil"/>
                    <w:tr2bl w:val="nil"/>
                  </w:tcBorders>
                  <w:vAlign w:val="center"/>
                </w:tcPr>
                <w:p w14:paraId="25A0DB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临界量</w:t>
                  </w:r>
                </w:p>
              </w:tc>
              <w:tc>
                <w:tcPr>
                  <w:tcW w:w="1109" w:type="dxa"/>
                  <w:tcBorders>
                    <w:tl2br w:val="nil"/>
                    <w:tr2bl w:val="nil"/>
                  </w:tcBorders>
                  <w:vAlign w:val="center"/>
                </w:tcPr>
                <w:p w14:paraId="06E1EC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000000" w:themeColor="text1"/>
                      <w:spacing w:val="-10"/>
                      <w:sz w:val="21"/>
                      <w:szCs w:val="21"/>
                      <w:highlight w:val="none"/>
                      <w:vertAlign w:val="baseline"/>
                      <w:lang w:val="en-US" w:eastAsia="zh-CN"/>
                      <w14:textFill>
                        <w14:solidFill>
                          <w14:schemeClr w14:val="tx1"/>
                        </w14:solidFill>
                      </w14:textFill>
                    </w:rPr>
                  </w:pPr>
                  <w:r>
                    <w:rPr>
                      <w:rFonts w:hint="eastAsia"/>
                      <w:b/>
                      <w:bCs/>
                      <w:color w:val="000000" w:themeColor="text1"/>
                      <w:spacing w:val="-10"/>
                      <w:sz w:val="21"/>
                      <w:szCs w:val="21"/>
                      <w:highlight w:val="none"/>
                      <w:vertAlign w:val="baseline"/>
                      <w:lang w:val="en-US" w:eastAsia="zh-CN"/>
                      <w14:textFill>
                        <w14:solidFill>
                          <w14:schemeClr w14:val="tx1"/>
                        </w14:solidFill>
                      </w14:textFill>
                    </w:rPr>
                    <w:t>Q值</w:t>
                  </w:r>
                </w:p>
              </w:tc>
            </w:tr>
            <w:tr w14:paraId="528954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5" w:type="dxa"/>
                  <w:tcBorders>
                    <w:tl2br w:val="nil"/>
                    <w:tr2bl w:val="nil"/>
                  </w:tcBorders>
                  <w:vAlign w:val="center"/>
                </w:tcPr>
                <w:p w14:paraId="06BF40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1</w:t>
                  </w:r>
                </w:p>
              </w:tc>
              <w:tc>
                <w:tcPr>
                  <w:tcW w:w="2003" w:type="dxa"/>
                  <w:tcBorders>
                    <w:tl2br w:val="nil"/>
                    <w:tr2bl w:val="nil"/>
                  </w:tcBorders>
                  <w:vAlign w:val="center"/>
                </w:tcPr>
                <w:p w14:paraId="76EE70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乙醇</w:t>
                  </w:r>
                </w:p>
              </w:tc>
              <w:tc>
                <w:tcPr>
                  <w:tcW w:w="1417" w:type="dxa"/>
                  <w:tcBorders>
                    <w:tl2br w:val="nil"/>
                    <w:tr2bl w:val="nil"/>
                  </w:tcBorders>
                  <w:vAlign w:val="center"/>
                </w:tcPr>
                <w:p w14:paraId="201935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64-17-5</w:t>
                  </w:r>
                </w:p>
              </w:tc>
              <w:tc>
                <w:tcPr>
                  <w:tcW w:w="1891" w:type="dxa"/>
                  <w:tcBorders>
                    <w:tl2br w:val="nil"/>
                    <w:tr2bl w:val="nil"/>
                  </w:tcBorders>
                  <w:vAlign w:val="center"/>
                </w:tcPr>
                <w:p w14:paraId="710F00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0.0107t</w:t>
                  </w:r>
                </w:p>
              </w:tc>
              <w:tc>
                <w:tcPr>
                  <w:tcW w:w="1350" w:type="dxa"/>
                  <w:tcBorders>
                    <w:tl2br w:val="nil"/>
                    <w:tr2bl w:val="nil"/>
                  </w:tcBorders>
                  <w:vAlign w:val="center"/>
                </w:tcPr>
                <w:p w14:paraId="3E2ED8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500</w:t>
                  </w:r>
                </w:p>
              </w:tc>
              <w:tc>
                <w:tcPr>
                  <w:tcW w:w="1109" w:type="dxa"/>
                  <w:tcBorders>
                    <w:tl2br w:val="nil"/>
                    <w:tr2bl w:val="nil"/>
                  </w:tcBorders>
                  <w:vAlign w:val="center"/>
                </w:tcPr>
                <w:p w14:paraId="690C9E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0.0000214</w:t>
                  </w:r>
                </w:p>
              </w:tc>
            </w:tr>
            <w:tr w14:paraId="57E90E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5" w:type="dxa"/>
                  <w:tcBorders>
                    <w:tl2br w:val="nil"/>
                    <w:tr2bl w:val="nil"/>
                  </w:tcBorders>
                  <w:vAlign w:val="center"/>
                </w:tcPr>
                <w:p w14:paraId="41DE85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2</w:t>
                  </w:r>
                </w:p>
              </w:tc>
              <w:tc>
                <w:tcPr>
                  <w:tcW w:w="2003" w:type="dxa"/>
                  <w:tcBorders>
                    <w:tl2br w:val="nil"/>
                    <w:tr2bl w:val="nil"/>
                  </w:tcBorders>
                  <w:vAlign w:val="center"/>
                </w:tcPr>
                <w:p w14:paraId="2704BC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次氯酸钠</w:t>
                  </w:r>
                </w:p>
              </w:tc>
              <w:tc>
                <w:tcPr>
                  <w:tcW w:w="1417" w:type="dxa"/>
                  <w:tcBorders>
                    <w:tl2br w:val="nil"/>
                    <w:tr2bl w:val="nil"/>
                  </w:tcBorders>
                  <w:vAlign w:val="center"/>
                </w:tcPr>
                <w:p w14:paraId="085E85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7681-52-9</w:t>
                  </w:r>
                </w:p>
              </w:tc>
              <w:tc>
                <w:tcPr>
                  <w:tcW w:w="1891" w:type="dxa"/>
                  <w:tcBorders>
                    <w:tl2br w:val="nil"/>
                    <w:tr2bl w:val="nil"/>
                  </w:tcBorders>
                  <w:vAlign w:val="center"/>
                </w:tcPr>
                <w:p w14:paraId="2F4D38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0.2123t</w:t>
                  </w:r>
                </w:p>
              </w:tc>
              <w:tc>
                <w:tcPr>
                  <w:tcW w:w="1350" w:type="dxa"/>
                  <w:tcBorders>
                    <w:tl2br w:val="nil"/>
                    <w:tr2bl w:val="nil"/>
                  </w:tcBorders>
                  <w:vAlign w:val="center"/>
                </w:tcPr>
                <w:p w14:paraId="458F62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5</w:t>
                  </w:r>
                </w:p>
              </w:tc>
              <w:tc>
                <w:tcPr>
                  <w:tcW w:w="1109" w:type="dxa"/>
                  <w:tcBorders>
                    <w:tl2br w:val="nil"/>
                    <w:tr2bl w:val="nil"/>
                  </w:tcBorders>
                  <w:vAlign w:val="center"/>
                </w:tcPr>
                <w:p w14:paraId="0AE29F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0.04246</w:t>
                  </w:r>
                </w:p>
              </w:tc>
            </w:tr>
            <w:tr w14:paraId="7FBFA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6" w:type="dxa"/>
                  <w:gridSpan w:val="5"/>
                  <w:tcBorders>
                    <w:tl2br w:val="nil"/>
                    <w:tr2bl w:val="nil"/>
                  </w:tcBorders>
                  <w:vAlign w:val="center"/>
                </w:tcPr>
                <w:p w14:paraId="3696CB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Q值</w:t>
                  </w:r>
                </w:p>
              </w:tc>
              <w:tc>
                <w:tcPr>
                  <w:tcW w:w="1109" w:type="dxa"/>
                  <w:tcBorders>
                    <w:tl2br w:val="nil"/>
                    <w:tr2bl w:val="nil"/>
                  </w:tcBorders>
                  <w:vAlign w:val="center"/>
                </w:tcPr>
                <w:p w14:paraId="03FD85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b w:val="0"/>
                      <w:bCs w:val="0"/>
                      <w:color w:val="000000" w:themeColor="text1"/>
                      <w:spacing w:val="-10"/>
                      <w:sz w:val="21"/>
                      <w:szCs w:val="21"/>
                      <w:highlight w:val="none"/>
                      <w:vertAlign w:val="baseline"/>
                      <w:lang w:val="en-US" w:eastAsia="zh-CN"/>
                      <w14:textFill>
                        <w14:solidFill>
                          <w14:schemeClr w14:val="tx1"/>
                        </w14:solidFill>
                      </w14:textFill>
                    </w:rPr>
                    <w:t>0.0424814</w:t>
                  </w:r>
                </w:p>
              </w:tc>
            </w:tr>
          </w:tbl>
          <w:p w14:paraId="5EEC67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both"/>
              <w:textAlignment w:val="auto"/>
              <w:rPr>
                <w:rFonts w:hint="default"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bCs/>
                <w:color w:val="000000" w:themeColor="text1"/>
                <w:spacing w:val="0"/>
                <w:sz w:val="18"/>
                <w:szCs w:val="18"/>
                <w:highlight w:val="none"/>
                <w:lang w:val="en-US" w:eastAsia="zh-CN"/>
                <w14:textFill>
                  <w14:solidFill>
                    <w14:schemeClr w14:val="tx1"/>
                  </w14:solidFill>
                </w14:textFill>
              </w:rPr>
              <w:t>注：①项目使用75%乙醇，医院最大储存量为300瓶（60mL/瓶），乙醇密度0.79g/cm</w:t>
            </w:r>
            <w:r>
              <w:rPr>
                <w:rFonts w:hint="eastAsia" w:cs="Times New Roman"/>
                <w:b/>
                <w:bCs/>
                <w:color w:val="000000" w:themeColor="text1"/>
                <w:spacing w:val="0"/>
                <w:sz w:val="18"/>
                <w:szCs w:val="18"/>
                <w:highlight w:val="none"/>
                <w:vertAlign w:val="superscript"/>
                <w:lang w:val="en-US" w:eastAsia="zh-CN"/>
                <w14:textFill>
                  <w14:solidFill>
                    <w14:schemeClr w14:val="tx1"/>
                  </w14:solidFill>
                </w14:textFill>
              </w:rPr>
              <w:t>3</w:t>
            </w:r>
            <w:r>
              <w:rPr>
                <w:rFonts w:hint="eastAsia" w:cs="Times New Roman"/>
                <w:b/>
                <w:bCs/>
                <w:color w:val="000000" w:themeColor="text1"/>
                <w:spacing w:val="0"/>
                <w:sz w:val="18"/>
                <w:szCs w:val="18"/>
                <w:highlight w:val="none"/>
                <w:lang w:val="en-US" w:eastAsia="zh-CN"/>
                <w14:textFill>
                  <w14:solidFill>
                    <w14:schemeClr w14:val="tx1"/>
                  </w14:solidFill>
                </w14:textFill>
              </w:rPr>
              <w:t>，折算后乙醇最大储存量为0.0107t；</w:t>
            </w:r>
            <w:r>
              <w:rPr>
                <w:rFonts w:hint="default" w:cs="Times New Roman"/>
                <w:b/>
                <w:bCs/>
                <w:color w:val="000000" w:themeColor="text1"/>
                <w:spacing w:val="0"/>
                <w:sz w:val="18"/>
                <w:szCs w:val="18"/>
                <w:highlight w:val="none"/>
                <w:lang w:val="en-US" w:eastAsia="zh-CN"/>
                <w14:textFill>
                  <w14:solidFill>
                    <w14:schemeClr w14:val="tx1"/>
                  </w14:solidFill>
                </w14:textFill>
              </w:rPr>
              <w:t>②</w:t>
            </w:r>
            <w:r>
              <w:rPr>
                <w:rFonts w:hint="eastAsia" w:cs="Times New Roman"/>
                <w:b/>
                <w:bCs/>
                <w:color w:val="000000" w:themeColor="text1"/>
                <w:spacing w:val="0"/>
                <w:sz w:val="18"/>
                <w:szCs w:val="18"/>
                <w:highlight w:val="none"/>
                <w:lang w:val="en-US" w:eastAsia="zh-CN"/>
                <w14:textFill>
                  <w14:solidFill>
                    <w14:schemeClr w14:val="tx1"/>
                  </w14:solidFill>
                </w14:textFill>
              </w:rPr>
              <w:t>项目使用10%次氯酸钠溶液，医院最大储存量为2t，折算后次氯酸钠最大储存量为0.2t；③项目使用84消毒液，主要成分为体积分数为6.5%的次氯酸钠溶液，医院最大储存量为15箱（3.785L*4/箱），次氯酸钠密度1.20g/cm</w:t>
            </w:r>
            <w:r>
              <w:rPr>
                <w:rFonts w:hint="eastAsia" w:cs="Times New Roman"/>
                <w:b/>
                <w:bCs/>
                <w:color w:val="000000" w:themeColor="text1"/>
                <w:spacing w:val="0"/>
                <w:sz w:val="18"/>
                <w:szCs w:val="18"/>
                <w:highlight w:val="none"/>
                <w:vertAlign w:val="superscript"/>
                <w:lang w:val="en-US" w:eastAsia="zh-CN"/>
                <w14:textFill>
                  <w14:solidFill>
                    <w14:schemeClr w14:val="tx1"/>
                  </w14:solidFill>
                </w14:textFill>
              </w:rPr>
              <w:t>3</w:t>
            </w:r>
            <w:r>
              <w:rPr>
                <w:rFonts w:hint="eastAsia" w:cs="Times New Roman"/>
                <w:b/>
                <w:bCs/>
                <w:color w:val="000000" w:themeColor="text1"/>
                <w:spacing w:val="0"/>
                <w:sz w:val="18"/>
                <w:szCs w:val="18"/>
                <w:highlight w:val="none"/>
                <w:lang w:val="en-US" w:eastAsia="zh-CN"/>
                <w14:textFill>
                  <w14:solidFill>
                    <w14:schemeClr w14:val="tx1"/>
                  </w14:solidFill>
                </w14:textFill>
              </w:rPr>
              <w:t>，折算后次氯酸钠最大储存量为0.0123t</w:t>
            </w:r>
          </w:p>
          <w:p w14:paraId="6ED003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经计算，项目Q=0.0424814﹤1，无需设置环境风险专项评价。仅按照《建设项目环境风险评价技术导则》（HJ169-2018）附录A中相关要求，进行简单分析。</w:t>
            </w:r>
          </w:p>
          <w:p w14:paraId="5163A4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（2）环境影响途径及危害</w:t>
            </w:r>
          </w:p>
          <w:p w14:paraId="4F7E7A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本项目可能的风险环境影响途径主要有：</w:t>
            </w:r>
          </w:p>
          <w:p w14:paraId="2647F4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①本项目酒精、次氯酸钠溶液等化学品均置于专用包装容器内，一般发生事故的情况考虑为取料人员操作不善，导致储存容器倾倒，从而发生泄漏事故，连续泄漏条件下，易挥发性气体不断扩散、漂移，易污染周围大气环境。</w:t>
            </w:r>
          </w:p>
          <w:p w14:paraId="1CF29F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②化学品中的易燃液体泄漏后，遇明火发生火灾爆炸，并产生燃烧废气而引起二次污染。</w:t>
            </w:r>
          </w:p>
          <w:p w14:paraId="796F0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（3）风险防范措施</w:t>
            </w:r>
          </w:p>
          <w:p w14:paraId="01C34E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本项目针对环境风险事件，提出如下主要防范措施：</w:t>
            </w:r>
          </w:p>
          <w:p w14:paraId="5BB89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①化学品存放风险防范措施</w:t>
            </w:r>
          </w:p>
          <w:p w14:paraId="476B14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本项目化学品统一采购后分别存放在化学品试剂柜内。</w:t>
            </w:r>
          </w:p>
          <w:p w14:paraId="64D76E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a.医院须设专人、专库、专账管理化学品，管理和使用人员应熟知管理操作规范，并接受定期培训；定期对化学品的进行安全检查。</w:t>
            </w:r>
          </w:p>
          <w:p w14:paraId="1CD359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b.化学品储存场所与电源、火源间隔一定距离；严禁在相关化学品贮存、使用处进行吸烟、打火等有可能引发火灾、爆炸等事故的操作；使用和贮存化学品的区域附近应配备灭火器材并保持其正常状态。</w:t>
            </w:r>
          </w:p>
          <w:p w14:paraId="782476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c.在员工易见之处，标示化学品的名称及其他必要注意事项。</w:t>
            </w:r>
          </w:p>
          <w:p w14:paraId="078C7E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d.化学品使用后应立即密封，不得敞口向空气中逸散；使用有毒有害化学品应配置必要防护用具。</w:t>
            </w:r>
          </w:p>
          <w:p w14:paraId="3876F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e.处置或使用有害化学品的作业人员，应进行安全卫生教育训练。</w:t>
            </w:r>
          </w:p>
          <w:p w14:paraId="4C35DB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②污水处理设施风险防范措施</w:t>
            </w:r>
          </w:p>
          <w:p w14:paraId="589FEE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a.污水设施设计富余容量，在发生事故状态下，污水处理设施应立即停止运行，切断污水总排口，并紧急检修，医院停诊，一旦发生设备停运或者设备需要检修等非正常排放情况，将污水引入调节池内暂存，待污水处理设施正常运行后，对调节池的污水进行处理达标后排放。</w:t>
            </w:r>
          </w:p>
          <w:p w14:paraId="45626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b.医院严格控制处理单元的水量、水质、停留时间、负荷强度等工艺参数，确保处理效果的稳定性。同时按照《排污许可证申请与核发技术规范 医疗机构》（HJ1105-2020）及北京市有关规定，定期取样检测，配备流量监控仪器。</w:t>
            </w:r>
          </w:p>
          <w:p w14:paraId="4DD69F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c.消毒接触池设置2套加药系统。1套为正常使用的自动加药机，定时向消毒接触池内投加药物；1套为人工加药系统，在自动加药系统故障时启用，以保证出水达标排放。</w:t>
            </w:r>
          </w:p>
          <w:p w14:paraId="001E4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d.污水处理设施日常运行时设专人管理，定期检修污水处理设施以及管道、阀门等零配件，并制定突发事故应急预案。明确应急和事故灾害控制的组织、责任、授权人；制定应急响应程序和人员调动系统和程序；配备应急设备、设施、材料；制定应急防护措施，清除泄漏物的措施、方法和使用器材；提供应急医疗救护与公众健康保证的系统和程序；制定应急状态终止与事故影响的恢复措施；进行应急人员培训、演练和试验应急系统的程序；建立事故的记录和报告程序以及污水处理设施运行监察体制。</w:t>
            </w:r>
          </w:p>
          <w:p w14:paraId="589AAC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③危险废物暂存风险防范措施</w:t>
            </w:r>
          </w:p>
          <w:p w14:paraId="6AD80D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危险废物应严格按照《危险废物贮存污染控制标准》（GB18597-2023）、《危险废物污染防治术政策》（环发[2001]199号）、《北京市危险废物污染环境防治条例》（2020年9月1日起施行）、《危险废物转移管理办法》、《医疗废物管理条例》等相关规定进行规范操作和管理。</w:t>
            </w:r>
          </w:p>
          <w:p w14:paraId="57DD8B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a.本项目医疗废物每天转运。医疗废物暂存间为密闭空间，室内有防渗措施，按照《危险废物识别标志设置技术规范》（HJ1276-2022）的要求在包装物或者容器贴标签，进行危险废物贮存分区标志，危险废物贮存设施应在场所外入口处的墙壁或栏杆显著位置设置相应的设施标志，并设专人管理，由有资质单位进行运输处理，最终进行安全处置，不会对周边环境产生影响。</w:t>
            </w:r>
          </w:p>
          <w:p w14:paraId="6CA20D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b.本项目严格执行医疗废物分类收集制度。医疗废物的收集采取不同颜色的专用容器，容器上明确各类废弃物警示标识、说明。医疗废物依照及时、方便、安全、快捷的原则进行收集后分类包装、分类堆放。感染性废物、损伤性废物不能混合收集。放入包装物或者容器内的感染性废物、损伤性废物不得取出，当盛装的医疗废物达到包装或者容器的3/4时，应当使用有效的封口方式，使包装物或者容器的封口紧实、严密。</w:t>
            </w:r>
          </w:p>
          <w:p w14:paraId="23E156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c.医疗废物暂存间地面铺设大于2mm厚、渗透系数≤10</w:t>
            </w:r>
            <w:r>
              <w:rPr>
                <w:rFonts w:hint="eastAsia" w:cs="Times New Roman"/>
                <w:b w:val="0"/>
                <w:bCs w:val="0"/>
                <w:color w:val="000000" w:themeColor="text1"/>
                <w:spacing w:val="0"/>
                <w:sz w:val="24"/>
                <w:highlight w:val="none"/>
                <w:vertAlign w:val="superscript"/>
                <w:lang w:val="en-US" w:eastAsia="zh-CN"/>
                <w14:textFill>
                  <w14:solidFill>
                    <w14:schemeClr w14:val="tx1"/>
                  </w14:solidFill>
                </w14:textFill>
              </w:rPr>
              <w:t>-10</w:t>
            </w:r>
            <w:r>
              <w:rPr>
                <w:rFonts w:hint="eastAsia" w:cs="Times New Roman"/>
                <w:b w:val="0"/>
                <w:bCs w:val="0"/>
                <w:color w:val="000000" w:themeColor="text1"/>
                <w:spacing w:val="0"/>
                <w:sz w:val="24"/>
                <w:highlight w:val="none"/>
                <w:lang w:val="en-US" w:eastAsia="zh-CN"/>
                <w14:textFill>
                  <w14:solidFill>
                    <w14:schemeClr w14:val="tx1"/>
                  </w14:solidFill>
                </w14:textFill>
              </w:rPr>
              <w:t>cm/s的人工防渗材料。铺砌地坪的胀缝和缩缝采用防渗柔性材料填塞。医疗废物采用专用储存器分类储存，防止出现渗漏。</w:t>
            </w:r>
          </w:p>
          <w:p w14:paraId="22A09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d.医疗废物暂存间严格按照《医疗废物管理条例》及北京市《医疗废物管理条例》实施细则中的各项规定执行，同时制定医疗废物泄漏风险防范预案。依照《中华人民共和国固体废物污染环境防治法》的规定，执行危险废物转移联单管理制度。</w:t>
            </w:r>
          </w:p>
          <w:p w14:paraId="77C7C9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e.落实岗位责任制，加强员工的岗位培训，完善并严格遵守相关的操作规程；加强药品及化学品管理，特别是对易产生泄漏物品加强检查。建立事故预防、监测、检验、报警系统，当发生泄漏事故时能及时报警，及时处理。配备应急设备、设施、材料，制定应急防护措施，清除泄漏物的措施、方法和使用器材，提供应急医疗救护与公众健康保证的系统和程序。对事故现场管理以及事故处置全过程的监督，由富有事故处置经验的人员或有关部门工作人员承担。</w:t>
            </w:r>
          </w:p>
          <w:p w14:paraId="0EF669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（4）环境风险应急预案</w:t>
            </w:r>
          </w:p>
          <w:p w14:paraId="5052B8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本项目的应急预案建议参照以下几点进行制定：</w:t>
            </w:r>
          </w:p>
          <w:p w14:paraId="56C084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a.对可能发生的事故，建设单位应制定相应的应急预案，应急预案应包括火灾的及时响应及扑救、人员的疏散、发生原因的查找及改进措施等，保证在风险发生时能做出最快的处理和防范，使风险降到最低。</w:t>
            </w:r>
          </w:p>
          <w:p w14:paraId="29B94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b.事故发生后，应根据具体情况采取应急措施，切断泄漏源、火源，控制事故扩大，同时根据事故类型、大小启动相应的应急预案。</w:t>
            </w:r>
          </w:p>
          <w:p w14:paraId="700419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c.因本项目若发生环境风险事故，产生的环境影响较小。应及时预估是否有危险化学品随空气传播影响周边环境，若发生该类事故，及时疏散受影响人群。</w:t>
            </w:r>
          </w:p>
          <w:p w14:paraId="7BC148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d.事故发生后，应立即通知当地突发事故领导小组、环保、卫生、消防、供电、自来水公司等部门，进行必要的救援与监控。</w:t>
            </w:r>
          </w:p>
          <w:p w14:paraId="7550B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e.若发生重大事故，应立即上报相关部门，启动社会救援系统，就近地区调拨专业救援队伍协助处理，并及时做好撤离疏散工作。</w:t>
            </w:r>
          </w:p>
          <w:p w14:paraId="28CA0F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（5）环境风险小结</w:t>
            </w:r>
          </w:p>
          <w:p w14:paraId="413B66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r>
              <w:rPr>
                <w:rFonts w:hint="eastAsia" w:cs="Times New Roman"/>
                <w:b w:val="0"/>
                <w:bCs w:val="0"/>
                <w:color w:val="000000" w:themeColor="text1"/>
                <w:spacing w:val="0"/>
                <w:sz w:val="24"/>
                <w:highlight w:val="none"/>
                <w:lang w:val="en-US" w:eastAsia="zh-CN"/>
                <w14:textFill>
                  <w14:solidFill>
                    <w14:schemeClr w14:val="tx1"/>
                  </w14:solidFill>
                </w14:textFill>
              </w:rPr>
              <w:t>本项目没有构成重大危险源，且不在环境敏感地区。建设单位只要按照设计严格施工，并在切实落实各项综合风险防范、事故处置、应急措施的基础上，可将风险事故的环境影响控制在可接受范围内。</w:t>
            </w:r>
          </w:p>
          <w:p w14:paraId="577C1D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12B915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29B0C7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3E9F0C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5A513B59">
            <w:pPr>
              <w:pStyle w:val="13"/>
              <w:keepNext w:val="0"/>
              <w:keepLines w:val="0"/>
              <w:suppressLineNumbers w:val="0"/>
              <w:spacing w:beforeAutospacing="0" w:afterAutospacing="0"/>
              <w:ind w:left="0"/>
              <w:rPr>
                <w:rFonts w:hint="eastAsia" w:cs="Times New Roman"/>
                <w:b w:val="0"/>
                <w:bCs w:val="0"/>
                <w:color w:val="000000" w:themeColor="text1"/>
                <w:spacing w:val="0"/>
                <w:sz w:val="24"/>
                <w:highlight w:val="none"/>
                <w:lang w:val="en-US" w:eastAsia="zh-CN"/>
                <w14:textFill>
                  <w14:solidFill>
                    <w14:schemeClr w14:val="tx1"/>
                  </w14:solidFill>
                </w14:textFill>
              </w:rPr>
            </w:pPr>
          </w:p>
          <w:p w14:paraId="3DCA7507">
            <w:pPr>
              <w:keepNext w:val="0"/>
              <w:keepLines w:val="0"/>
              <w:suppressLineNumbers w:val="0"/>
              <w:spacing w:before="0" w:beforeAutospacing="0" w:after="0" w:afterAutospacing="0"/>
              <w:ind w:left="0" w:right="0"/>
              <w:rPr>
                <w:rFonts w:hint="eastAsia"/>
                <w:highlight w:val="none"/>
                <w:lang w:val="en-US" w:eastAsia="zh-CN"/>
              </w:rPr>
            </w:pPr>
          </w:p>
          <w:p w14:paraId="78E450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00060A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27547E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73F99F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6177ED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5FD2B1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3AD3DE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4FFA2A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b w:val="0"/>
                <w:bCs w:val="0"/>
                <w:color w:val="000000" w:themeColor="text1"/>
                <w:spacing w:val="0"/>
                <w:sz w:val="24"/>
                <w:highlight w:val="none"/>
                <w:lang w:val="en-US" w:eastAsia="zh-CN"/>
                <w14:textFill>
                  <w14:solidFill>
                    <w14:schemeClr w14:val="tx1"/>
                  </w14:solidFill>
                </w14:textFill>
              </w:rPr>
            </w:pPr>
          </w:p>
          <w:p w14:paraId="732547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 w:val="0"/>
                <w:bCs w:val="0"/>
                <w:color w:val="000000" w:themeColor="text1"/>
                <w:spacing w:val="0"/>
                <w:sz w:val="24"/>
                <w:highlight w:val="none"/>
                <w:lang w:val="en-US" w:eastAsia="zh-CN"/>
                <w14:textFill>
                  <w14:solidFill>
                    <w14:schemeClr w14:val="tx1"/>
                  </w14:solidFill>
                </w14:textFill>
              </w:rPr>
            </w:pPr>
          </w:p>
        </w:tc>
      </w:tr>
    </w:tbl>
    <w:p w14:paraId="66711806">
      <w:pPr>
        <w:adjustRightInd w:val="0"/>
        <w:snapToGrid w:val="0"/>
        <w:spacing w:line="360" w:lineRule="auto"/>
        <w:rPr>
          <w:rFonts w:ascii="宋体" w:cs="宋体"/>
          <w:b/>
          <w:color w:val="000000" w:themeColor="text1"/>
          <w:kern w:val="0"/>
          <w:sz w:val="28"/>
          <w:szCs w:val="28"/>
          <w:highlight w:val="none"/>
          <w14:textFill>
            <w14:solidFill>
              <w14:schemeClr w14:val="tx1"/>
            </w14:solidFill>
          </w14:textFill>
        </w:rPr>
        <w:sectPr>
          <w:pgSz w:w="11905" w:h="16838"/>
          <w:pgMar w:top="1474" w:right="1474" w:bottom="1474" w:left="1474" w:header="850" w:footer="850" w:gutter="0"/>
          <w:pgBorders>
            <w:top w:val="none" w:sz="0" w:space="0"/>
            <w:left w:val="none" w:sz="0" w:space="0"/>
            <w:bottom w:val="none" w:sz="0" w:space="0"/>
            <w:right w:val="none" w:sz="0" w:space="0"/>
          </w:pgBorders>
          <w:pgNumType w:fmt="decimal"/>
          <w:cols w:space="0" w:num="1"/>
          <w:docGrid w:linePitch="312" w:charSpace="0"/>
        </w:sectPr>
      </w:pPr>
    </w:p>
    <w:p w14:paraId="2B0E0584">
      <w:pPr>
        <w:spacing w:before="0" w:beforeAutospacing="0"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五、</w:t>
      </w:r>
      <w:bookmarkStart w:id="4"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4"/>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54"/>
        <w:gridCol w:w="1560"/>
        <w:gridCol w:w="1215"/>
        <w:gridCol w:w="2160"/>
        <w:gridCol w:w="2884"/>
      </w:tblGrid>
      <w:tr w14:paraId="21F68E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88" w:hRule="atLeast"/>
          <w:jc w:val="center"/>
        </w:trPr>
        <w:tc>
          <w:tcPr>
            <w:tcW w:w="1354" w:type="dxa"/>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14:paraId="01F0AC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p>
          <w:p w14:paraId="14486F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p>
          <w:p w14:paraId="42FEC1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mc:AlternateContent>
                <mc:Choice Requires="wpsCustomData">
                  <wpsCustomData:diagonalParaType/>
                </mc:Choice>
              </mc:AlternateContent>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要素</w:t>
            </w:r>
          </w:p>
          <w:p w14:paraId="55CC0C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 xml:space="preserve">  </w:t>
            </w:r>
            <w:r>
              <w:rPr>
                <w:rFonts w:hint="default"/>
                <w:b w:val="0"/>
                <w:bCs w:val="0"/>
                <w:color w:val="000000" w:themeColor="text1"/>
                <w:sz w:val="24"/>
                <w:szCs w:val="24"/>
                <w:highlight w:val="none"/>
                <w14:textFill>
                  <w14:solidFill>
                    <w14:schemeClr w14:val="tx1"/>
                  </w14:solidFill>
                </w14:textFill>
              </w:rPr>
              <w:t>内容</w:t>
            </w:r>
          </w:p>
        </w:tc>
        <w:tc>
          <w:tcPr>
            <w:tcW w:w="1560" w:type="dxa"/>
            <w:tcBorders>
              <w:tl2br w:val="nil"/>
              <w:tr2bl w:val="nil"/>
            </w:tcBorders>
            <w:vAlign w:val="center"/>
          </w:tcPr>
          <w:p w14:paraId="7C50E9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排放口(编号、名称)/污染源</w:t>
            </w:r>
          </w:p>
        </w:tc>
        <w:tc>
          <w:tcPr>
            <w:tcW w:w="1215" w:type="dxa"/>
            <w:tcBorders>
              <w:tl2br w:val="nil"/>
              <w:tr2bl w:val="nil"/>
            </w:tcBorders>
            <w:vAlign w:val="center"/>
          </w:tcPr>
          <w:p w14:paraId="68F4B2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污染物</w:t>
            </w:r>
          </w:p>
          <w:p w14:paraId="7D92FF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项目</w:t>
            </w:r>
          </w:p>
        </w:tc>
        <w:tc>
          <w:tcPr>
            <w:tcW w:w="2160" w:type="dxa"/>
            <w:tcBorders>
              <w:tl2br w:val="nil"/>
              <w:tr2bl w:val="nil"/>
            </w:tcBorders>
            <w:vAlign w:val="center"/>
          </w:tcPr>
          <w:p w14:paraId="143E40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环境保护措施</w:t>
            </w:r>
          </w:p>
        </w:tc>
        <w:tc>
          <w:tcPr>
            <w:tcW w:w="2884" w:type="dxa"/>
            <w:tcBorders>
              <w:tl2br w:val="nil"/>
              <w:tr2bl w:val="nil"/>
            </w:tcBorders>
            <w:vAlign w:val="center"/>
          </w:tcPr>
          <w:p w14:paraId="2D1AFA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执行标准</w:t>
            </w:r>
          </w:p>
        </w:tc>
      </w:tr>
      <w:tr w14:paraId="49F891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73" w:hRule="atLeast"/>
          <w:jc w:val="center"/>
        </w:trPr>
        <w:tc>
          <w:tcPr>
            <w:tcW w:w="1354" w:type="dxa"/>
            <w:tcBorders>
              <w:tl2br w:val="nil"/>
              <w:tr2bl w:val="nil"/>
            </w:tcBorders>
            <w:vAlign w:val="center"/>
          </w:tcPr>
          <w:p w14:paraId="1DAE10A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大气环境</w:t>
            </w:r>
          </w:p>
        </w:tc>
        <w:tc>
          <w:tcPr>
            <w:tcW w:w="1560" w:type="dxa"/>
            <w:tcBorders>
              <w:tl2br w:val="nil"/>
              <w:tr2bl w:val="nil"/>
            </w:tcBorders>
            <w:vAlign w:val="center"/>
          </w:tcPr>
          <w:p w14:paraId="4432FE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themeColor="text1"/>
                <w:sz w:val="24"/>
                <w:szCs w:val="24"/>
                <w:highlight w:val="none"/>
                <w:lang w:val="en-US" w:eastAsia="zh-CN"/>
                <w14:textFill>
                  <w14:solidFill>
                    <w14:schemeClr w14:val="tx1"/>
                  </w14:solidFill>
                </w14:textFill>
              </w:rPr>
            </w:pPr>
            <w:r>
              <w:rPr>
                <w:rFonts w:hint="eastAsia" w:cs="Times New Roman"/>
                <w:b w:val="0"/>
                <w:bCs w:val="0"/>
                <w:color w:val="000000" w:themeColor="text1"/>
                <w:sz w:val="24"/>
                <w:szCs w:val="24"/>
                <w:highlight w:val="none"/>
                <w:lang w:val="en-US" w:eastAsia="zh-CN"/>
                <w14:textFill>
                  <w14:solidFill>
                    <w14:schemeClr w14:val="tx1"/>
                  </w14:solidFill>
                </w14:textFill>
              </w:rPr>
              <w:t>厂界无组织</w:t>
            </w:r>
          </w:p>
        </w:tc>
        <w:tc>
          <w:tcPr>
            <w:tcW w:w="1215" w:type="dxa"/>
            <w:tcBorders>
              <w:bottom w:val="single" w:color="auto" w:sz="4" w:space="0"/>
              <w:tl2br w:val="nil"/>
              <w:tr2bl w:val="nil"/>
            </w:tcBorders>
            <w:vAlign w:val="center"/>
          </w:tcPr>
          <w:p w14:paraId="7BC1F5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氨、硫化氢、臭气浓度、甲烷、氯气</w:t>
            </w:r>
          </w:p>
        </w:tc>
        <w:tc>
          <w:tcPr>
            <w:tcW w:w="2160" w:type="dxa"/>
            <w:tcBorders>
              <w:tl2br w:val="nil"/>
              <w:tr2bl w:val="nil"/>
            </w:tcBorders>
            <w:vAlign w:val="center"/>
          </w:tcPr>
          <w:p w14:paraId="6D262F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处理构筑物加盖、</w:t>
            </w:r>
            <w:r>
              <w:rPr>
                <w:rFonts w:hint="eastAsia"/>
                <w:color w:val="000000" w:themeColor="text1"/>
                <w:highlight w:val="none"/>
                <w:lang w:val="en-US" w:eastAsia="zh-CN"/>
                <w14:textFill>
                  <w14:solidFill>
                    <w14:schemeClr w14:val="tx1"/>
                  </w14:solidFill>
                </w14:textFill>
              </w:rPr>
              <w:t>封闭</w:t>
            </w:r>
            <w:r>
              <w:rPr>
                <w:rFonts w:hint="eastAsia"/>
                <w:color w:val="000000" w:themeColor="text1"/>
                <w:highlight w:val="none"/>
                <w14:textFill>
                  <w14:solidFill>
                    <w14:schemeClr w14:val="tx1"/>
                  </w14:solidFill>
                </w14:textFill>
              </w:rPr>
              <w:t>、定期喷洒除臭剂</w:t>
            </w:r>
          </w:p>
        </w:tc>
        <w:tc>
          <w:tcPr>
            <w:tcW w:w="2884" w:type="dxa"/>
            <w:tcBorders>
              <w:bottom w:val="single" w:color="auto" w:sz="4" w:space="0"/>
              <w:tl2br w:val="nil"/>
              <w:tr2bl w:val="nil"/>
            </w:tcBorders>
            <w:vAlign w:val="center"/>
          </w:tcPr>
          <w:p w14:paraId="294492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b w:val="0"/>
                <w:bCs w:val="0"/>
                <w:color w:val="000000" w:themeColor="text1"/>
                <w:sz w:val="24"/>
                <w:szCs w:val="24"/>
                <w:highlight w:val="none"/>
                <w:vertAlign w:val="baseline"/>
                <w:lang w:val="en-US" w:eastAsia="zh-CN"/>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《医疗机构水污染物排放标准》（GB18466-2005）</w:t>
            </w:r>
            <w:r>
              <w:rPr>
                <w:rFonts w:hint="default"/>
                <w:color w:val="000000" w:themeColor="text1"/>
                <w:sz w:val="24"/>
                <w:szCs w:val="24"/>
                <w:highlight w:val="none"/>
                <w14:textFill>
                  <w14:solidFill>
                    <w14:schemeClr w14:val="tx1"/>
                  </w14:solidFill>
                </w14:textFill>
              </w:rPr>
              <w:t>中“污水处理站周边大气污染物最高允许浓度”</w:t>
            </w:r>
          </w:p>
        </w:tc>
      </w:tr>
      <w:tr w14:paraId="17BA16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vMerge w:val="restart"/>
            <w:tcBorders>
              <w:tl2br w:val="nil"/>
              <w:tr2bl w:val="nil"/>
            </w:tcBorders>
            <w:vAlign w:val="center"/>
          </w:tcPr>
          <w:p w14:paraId="300A290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地表水</w:t>
            </w:r>
          </w:p>
          <w:p w14:paraId="14149B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环境</w:t>
            </w:r>
          </w:p>
        </w:tc>
        <w:tc>
          <w:tcPr>
            <w:tcW w:w="1560" w:type="dxa"/>
            <w:tcBorders>
              <w:tl2br w:val="nil"/>
              <w:tr2bl w:val="nil"/>
            </w:tcBorders>
            <w:vAlign w:val="center"/>
          </w:tcPr>
          <w:p w14:paraId="21A937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废水总排口DW001</w:t>
            </w:r>
          </w:p>
        </w:tc>
        <w:tc>
          <w:tcPr>
            <w:tcW w:w="1215" w:type="dxa"/>
            <w:tcBorders>
              <w:tl2br w:val="nil"/>
              <w:tr2bl w:val="nil"/>
            </w:tcBorders>
            <w:vAlign w:val="center"/>
          </w:tcPr>
          <w:p w14:paraId="4F16D2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rPr>
                <w:rFonts w:hint="default"/>
                <w:b w:val="0"/>
                <w:bCs w:val="0"/>
                <w:color w:val="000000" w:themeColor="text1"/>
                <w:sz w:val="24"/>
                <w:szCs w:val="24"/>
                <w:highlight w:val="none"/>
                <w:lang w:val="en-US"/>
                <w14:textFill>
                  <w14:solidFill>
                    <w14:schemeClr w14:val="tx1"/>
                  </w14:solidFill>
                </w14:textFill>
              </w:rPr>
            </w:pPr>
            <w:r>
              <w:rPr>
                <w:rFonts w:hint="default"/>
                <w:b w:val="0"/>
                <w:bCs w:val="0"/>
                <w:color w:val="000000" w:themeColor="text1"/>
                <w:spacing w:val="-10"/>
                <w:sz w:val="24"/>
                <w:szCs w:val="24"/>
                <w:highlight w:val="none"/>
                <w:vertAlign w:val="baseline"/>
                <w:lang w:val="en-US" w:eastAsia="zh-CN"/>
                <w14:textFill>
                  <w14:solidFill>
                    <w14:schemeClr w14:val="tx1"/>
                  </w14:solidFill>
                </w14:textFill>
              </w:rPr>
              <w:t>pH</w:t>
            </w:r>
            <w:r>
              <w:rPr>
                <w:rFonts w:hint="eastAsia"/>
                <w:b w:val="0"/>
                <w:bCs w:val="0"/>
                <w:color w:val="000000" w:themeColor="text1"/>
                <w:spacing w:val="-10"/>
                <w:sz w:val="24"/>
                <w:szCs w:val="24"/>
                <w:highlight w:val="none"/>
                <w:vertAlign w:val="baseline"/>
                <w:lang w:val="en-US" w:eastAsia="zh-CN"/>
                <w14:textFill>
                  <w14:solidFill>
                    <w14:schemeClr w14:val="tx1"/>
                  </w14:solidFill>
                </w14:textFill>
              </w:rPr>
              <w:t>、</w:t>
            </w:r>
            <w:r>
              <w:rPr>
                <w:rFonts w:hint="default"/>
                <w:b w:val="0"/>
                <w:bCs w:val="0"/>
                <w:color w:val="000000" w:themeColor="text1"/>
                <w:spacing w:val="-10"/>
                <w:sz w:val="24"/>
                <w:szCs w:val="24"/>
                <w:highlight w:val="none"/>
                <w:vertAlign w:val="baseline"/>
                <w:lang w:val="en-US" w:eastAsia="zh-CN"/>
                <w14:textFill>
                  <w14:solidFill>
                    <w14:schemeClr w14:val="tx1"/>
                  </w14:solidFill>
                </w14:textFill>
              </w:rPr>
              <w:t>CODcr、BOD</w:t>
            </w:r>
            <w:r>
              <w:rPr>
                <w:rFonts w:hint="default"/>
                <w:b w:val="0"/>
                <w:bCs w:val="0"/>
                <w:color w:val="000000" w:themeColor="text1"/>
                <w:spacing w:val="-10"/>
                <w:sz w:val="24"/>
                <w:szCs w:val="24"/>
                <w:highlight w:val="none"/>
                <w:vertAlign w:val="subscript"/>
                <w:lang w:val="en-US" w:eastAsia="zh-CN"/>
                <w14:textFill>
                  <w14:solidFill>
                    <w14:schemeClr w14:val="tx1"/>
                  </w14:solidFill>
                </w14:textFill>
              </w:rPr>
              <w:t>5</w:t>
            </w:r>
            <w:r>
              <w:rPr>
                <w:rFonts w:hint="default"/>
                <w:b w:val="0"/>
                <w:bCs w:val="0"/>
                <w:color w:val="000000" w:themeColor="text1"/>
                <w:spacing w:val="-10"/>
                <w:sz w:val="24"/>
                <w:szCs w:val="24"/>
                <w:highlight w:val="none"/>
                <w:vertAlign w:val="baseline"/>
                <w:lang w:val="en-US" w:eastAsia="zh-CN"/>
                <w14:textFill>
                  <w14:solidFill>
                    <w14:schemeClr w14:val="tx1"/>
                  </w14:solidFill>
                </w14:textFill>
              </w:rPr>
              <w:t>、SS、氨氮</w:t>
            </w:r>
            <w:r>
              <w:rPr>
                <w:rFonts w:hint="eastAsia"/>
                <w:b w:val="0"/>
                <w:bCs w:val="0"/>
                <w:color w:val="000000" w:themeColor="text1"/>
                <w:spacing w:val="-10"/>
                <w:sz w:val="24"/>
                <w:szCs w:val="24"/>
                <w:highlight w:val="none"/>
                <w:vertAlign w:val="baseline"/>
                <w:lang w:val="en-US" w:eastAsia="zh-CN"/>
                <w14:textFill>
                  <w14:solidFill>
                    <w14:schemeClr w14:val="tx1"/>
                  </w14:solidFill>
                </w14:textFill>
              </w:rPr>
              <w:t>、粪大肠菌群、总余氯</w:t>
            </w:r>
          </w:p>
        </w:tc>
        <w:tc>
          <w:tcPr>
            <w:tcW w:w="2160" w:type="dxa"/>
            <w:tcBorders>
              <w:tl2br w:val="nil"/>
              <w:tr2bl w:val="nil"/>
            </w:tcBorders>
            <w:vAlign w:val="center"/>
          </w:tcPr>
          <w:p w14:paraId="165DED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项目3号楼产生的全部废水做为医疗废水经现有“化粪池+格栅+沉淀+消毒”处理后由市政污水管网排入昌平污水处理厂集中处理</w:t>
            </w:r>
          </w:p>
        </w:tc>
        <w:tc>
          <w:tcPr>
            <w:tcW w:w="2884" w:type="dxa"/>
            <w:vMerge w:val="restart"/>
            <w:tcBorders>
              <w:tl2br w:val="nil"/>
              <w:tr2bl w:val="nil"/>
            </w:tcBorders>
            <w:vAlign w:val="center"/>
          </w:tcPr>
          <w:p w14:paraId="2ABAA93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《医疗机构水污染物排放标准》（GB18466-2005）中</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表2 综合医疗机构和其他医疗机构水污染物排放限值（日均值）</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中</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预处理标准</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限值；氨氮执行北京市《水污染物综合排放标准》（DB11/307-2013）中</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表3 排入公共污水处理系统的水污染物排放限值</w:t>
            </w:r>
            <w:r>
              <w:rPr>
                <w:rFonts w:hint="eastAsia"/>
                <w:b w:val="0"/>
                <w:bCs w:val="0"/>
                <w:color w:val="000000" w:themeColor="text1"/>
                <w:sz w:val="24"/>
                <w:szCs w:val="24"/>
                <w:highlight w:val="none"/>
                <w:lang w:eastAsia="zh-CN"/>
                <w14:textFill>
                  <w14:solidFill>
                    <w14:schemeClr w14:val="tx1"/>
                  </w14:solidFill>
                </w14:textFill>
              </w:rPr>
              <w:t>”</w:t>
            </w:r>
            <w:r>
              <w:rPr>
                <w:rFonts w:hint="default"/>
                <w:b w:val="0"/>
                <w:bCs w:val="0"/>
                <w:color w:val="000000" w:themeColor="text1"/>
                <w:sz w:val="24"/>
                <w:szCs w:val="24"/>
                <w:highlight w:val="none"/>
                <w14:textFill>
                  <w14:solidFill>
                    <w14:schemeClr w14:val="tx1"/>
                  </w14:solidFill>
                </w14:textFill>
              </w:rPr>
              <w:t>中限值要求</w:t>
            </w:r>
          </w:p>
        </w:tc>
      </w:tr>
      <w:tr w14:paraId="1D6BEF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vMerge w:val="continue"/>
            <w:tcBorders>
              <w:tl2br w:val="nil"/>
              <w:tr2bl w:val="nil"/>
            </w:tcBorders>
            <w:vAlign w:val="center"/>
          </w:tcPr>
          <w:p w14:paraId="635FDF6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p>
        </w:tc>
        <w:tc>
          <w:tcPr>
            <w:tcW w:w="1560" w:type="dxa"/>
            <w:tcBorders>
              <w:tl2br w:val="nil"/>
              <w:tr2bl w:val="nil"/>
            </w:tcBorders>
            <w:shd w:val="clear" w:color="auto" w:fill="auto"/>
            <w:vAlign w:val="center"/>
          </w:tcPr>
          <w:p w14:paraId="5C619C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废水总排口DW002</w:t>
            </w:r>
          </w:p>
        </w:tc>
        <w:tc>
          <w:tcPr>
            <w:tcW w:w="1215" w:type="dxa"/>
            <w:tcBorders>
              <w:tl2br w:val="nil"/>
              <w:tr2bl w:val="nil"/>
            </w:tcBorders>
            <w:shd w:val="clear" w:color="auto" w:fill="auto"/>
            <w:vAlign w:val="center"/>
          </w:tcPr>
          <w:p w14:paraId="1FF3BF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b w:val="0"/>
                <w:bCs w:val="0"/>
                <w:color w:val="000000" w:themeColor="text1"/>
                <w:spacing w:val="-10"/>
                <w:sz w:val="24"/>
                <w:szCs w:val="24"/>
                <w:highlight w:val="none"/>
                <w:vertAlign w:val="baseline"/>
                <w:lang w:val="en-US" w:eastAsia="zh-CN"/>
                <w14:textFill>
                  <w14:solidFill>
                    <w14:schemeClr w14:val="tx1"/>
                  </w14:solidFill>
                </w14:textFill>
              </w:rPr>
              <w:t>pH</w:t>
            </w:r>
            <w:r>
              <w:rPr>
                <w:rFonts w:hint="eastAsia"/>
                <w:b w:val="0"/>
                <w:bCs w:val="0"/>
                <w:color w:val="000000" w:themeColor="text1"/>
                <w:spacing w:val="-10"/>
                <w:sz w:val="24"/>
                <w:szCs w:val="24"/>
                <w:highlight w:val="none"/>
                <w:vertAlign w:val="baseline"/>
                <w:lang w:val="en-US" w:eastAsia="zh-CN"/>
                <w14:textFill>
                  <w14:solidFill>
                    <w14:schemeClr w14:val="tx1"/>
                  </w14:solidFill>
                </w14:textFill>
              </w:rPr>
              <w:t>、</w:t>
            </w:r>
            <w:r>
              <w:rPr>
                <w:rFonts w:hint="default"/>
                <w:b w:val="0"/>
                <w:bCs w:val="0"/>
                <w:color w:val="000000" w:themeColor="text1"/>
                <w:spacing w:val="-10"/>
                <w:sz w:val="24"/>
                <w:szCs w:val="24"/>
                <w:highlight w:val="none"/>
                <w:vertAlign w:val="baseline"/>
                <w:lang w:val="en-US" w:eastAsia="zh-CN"/>
                <w14:textFill>
                  <w14:solidFill>
                    <w14:schemeClr w14:val="tx1"/>
                  </w14:solidFill>
                </w14:textFill>
              </w:rPr>
              <w:t>CODcr、BOD</w:t>
            </w:r>
            <w:r>
              <w:rPr>
                <w:rFonts w:hint="default"/>
                <w:b w:val="0"/>
                <w:bCs w:val="0"/>
                <w:color w:val="000000" w:themeColor="text1"/>
                <w:spacing w:val="-10"/>
                <w:sz w:val="24"/>
                <w:szCs w:val="24"/>
                <w:highlight w:val="none"/>
                <w:vertAlign w:val="subscript"/>
                <w:lang w:val="en-US" w:eastAsia="zh-CN"/>
                <w14:textFill>
                  <w14:solidFill>
                    <w14:schemeClr w14:val="tx1"/>
                  </w14:solidFill>
                </w14:textFill>
              </w:rPr>
              <w:t>5</w:t>
            </w:r>
            <w:r>
              <w:rPr>
                <w:rFonts w:hint="default"/>
                <w:b w:val="0"/>
                <w:bCs w:val="0"/>
                <w:color w:val="000000" w:themeColor="text1"/>
                <w:spacing w:val="-10"/>
                <w:sz w:val="24"/>
                <w:szCs w:val="24"/>
                <w:highlight w:val="none"/>
                <w:vertAlign w:val="baseline"/>
                <w:lang w:val="en-US" w:eastAsia="zh-CN"/>
                <w14:textFill>
                  <w14:solidFill>
                    <w14:schemeClr w14:val="tx1"/>
                  </w14:solidFill>
                </w14:textFill>
              </w:rPr>
              <w:t>、SS、氨氮</w:t>
            </w:r>
            <w:r>
              <w:rPr>
                <w:rFonts w:hint="eastAsia"/>
                <w:b w:val="0"/>
                <w:bCs w:val="0"/>
                <w:color w:val="000000" w:themeColor="text1"/>
                <w:spacing w:val="-10"/>
                <w:sz w:val="24"/>
                <w:szCs w:val="24"/>
                <w:highlight w:val="none"/>
                <w:vertAlign w:val="baseline"/>
                <w:lang w:val="en-US" w:eastAsia="zh-CN"/>
                <w14:textFill>
                  <w14:solidFill>
                    <w14:schemeClr w14:val="tx1"/>
                  </w14:solidFill>
                </w14:textFill>
              </w:rPr>
              <w:t>、粪大肠菌群、总余氯</w:t>
            </w:r>
          </w:p>
        </w:tc>
        <w:tc>
          <w:tcPr>
            <w:tcW w:w="2160" w:type="dxa"/>
            <w:tcBorders>
              <w:tl2br w:val="nil"/>
              <w:tr2bl w:val="nil"/>
            </w:tcBorders>
            <w:shd w:val="clear" w:color="auto" w:fill="auto"/>
            <w:vAlign w:val="center"/>
          </w:tcPr>
          <w:p w14:paraId="233A44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项目9号楼产生的全部废水做为医疗废水经新建“过滤+消毒”处理后由市政污水管网排入昌平污水处理厂集中处理</w:t>
            </w:r>
          </w:p>
        </w:tc>
        <w:tc>
          <w:tcPr>
            <w:tcW w:w="2884" w:type="dxa"/>
            <w:vMerge w:val="continue"/>
            <w:tcBorders>
              <w:tl2br w:val="nil"/>
              <w:tr2bl w:val="nil"/>
            </w:tcBorders>
            <w:shd w:val="clear" w:color="auto" w:fill="auto"/>
            <w:vAlign w:val="center"/>
          </w:tcPr>
          <w:p w14:paraId="5812A7F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p>
        </w:tc>
      </w:tr>
      <w:tr w14:paraId="6B623D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554B85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声环境</w:t>
            </w:r>
          </w:p>
        </w:tc>
        <w:tc>
          <w:tcPr>
            <w:tcW w:w="1560" w:type="dxa"/>
            <w:tcBorders>
              <w:tl2br w:val="nil"/>
              <w:tr2bl w:val="nil"/>
            </w:tcBorders>
            <w:vAlign w:val="center"/>
          </w:tcPr>
          <w:p w14:paraId="5D551A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设备</w:t>
            </w:r>
          </w:p>
        </w:tc>
        <w:tc>
          <w:tcPr>
            <w:tcW w:w="1215" w:type="dxa"/>
            <w:tcBorders>
              <w:tl2br w:val="nil"/>
              <w:tr2bl w:val="nil"/>
            </w:tcBorders>
            <w:vAlign w:val="center"/>
          </w:tcPr>
          <w:p w14:paraId="741EB6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设备噪声</w:t>
            </w:r>
          </w:p>
        </w:tc>
        <w:tc>
          <w:tcPr>
            <w:tcW w:w="2160" w:type="dxa"/>
            <w:tcBorders>
              <w:tl2br w:val="nil"/>
              <w:tr2bl w:val="nil"/>
            </w:tcBorders>
            <w:vAlign w:val="center"/>
          </w:tcPr>
          <w:p w14:paraId="556CDE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lang w:val="en-US"/>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合理布局</w:t>
            </w:r>
            <w:r>
              <w:rPr>
                <w:rFonts w:hint="eastAsia"/>
                <w:b w:val="0"/>
                <w:bCs w:val="0"/>
                <w:color w:val="000000" w:themeColor="text1"/>
                <w:sz w:val="24"/>
                <w:szCs w:val="24"/>
                <w:highlight w:val="none"/>
                <w:lang w:eastAsia="zh-CN"/>
                <w14:textFill>
                  <w14:solidFill>
                    <w14:schemeClr w14:val="tx1"/>
                  </w14:solidFill>
                </w14:textFill>
              </w:rPr>
              <w:t>、</w:t>
            </w:r>
            <w:r>
              <w:rPr>
                <w:rFonts w:hint="eastAsia"/>
                <w:b w:val="0"/>
                <w:bCs w:val="0"/>
                <w:color w:val="000000" w:themeColor="text1"/>
                <w:sz w:val="24"/>
                <w:szCs w:val="24"/>
                <w:highlight w:val="none"/>
                <w:lang w:val="en-US" w:eastAsia="zh-CN"/>
                <w14:textFill>
                  <w14:solidFill>
                    <w14:schemeClr w14:val="tx1"/>
                  </w14:solidFill>
                </w14:textFill>
              </w:rPr>
              <w:t>选用低噪声设备、基础减振等</w:t>
            </w:r>
          </w:p>
        </w:tc>
        <w:tc>
          <w:tcPr>
            <w:tcW w:w="2884" w:type="dxa"/>
            <w:tcBorders>
              <w:tl2br w:val="nil"/>
              <w:tr2bl w:val="nil"/>
            </w:tcBorders>
            <w:vAlign w:val="center"/>
          </w:tcPr>
          <w:p w14:paraId="185512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《工业企业厂界噪声排放标准》（GB12348-2008）相应的</w:t>
            </w:r>
            <w:r>
              <w:rPr>
                <w:rFonts w:hint="eastAsia"/>
                <w:b w:val="0"/>
                <w:bCs w:val="0"/>
                <w:color w:val="000000" w:themeColor="text1"/>
                <w:sz w:val="24"/>
                <w:szCs w:val="24"/>
                <w:highlight w:val="none"/>
                <w:lang w:val="en-US" w:eastAsia="zh-CN"/>
                <w14:textFill>
                  <w14:solidFill>
                    <w14:schemeClr w14:val="tx1"/>
                  </w14:solidFill>
                </w14:textFill>
              </w:rPr>
              <w:t>1</w:t>
            </w:r>
            <w:r>
              <w:rPr>
                <w:rFonts w:hint="default"/>
                <w:b w:val="0"/>
                <w:bCs w:val="0"/>
                <w:color w:val="000000" w:themeColor="text1"/>
                <w:sz w:val="24"/>
                <w:szCs w:val="24"/>
                <w:highlight w:val="none"/>
                <w14:textFill>
                  <w14:solidFill>
                    <w14:schemeClr w14:val="tx1"/>
                  </w14:solidFill>
                </w14:textFill>
              </w:rPr>
              <w:t>类</w:t>
            </w:r>
            <w:r>
              <w:rPr>
                <w:rFonts w:hint="eastAsia"/>
                <w:b w:val="0"/>
                <w:bCs w:val="0"/>
                <w:color w:val="000000" w:themeColor="text1"/>
                <w:sz w:val="24"/>
                <w:szCs w:val="24"/>
                <w:highlight w:val="none"/>
                <w:lang w:eastAsia="zh-CN"/>
                <w14:textFill>
                  <w14:solidFill>
                    <w14:schemeClr w14:val="tx1"/>
                  </w14:solidFill>
                </w14:textFill>
              </w:rPr>
              <w:t>、</w:t>
            </w:r>
            <w:r>
              <w:rPr>
                <w:rFonts w:hint="eastAsia"/>
                <w:b w:val="0"/>
                <w:bCs w:val="0"/>
                <w:color w:val="000000" w:themeColor="text1"/>
                <w:sz w:val="24"/>
                <w:szCs w:val="24"/>
                <w:highlight w:val="none"/>
                <w:lang w:val="en-US" w:eastAsia="zh-CN"/>
                <w14:textFill>
                  <w14:solidFill>
                    <w14:schemeClr w14:val="tx1"/>
                  </w14:solidFill>
                </w14:textFill>
              </w:rPr>
              <w:t>4a类</w:t>
            </w:r>
            <w:r>
              <w:rPr>
                <w:rFonts w:hint="default"/>
                <w:b w:val="0"/>
                <w:bCs w:val="0"/>
                <w:color w:val="000000" w:themeColor="text1"/>
                <w:sz w:val="24"/>
                <w:szCs w:val="24"/>
                <w:highlight w:val="none"/>
                <w14:textFill>
                  <w14:solidFill>
                    <w14:schemeClr w14:val="tx1"/>
                  </w14:solidFill>
                </w14:textFill>
              </w:rPr>
              <w:t>标准限值</w:t>
            </w:r>
          </w:p>
        </w:tc>
      </w:tr>
      <w:tr w14:paraId="5EA4BFB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2DDC16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电磁辐射</w:t>
            </w:r>
          </w:p>
        </w:tc>
        <w:tc>
          <w:tcPr>
            <w:tcW w:w="1560" w:type="dxa"/>
            <w:tcBorders>
              <w:tl2br w:val="nil"/>
              <w:tr2bl w:val="nil"/>
            </w:tcBorders>
            <w:vAlign w:val="center"/>
          </w:tcPr>
          <w:p w14:paraId="0CA5738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w:t>
            </w:r>
          </w:p>
        </w:tc>
        <w:tc>
          <w:tcPr>
            <w:tcW w:w="1215" w:type="dxa"/>
            <w:tcBorders>
              <w:tl2br w:val="nil"/>
              <w:tr2bl w:val="nil"/>
            </w:tcBorders>
            <w:vAlign w:val="center"/>
          </w:tcPr>
          <w:p w14:paraId="517D782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w:t>
            </w:r>
          </w:p>
        </w:tc>
        <w:tc>
          <w:tcPr>
            <w:tcW w:w="2160" w:type="dxa"/>
            <w:tcBorders>
              <w:tl2br w:val="nil"/>
              <w:tr2bl w:val="nil"/>
            </w:tcBorders>
            <w:vAlign w:val="center"/>
          </w:tcPr>
          <w:p w14:paraId="2FE6F5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w:t>
            </w:r>
          </w:p>
        </w:tc>
        <w:tc>
          <w:tcPr>
            <w:tcW w:w="2884" w:type="dxa"/>
            <w:tcBorders>
              <w:tl2br w:val="nil"/>
              <w:tr2bl w:val="nil"/>
            </w:tcBorders>
            <w:vAlign w:val="center"/>
          </w:tcPr>
          <w:p w14:paraId="7B2304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w:t>
            </w:r>
          </w:p>
        </w:tc>
      </w:tr>
      <w:tr w14:paraId="5443C2A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536D6D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固体废物</w:t>
            </w:r>
          </w:p>
        </w:tc>
        <w:tc>
          <w:tcPr>
            <w:tcW w:w="7819" w:type="dxa"/>
            <w:gridSpan w:val="4"/>
            <w:tcBorders>
              <w:tl2br w:val="nil"/>
              <w:tr2bl w:val="nil"/>
            </w:tcBorders>
            <w:vAlign w:val="center"/>
          </w:tcPr>
          <w:p w14:paraId="39AA3B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default" w:eastAsia="宋体"/>
                <w:b w:val="0"/>
                <w:bCs w:val="0"/>
                <w:color w:val="000000" w:themeColor="text1"/>
                <w:sz w:val="24"/>
                <w:szCs w:val="24"/>
                <w:highlight w:val="none"/>
                <w:lang w:val="en-US" w:eastAsia="zh-CN"/>
                <w14:textFill>
                  <w14:solidFill>
                    <w14:schemeClr w14:val="tx1"/>
                  </w14:solidFill>
                </w14:textFill>
              </w:rPr>
              <w:t>生活垃圾分类收集，由专人清运至环卫部门指定场所。</w:t>
            </w:r>
          </w:p>
          <w:p w14:paraId="121F46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一般固体废物：①无害废包装材料交由物资部门回收利用，日产日清；②未被污染的一次性输液瓶（袋）日产日清，移交回收企业回收，不在医院内暂存；</w:t>
            </w:r>
          </w:p>
          <w:p w14:paraId="38253B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医疗废物、其他危险废物均委托有资质单位定期清运处置。项目对固体废物的管理及处置应符合《中华人民共和国固体废物污染环境防治法》（2020年4月29日修订）、《北京市生活垃圾管理条例》（北京市人民代表大会常务委员会公告，（十五届）第39号，2020年9月25日修正）、《危险废物贮存污染控制标准》（GB18597-2023）、《医疗废物管理条例》（中华人民共和国国务院令第380号令）等规定。</w:t>
            </w:r>
          </w:p>
        </w:tc>
      </w:tr>
      <w:tr w14:paraId="47909F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160552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土壤及地下水污染防治措施</w:t>
            </w:r>
          </w:p>
        </w:tc>
        <w:tc>
          <w:tcPr>
            <w:tcW w:w="7819" w:type="dxa"/>
            <w:gridSpan w:val="4"/>
            <w:tcBorders>
              <w:tl2br w:val="nil"/>
              <w:tr2bl w:val="nil"/>
            </w:tcBorders>
            <w:vAlign w:val="center"/>
          </w:tcPr>
          <w:p w14:paraId="58229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项目医疗废物暂存间地面涂2mm厚的高密度聚乙烯，以防止渗漏和腐蚀，确保危废暂存间地面渗透系数&lt;10</w:t>
            </w:r>
            <w:r>
              <w:rPr>
                <w:rFonts w:hint="default"/>
                <w:b w:val="0"/>
                <w:bCs w:val="0"/>
                <w:color w:val="000000" w:themeColor="text1"/>
                <w:sz w:val="24"/>
                <w:szCs w:val="24"/>
                <w:highlight w:val="none"/>
                <w:vertAlign w:val="superscript"/>
                <w14:textFill>
                  <w14:solidFill>
                    <w14:schemeClr w14:val="tx1"/>
                  </w14:solidFill>
                </w14:textFill>
              </w:rPr>
              <w:t>-10</w:t>
            </w:r>
            <w:r>
              <w:rPr>
                <w:rFonts w:hint="default"/>
                <w:b w:val="0"/>
                <w:bCs w:val="0"/>
                <w:color w:val="000000" w:themeColor="text1"/>
                <w:sz w:val="24"/>
                <w:szCs w:val="24"/>
                <w:highlight w:val="none"/>
                <w14:textFill>
                  <w14:solidFill>
                    <w14:schemeClr w14:val="tx1"/>
                  </w14:solidFill>
                </w14:textFill>
              </w:rPr>
              <w:t>cm/s；项目化粪池、污水处理设施采取地埋式，化粪池采取符合标准的防腐防渗措施，污水处理设施放置于混凝土结构池体内（池体采取完善的防腐防渗措施），排水管道等均具有完善的防渗措施，可避免项目废水渗漏污染地下水及土壤环境，不需开展地下水、土壤环境质量现状调查。</w:t>
            </w:r>
          </w:p>
        </w:tc>
      </w:tr>
      <w:tr w14:paraId="756B2F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10281D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z w:val="24"/>
                <w:szCs w:val="24"/>
                <w:highlight w:val="none"/>
                <w14:textFill>
                  <w14:solidFill>
                    <w14:schemeClr w14:val="tx1"/>
                  </w14:solidFill>
                </w14:textFill>
              </w:rPr>
            </w:pPr>
            <w:r>
              <w:rPr>
                <w:rFonts w:hint="default"/>
                <w:b w:val="0"/>
                <w:bCs w:val="0"/>
                <w:color w:val="000000" w:themeColor="text1"/>
                <w:sz w:val="24"/>
                <w:szCs w:val="24"/>
                <w:highlight w:val="none"/>
                <w14:textFill>
                  <w14:solidFill>
                    <w14:schemeClr w14:val="tx1"/>
                  </w14:solidFill>
                </w14:textFill>
              </w:rPr>
              <w:t>生态保护措施</w:t>
            </w:r>
          </w:p>
        </w:tc>
        <w:tc>
          <w:tcPr>
            <w:tcW w:w="7819" w:type="dxa"/>
            <w:gridSpan w:val="4"/>
            <w:tcBorders>
              <w:tl2br w:val="nil"/>
              <w:tr2bl w:val="nil"/>
            </w:tcBorders>
            <w:vAlign w:val="center"/>
          </w:tcPr>
          <w:p w14:paraId="5B6176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jc w:val="both"/>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无</w:t>
            </w:r>
          </w:p>
        </w:tc>
      </w:tr>
      <w:tr w14:paraId="33755B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709879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8"/>
                <w:sz w:val="24"/>
                <w:szCs w:val="24"/>
                <w:highlight w:val="none"/>
                <w14:textFill>
                  <w14:solidFill>
                    <w14:schemeClr w14:val="tx1"/>
                  </w14:solidFill>
                </w14:textFill>
              </w:rPr>
            </w:pPr>
            <w:r>
              <w:rPr>
                <w:rFonts w:hint="default"/>
                <w:b w:val="0"/>
                <w:bCs w:val="0"/>
                <w:color w:val="000000" w:themeColor="text1"/>
                <w:spacing w:val="-8"/>
                <w:sz w:val="24"/>
                <w:szCs w:val="24"/>
                <w:highlight w:val="none"/>
                <w14:textFill>
                  <w14:solidFill>
                    <w14:schemeClr w14:val="tx1"/>
                  </w14:solidFill>
                </w14:textFill>
              </w:rPr>
              <w:t>环境风险</w:t>
            </w:r>
          </w:p>
          <w:p w14:paraId="790474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8"/>
                <w:sz w:val="24"/>
                <w:szCs w:val="24"/>
                <w:highlight w:val="none"/>
                <w14:textFill>
                  <w14:solidFill>
                    <w14:schemeClr w14:val="tx1"/>
                  </w14:solidFill>
                </w14:textFill>
              </w:rPr>
            </w:pPr>
            <w:r>
              <w:rPr>
                <w:rFonts w:hint="default"/>
                <w:b w:val="0"/>
                <w:bCs w:val="0"/>
                <w:color w:val="000000" w:themeColor="text1"/>
                <w:spacing w:val="-8"/>
                <w:sz w:val="24"/>
                <w:szCs w:val="24"/>
                <w:highlight w:val="none"/>
                <w14:textFill>
                  <w14:solidFill>
                    <w14:schemeClr w14:val="tx1"/>
                  </w14:solidFill>
                </w14:textFill>
              </w:rPr>
              <w:t>防范措施</w:t>
            </w:r>
          </w:p>
        </w:tc>
        <w:tc>
          <w:tcPr>
            <w:tcW w:w="7819" w:type="dxa"/>
            <w:gridSpan w:val="4"/>
            <w:tcBorders>
              <w:tl2br w:val="nil"/>
              <w:tr2bl w:val="nil"/>
            </w:tcBorders>
            <w:vAlign w:val="center"/>
          </w:tcPr>
          <w:p w14:paraId="7CA78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b w:val="0"/>
                <w:bCs w:val="0"/>
                <w:color w:val="000000" w:themeColor="text1"/>
                <w:sz w:val="24"/>
                <w:szCs w:val="24"/>
                <w:highlight w:val="none"/>
                <w:lang w:eastAsia="zh-CN"/>
                <w14:textFill>
                  <w14:solidFill>
                    <w14:schemeClr w14:val="tx1"/>
                  </w14:solidFill>
                </w14:textFill>
              </w:rPr>
            </w:pPr>
            <w:r>
              <w:rPr>
                <w:rFonts w:hint="eastAsia"/>
                <w:b w:val="0"/>
                <w:bCs w:val="0"/>
                <w:color w:val="000000" w:themeColor="text1"/>
                <w:sz w:val="24"/>
                <w:szCs w:val="24"/>
                <w:highlight w:val="none"/>
                <w:lang w:eastAsia="zh-CN"/>
                <w14:textFill>
                  <w14:solidFill>
                    <w14:schemeClr w14:val="tx1"/>
                  </w14:solidFill>
                </w14:textFill>
              </w:rPr>
              <w:t>树立环境风险意识；实行全面环境安全管理制度；规范并强化化学品在储存、使用过程中的环境风险预防措施；加强巡回检查，减少项目危险物质泄漏对环境的污染；加强酒精等存放及使用管理档案管理制度；危险废物应严格按照《危险废物贮存污染控制标准》（GB18597-2023）、《危险废物污染防治技术政策》（环发[2001]199号）、《北京市危险废物污染环境防治条例》（2020年9月1日起施行）、《危险废物转移管理办法》《医疗废物管理条例》等相关规定进行规范操作和管理。</w:t>
            </w:r>
          </w:p>
        </w:tc>
      </w:tr>
      <w:tr w14:paraId="1B40AF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jc w:val="center"/>
        </w:trPr>
        <w:tc>
          <w:tcPr>
            <w:tcW w:w="1354" w:type="dxa"/>
            <w:tcBorders>
              <w:tl2br w:val="nil"/>
              <w:tr2bl w:val="nil"/>
            </w:tcBorders>
            <w:vAlign w:val="center"/>
          </w:tcPr>
          <w:p w14:paraId="639A6E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8"/>
                <w:sz w:val="24"/>
                <w:szCs w:val="24"/>
                <w:highlight w:val="none"/>
                <w14:textFill>
                  <w14:solidFill>
                    <w14:schemeClr w14:val="tx1"/>
                  </w14:solidFill>
                </w14:textFill>
              </w:rPr>
            </w:pPr>
            <w:r>
              <w:rPr>
                <w:rFonts w:hint="default"/>
                <w:b w:val="0"/>
                <w:bCs w:val="0"/>
                <w:color w:val="000000" w:themeColor="text1"/>
                <w:spacing w:val="-8"/>
                <w:sz w:val="24"/>
                <w:szCs w:val="24"/>
                <w:highlight w:val="none"/>
                <w14:textFill>
                  <w14:solidFill>
                    <w14:schemeClr w14:val="tx1"/>
                  </w14:solidFill>
                </w14:textFill>
              </w:rPr>
              <w:t>其他环境</w:t>
            </w:r>
          </w:p>
          <w:p w14:paraId="42F0F1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val="0"/>
                <w:bCs w:val="0"/>
                <w:color w:val="000000" w:themeColor="text1"/>
                <w:spacing w:val="-8"/>
                <w:sz w:val="24"/>
                <w:szCs w:val="24"/>
                <w:highlight w:val="none"/>
                <w14:textFill>
                  <w14:solidFill>
                    <w14:schemeClr w14:val="tx1"/>
                  </w14:solidFill>
                </w14:textFill>
              </w:rPr>
            </w:pPr>
            <w:r>
              <w:rPr>
                <w:rFonts w:hint="default"/>
                <w:b w:val="0"/>
                <w:bCs w:val="0"/>
                <w:color w:val="000000" w:themeColor="text1"/>
                <w:spacing w:val="-8"/>
                <w:sz w:val="24"/>
                <w:szCs w:val="24"/>
                <w:highlight w:val="none"/>
                <w14:textFill>
                  <w14:solidFill>
                    <w14:schemeClr w14:val="tx1"/>
                  </w14:solidFill>
                </w14:textFill>
              </w:rPr>
              <w:t>管理要求</w:t>
            </w:r>
          </w:p>
        </w:tc>
        <w:tc>
          <w:tcPr>
            <w:tcW w:w="7819" w:type="dxa"/>
            <w:gridSpan w:val="4"/>
            <w:tcBorders>
              <w:tl2br w:val="nil"/>
              <w:tr2bl w:val="nil"/>
            </w:tcBorders>
            <w:vAlign w:val="center"/>
          </w:tcPr>
          <w:p w14:paraId="4FA01C0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1、环境管理要求</w:t>
            </w:r>
          </w:p>
          <w:p w14:paraId="5299CE5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运营期间，医院应配置专职管理人员，负责医院的环境管理工作，主要负责管理、维护环保设施，确保其正常运行和达标排放，并做好日常环境监测工作，及时掌握各项环保设施的运转情况、环境动态。</w:t>
            </w:r>
          </w:p>
          <w:p w14:paraId="2FA2754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2、环境管理工作</w:t>
            </w:r>
          </w:p>
          <w:p w14:paraId="6DD5605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（1）贯彻执行国家及北京市的各项环境保护政策、法规标准，制定医院的环境管理办法；</w:t>
            </w:r>
          </w:p>
          <w:p w14:paraId="42645D5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（2）建立健全本医院的环境管理制度并实施检查和监督工作；</w:t>
            </w:r>
          </w:p>
          <w:p w14:paraId="62D476C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（3）完成规定的监测任务，监督各排放口的污染物达标情况，保证监测质量和数据的代表性、准确性，对监测指标异常的污染物及新发现的污染物要及时上报有关部门；</w:t>
            </w:r>
          </w:p>
          <w:p w14:paraId="472560C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（4）定期对本项目涉及的各环保设施运行情况进行全面检查，保证设施正常运行，确保无重大环境污染、泄漏事故；</w:t>
            </w:r>
          </w:p>
          <w:p w14:paraId="3DDA9F8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（5）建立环境档案和管理方案，实行环境保护工作动态管理。</w:t>
            </w:r>
          </w:p>
          <w:p w14:paraId="1470E4B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default" w:eastAsia="宋体"/>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3、排污口标准化管理</w:t>
            </w:r>
          </w:p>
          <w:p w14:paraId="2F37802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根据《关于开展排污口规范化整治工作的通知》（环发[1999]24号）（2006年修订）、北京市《固定污染源监测点位设置技术规范》（DB11/1195-2015）规定，对排污口进行规范化设置。</w:t>
            </w:r>
          </w:p>
          <w:tbl>
            <w:tblPr>
              <w:tblStyle w:val="1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2929"/>
              <w:gridCol w:w="2929"/>
            </w:tblGrid>
            <w:tr w14:paraId="4C3A6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682AF27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名称</w:t>
                  </w:r>
                </w:p>
              </w:tc>
              <w:tc>
                <w:tcPr>
                  <w:tcW w:w="1926" w:type="pct"/>
                  <w:tcBorders>
                    <w:tl2br w:val="nil"/>
                    <w:tr2bl w:val="nil"/>
                  </w:tcBorders>
                  <w:vAlign w:val="center"/>
                </w:tcPr>
                <w:p w14:paraId="67C0010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提示符号</w:t>
                  </w:r>
                </w:p>
              </w:tc>
              <w:tc>
                <w:tcPr>
                  <w:tcW w:w="1926" w:type="pct"/>
                  <w:tcBorders>
                    <w:tl2br w:val="nil"/>
                    <w:tr2bl w:val="nil"/>
                  </w:tcBorders>
                  <w:vAlign w:val="center"/>
                </w:tcPr>
                <w:p w14:paraId="224888EC">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警告图形符号</w:t>
                  </w:r>
                </w:p>
              </w:tc>
            </w:tr>
            <w:tr w14:paraId="657F28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4043AF42">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废水排放口</w:t>
                  </w:r>
                </w:p>
              </w:tc>
              <w:tc>
                <w:tcPr>
                  <w:tcW w:w="1926" w:type="pct"/>
                  <w:tcBorders>
                    <w:tl2br w:val="nil"/>
                    <w:tr2bl w:val="nil"/>
                  </w:tcBorders>
                  <w:vAlign w:val="center"/>
                </w:tcPr>
                <w:p w14:paraId="166D98C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714375" cy="723900"/>
                        <wp:effectExtent l="0" t="0" r="1905" b="762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5"/>
                                <a:stretch>
                                  <a:fillRect/>
                                </a:stretch>
                              </pic:blipFill>
                              <pic:spPr>
                                <a:xfrm>
                                  <a:off x="0" y="0"/>
                                  <a:ext cx="714375" cy="723900"/>
                                </a:xfrm>
                                <a:prstGeom prst="rect">
                                  <a:avLst/>
                                </a:prstGeom>
                                <a:noFill/>
                                <a:ln>
                                  <a:noFill/>
                                </a:ln>
                              </pic:spPr>
                            </pic:pic>
                          </a:graphicData>
                        </a:graphic>
                      </wp:inline>
                    </w:drawing>
                  </w:r>
                </w:p>
              </w:tc>
              <w:tc>
                <w:tcPr>
                  <w:tcW w:w="1926" w:type="pct"/>
                  <w:tcBorders>
                    <w:tl2br w:val="nil"/>
                    <w:tr2bl w:val="nil"/>
                  </w:tcBorders>
                  <w:vAlign w:val="center"/>
                </w:tcPr>
                <w:p w14:paraId="6454485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733425" cy="771525"/>
                        <wp:effectExtent l="0" t="0" r="13335" b="571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26"/>
                                <a:stretch>
                                  <a:fillRect/>
                                </a:stretch>
                              </pic:blipFill>
                              <pic:spPr>
                                <a:xfrm>
                                  <a:off x="0" y="0"/>
                                  <a:ext cx="733425" cy="771525"/>
                                </a:xfrm>
                                <a:prstGeom prst="rect">
                                  <a:avLst/>
                                </a:prstGeom>
                                <a:noFill/>
                                <a:ln>
                                  <a:noFill/>
                                </a:ln>
                              </pic:spPr>
                            </pic:pic>
                          </a:graphicData>
                        </a:graphic>
                      </wp:inline>
                    </w:drawing>
                  </w:r>
                </w:p>
              </w:tc>
            </w:tr>
            <w:tr w14:paraId="11D37E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68BCBBF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噪声排放源</w:t>
                  </w:r>
                </w:p>
              </w:tc>
              <w:tc>
                <w:tcPr>
                  <w:tcW w:w="1926" w:type="pct"/>
                  <w:tcBorders>
                    <w:tl2br w:val="nil"/>
                    <w:tr2bl w:val="nil"/>
                  </w:tcBorders>
                  <w:vAlign w:val="center"/>
                </w:tcPr>
                <w:p w14:paraId="6B89D8D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676275" cy="714375"/>
                        <wp:effectExtent l="0" t="0" r="9525" b="190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27"/>
                                <a:stretch>
                                  <a:fillRect/>
                                </a:stretch>
                              </pic:blipFill>
                              <pic:spPr>
                                <a:xfrm>
                                  <a:off x="0" y="0"/>
                                  <a:ext cx="676275" cy="714375"/>
                                </a:xfrm>
                                <a:prstGeom prst="rect">
                                  <a:avLst/>
                                </a:prstGeom>
                                <a:noFill/>
                                <a:ln>
                                  <a:noFill/>
                                </a:ln>
                              </pic:spPr>
                            </pic:pic>
                          </a:graphicData>
                        </a:graphic>
                      </wp:inline>
                    </w:drawing>
                  </w:r>
                </w:p>
              </w:tc>
              <w:tc>
                <w:tcPr>
                  <w:tcW w:w="1926" w:type="pct"/>
                  <w:tcBorders>
                    <w:tl2br w:val="nil"/>
                    <w:tr2bl w:val="nil"/>
                  </w:tcBorders>
                  <w:vAlign w:val="center"/>
                </w:tcPr>
                <w:p w14:paraId="0FF116BE">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752475" cy="695325"/>
                        <wp:effectExtent l="0" t="0" r="9525" b="5715"/>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28"/>
                                <a:stretch>
                                  <a:fillRect/>
                                </a:stretch>
                              </pic:blipFill>
                              <pic:spPr>
                                <a:xfrm>
                                  <a:off x="0" y="0"/>
                                  <a:ext cx="752475" cy="695325"/>
                                </a:xfrm>
                                <a:prstGeom prst="rect">
                                  <a:avLst/>
                                </a:prstGeom>
                                <a:noFill/>
                                <a:ln>
                                  <a:noFill/>
                                </a:ln>
                              </pic:spPr>
                            </pic:pic>
                          </a:graphicData>
                        </a:graphic>
                      </wp:inline>
                    </w:drawing>
                  </w:r>
                </w:p>
              </w:tc>
            </w:tr>
            <w:tr w14:paraId="3F75E9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63ACEE0B">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一般固体废物</w:t>
                  </w:r>
                </w:p>
              </w:tc>
              <w:tc>
                <w:tcPr>
                  <w:tcW w:w="1926" w:type="pct"/>
                  <w:tcBorders>
                    <w:tl2br w:val="nil"/>
                    <w:tr2bl w:val="nil"/>
                  </w:tcBorders>
                  <w:vAlign w:val="center"/>
                </w:tcPr>
                <w:p w14:paraId="280FF7D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666750" cy="695325"/>
                        <wp:effectExtent l="0" t="0" r="3810" b="571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29"/>
                                <a:stretch>
                                  <a:fillRect/>
                                </a:stretch>
                              </pic:blipFill>
                              <pic:spPr>
                                <a:xfrm>
                                  <a:off x="0" y="0"/>
                                  <a:ext cx="666750" cy="695325"/>
                                </a:xfrm>
                                <a:prstGeom prst="rect">
                                  <a:avLst/>
                                </a:prstGeom>
                                <a:noFill/>
                                <a:ln>
                                  <a:noFill/>
                                </a:ln>
                              </pic:spPr>
                            </pic:pic>
                          </a:graphicData>
                        </a:graphic>
                      </wp:inline>
                    </w:drawing>
                  </w:r>
                </w:p>
              </w:tc>
              <w:tc>
                <w:tcPr>
                  <w:tcW w:w="1926" w:type="pct"/>
                  <w:tcBorders>
                    <w:tl2br w:val="nil"/>
                    <w:tr2bl w:val="nil"/>
                  </w:tcBorders>
                  <w:vAlign w:val="center"/>
                </w:tcPr>
                <w:p w14:paraId="3D9EC1B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676275" cy="676275"/>
                        <wp:effectExtent l="0" t="0" r="9525" b="952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30"/>
                                <a:stretch>
                                  <a:fillRect/>
                                </a:stretch>
                              </pic:blipFill>
                              <pic:spPr>
                                <a:xfrm>
                                  <a:off x="0" y="0"/>
                                  <a:ext cx="676275" cy="676275"/>
                                </a:xfrm>
                                <a:prstGeom prst="rect">
                                  <a:avLst/>
                                </a:prstGeom>
                                <a:noFill/>
                                <a:ln>
                                  <a:noFill/>
                                </a:ln>
                              </pic:spPr>
                            </pic:pic>
                          </a:graphicData>
                        </a:graphic>
                      </wp:inline>
                    </w:drawing>
                  </w:r>
                </w:p>
              </w:tc>
            </w:tr>
            <w:tr w14:paraId="4E3934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348DD297">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危险废物</w:t>
                  </w:r>
                </w:p>
              </w:tc>
              <w:tc>
                <w:tcPr>
                  <w:tcW w:w="1926" w:type="pct"/>
                  <w:tcBorders>
                    <w:tl2br w:val="nil"/>
                    <w:tr2bl w:val="nil"/>
                  </w:tcBorders>
                  <w:vAlign w:val="center"/>
                </w:tcPr>
                <w:p w14:paraId="4DCD8278">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739775" cy="500380"/>
                        <wp:effectExtent l="0" t="0" r="6985" b="254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1"/>
                                <a:stretch>
                                  <a:fillRect/>
                                </a:stretch>
                              </pic:blipFill>
                              <pic:spPr>
                                <a:xfrm>
                                  <a:off x="0" y="0"/>
                                  <a:ext cx="739775" cy="500380"/>
                                </a:xfrm>
                                <a:prstGeom prst="rect">
                                  <a:avLst/>
                                </a:prstGeom>
                                <a:noFill/>
                                <a:ln>
                                  <a:noFill/>
                                </a:ln>
                              </pic:spPr>
                            </pic:pic>
                          </a:graphicData>
                        </a:graphic>
                      </wp:inline>
                    </w:drawing>
                  </w:r>
                </w:p>
              </w:tc>
              <w:tc>
                <w:tcPr>
                  <w:tcW w:w="1926" w:type="pct"/>
                  <w:tcBorders>
                    <w:tl2br w:val="nil"/>
                    <w:tr2bl w:val="nil"/>
                  </w:tcBorders>
                  <w:vAlign w:val="center"/>
                </w:tcPr>
                <w:p w14:paraId="2C13D28D">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666750" cy="657225"/>
                        <wp:effectExtent l="0" t="0" r="3810" b="1333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32"/>
                                <a:stretch>
                                  <a:fillRect/>
                                </a:stretch>
                              </pic:blipFill>
                              <pic:spPr>
                                <a:xfrm>
                                  <a:off x="0" y="0"/>
                                  <a:ext cx="666750" cy="657225"/>
                                </a:xfrm>
                                <a:prstGeom prst="rect">
                                  <a:avLst/>
                                </a:prstGeom>
                                <a:noFill/>
                                <a:ln>
                                  <a:noFill/>
                                </a:ln>
                              </pic:spPr>
                            </pic:pic>
                          </a:graphicData>
                        </a:graphic>
                      </wp:inline>
                    </w:drawing>
                  </w:r>
                </w:p>
              </w:tc>
            </w:tr>
            <w:tr w14:paraId="202D41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7" w:type="pct"/>
                  <w:tcBorders>
                    <w:tl2br w:val="nil"/>
                    <w:tr2bl w:val="nil"/>
                  </w:tcBorders>
                  <w:vAlign w:val="center"/>
                </w:tcPr>
                <w:p w14:paraId="5CFAA335">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医疗废物</w:t>
                  </w:r>
                </w:p>
              </w:tc>
              <w:tc>
                <w:tcPr>
                  <w:tcW w:w="1926" w:type="pct"/>
                  <w:tcBorders>
                    <w:tl2br w:val="nil"/>
                    <w:tr2bl w:val="nil"/>
                  </w:tcBorders>
                  <w:vAlign w:val="center"/>
                </w:tcPr>
                <w:p w14:paraId="6C818299">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w:t>
                  </w:r>
                </w:p>
              </w:tc>
              <w:tc>
                <w:tcPr>
                  <w:tcW w:w="1926" w:type="pct"/>
                  <w:tcBorders>
                    <w:tl2br w:val="nil"/>
                    <w:tr2bl w:val="nil"/>
                  </w:tcBorders>
                  <w:vAlign w:val="center"/>
                </w:tcPr>
                <w:p w14:paraId="41FB5246">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539750" cy="485140"/>
                        <wp:effectExtent l="0" t="0" r="8890" b="254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33"/>
                                <a:stretch>
                                  <a:fillRect/>
                                </a:stretch>
                              </pic:blipFill>
                              <pic:spPr>
                                <a:xfrm>
                                  <a:off x="0" y="0"/>
                                  <a:ext cx="539750" cy="485140"/>
                                </a:xfrm>
                                <a:prstGeom prst="rect">
                                  <a:avLst/>
                                </a:prstGeom>
                                <a:noFill/>
                                <a:ln>
                                  <a:noFill/>
                                </a:ln>
                              </pic:spPr>
                            </pic:pic>
                          </a:graphicData>
                        </a:graphic>
                      </wp:inline>
                    </w:drawing>
                  </w:r>
                </w:p>
              </w:tc>
            </w:tr>
          </w:tbl>
          <w:p w14:paraId="0E37E1A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4</w:t>
            </w:r>
            <w:r>
              <w:rPr>
                <w:rFonts w:hint="eastAsia" w:eastAsia="宋体"/>
                <w:b w:val="0"/>
                <w:bCs w:val="0"/>
                <w:color w:val="000000" w:themeColor="text1"/>
                <w:sz w:val="24"/>
                <w:szCs w:val="24"/>
                <w:highlight w:val="none"/>
                <w:lang w:eastAsia="zh-CN"/>
                <w14:textFill>
                  <w14:solidFill>
                    <w14:schemeClr w14:val="tx1"/>
                  </w14:solidFill>
                </w14:textFill>
              </w:rPr>
              <w:t>、与排污许可制衔接要求</w:t>
            </w:r>
          </w:p>
          <w:p w14:paraId="1151F92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80" w:firstLineChars="200"/>
              <w:textAlignment w:val="auto"/>
              <w:rPr>
                <w:rFonts w:hint="eastAsia" w:eastAsia="宋体"/>
                <w:b w:val="0"/>
                <w:bCs w:val="0"/>
                <w:color w:val="000000" w:themeColor="text1"/>
                <w:sz w:val="24"/>
                <w:szCs w:val="24"/>
                <w:highlight w:val="none"/>
                <w:lang w:eastAsia="zh-CN"/>
                <w14:textFill>
                  <w14:solidFill>
                    <w14:schemeClr w14:val="tx1"/>
                  </w14:solidFill>
                </w14:textFill>
              </w:rPr>
            </w:pPr>
            <w:r>
              <w:rPr>
                <w:rFonts w:hint="eastAsia" w:eastAsia="宋体"/>
                <w:b w:val="0"/>
                <w:bCs w:val="0"/>
                <w:color w:val="000000" w:themeColor="text1"/>
                <w:sz w:val="24"/>
                <w:szCs w:val="24"/>
                <w:highlight w:val="none"/>
                <w:lang w:eastAsia="zh-CN"/>
                <w14:textFill>
                  <w14:solidFill>
                    <w14:schemeClr w14:val="tx1"/>
                  </w14:solidFill>
                </w14:textFill>
              </w:rPr>
              <w:t>本项目为</w:t>
            </w:r>
            <w:r>
              <w:rPr>
                <w:rFonts w:hint="eastAsia"/>
                <w:b w:val="0"/>
                <w:bCs w:val="0"/>
                <w:color w:val="000000" w:themeColor="text1"/>
                <w:sz w:val="24"/>
                <w:szCs w:val="24"/>
                <w:highlight w:val="none"/>
                <w:lang w:val="en-US" w:eastAsia="zh-CN"/>
                <w14:textFill>
                  <w14:solidFill>
                    <w14:schemeClr w14:val="tx1"/>
                  </w14:solidFill>
                </w14:textFill>
              </w:rPr>
              <w:t>专科</w:t>
            </w:r>
            <w:r>
              <w:rPr>
                <w:rFonts w:hint="eastAsia"/>
                <w:b w:val="0"/>
                <w:bCs w:val="0"/>
                <w:color w:val="000000" w:themeColor="text1"/>
                <w:sz w:val="24"/>
                <w:szCs w:val="24"/>
                <w:highlight w:val="none"/>
                <w:lang w:eastAsia="zh-CN"/>
                <w14:textFill>
                  <w14:solidFill>
                    <w14:schemeClr w14:val="tx1"/>
                  </w14:solidFill>
                </w14:textFill>
              </w:rPr>
              <w:t>医院</w:t>
            </w:r>
            <w:r>
              <w:rPr>
                <w:rFonts w:hint="eastAsia" w:eastAsia="宋体"/>
                <w:b w:val="0"/>
                <w:bCs w:val="0"/>
                <w:color w:val="000000" w:themeColor="text1"/>
                <w:sz w:val="24"/>
                <w:szCs w:val="24"/>
                <w:highlight w:val="none"/>
                <w:lang w:eastAsia="zh-CN"/>
                <w14:textFill>
                  <w14:solidFill>
                    <w14:schemeClr w14:val="tx1"/>
                  </w14:solidFill>
                </w14:textFill>
              </w:rPr>
              <w:t>建设项目，共</w:t>
            </w:r>
            <w:r>
              <w:rPr>
                <w:rFonts w:hint="eastAsia"/>
                <w:b w:val="0"/>
                <w:bCs w:val="0"/>
                <w:color w:val="000000" w:themeColor="text1"/>
                <w:sz w:val="24"/>
                <w:szCs w:val="24"/>
                <w:highlight w:val="none"/>
                <w:lang w:val="en-US" w:eastAsia="zh-CN"/>
                <w14:textFill>
                  <w14:solidFill>
                    <w14:schemeClr w14:val="tx1"/>
                  </w14:solidFill>
                </w14:textFill>
              </w:rPr>
              <w:t>新增</w:t>
            </w:r>
            <w:r>
              <w:rPr>
                <w:rFonts w:hint="eastAsia" w:eastAsia="宋体"/>
                <w:b w:val="0"/>
                <w:bCs w:val="0"/>
                <w:color w:val="000000" w:themeColor="text1"/>
                <w:sz w:val="24"/>
                <w:szCs w:val="24"/>
                <w:highlight w:val="none"/>
                <w:lang w:eastAsia="zh-CN"/>
                <w14:textFill>
                  <w14:solidFill>
                    <w14:schemeClr w14:val="tx1"/>
                  </w14:solidFill>
                </w14:textFill>
              </w:rPr>
              <w:t>住院床位</w:t>
            </w:r>
            <w:r>
              <w:rPr>
                <w:rFonts w:hint="eastAsia"/>
                <w:b w:val="0"/>
                <w:bCs w:val="0"/>
                <w:color w:val="000000" w:themeColor="text1"/>
                <w:sz w:val="24"/>
                <w:szCs w:val="24"/>
                <w:highlight w:val="none"/>
                <w:lang w:val="en-US" w:eastAsia="zh-CN"/>
                <w14:textFill>
                  <w14:solidFill>
                    <w14:schemeClr w14:val="tx1"/>
                  </w14:solidFill>
                </w14:textFill>
              </w:rPr>
              <w:t>221</w:t>
            </w:r>
            <w:r>
              <w:rPr>
                <w:rFonts w:hint="eastAsia" w:eastAsia="宋体"/>
                <w:b w:val="0"/>
                <w:bCs w:val="0"/>
                <w:color w:val="000000" w:themeColor="text1"/>
                <w:sz w:val="24"/>
                <w:szCs w:val="24"/>
                <w:highlight w:val="none"/>
                <w:lang w:eastAsia="zh-CN"/>
                <w14:textFill>
                  <w14:solidFill>
                    <w14:schemeClr w14:val="tx1"/>
                  </w14:solidFill>
                </w14:textFill>
              </w:rPr>
              <w:t>张。经核对《固定污染源排污许可分类管理名录（2019年版）》，本项目为107-医院841-床位100张以</w:t>
            </w:r>
            <w:r>
              <w:rPr>
                <w:rFonts w:hint="eastAsia"/>
                <w:b w:val="0"/>
                <w:bCs w:val="0"/>
                <w:color w:val="000000" w:themeColor="text1"/>
                <w:sz w:val="24"/>
                <w:szCs w:val="24"/>
                <w:highlight w:val="none"/>
                <w:lang w:val="en-US" w:eastAsia="zh-CN"/>
                <w14:textFill>
                  <w14:solidFill>
                    <w14:schemeClr w14:val="tx1"/>
                  </w14:solidFill>
                </w14:textFill>
              </w:rPr>
              <w:t>上</w:t>
            </w:r>
            <w:r>
              <w:rPr>
                <w:rFonts w:hint="eastAsia" w:eastAsia="宋体"/>
                <w:b w:val="0"/>
                <w:bCs w:val="0"/>
                <w:color w:val="000000" w:themeColor="text1"/>
                <w:sz w:val="24"/>
                <w:szCs w:val="24"/>
                <w:highlight w:val="none"/>
                <w:lang w:eastAsia="zh-CN"/>
                <w14:textFill>
                  <w14:solidFill>
                    <w14:schemeClr w14:val="tx1"/>
                  </w14:solidFill>
                </w14:textFill>
              </w:rPr>
              <w:t>的</w:t>
            </w:r>
            <w:r>
              <w:rPr>
                <w:rFonts w:hint="eastAsia"/>
                <w:b w:val="0"/>
                <w:bCs w:val="0"/>
                <w:color w:val="000000" w:themeColor="text1"/>
                <w:sz w:val="24"/>
                <w:szCs w:val="24"/>
                <w:highlight w:val="none"/>
                <w:lang w:val="en-US" w:eastAsia="zh-CN"/>
                <w14:textFill>
                  <w14:solidFill>
                    <w14:schemeClr w14:val="tx1"/>
                  </w14:solidFill>
                </w14:textFill>
              </w:rPr>
              <w:t>专科</w:t>
            </w:r>
            <w:r>
              <w:rPr>
                <w:rFonts w:hint="eastAsia"/>
                <w:b w:val="0"/>
                <w:bCs w:val="0"/>
                <w:color w:val="000000" w:themeColor="text1"/>
                <w:sz w:val="24"/>
                <w:szCs w:val="24"/>
                <w:highlight w:val="none"/>
                <w:lang w:eastAsia="zh-CN"/>
                <w14:textFill>
                  <w14:solidFill>
                    <w14:schemeClr w14:val="tx1"/>
                  </w14:solidFill>
                </w14:textFill>
              </w:rPr>
              <w:t>医院</w:t>
            </w:r>
            <w:r>
              <w:rPr>
                <w:rFonts w:hint="eastAsia" w:eastAsia="宋体"/>
                <w:b w:val="0"/>
                <w:bCs w:val="0"/>
                <w:color w:val="000000" w:themeColor="text1"/>
                <w:sz w:val="24"/>
                <w:szCs w:val="24"/>
                <w:highlight w:val="none"/>
                <w:lang w:eastAsia="zh-CN"/>
                <w14:textFill>
                  <w14:solidFill>
                    <w14:schemeClr w14:val="tx1"/>
                  </w14:solidFill>
                </w14:textFill>
              </w:rPr>
              <w:t>8412，排污许可分类管理名录类别为</w:t>
            </w:r>
            <w:r>
              <w:rPr>
                <w:rFonts w:hint="eastAsia"/>
                <w:b w:val="0"/>
                <w:bCs w:val="0"/>
                <w:color w:val="000000" w:themeColor="text1"/>
                <w:sz w:val="24"/>
                <w:szCs w:val="24"/>
                <w:highlight w:val="none"/>
                <w:lang w:val="en-US" w:eastAsia="zh-CN"/>
                <w14:textFill>
                  <w14:solidFill>
                    <w14:schemeClr w14:val="tx1"/>
                  </w14:solidFill>
                </w14:textFill>
              </w:rPr>
              <w:t>简化</w:t>
            </w:r>
            <w:r>
              <w:rPr>
                <w:rFonts w:hint="eastAsia" w:eastAsia="宋体"/>
                <w:b w:val="0"/>
                <w:bCs w:val="0"/>
                <w:color w:val="000000" w:themeColor="text1"/>
                <w:sz w:val="24"/>
                <w:szCs w:val="24"/>
                <w:highlight w:val="none"/>
                <w:lang w:eastAsia="zh-CN"/>
                <w14:textFill>
                  <w14:solidFill>
                    <w14:schemeClr w14:val="tx1"/>
                  </w14:solidFill>
                </w14:textFill>
              </w:rPr>
              <w:t>管理。</w:t>
            </w:r>
          </w:p>
          <w:p w14:paraId="6C0434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480" w:leftChars="200" w:right="0" w:rightChars="0"/>
              <w:textAlignment w:val="auto"/>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5、竣工环保验收</w:t>
            </w:r>
          </w:p>
          <w:p w14:paraId="6BF61D6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rightChars="0" w:firstLine="480" w:firstLineChars="200"/>
              <w:textAlignment w:val="auto"/>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根据生态环境保护部《关于发布&lt;建设项目竣工环境保护验收技术指南 污染影响类&gt;的公告》（生态环境部公告，2018年第9号）中附件《建设项目竣工环境保护验收技术指南 污染影响类》，建设项目竣工后，建设单位应对其环境保护设施进行验收，自行或委托技术机构编制验收报告，公开、登记相关信息并建立档案。</w:t>
            </w:r>
          </w:p>
          <w:p w14:paraId="439DDF4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rightChars="0" w:firstLine="480" w:firstLineChars="200"/>
              <w:textAlignment w:val="auto"/>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本项目竣工验收环境保护“三同时”验收内容见下表。</w:t>
            </w:r>
          </w:p>
          <w:tbl>
            <w:tblPr>
              <w:tblStyle w:val="17"/>
              <w:tblW w:w="76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177"/>
              <w:gridCol w:w="1212"/>
              <w:gridCol w:w="1575"/>
              <w:gridCol w:w="2866"/>
            </w:tblGrid>
            <w:tr w14:paraId="421878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tcBorders>
                    <w:tl2br w:val="nil"/>
                    <w:tr2bl w:val="nil"/>
                  </w:tcBorders>
                  <w:vAlign w:val="center"/>
                </w:tcPr>
                <w:p w14:paraId="198EC9E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b/>
                      <w:bCs/>
                      <w:color w:val="000000" w:themeColor="text1"/>
                      <w:sz w:val="21"/>
                      <w:szCs w:val="21"/>
                      <w:highlight w:val="none"/>
                      <w:vertAlign w:val="baseline"/>
                      <w:lang w:val="en-US" w:eastAsia="zh-CN"/>
                      <w14:textFill>
                        <w14:solidFill>
                          <w14:schemeClr w14:val="tx1"/>
                        </w14:solidFill>
                      </w14:textFill>
                    </w:rPr>
                    <w:t>类别</w:t>
                  </w:r>
                </w:p>
              </w:tc>
              <w:tc>
                <w:tcPr>
                  <w:tcW w:w="1177" w:type="dxa"/>
                  <w:tcBorders>
                    <w:tl2br w:val="nil"/>
                    <w:tr2bl w:val="nil"/>
                  </w:tcBorders>
                  <w:vAlign w:val="center"/>
                </w:tcPr>
                <w:p w14:paraId="44CD49E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b/>
                      <w:bCs/>
                      <w:color w:val="000000" w:themeColor="text1"/>
                      <w:sz w:val="21"/>
                      <w:szCs w:val="21"/>
                      <w:highlight w:val="none"/>
                      <w:vertAlign w:val="baseline"/>
                      <w:lang w:val="en-US" w:eastAsia="zh-CN"/>
                      <w14:textFill>
                        <w14:solidFill>
                          <w14:schemeClr w14:val="tx1"/>
                        </w14:solidFill>
                      </w14:textFill>
                    </w:rPr>
                    <w:t>污染源</w:t>
                  </w:r>
                </w:p>
              </w:tc>
              <w:tc>
                <w:tcPr>
                  <w:tcW w:w="1212" w:type="dxa"/>
                  <w:tcBorders>
                    <w:tl2br w:val="nil"/>
                    <w:tr2bl w:val="nil"/>
                  </w:tcBorders>
                  <w:vAlign w:val="center"/>
                </w:tcPr>
                <w:p w14:paraId="4E71554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b/>
                      <w:bCs/>
                      <w:color w:val="000000" w:themeColor="text1"/>
                      <w:sz w:val="21"/>
                      <w:szCs w:val="21"/>
                      <w:highlight w:val="none"/>
                      <w:vertAlign w:val="baseline"/>
                      <w:lang w:val="en-US" w:eastAsia="zh-CN"/>
                      <w14:textFill>
                        <w14:solidFill>
                          <w14:schemeClr w14:val="tx1"/>
                        </w14:solidFill>
                      </w14:textFill>
                    </w:rPr>
                    <w:t>污染物</w:t>
                  </w:r>
                </w:p>
              </w:tc>
              <w:tc>
                <w:tcPr>
                  <w:tcW w:w="1575" w:type="dxa"/>
                  <w:tcBorders>
                    <w:tl2br w:val="nil"/>
                    <w:tr2bl w:val="nil"/>
                  </w:tcBorders>
                  <w:vAlign w:val="center"/>
                </w:tcPr>
                <w:p w14:paraId="6191F76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b/>
                      <w:bCs/>
                      <w:color w:val="000000" w:themeColor="text1"/>
                      <w:sz w:val="21"/>
                      <w:szCs w:val="21"/>
                      <w:highlight w:val="none"/>
                      <w:vertAlign w:val="baseline"/>
                      <w:lang w:val="en-US" w:eastAsia="zh-CN"/>
                      <w14:textFill>
                        <w14:solidFill>
                          <w14:schemeClr w14:val="tx1"/>
                        </w14:solidFill>
                      </w14:textFill>
                    </w:rPr>
                    <w:t>验收设施</w:t>
                  </w:r>
                </w:p>
              </w:tc>
              <w:tc>
                <w:tcPr>
                  <w:tcW w:w="2866" w:type="dxa"/>
                  <w:tcBorders>
                    <w:tl2br w:val="nil"/>
                    <w:tr2bl w:val="nil"/>
                  </w:tcBorders>
                  <w:vAlign w:val="center"/>
                </w:tcPr>
                <w:p w14:paraId="41B4E3A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b/>
                      <w:bCs/>
                      <w:color w:val="000000" w:themeColor="text1"/>
                      <w:sz w:val="21"/>
                      <w:szCs w:val="21"/>
                      <w:highlight w:val="none"/>
                      <w:vertAlign w:val="baseline"/>
                      <w:lang w:val="en-US" w:eastAsia="zh-CN"/>
                      <w14:textFill>
                        <w14:solidFill>
                          <w14:schemeClr w14:val="tx1"/>
                        </w14:solidFill>
                      </w14:textFill>
                    </w:rPr>
                    <w:t>验收标准</w:t>
                  </w:r>
                </w:p>
              </w:tc>
            </w:tr>
            <w:tr w14:paraId="1CF688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tcBorders>
                    <w:tl2br w:val="nil"/>
                    <w:tr2bl w:val="nil"/>
                  </w:tcBorders>
                  <w:vAlign w:val="center"/>
                </w:tcPr>
                <w:p w14:paraId="480992E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废气</w:t>
                  </w:r>
                </w:p>
              </w:tc>
              <w:tc>
                <w:tcPr>
                  <w:tcW w:w="1177" w:type="dxa"/>
                  <w:tcBorders>
                    <w:tl2br w:val="nil"/>
                    <w:tr2bl w:val="nil"/>
                  </w:tcBorders>
                  <w:vAlign w:val="center"/>
                </w:tcPr>
                <w:p w14:paraId="5234B4F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eastAsia"/>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污水处理</w:t>
                  </w:r>
                </w:p>
                <w:p w14:paraId="784EDEE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设施周边</w:t>
                  </w:r>
                </w:p>
              </w:tc>
              <w:tc>
                <w:tcPr>
                  <w:tcW w:w="1212" w:type="dxa"/>
                  <w:tcBorders>
                    <w:tl2br w:val="nil"/>
                    <w:tr2bl w:val="nil"/>
                  </w:tcBorders>
                  <w:vAlign w:val="center"/>
                </w:tcPr>
                <w:p w14:paraId="50444B9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氨、硫化氢</w:t>
                  </w:r>
                  <w:r>
                    <w:rPr>
                      <w:rFonts w:hint="eastAsia"/>
                      <w:b w:val="0"/>
                      <w:bCs w:val="0"/>
                      <w:color w:val="000000" w:themeColor="text1"/>
                      <w:sz w:val="21"/>
                      <w:szCs w:val="21"/>
                      <w:highlight w:val="none"/>
                      <w:vertAlign w:val="baseline"/>
                      <w:lang w:val="en-US" w:eastAsia="zh-CN"/>
                      <w14:textFill>
                        <w14:solidFill>
                          <w14:schemeClr w14:val="tx1"/>
                        </w14:solidFill>
                      </w14:textFill>
                    </w:rPr>
                    <w:t>、</w:t>
                  </w:r>
                  <w:r>
                    <w:rPr>
                      <w:rFonts w:hint="default"/>
                      <w:b w:val="0"/>
                      <w:bCs w:val="0"/>
                      <w:color w:val="000000" w:themeColor="text1"/>
                      <w:sz w:val="21"/>
                      <w:szCs w:val="21"/>
                      <w:highlight w:val="none"/>
                      <w:vertAlign w:val="baseline"/>
                      <w:lang w:val="en-US" w:eastAsia="zh-CN"/>
                      <w14:textFill>
                        <w14:solidFill>
                          <w14:schemeClr w14:val="tx1"/>
                        </w14:solidFill>
                      </w14:textFill>
                    </w:rPr>
                    <w:t>臭气浓度</w:t>
                  </w:r>
                  <w:r>
                    <w:rPr>
                      <w:rFonts w:hint="eastAsia"/>
                      <w:b w:val="0"/>
                      <w:bCs w:val="0"/>
                      <w:color w:val="000000" w:themeColor="text1"/>
                      <w:sz w:val="21"/>
                      <w:szCs w:val="21"/>
                      <w:highlight w:val="none"/>
                      <w:vertAlign w:val="baseline"/>
                      <w:lang w:val="en-US" w:eastAsia="zh-CN"/>
                      <w14:textFill>
                        <w14:solidFill>
                          <w14:schemeClr w14:val="tx1"/>
                        </w14:solidFill>
                      </w14:textFill>
                    </w:rPr>
                    <w:t>、甲烷、氯气</w:t>
                  </w:r>
                </w:p>
              </w:tc>
              <w:tc>
                <w:tcPr>
                  <w:tcW w:w="1575" w:type="dxa"/>
                  <w:tcBorders>
                    <w:tl2br w:val="nil"/>
                    <w:tr2bl w:val="nil"/>
                  </w:tcBorders>
                  <w:vAlign w:val="center"/>
                </w:tcPr>
                <w:p w14:paraId="0541928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color w:val="000000" w:themeColor="text1"/>
                      <w:sz w:val="21"/>
                      <w:szCs w:val="21"/>
                      <w:highlight w:val="none"/>
                      <w14:textFill>
                        <w14:solidFill>
                          <w14:schemeClr w14:val="tx1"/>
                        </w14:solidFill>
                      </w14:textFill>
                    </w:rPr>
                    <w:t>处理构筑物加盖、</w:t>
                  </w:r>
                  <w:r>
                    <w:rPr>
                      <w:rFonts w:hint="eastAsia"/>
                      <w:color w:val="000000" w:themeColor="text1"/>
                      <w:sz w:val="21"/>
                      <w:szCs w:val="21"/>
                      <w:highlight w:val="none"/>
                      <w:lang w:val="en-US" w:eastAsia="zh-CN"/>
                      <w14:textFill>
                        <w14:solidFill>
                          <w14:schemeClr w14:val="tx1"/>
                        </w14:solidFill>
                      </w14:textFill>
                    </w:rPr>
                    <w:t>封闭</w:t>
                  </w:r>
                  <w:r>
                    <w:rPr>
                      <w:rFonts w:hint="default"/>
                      <w:color w:val="000000" w:themeColor="text1"/>
                      <w:sz w:val="21"/>
                      <w:szCs w:val="21"/>
                      <w:highlight w:val="none"/>
                      <w14:textFill>
                        <w14:solidFill>
                          <w14:schemeClr w14:val="tx1"/>
                        </w14:solidFill>
                      </w14:textFill>
                    </w:rPr>
                    <w:t>、定期喷洒除臭剂</w:t>
                  </w:r>
                </w:p>
              </w:tc>
              <w:tc>
                <w:tcPr>
                  <w:tcW w:w="2866" w:type="dxa"/>
                  <w:tcBorders>
                    <w:tl2br w:val="nil"/>
                    <w:tr2bl w:val="nil"/>
                  </w:tcBorders>
                  <w:shd w:val="clear" w:color="auto" w:fill="auto"/>
                  <w:vAlign w:val="center"/>
                </w:tcPr>
                <w:p w14:paraId="2831A0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b w:val="0"/>
                      <w:bCs w:val="0"/>
                      <w:color w:val="000000" w:themeColor="text1"/>
                      <w:sz w:val="21"/>
                      <w:szCs w:val="21"/>
                      <w:highlight w:val="none"/>
                      <w14:textFill>
                        <w14:solidFill>
                          <w14:schemeClr w14:val="tx1"/>
                        </w14:solidFill>
                      </w14:textFill>
                    </w:rPr>
                    <w:t>《医疗机构水污染物排放标准》（GB18466-2005）</w:t>
                  </w:r>
                  <w:r>
                    <w:rPr>
                      <w:rFonts w:hint="default"/>
                      <w:color w:val="000000" w:themeColor="text1"/>
                      <w:sz w:val="21"/>
                      <w:szCs w:val="21"/>
                      <w:highlight w:val="none"/>
                      <w14:textFill>
                        <w14:solidFill>
                          <w14:schemeClr w14:val="tx1"/>
                        </w14:solidFill>
                      </w14:textFill>
                    </w:rPr>
                    <w:t>中“污水处理站周边大气污染物最高允许浓度”</w:t>
                  </w:r>
                </w:p>
              </w:tc>
            </w:tr>
            <w:tr w14:paraId="4E1212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tcBorders>
                    <w:tl2br w:val="nil"/>
                    <w:tr2bl w:val="nil"/>
                  </w:tcBorders>
                  <w:vAlign w:val="center"/>
                </w:tcPr>
                <w:p w14:paraId="3AF649D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废水</w:t>
                  </w:r>
                </w:p>
              </w:tc>
              <w:tc>
                <w:tcPr>
                  <w:tcW w:w="1177" w:type="dxa"/>
                  <w:tcBorders>
                    <w:tl2br w:val="nil"/>
                    <w:tr2bl w:val="nil"/>
                  </w:tcBorders>
                  <w:vAlign w:val="center"/>
                </w:tcPr>
                <w:p w14:paraId="03E1210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医疗废水</w:t>
                  </w:r>
                </w:p>
              </w:tc>
              <w:tc>
                <w:tcPr>
                  <w:tcW w:w="1212" w:type="dxa"/>
                  <w:tcBorders>
                    <w:tl2br w:val="nil"/>
                    <w:tr2bl w:val="nil"/>
                  </w:tcBorders>
                  <w:vAlign w:val="center"/>
                </w:tcPr>
                <w:p w14:paraId="41ACA70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pH、COD</w:t>
                  </w:r>
                  <w:r>
                    <w:rPr>
                      <w:rFonts w:hint="eastAsia"/>
                      <w:b w:val="0"/>
                      <w:bCs w:val="0"/>
                      <w:color w:val="000000" w:themeColor="text1"/>
                      <w:sz w:val="21"/>
                      <w:szCs w:val="21"/>
                      <w:highlight w:val="none"/>
                      <w:vertAlign w:val="baseline"/>
                      <w:lang w:val="en-US" w:eastAsia="zh-CN"/>
                      <w14:textFill>
                        <w14:solidFill>
                          <w14:schemeClr w14:val="tx1"/>
                        </w14:solidFill>
                      </w14:textFill>
                    </w:rPr>
                    <w:t>cr</w:t>
                  </w:r>
                  <w:r>
                    <w:rPr>
                      <w:rFonts w:hint="default"/>
                      <w:b w:val="0"/>
                      <w:bCs w:val="0"/>
                      <w:color w:val="000000" w:themeColor="text1"/>
                      <w:sz w:val="21"/>
                      <w:szCs w:val="21"/>
                      <w:highlight w:val="none"/>
                      <w:vertAlign w:val="baseline"/>
                      <w:lang w:val="en-US" w:eastAsia="zh-CN"/>
                      <w14:textFill>
                        <w14:solidFill>
                          <w14:schemeClr w14:val="tx1"/>
                        </w14:solidFill>
                      </w14:textFill>
                    </w:rPr>
                    <w:t>、BOD</w:t>
                  </w:r>
                  <w:r>
                    <w:rPr>
                      <w:rFonts w:hint="default"/>
                      <w:b w:val="0"/>
                      <w:bCs w:val="0"/>
                      <w:color w:val="000000" w:themeColor="text1"/>
                      <w:sz w:val="21"/>
                      <w:szCs w:val="21"/>
                      <w:highlight w:val="none"/>
                      <w:vertAlign w:val="subscript"/>
                      <w:lang w:val="en-US" w:eastAsia="zh-CN"/>
                      <w14:textFill>
                        <w14:solidFill>
                          <w14:schemeClr w14:val="tx1"/>
                        </w14:solidFill>
                      </w14:textFill>
                    </w:rPr>
                    <w:t>5</w:t>
                  </w:r>
                  <w:r>
                    <w:rPr>
                      <w:rFonts w:hint="default"/>
                      <w:b w:val="0"/>
                      <w:bCs w:val="0"/>
                      <w:color w:val="000000" w:themeColor="text1"/>
                      <w:sz w:val="21"/>
                      <w:szCs w:val="21"/>
                      <w:highlight w:val="none"/>
                      <w:vertAlign w:val="baseline"/>
                      <w:lang w:val="en-US" w:eastAsia="zh-CN"/>
                      <w14:textFill>
                        <w14:solidFill>
                          <w14:schemeClr w14:val="tx1"/>
                        </w14:solidFill>
                      </w14:textFill>
                    </w:rPr>
                    <w:t>、SS、氨氮、粪大肠菌群数</w:t>
                  </w:r>
                  <w:r>
                    <w:rPr>
                      <w:rFonts w:hint="eastAsia"/>
                      <w:b w:val="0"/>
                      <w:bCs w:val="0"/>
                      <w:color w:val="000000" w:themeColor="text1"/>
                      <w:sz w:val="21"/>
                      <w:szCs w:val="21"/>
                      <w:highlight w:val="none"/>
                      <w:vertAlign w:val="baseline"/>
                      <w:lang w:val="en-US" w:eastAsia="zh-CN"/>
                      <w14:textFill>
                        <w14:solidFill>
                          <w14:schemeClr w14:val="tx1"/>
                        </w14:solidFill>
                      </w14:textFill>
                    </w:rPr>
                    <w:t>、总余氯</w:t>
                  </w:r>
                </w:p>
              </w:tc>
              <w:tc>
                <w:tcPr>
                  <w:tcW w:w="1575" w:type="dxa"/>
                  <w:tcBorders>
                    <w:tl2br w:val="nil"/>
                    <w:tr2bl w:val="nil"/>
                  </w:tcBorders>
                  <w:vAlign w:val="center"/>
                </w:tcPr>
                <w:p w14:paraId="516730D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化粪池+污水处理设施</w:t>
                  </w:r>
                </w:p>
              </w:tc>
              <w:tc>
                <w:tcPr>
                  <w:tcW w:w="2866" w:type="dxa"/>
                  <w:tcBorders>
                    <w:tl2br w:val="nil"/>
                    <w:tr2bl w:val="nil"/>
                  </w:tcBorders>
                  <w:vAlign w:val="center"/>
                </w:tcPr>
                <w:p w14:paraId="546B615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14:textFill>
                        <w14:solidFill>
                          <w14:schemeClr w14:val="tx1"/>
                        </w14:solidFill>
                      </w14:textFill>
                    </w:rPr>
                    <w:t>《医疗机构水污染物排放标准》（GB18466-2005）中</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表2 综合医疗机构和其他医疗机构水污染物排放限值（日均值）</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中</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预处理标准</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限值和北京市《水污染物综合排放标准》（DB11/307-2013）中</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表</w:t>
                  </w:r>
                  <w:r>
                    <w:rPr>
                      <w:rFonts w:hint="eastAsia"/>
                      <w:b w:val="0"/>
                      <w:bCs w:val="0"/>
                      <w:color w:val="000000" w:themeColor="text1"/>
                      <w:sz w:val="21"/>
                      <w:szCs w:val="21"/>
                      <w:highlight w:val="none"/>
                      <w:lang w:val="en-US" w:eastAsia="zh-CN"/>
                      <w14:textFill>
                        <w14:solidFill>
                          <w14:schemeClr w14:val="tx1"/>
                        </w14:solidFill>
                      </w14:textFill>
                    </w:rPr>
                    <w:t>3</w:t>
                  </w:r>
                  <w:r>
                    <w:rPr>
                      <w:rFonts w:hint="default"/>
                      <w:b w:val="0"/>
                      <w:bCs w:val="0"/>
                      <w:color w:val="000000" w:themeColor="text1"/>
                      <w:sz w:val="21"/>
                      <w:szCs w:val="21"/>
                      <w:highlight w:val="none"/>
                      <w14:textFill>
                        <w14:solidFill>
                          <w14:schemeClr w14:val="tx1"/>
                        </w14:solidFill>
                      </w14:textFill>
                    </w:rPr>
                    <w:t>排入公共污水处理系统的水污染物排放限值</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中</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氨氮</w:t>
                  </w:r>
                  <w:r>
                    <w:rPr>
                      <w:rFonts w:hint="eastAsia"/>
                      <w:b w:val="0"/>
                      <w:bCs w:val="0"/>
                      <w:color w:val="000000" w:themeColor="text1"/>
                      <w:sz w:val="21"/>
                      <w:szCs w:val="21"/>
                      <w:highlight w:val="none"/>
                      <w:lang w:eastAsia="zh-CN"/>
                      <w14:textFill>
                        <w14:solidFill>
                          <w14:schemeClr w14:val="tx1"/>
                        </w14:solidFill>
                      </w14:textFill>
                    </w:rPr>
                    <w:t>”</w:t>
                  </w:r>
                  <w:r>
                    <w:rPr>
                      <w:rFonts w:hint="default"/>
                      <w:b w:val="0"/>
                      <w:bCs w:val="0"/>
                      <w:color w:val="000000" w:themeColor="text1"/>
                      <w:sz w:val="21"/>
                      <w:szCs w:val="21"/>
                      <w:highlight w:val="none"/>
                      <w14:textFill>
                        <w14:solidFill>
                          <w14:schemeClr w14:val="tx1"/>
                        </w14:solidFill>
                      </w14:textFill>
                    </w:rPr>
                    <w:t>的限值要求</w:t>
                  </w:r>
                </w:p>
              </w:tc>
            </w:tr>
            <w:tr w14:paraId="0EFEA9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tcBorders>
                    <w:tl2br w:val="nil"/>
                    <w:tr2bl w:val="nil"/>
                  </w:tcBorders>
                  <w:vAlign w:val="center"/>
                </w:tcPr>
                <w:p w14:paraId="44C2C90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噪声</w:t>
                  </w:r>
                </w:p>
              </w:tc>
              <w:tc>
                <w:tcPr>
                  <w:tcW w:w="1177" w:type="dxa"/>
                  <w:tcBorders>
                    <w:tl2br w:val="nil"/>
                    <w:tr2bl w:val="nil"/>
                  </w:tcBorders>
                  <w:vAlign w:val="center"/>
                </w:tcPr>
                <w:p w14:paraId="024FB50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设备</w:t>
                  </w:r>
                </w:p>
              </w:tc>
              <w:tc>
                <w:tcPr>
                  <w:tcW w:w="1212" w:type="dxa"/>
                  <w:tcBorders>
                    <w:tl2br w:val="nil"/>
                    <w:tr2bl w:val="nil"/>
                  </w:tcBorders>
                  <w:vAlign w:val="center"/>
                </w:tcPr>
                <w:p w14:paraId="5F95E54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噪声</w:t>
                  </w:r>
                </w:p>
              </w:tc>
              <w:tc>
                <w:tcPr>
                  <w:tcW w:w="1575" w:type="dxa"/>
                  <w:tcBorders>
                    <w:tl2br w:val="nil"/>
                    <w:tr2bl w:val="nil"/>
                  </w:tcBorders>
                  <w:vAlign w:val="center"/>
                </w:tcPr>
                <w:p w14:paraId="1232DB8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合理布局、选用低噪声设备、基础减振等</w:t>
                  </w:r>
                </w:p>
              </w:tc>
              <w:tc>
                <w:tcPr>
                  <w:tcW w:w="2866" w:type="dxa"/>
                  <w:tcBorders>
                    <w:tl2br w:val="nil"/>
                    <w:tr2bl w:val="nil"/>
                  </w:tcBorders>
                  <w:vAlign w:val="center"/>
                </w:tcPr>
                <w:p w14:paraId="6F5CBEA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14:textFill>
                        <w14:solidFill>
                          <w14:schemeClr w14:val="tx1"/>
                        </w14:solidFill>
                      </w14:textFill>
                    </w:rPr>
                    <w:t>《工业企业厂界噪声排放标准》（GB12348-2008）相应的</w:t>
                  </w:r>
                  <w:r>
                    <w:rPr>
                      <w:rFonts w:hint="eastAsia"/>
                      <w:b w:val="0"/>
                      <w:bCs w:val="0"/>
                      <w:color w:val="000000" w:themeColor="text1"/>
                      <w:sz w:val="21"/>
                      <w:szCs w:val="21"/>
                      <w:highlight w:val="none"/>
                      <w:lang w:val="en-US" w:eastAsia="zh-CN"/>
                      <w14:textFill>
                        <w14:solidFill>
                          <w14:schemeClr w14:val="tx1"/>
                        </w14:solidFill>
                      </w14:textFill>
                    </w:rPr>
                    <w:t>1</w:t>
                  </w:r>
                  <w:r>
                    <w:rPr>
                      <w:rFonts w:hint="default"/>
                      <w:b w:val="0"/>
                      <w:bCs w:val="0"/>
                      <w:color w:val="000000" w:themeColor="text1"/>
                      <w:sz w:val="21"/>
                      <w:szCs w:val="21"/>
                      <w:highlight w:val="none"/>
                      <w14:textFill>
                        <w14:solidFill>
                          <w14:schemeClr w14:val="tx1"/>
                        </w14:solidFill>
                      </w14:textFill>
                    </w:rPr>
                    <w:t>类</w:t>
                  </w:r>
                  <w:r>
                    <w:rPr>
                      <w:rFonts w:hint="eastAsia"/>
                      <w:b w:val="0"/>
                      <w:bCs w:val="0"/>
                      <w:color w:val="000000" w:themeColor="text1"/>
                      <w:sz w:val="21"/>
                      <w:szCs w:val="21"/>
                      <w:highlight w:val="none"/>
                      <w:lang w:eastAsia="zh-CN"/>
                      <w14:textFill>
                        <w14:solidFill>
                          <w14:schemeClr w14:val="tx1"/>
                        </w14:solidFill>
                      </w14:textFill>
                    </w:rPr>
                    <w:t>、</w:t>
                  </w:r>
                  <w:r>
                    <w:rPr>
                      <w:rFonts w:hint="eastAsia"/>
                      <w:b w:val="0"/>
                      <w:bCs w:val="0"/>
                      <w:color w:val="000000" w:themeColor="text1"/>
                      <w:sz w:val="21"/>
                      <w:szCs w:val="21"/>
                      <w:highlight w:val="none"/>
                      <w:lang w:val="en-US" w:eastAsia="zh-CN"/>
                      <w14:textFill>
                        <w14:solidFill>
                          <w14:schemeClr w14:val="tx1"/>
                        </w14:solidFill>
                      </w14:textFill>
                    </w:rPr>
                    <w:t>4a类</w:t>
                  </w:r>
                  <w:r>
                    <w:rPr>
                      <w:rFonts w:hint="default"/>
                      <w:b w:val="0"/>
                      <w:bCs w:val="0"/>
                      <w:color w:val="000000" w:themeColor="text1"/>
                      <w:sz w:val="21"/>
                      <w:szCs w:val="21"/>
                      <w:highlight w:val="none"/>
                      <w14:textFill>
                        <w14:solidFill>
                          <w14:schemeClr w14:val="tx1"/>
                        </w14:solidFill>
                      </w14:textFill>
                    </w:rPr>
                    <w:t>标准限值</w:t>
                  </w:r>
                </w:p>
              </w:tc>
            </w:tr>
            <w:tr w14:paraId="113198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vMerge w:val="restart"/>
                  <w:tcBorders>
                    <w:tl2br w:val="nil"/>
                    <w:tr2bl w:val="nil"/>
                  </w:tcBorders>
                  <w:vAlign w:val="center"/>
                </w:tcPr>
                <w:p w14:paraId="5C324C5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固体废物</w:t>
                  </w:r>
                </w:p>
              </w:tc>
              <w:tc>
                <w:tcPr>
                  <w:tcW w:w="1177" w:type="dxa"/>
                  <w:tcBorders>
                    <w:tl2br w:val="nil"/>
                    <w:tr2bl w:val="nil"/>
                  </w:tcBorders>
                  <w:vAlign w:val="center"/>
                </w:tcPr>
                <w:p w14:paraId="5EA609A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医务人员、病人生活</w:t>
                  </w:r>
                </w:p>
              </w:tc>
              <w:tc>
                <w:tcPr>
                  <w:tcW w:w="1212" w:type="dxa"/>
                  <w:tcBorders>
                    <w:tl2br w:val="nil"/>
                    <w:tr2bl w:val="nil"/>
                  </w:tcBorders>
                  <w:vAlign w:val="center"/>
                </w:tcPr>
                <w:p w14:paraId="72824EA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生活垃圾</w:t>
                  </w:r>
                </w:p>
              </w:tc>
              <w:tc>
                <w:tcPr>
                  <w:tcW w:w="1575" w:type="dxa"/>
                  <w:tcBorders>
                    <w:tl2br w:val="nil"/>
                    <w:tr2bl w:val="nil"/>
                  </w:tcBorders>
                  <w:vAlign w:val="center"/>
                </w:tcPr>
                <w:p w14:paraId="50FE48A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环卫部门定期清运处理</w:t>
                  </w:r>
                </w:p>
              </w:tc>
              <w:tc>
                <w:tcPr>
                  <w:tcW w:w="2866" w:type="dxa"/>
                  <w:tcBorders>
                    <w:tl2br w:val="nil"/>
                    <w:tr2bl w:val="nil"/>
                  </w:tcBorders>
                  <w:shd w:val="clear" w:color="auto" w:fill="auto"/>
                  <w:vAlign w:val="center"/>
                </w:tcPr>
                <w:p w14:paraId="77B9E3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《中华人民共和国固体废物污染环境防治法》（2020年9月1日施行）及《北京市生活垃圾管理条例》（2020年</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9月25日修正</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r>
            <w:tr w14:paraId="45BB8E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vMerge w:val="continue"/>
                  <w:tcBorders>
                    <w:tl2br w:val="nil"/>
                    <w:tr2bl w:val="nil"/>
                  </w:tcBorders>
                  <w:vAlign w:val="center"/>
                </w:tcPr>
                <w:p w14:paraId="6CD4BB8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eastAsia"/>
                      <w:b w:val="0"/>
                      <w:bCs w:val="0"/>
                      <w:color w:val="000000" w:themeColor="text1"/>
                      <w:sz w:val="21"/>
                      <w:szCs w:val="21"/>
                      <w:highlight w:val="none"/>
                      <w:vertAlign w:val="baseline"/>
                      <w:lang w:val="en-US" w:eastAsia="zh-CN"/>
                      <w14:textFill>
                        <w14:solidFill>
                          <w14:schemeClr w14:val="tx1"/>
                        </w14:solidFill>
                      </w14:textFill>
                    </w:rPr>
                  </w:pPr>
                </w:p>
              </w:tc>
              <w:tc>
                <w:tcPr>
                  <w:tcW w:w="1177" w:type="dxa"/>
                  <w:tcBorders>
                    <w:tl2br w:val="nil"/>
                    <w:tr2bl w:val="nil"/>
                  </w:tcBorders>
                  <w:vAlign w:val="center"/>
                </w:tcPr>
                <w:p w14:paraId="73575C5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一般固体废物</w:t>
                  </w:r>
                </w:p>
              </w:tc>
              <w:tc>
                <w:tcPr>
                  <w:tcW w:w="1212" w:type="dxa"/>
                  <w:tcBorders>
                    <w:tl2br w:val="nil"/>
                    <w:tr2bl w:val="nil"/>
                  </w:tcBorders>
                  <w:vAlign w:val="center"/>
                </w:tcPr>
                <w:p w14:paraId="662AB5E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eastAsia"/>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①无害废包装材料②未被污染的一次性输液瓶（袋）</w:t>
                  </w:r>
                </w:p>
              </w:tc>
              <w:tc>
                <w:tcPr>
                  <w:tcW w:w="1575" w:type="dxa"/>
                  <w:tcBorders>
                    <w:tl2br w:val="nil"/>
                    <w:tr2bl w:val="nil"/>
                  </w:tcBorders>
                  <w:vAlign w:val="center"/>
                </w:tcPr>
                <w:p w14:paraId="0D486CF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default"/>
                      <w:b w:val="0"/>
                      <w:bCs w:val="0"/>
                      <w:color w:val="000000" w:themeColor="text1"/>
                      <w:sz w:val="21"/>
                      <w:szCs w:val="21"/>
                      <w:highlight w:val="none"/>
                      <w:vertAlign w:val="baseline"/>
                      <w:lang w:val="en-US" w:eastAsia="zh-CN"/>
                      <w14:textFill>
                        <w14:solidFill>
                          <w14:schemeClr w14:val="tx1"/>
                        </w14:solidFill>
                      </w14:textFill>
                    </w:rPr>
                    <w:t>①无害废包装材料</w:t>
                  </w:r>
                  <w:r>
                    <w:rPr>
                      <w:rFonts w:hint="eastAsia"/>
                      <w:b w:val="0"/>
                      <w:bCs w:val="0"/>
                      <w:color w:val="000000" w:themeColor="text1"/>
                      <w:sz w:val="21"/>
                      <w:szCs w:val="21"/>
                      <w:highlight w:val="none"/>
                      <w:vertAlign w:val="baseline"/>
                      <w:lang w:val="en-US" w:eastAsia="zh-CN"/>
                      <w14:textFill>
                        <w14:solidFill>
                          <w14:schemeClr w14:val="tx1"/>
                        </w14:solidFill>
                      </w14:textFill>
                    </w:rPr>
                    <w:t>交由物资部门回收；</w:t>
                  </w:r>
                  <w:r>
                    <w:rPr>
                      <w:rFonts w:hint="default"/>
                      <w:b w:val="0"/>
                      <w:bCs w:val="0"/>
                      <w:color w:val="000000" w:themeColor="text1"/>
                      <w:sz w:val="21"/>
                      <w:szCs w:val="21"/>
                      <w:highlight w:val="none"/>
                      <w:vertAlign w:val="baseline"/>
                      <w:lang w:val="en-US" w:eastAsia="zh-CN"/>
                      <w14:textFill>
                        <w14:solidFill>
                          <w14:schemeClr w14:val="tx1"/>
                        </w14:solidFill>
                      </w14:textFill>
                    </w:rPr>
                    <w:t>②未被污染的一次性输液瓶（袋）</w:t>
                  </w:r>
                  <w:r>
                    <w:rPr>
                      <w:rFonts w:hint="eastAsia"/>
                      <w:b w:val="0"/>
                      <w:bCs w:val="0"/>
                      <w:color w:val="000000" w:themeColor="text1"/>
                      <w:sz w:val="21"/>
                      <w:szCs w:val="21"/>
                      <w:highlight w:val="none"/>
                      <w:vertAlign w:val="baseline"/>
                      <w:lang w:val="en-US" w:eastAsia="zh-CN"/>
                      <w14:textFill>
                        <w14:solidFill>
                          <w14:schemeClr w14:val="tx1"/>
                        </w14:solidFill>
                      </w14:textFill>
                    </w:rPr>
                    <w:t>回收企业回收</w:t>
                  </w:r>
                </w:p>
              </w:tc>
              <w:tc>
                <w:tcPr>
                  <w:tcW w:w="2866" w:type="dxa"/>
                  <w:tcBorders>
                    <w:tl2br w:val="nil"/>
                    <w:tr2bl w:val="nil"/>
                  </w:tcBorders>
                  <w:shd w:val="clear" w:color="auto" w:fill="auto"/>
                  <w:vAlign w:val="center"/>
                </w:tcPr>
                <w:p w14:paraId="41AF88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《中华人民共和国固体废物污染环境防治法》（2020年9月1日施行）</w:t>
                  </w:r>
                </w:p>
              </w:tc>
            </w:tr>
            <w:tr w14:paraId="4EA381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dxa"/>
                  <w:vMerge w:val="continue"/>
                  <w:tcBorders>
                    <w:tl2br w:val="nil"/>
                    <w:tr2bl w:val="nil"/>
                  </w:tcBorders>
                  <w:vAlign w:val="center"/>
                </w:tcPr>
                <w:p w14:paraId="3340F7F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p>
              </w:tc>
              <w:tc>
                <w:tcPr>
                  <w:tcW w:w="1177" w:type="dxa"/>
                  <w:tcBorders>
                    <w:tl2br w:val="nil"/>
                    <w:tr2bl w:val="nil"/>
                  </w:tcBorders>
                  <w:vAlign w:val="center"/>
                </w:tcPr>
                <w:p w14:paraId="6048F24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危险废物</w:t>
                  </w:r>
                </w:p>
              </w:tc>
              <w:tc>
                <w:tcPr>
                  <w:tcW w:w="1212" w:type="dxa"/>
                  <w:tcBorders>
                    <w:tl2br w:val="nil"/>
                    <w:tr2bl w:val="nil"/>
                  </w:tcBorders>
                  <w:vAlign w:val="center"/>
                </w:tcPr>
                <w:p w14:paraId="21DA285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医疗废物、其他危险废物（污泥、栅渣，消毒剂沾染物）</w:t>
                  </w:r>
                </w:p>
              </w:tc>
              <w:tc>
                <w:tcPr>
                  <w:tcW w:w="1575" w:type="dxa"/>
                  <w:tcBorders>
                    <w:tl2br w:val="nil"/>
                    <w:tr2bl w:val="nil"/>
                  </w:tcBorders>
                  <w:vAlign w:val="center"/>
                </w:tcPr>
                <w:p w14:paraId="7B75617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设置1间医疗废物暂存间对危险废物进行分类收集暂存，定期委托资质单位进行清运处置</w:t>
                  </w:r>
                </w:p>
              </w:tc>
              <w:tc>
                <w:tcPr>
                  <w:tcW w:w="2866" w:type="dxa"/>
                  <w:tcBorders>
                    <w:tl2br w:val="nil"/>
                    <w:tr2bl w:val="nil"/>
                  </w:tcBorders>
                  <w:shd w:val="clear" w:color="auto" w:fill="auto"/>
                  <w:vAlign w:val="center"/>
                </w:tcPr>
                <w:p w14:paraId="40D19F7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中华人民共和国固体废物污染环境防治法》（2020年4月29日修订）、《北京市生活垃圾管理条例》（北京市人民代表大会常务委员会公告，（十五届）第39号，2020年9月25日修正）、《危险废物贮存污染控制标准》（GB18597-2023）、《医疗废物管理条例》（中华人民共和国国务院令第380号令）</w:t>
                  </w:r>
                </w:p>
              </w:tc>
            </w:tr>
          </w:tbl>
          <w:p w14:paraId="2FDFF054">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p w14:paraId="529724E9">
            <w:pPr>
              <w:keepNext w:val="0"/>
              <w:keepLines w:val="0"/>
              <w:suppressLineNumbers w:val="0"/>
              <w:spacing w:before="0" w:beforeAutospacing="0" w:after="0" w:afterAutospacing="0"/>
              <w:ind w:left="0" w:leftChars="0" w:right="0" w:firstLine="0" w:firstLineChars="0"/>
              <w:rPr>
                <w:rFonts w:hint="default"/>
                <w:color w:val="000000" w:themeColor="text1"/>
                <w:highlight w:val="none"/>
                <w14:textFill>
                  <w14:solidFill>
                    <w14:schemeClr w14:val="tx1"/>
                  </w14:solidFill>
                </w14:textFill>
              </w:rPr>
            </w:pPr>
          </w:p>
          <w:p w14:paraId="1D9133FB">
            <w:pPr>
              <w:keepNext w:val="0"/>
              <w:keepLines w:val="0"/>
              <w:suppressLineNumbers w:val="0"/>
              <w:spacing w:before="0" w:beforeAutospacing="0" w:after="0" w:afterAutospacing="0"/>
              <w:ind w:left="0" w:leftChars="0" w:right="0" w:firstLine="0" w:firstLineChars="0"/>
              <w:rPr>
                <w:rFonts w:hint="default"/>
                <w:color w:val="000000" w:themeColor="text1"/>
                <w:highlight w:val="none"/>
                <w14:textFill>
                  <w14:solidFill>
                    <w14:schemeClr w14:val="tx1"/>
                  </w14:solidFill>
                </w14:textFill>
              </w:rPr>
            </w:pPr>
          </w:p>
          <w:p w14:paraId="37A80F6F">
            <w:pPr>
              <w:pStyle w:val="13"/>
              <w:keepNext w:val="0"/>
              <w:keepLines w:val="0"/>
              <w:suppressLineNumbers w:val="0"/>
              <w:spacing w:beforeAutospacing="0" w:afterAutospacing="0"/>
              <w:ind w:left="0"/>
              <w:rPr>
                <w:rFonts w:hint="default"/>
                <w:highlight w:val="none"/>
              </w:rPr>
            </w:pPr>
          </w:p>
          <w:p w14:paraId="2A79948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rightChars="0" w:firstLine="480" w:firstLineChars="200"/>
              <w:textAlignment w:val="auto"/>
              <w:rPr>
                <w:rFonts w:hint="eastAsia"/>
                <w:b w:val="0"/>
                <w:bCs w:val="0"/>
                <w:color w:val="000000" w:themeColor="text1"/>
                <w:sz w:val="24"/>
                <w:szCs w:val="24"/>
                <w:highlight w:val="none"/>
                <w:lang w:val="en-US" w:eastAsia="zh-CN"/>
                <w14:textFill>
                  <w14:solidFill>
                    <w14:schemeClr w14:val="tx1"/>
                  </w14:solidFill>
                </w14:textFill>
              </w:rPr>
            </w:pPr>
          </w:p>
        </w:tc>
      </w:tr>
    </w:tbl>
    <w:p w14:paraId="10B028FC">
      <w:pPr>
        <w:spacing w:before="0" w:beforeAutospacing="0"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snapToGrid w:val="0"/>
          <w:color w:val="000000" w:themeColor="text1"/>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六、结论</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173"/>
      </w:tblGrid>
      <w:tr w14:paraId="0FC8C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vAlign w:val="center"/>
          </w:tcPr>
          <w:p w14:paraId="0D5A3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2B1DF8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综上所述：本项目符合相关规划要求，符合国家及北京市相关产业政策，废气、废水、噪声治理措施可靠有效，污染物均能够达标排放，固体废物得到妥善处理处置，对环境影响较小，可以满足当地的环境功能区划的要求，在全面加强监督管理，执行环保</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三同时</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制度和认真落实各项环保措施的条件下，可实现各类污染物稳定达标排放，满足区域总量控制要求。从环境保护角度分析，项目的建设是可行的。</w:t>
            </w:r>
          </w:p>
          <w:p w14:paraId="1FB1C3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150581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15DB55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6EA86E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17101F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7D1A40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2180F2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6BC286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4DD5F5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4E62D9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143595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28512D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59A2D0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50837E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58AD0F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13EDA5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3894C1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4254AD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2029F3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7AD514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4597E2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0DD708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284E8B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727B1F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p w14:paraId="43BC6B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color w:val="000000" w:themeColor="text1"/>
                <w:highlight w:val="none"/>
                <w14:textFill>
                  <w14:solidFill>
                    <w14:schemeClr w14:val="tx1"/>
                  </w14:solidFill>
                </w14:textFill>
              </w:rPr>
            </w:pPr>
          </w:p>
        </w:tc>
      </w:tr>
    </w:tbl>
    <w:p w14:paraId="4C5F43B2">
      <w:pPr>
        <w:rPr>
          <w:rFonts w:ascii="宋体"/>
          <w:color w:val="000000" w:themeColor="text1"/>
          <w:highlight w:val="none"/>
          <w14:textFill>
            <w14:solidFill>
              <w14:schemeClr w14:val="tx1"/>
            </w14:solidFill>
          </w14:textFill>
        </w:rPr>
        <w:sectPr>
          <w:pgSz w:w="11905" w:h="16838"/>
          <w:pgMar w:top="1474" w:right="1474" w:bottom="1474" w:left="1474" w:header="850" w:footer="850" w:gutter="0"/>
          <w:pgBorders>
            <w:top w:val="none" w:sz="0" w:space="0"/>
            <w:left w:val="none" w:sz="0" w:space="0"/>
            <w:bottom w:val="none" w:sz="0" w:space="0"/>
            <w:right w:val="none" w:sz="0" w:space="0"/>
          </w:pgBorders>
          <w:pgNumType w:fmt="decimal"/>
          <w:cols w:space="0" w:num="1"/>
          <w:docGrid w:linePitch="312" w:charSpace="0"/>
        </w:sectPr>
      </w:pPr>
    </w:p>
    <w:p w14:paraId="2EF986FD">
      <w:pPr>
        <w:bidi w:val="0"/>
        <w:rPr>
          <w:rFonts w:ascii="黑体" w:hAnsi="黑体" w:eastAsia="黑体"/>
          <w:snapToGrid w:val="0"/>
          <w:color w:val="000000" w:themeColor="text1"/>
          <w:szCs w:val="32"/>
          <w:highlight w:val="none"/>
          <w14:textFill>
            <w14:solidFill>
              <w14:schemeClr w14:val="tx1"/>
            </w14:solidFill>
          </w14:textFill>
        </w:rPr>
      </w:pPr>
      <w:r>
        <w:rPr>
          <w:rFonts w:hint="eastAsia" w:ascii="黑体" w:hAnsi="黑体" w:eastAsia="黑体" w:cs="黑体"/>
          <w:b w:val="0"/>
          <w:bCs w:val="0"/>
          <w:color w:val="000000" w:themeColor="text1"/>
          <w:sz w:val="32"/>
          <w:szCs w:val="32"/>
          <w:highlight w:val="none"/>
          <w14:textFill>
            <w14:solidFill>
              <w14:schemeClr w14:val="tx1"/>
            </w14:solidFill>
          </w14:textFill>
        </w:rPr>
        <w:t>附表</w:t>
      </w:r>
    </w:p>
    <w:p w14:paraId="5BCEB08C">
      <w:pPr>
        <w:adjustRightInd w:val="0"/>
        <w:snapToGrid w:val="0"/>
        <w:spacing w:before="0" w:beforeAutospacing="0" w:after="0" w:afterAutospacing="0"/>
        <w:jc w:val="center"/>
        <w:outlineLvl w:val="0"/>
        <w:rPr>
          <w:rFonts w:ascii="方正小标宋_GBK" w:hAnsi="黑体" w:eastAsia="方正小标宋_GBK"/>
          <w:snapToGrid w:val="0"/>
          <w:color w:val="000000" w:themeColor="text1"/>
          <w:sz w:val="28"/>
          <w:szCs w:val="28"/>
          <w:highlight w:val="none"/>
          <w14:textFill>
            <w14:solidFill>
              <w14:schemeClr w14:val="tx1"/>
            </w14:solidFill>
          </w14:textFill>
        </w:rPr>
      </w:pPr>
      <w:r>
        <w:rPr>
          <w:rFonts w:hint="eastAsia" w:ascii="方正小标宋_GBK" w:hAnsi="黑体" w:eastAsia="方正小标宋_GBK"/>
          <w:snapToGrid w:val="0"/>
          <w:color w:val="000000" w:themeColor="text1"/>
          <w:sz w:val="28"/>
          <w:szCs w:val="28"/>
          <w:highlight w:val="none"/>
          <w14:textFill>
            <w14:solidFill>
              <w14:schemeClr w14:val="tx1"/>
            </w14:solidFill>
          </w14:textFill>
        </w:rPr>
        <w:t>建设项目污染物排放量汇总表</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6"/>
        <w:gridCol w:w="755"/>
        <w:gridCol w:w="1709"/>
        <w:gridCol w:w="1518"/>
        <w:gridCol w:w="1518"/>
        <w:gridCol w:w="1518"/>
        <w:gridCol w:w="1518"/>
        <w:gridCol w:w="1518"/>
        <w:gridCol w:w="1518"/>
        <w:gridCol w:w="1518"/>
      </w:tblGrid>
      <w:tr w14:paraId="464D0C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dxa"/>
            <w:gridSpan w:val="2"/>
            <w:tcBorders>
              <w:tl2br w:val="single" w:color="auto" w:sz="4" w:space="0"/>
            </w:tcBorders>
            <w:tcMar>
              <w:left w:w="28" w:type="dxa"/>
              <w:right w:w="28" w:type="dxa"/>
            </w:tcMar>
            <w:vAlign w:val="center"/>
          </w:tcPr>
          <w:p w14:paraId="38DC6E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right"/>
              <w:textAlignment w:val="auto"/>
              <w:rPr>
                <w:rFonts w:hint="default" w:ascii="黑体" w:hAnsi="黑体" w:eastAsia="黑体" w:cs="宋体"/>
                <w:snapToGrid w:val="0"/>
                <w:color w:val="000000" w:themeColor="text1"/>
                <w:spacing w:val="-6"/>
                <w:kern w:val="21"/>
                <w:sz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项目</w:t>
            </w:r>
          </w:p>
          <w:p w14:paraId="524823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黑体" w:hAnsi="黑体" w:eastAsia="黑体" w:cs="宋体"/>
                <w:snapToGrid w:val="0"/>
                <w:color w:val="000000" w:themeColor="text1"/>
                <w:spacing w:val="-6"/>
                <w:kern w:val="21"/>
                <w:sz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分类</w:t>
            </w:r>
          </w:p>
        </w:tc>
        <w:tc>
          <w:tcPr>
            <w:tcW w:w="1709" w:type="dxa"/>
            <w:tcMar>
              <w:left w:w="28" w:type="dxa"/>
              <w:right w:w="28" w:type="dxa"/>
            </w:tcMar>
            <w:vAlign w:val="center"/>
          </w:tcPr>
          <w:p w14:paraId="69E5781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cs="宋体"/>
                <w:snapToGrid w:val="0"/>
                <w:color w:val="000000" w:themeColor="text1"/>
                <w:spacing w:val="-6"/>
                <w:kern w:val="21"/>
                <w:sz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污染物名称</w:t>
            </w:r>
          </w:p>
        </w:tc>
        <w:tc>
          <w:tcPr>
            <w:tcW w:w="1518" w:type="dxa"/>
            <w:tcMar>
              <w:left w:w="28" w:type="dxa"/>
              <w:right w:w="28" w:type="dxa"/>
            </w:tcMar>
            <w:vAlign w:val="center"/>
          </w:tcPr>
          <w:p w14:paraId="18117A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现有工程</w:t>
            </w:r>
          </w:p>
          <w:p w14:paraId="2C743D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6"/>
                <w:kern w:val="21"/>
                <w:sz w:val="21"/>
                <w:szCs w:val="21"/>
                <w:highlight w:val="none"/>
                <w14:textFill>
                  <w14:solidFill>
                    <w14:schemeClr w14:val="tx1"/>
                  </w14:solidFill>
                </w14:textFill>
              </w:rPr>
              <w:instrText xml:space="preserve"> = 1 \* GB3 \* MERGEFORMAT </w:instrTex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①</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1A00714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现有工程</w:t>
            </w:r>
          </w:p>
          <w:p w14:paraId="5BECB1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许可排放量</w:t>
            </w:r>
          </w:p>
          <w:p w14:paraId="244E83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6"/>
                <w:kern w:val="21"/>
                <w:sz w:val="21"/>
                <w:szCs w:val="21"/>
                <w:highlight w:val="none"/>
                <w14:textFill>
                  <w14:solidFill>
                    <w14:schemeClr w14:val="tx1"/>
                  </w14:solidFill>
                </w14:textFill>
              </w:rPr>
              <w:instrText xml:space="preserve"> = 2 \* GB3 \* MERGEFORMAT </w:instrTex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②</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034A8C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在建工程</w:t>
            </w:r>
          </w:p>
          <w:p w14:paraId="7C99E8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6"/>
                <w:kern w:val="21"/>
                <w:sz w:val="21"/>
                <w:szCs w:val="21"/>
                <w:highlight w:val="none"/>
                <w14:textFill>
                  <w14:solidFill>
                    <w14:schemeClr w14:val="tx1"/>
                  </w14:solidFill>
                </w14:textFill>
              </w:rPr>
              <w:instrText xml:space="preserve"> = 3 \* GB3 \* MERGEFORMAT </w:instrTex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③</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3EB047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本项目</w:t>
            </w:r>
          </w:p>
          <w:p w14:paraId="594319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6"/>
                <w:kern w:val="21"/>
                <w:sz w:val="21"/>
                <w:szCs w:val="21"/>
                <w:highlight w:val="none"/>
                <w14:textFill>
                  <w14:solidFill>
                    <w14:schemeClr w14:val="tx1"/>
                  </w14:solidFill>
                </w14:textFill>
              </w:rPr>
              <w:instrText xml:space="preserve"> = 4 \* GB3 \* MERGEFORMAT </w:instrTex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④</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19B45C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16"/>
                <w:kern w:val="21"/>
                <w:sz w:val="21"/>
                <w:szCs w:val="21"/>
                <w:highlight w:val="none"/>
                <w14:textFill>
                  <w14:solidFill>
                    <w14:schemeClr w14:val="tx1"/>
                  </w14:solidFill>
                </w14:textFill>
              </w:rPr>
            </w:pPr>
            <w:r>
              <w:rPr>
                <w:rFonts w:hint="default" w:ascii="黑体" w:hAnsi="黑体" w:eastAsia="黑体"/>
                <w:snapToGrid w:val="0"/>
                <w:color w:val="000000" w:themeColor="text1"/>
                <w:spacing w:val="-16"/>
                <w:kern w:val="21"/>
                <w:sz w:val="21"/>
                <w:szCs w:val="21"/>
                <w:highlight w:val="none"/>
                <w14:textFill>
                  <w14:solidFill>
                    <w14:schemeClr w14:val="tx1"/>
                  </w14:solidFill>
                </w14:textFill>
              </w:rPr>
              <w:t>以新带老削减量</w:t>
            </w:r>
          </w:p>
          <w:p w14:paraId="0C5273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16"/>
                <w:kern w:val="21"/>
                <w:sz w:val="21"/>
                <w:szCs w:val="21"/>
                <w:highlight w:val="none"/>
                <w14:textFill>
                  <w14:solidFill>
                    <w14:schemeClr w14:val="tx1"/>
                  </w14:solidFill>
                </w14:textFill>
              </w:rPr>
            </w:pPr>
            <w:r>
              <w:rPr>
                <w:rFonts w:hint="default" w:ascii="黑体" w:hAnsi="黑体" w:eastAsia="黑体"/>
                <w:snapToGrid w:val="0"/>
                <w:color w:val="000000" w:themeColor="text1"/>
                <w:spacing w:val="-16"/>
                <w:kern w:val="21"/>
                <w:sz w:val="21"/>
                <w:szCs w:val="21"/>
                <w:highlight w:val="none"/>
                <w14:textFill>
                  <w14:solidFill>
                    <w14:schemeClr w14:val="tx1"/>
                  </w14:solidFill>
                </w14:textFill>
              </w:rPr>
              <w:t>（新建项目不填）</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instrText xml:space="preserve"> = 5 \* GB3 \* MERGEFORMAT </w:instrTex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⑤</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0F2C882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16"/>
                <w:kern w:val="21"/>
                <w:sz w:val="21"/>
                <w:szCs w:val="21"/>
                <w:highlight w:val="none"/>
                <w14:textFill>
                  <w14:solidFill>
                    <w14:schemeClr w14:val="tx1"/>
                  </w14:solidFill>
                </w14:textFill>
              </w:rPr>
            </w:pPr>
            <w:r>
              <w:rPr>
                <w:rFonts w:hint="default" w:ascii="黑体" w:hAnsi="黑体" w:eastAsia="黑体"/>
                <w:snapToGrid w:val="0"/>
                <w:color w:val="000000" w:themeColor="text1"/>
                <w:spacing w:val="-16"/>
                <w:kern w:val="21"/>
                <w:sz w:val="21"/>
                <w:szCs w:val="21"/>
                <w:highlight w:val="none"/>
                <w14:textFill>
                  <w14:solidFill>
                    <w14:schemeClr w14:val="tx1"/>
                  </w14:solidFill>
                </w14:textFill>
              </w:rPr>
              <w:t>本项目建成后</w:t>
            </w:r>
          </w:p>
          <w:p w14:paraId="4CD4A5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16"/>
                <w:kern w:val="21"/>
                <w:sz w:val="21"/>
                <w:szCs w:val="21"/>
                <w:highlight w:val="none"/>
                <w14:textFill>
                  <w14:solidFill>
                    <w14:schemeClr w14:val="tx1"/>
                  </w14:solidFill>
                </w14:textFill>
              </w:rPr>
            </w:pP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全厂</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体</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物</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t>产生量）</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instrText xml:space="preserve"> = 6 \* GB3 \* MERGEFORMAT </w:instrTex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⑥</w:t>
            </w:r>
            <w:r>
              <w:rPr>
                <w:rFonts w:hint="default" w:ascii="黑体" w:hAnsi="黑体" w:eastAsia="黑体"/>
                <w:snapToGrid w:val="0"/>
                <w:color w:val="000000" w:themeColor="text1"/>
                <w:spacing w:val="-16"/>
                <w:kern w:val="21"/>
                <w:sz w:val="21"/>
                <w:szCs w:val="21"/>
                <w:highlight w:val="none"/>
                <w14:textFill>
                  <w14:solidFill>
                    <w14:schemeClr w14:val="tx1"/>
                  </w14:solidFill>
                </w14:textFill>
              </w:rPr>
              <w:fldChar w:fldCharType="end"/>
            </w:r>
          </w:p>
        </w:tc>
        <w:tc>
          <w:tcPr>
            <w:tcW w:w="1518" w:type="dxa"/>
            <w:tcMar>
              <w:left w:w="28" w:type="dxa"/>
              <w:right w:w="28" w:type="dxa"/>
            </w:tcMar>
            <w:vAlign w:val="center"/>
          </w:tcPr>
          <w:p w14:paraId="4F733AB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t>变化量</w:t>
            </w:r>
          </w:p>
          <w:p w14:paraId="4E953D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黑体" w:hAnsi="黑体" w:eastAsia="黑体"/>
                <w:snapToGrid w:val="0"/>
                <w:color w:val="000000" w:themeColor="text1"/>
                <w:spacing w:val="-6"/>
                <w:kern w:val="21"/>
                <w:sz w:val="21"/>
                <w:szCs w:val="21"/>
                <w:highlight w:val="none"/>
                <w14:textFill>
                  <w14:solidFill>
                    <w14:schemeClr w14:val="tx1"/>
                  </w14:solidFill>
                </w14:textFill>
              </w:rPr>
            </w:pP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hint="default" w:ascii="黑体" w:hAnsi="黑体" w:eastAsia="黑体"/>
                <w:snapToGrid w:val="0"/>
                <w:color w:val="000000" w:themeColor="text1"/>
                <w:spacing w:val="-6"/>
                <w:kern w:val="21"/>
                <w:sz w:val="21"/>
                <w:szCs w:val="21"/>
                <w:highlight w:val="none"/>
                <w14:textFill>
                  <w14:solidFill>
                    <w14:schemeClr w14:val="tx1"/>
                  </w14:solidFill>
                </w14:textFill>
              </w:rPr>
              <w:instrText xml:space="preserve"> = 7 \* GB3 \* MERGEFORMAT </w:instrTex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sz w:val="21"/>
                <w:szCs w:val="21"/>
                <w:highlight w:val="none"/>
                <w14:textFill>
                  <w14:solidFill>
                    <w14:schemeClr w14:val="tx1"/>
                  </w14:solidFill>
                </w14:textFill>
              </w:rPr>
              <w:t>⑦</w:t>
            </w:r>
            <w:r>
              <w:rPr>
                <w:rFonts w:hint="default"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r>
      <w:tr w14:paraId="76024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271" w:type="dxa"/>
            <w:gridSpan w:val="2"/>
            <w:vAlign w:val="center"/>
          </w:tcPr>
          <w:p w14:paraId="5BB32E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14:textFill>
                  <w14:solidFill>
                    <w14:schemeClr w14:val="tx1"/>
                  </w14:solidFill>
                </w14:textFill>
              </w:rPr>
              <w:t>废气</w:t>
            </w:r>
          </w:p>
        </w:tc>
        <w:tc>
          <w:tcPr>
            <w:tcW w:w="1709" w:type="dxa"/>
            <w:vAlign w:val="center"/>
          </w:tcPr>
          <w:p w14:paraId="5A7D375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7A00DE1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640A9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157C90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7A0476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18425C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6E31EC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41A99EF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r>
      <w:tr w14:paraId="609BF5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dxa"/>
            <w:gridSpan w:val="2"/>
            <w:vMerge w:val="restart"/>
            <w:vAlign w:val="center"/>
          </w:tcPr>
          <w:p w14:paraId="1CF317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14:textFill>
                  <w14:solidFill>
                    <w14:schemeClr w14:val="tx1"/>
                  </w14:solidFill>
                </w14:textFill>
              </w:rPr>
              <w:t>废水</w:t>
            </w:r>
          </w:p>
        </w:tc>
        <w:tc>
          <w:tcPr>
            <w:tcW w:w="1709" w:type="dxa"/>
            <w:vAlign w:val="center"/>
          </w:tcPr>
          <w:p w14:paraId="49EBD68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14:textFill>
                  <w14:solidFill>
                    <w14:schemeClr w14:val="tx1"/>
                  </w14:solidFill>
                </w14:textFill>
              </w:rPr>
              <w:t>COD</w:t>
            </w:r>
            <w:r>
              <w:rPr>
                <w:rFonts w:hint="eastAsia" w:hAnsi="宋体" w:cs="宋体"/>
                <w:snapToGrid w:val="0"/>
                <w:color w:val="000000" w:themeColor="text1"/>
                <w:kern w:val="21"/>
                <w:sz w:val="21"/>
                <w:szCs w:val="21"/>
                <w:highlight w:val="none"/>
                <w:lang w:val="en-US" w:eastAsia="zh-CN"/>
                <w14:textFill>
                  <w14:solidFill>
                    <w14:schemeClr w14:val="tx1"/>
                  </w14:solidFill>
                </w14:textFill>
              </w:rPr>
              <w:t>cr</w:t>
            </w:r>
          </w:p>
        </w:tc>
        <w:tc>
          <w:tcPr>
            <w:tcW w:w="1518" w:type="dxa"/>
            <w:vAlign w:val="center"/>
          </w:tcPr>
          <w:p w14:paraId="774249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0.1188t/a</w:t>
            </w:r>
          </w:p>
        </w:tc>
        <w:tc>
          <w:tcPr>
            <w:tcW w:w="1518" w:type="dxa"/>
            <w:vAlign w:val="center"/>
          </w:tcPr>
          <w:p w14:paraId="788E63A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0.326t/a</w:t>
            </w:r>
          </w:p>
        </w:tc>
        <w:tc>
          <w:tcPr>
            <w:tcW w:w="1518" w:type="dxa"/>
            <w:vAlign w:val="center"/>
          </w:tcPr>
          <w:p w14:paraId="364EEC7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1289AA1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2.6965t/a</w:t>
            </w:r>
          </w:p>
        </w:tc>
        <w:tc>
          <w:tcPr>
            <w:tcW w:w="1518" w:type="dxa"/>
            <w:vAlign w:val="center"/>
          </w:tcPr>
          <w:p w14:paraId="7F2F537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E6E23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2.8153</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3C6DB48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+2.6965t/a</w:t>
            </w:r>
          </w:p>
        </w:tc>
      </w:tr>
      <w:tr w14:paraId="21EF17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dxa"/>
            <w:gridSpan w:val="2"/>
            <w:vMerge w:val="continue"/>
            <w:vAlign w:val="center"/>
          </w:tcPr>
          <w:p w14:paraId="2AE908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14:textFill>
                  <w14:solidFill>
                    <w14:schemeClr w14:val="tx1"/>
                  </w14:solidFill>
                </w14:textFill>
              </w:rPr>
            </w:pPr>
          </w:p>
        </w:tc>
        <w:tc>
          <w:tcPr>
            <w:tcW w:w="1709" w:type="dxa"/>
            <w:vAlign w:val="center"/>
          </w:tcPr>
          <w:p w14:paraId="7A5C166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BOD</w:t>
            </w:r>
            <w:r>
              <w:rPr>
                <w:rFonts w:hint="eastAsia" w:hAnsi="宋体" w:cs="宋体"/>
                <w:snapToGrid w:val="0"/>
                <w:color w:val="000000" w:themeColor="text1"/>
                <w:kern w:val="21"/>
                <w:sz w:val="21"/>
                <w:szCs w:val="21"/>
                <w:highlight w:val="none"/>
                <w:vertAlign w:val="subscript"/>
                <w:lang w:val="en-US" w:eastAsia="zh-CN"/>
                <w14:textFill>
                  <w14:solidFill>
                    <w14:schemeClr w14:val="tx1"/>
                  </w14:solidFill>
                </w14:textFill>
              </w:rPr>
              <w:t>5</w:t>
            </w:r>
          </w:p>
        </w:tc>
        <w:tc>
          <w:tcPr>
            <w:tcW w:w="1518" w:type="dxa"/>
            <w:vAlign w:val="center"/>
          </w:tcPr>
          <w:p w14:paraId="00F647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0.03456t/a</w:t>
            </w:r>
          </w:p>
        </w:tc>
        <w:tc>
          <w:tcPr>
            <w:tcW w:w="1518" w:type="dxa"/>
            <w:vAlign w:val="center"/>
          </w:tcPr>
          <w:p w14:paraId="289B06D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5EDEEC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5F9F3D3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1.8758t/a</w:t>
            </w:r>
          </w:p>
        </w:tc>
        <w:tc>
          <w:tcPr>
            <w:tcW w:w="1518" w:type="dxa"/>
            <w:vAlign w:val="center"/>
          </w:tcPr>
          <w:p w14:paraId="1348A7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58C953D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1.91036</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0387D63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+1.8758t/a</w:t>
            </w:r>
          </w:p>
        </w:tc>
      </w:tr>
      <w:tr w14:paraId="67E20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dxa"/>
            <w:gridSpan w:val="2"/>
            <w:vMerge w:val="continue"/>
            <w:vAlign w:val="center"/>
          </w:tcPr>
          <w:p w14:paraId="5D0716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14:textFill>
                  <w14:solidFill>
                    <w14:schemeClr w14:val="tx1"/>
                  </w14:solidFill>
                </w14:textFill>
              </w:rPr>
            </w:pPr>
          </w:p>
        </w:tc>
        <w:tc>
          <w:tcPr>
            <w:tcW w:w="1709" w:type="dxa"/>
            <w:vAlign w:val="center"/>
          </w:tcPr>
          <w:p w14:paraId="33C0D7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SS</w:t>
            </w:r>
          </w:p>
        </w:tc>
        <w:tc>
          <w:tcPr>
            <w:tcW w:w="1518" w:type="dxa"/>
            <w:vAlign w:val="center"/>
          </w:tcPr>
          <w:p w14:paraId="221F22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0.054t/a</w:t>
            </w:r>
          </w:p>
        </w:tc>
        <w:tc>
          <w:tcPr>
            <w:tcW w:w="1518" w:type="dxa"/>
            <w:vAlign w:val="center"/>
          </w:tcPr>
          <w:p w14:paraId="3AB9AAC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39F7989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3218007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0.53319t/a</w:t>
            </w:r>
          </w:p>
        </w:tc>
        <w:tc>
          <w:tcPr>
            <w:tcW w:w="1518" w:type="dxa"/>
            <w:vAlign w:val="center"/>
          </w:tcPr>
          <w:p w14:paraId="42097E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82E63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0.58719</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033703A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+0.53319t/a</w:t>
            </w:r>
          </w:p>
        </w:tc>
      </w:tr>
      <w:tr w14:paraId="143E38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dxa"/>
            <w:gridSpan w:val="2"/>
            <w:vMerge w:val="continue"/>
            <w:vAlign w:val="center"/>
          </w:tcPr>
          <w:p w14:paraId="09D105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p>
        </w:tc>
        <w:tc>
          <w:tcPr>
            <w:tcW w:w="1709" w:type="dxa"/>
            <w:vAlign w:val="center"/>
          </w:tcPr>
          <w:p w14:paraId="08FEF9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14:textFill>
                  <w14:solidFill>
                    <w14:schemeClr w14:val="tx1"/>
                  </w14:solidFill>
                </w14:textFill>
              </w:rPr>
              <w:t>氨氮</w:t>
            </w:r>
          </w:p>
        </w:tc>
        <w:tc>
          <w:tcPr>
            <w:tcW w:w="1518" w:type="dxa"/>
            <w:vAlign w:val="center"/>
          </w:tcPr>
          <w:p w14:paraId="2F316D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0.0003132t/a</w:t>
            </w:r>
          </w:p>
        </w:tc>
        <w:tc>
          <w:tcPr>
            <w:tcW w:w="1518" w:type="dxa"/>
            <w:vAlign w:val="center"/>
          </w:tcPr>
          <w:p w14:paraId="045E48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0.016t/a</w:t>
            </w:r>
          </w:p>
        </w:tc>
        <w:tc>
          <w:tcPr>
            <w:tcW w:w="1518" w:type="dxa"/>
            <w:vAlign w:val="center"/>
          </w:tcPr>
          <w:p w14:paraId="2205681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4FE2EB6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0.8927t/a</w:t>
            </w:r>
          </w:p>
        </w:tc>
        <w:tc>
          <w:tcPr>
            <w:tcW w:w="1518" w:type="dxa"/>
            <w:vAlign w:val="center"/>
          </w:tcPr>
          <w:p w14:paraId="031469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68B2F6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0.8930132</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77D5587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+0.8927t/a</w:t>
            </w:r>
          </w:p>
        </w:tc>
      </w:tr>
      <w:tr w14:paraId="03D48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restart"/>
            <w:vAlign w:val="center"/>
          </w:tcPr>
          <w:p w14:paraId="598974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固体废物</w:t>
            </w:r>
          </w:p>
        </w:tc>
        <w:tc>
          <w:tcPr>
            <w:tcW w:w="2464" w:type="dxa"/>
            <w:gridSpan w:val="2"/>
            <w:vAlign w:val="center"/>
          </w:tcPr>
          <w:p w14:paraId="3CCDC5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 w:val="21"/>
                <w:szCs w:val="21"/>
                <w:highlight w:val="none"/>
                <w:lang w:val="en-US" w:eastAsia="zh-CN" w:bidi="ar-SA"/>
                <w14:textFill>
                  <w14:solidFill>
                    <w14:schemeClr w14:val="tx1"/>
                  </w14:solidFill>
                </w14:textFill>
              </w:rPr>
              <w:t>生活垃圾</w:t>
            </w:r>
          </w:p>
        </w:tc>
        <w:tc>
          <w:tcPr>
            <w:tcW w:w="1518" w:type="dxa"/>
            <w:vAlign w:val="center"/>
          </w:tcPr>
          <w:p w14:paraId="1D7D362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56.1t/a</w:t>
            </w:r>
          </w:p>
        </w:tc>
        <w:tc>
          <w:tcPr>
            <w:tcW w:w="1518" w:type="dxa"/>
            <w:vAlign w:val="center"/>
          </w:tcPr>
          <w:p w14:paraId="228E83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56.1t/a</w:t>
            </w:r>
          </w:p>
        </w:tc>
        <w:tc>
          <w:tcPr>
            <w:tcW w:w="1518" w:type="dxa"/>
            <w:vAlign w:val="center"/>
          </w:tcPr>
          <w:p w14:paraId="46D408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6A5E586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144.548t/a</w:t>
            </w:r>
          </w:p>
        </w:tc>
        <w:tc>
          <w:tcPr>
            <w:tcW w:w="1518" w:type="dxa"/>
            <w:vAlign w:val="center"/>
          </w:tcPr>
          <w:p w14:paraId="289029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7DE6CC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200.648</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3061C4F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+144.548t/a</w:t>
            </w:r>
          </w:p>
        </w:tc>
      </w:tr>
      <w:tr w14:paraId="2E5FB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continue"/>
            <w:vAlign w:val="center"/>
          </w:tcPr>
          <w:p w14:paraId="27E92C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p>
        </w:tc>
        <w:tc>
          <w:tcPr>
            <w:tcW w:w="755" w:type="dxa"/>
            <w:vMerge w:val="restart"/>
            <w:vAlign w:val="center"/>
          </w:tcPr>
          <w:p w14:paraId="597718A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 w:val="21"/>
                <w:szCs w:val="21"/>
                <w:highlight w:val="none"/>
                <w:lang w:val="en-US" w:eastAsia="zh-CN" w:bidi="ar-SA"/>
                <w14:textFill>
                  <w14:solidFill>
                    <w14:schemeClr w14:val="tx1"/>
                  </w14:solidFill>
                </w14:textFill>
              </w:rPr>
              <w:t>一般固体废物</w:t>
            </w:r>
          </w:p>
        </w:tc>
        <w:tc>
          <w:tcPr>
            <w:tcW w:w="1709" w:type="dxa"/>
            <w:vAlign w:val="center"/>
          </w:tcPr>
          <w:p w14:paraId="464D94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无害的医药外包装物</w:t>
            </w:r>
          </w:p>
        </w:tc>
        <w:tc>
          <w:tcPr>
            <w:tcW w:w="1518" w:type="dxa"/>
            <w:vAlign w:val="center"/>
          </w:tcPr>
          <w:p w14:paraId="7830B8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2.38t/a</w:t>
            </w:r>
          </w:p>
        </w:tc>
        <w:tc>
          <w:tcPr>
            <w:tcW w:w="1518" w:type="dxa"/>
            <w:vAlign w:val="center"/>
          </w:tcPr>
          <w:p w14:paraId="6363B2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2.38t/a</w:t>
            </w:r>
          </w:p>
        </w:tc>
        <w:tc>
          <w:tcPr>
            <w:tcW w:w="1518" w:type="dxa"/>
            <w:vAlign w:val="center"/>
          </w:tcPr>
          <w:p w14:paraId="22FF1E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356402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3t/a</w:t>
            </w:r>
          </w:p>
        </w:tc>
        <w:tc>
          <w:tcPr>
            <w:tcW w:w="1518" w:type="dxa"/>
            <w:vAlign w:val="center"/>
          </w:tcPr>
          <w:p w14:paraId="1884D5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41EDD8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5.38</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0E2E021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+3t/a</w:t>
            </w:r>
          </w:p>
        </w:tc>
      </w:tr>
      <w:tr w14:paraId="24EEBA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continue"/>
            <w:vAlign w:val="center"/>
          </w:tcPr>
          <w:p w14:paraId="7A586F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p>
        </w:tc>
        <w:tc>
          <w:tcPr>
            <w:tcW w:w="755" w:type="dxa"/>
            <w:vMerge w:val="continue"/>
            <w:vAlign w:val="center"/>
          </w:tcPr>
          <w:p w14:paraId="2016F2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bidi="ar-SA"/>
                <w14:textFill>
                  <w14:solidFill>
                    <w14:schemeClr w14:val="tx1"/>
                  </w14:solidFill>
                </w14:textFill>
              </w:rPr>
            </w:pPr>
          </w:p>
        </w:tc>
        <w:tc>
          <w:tcPr>
            <w:tcW w:w="1709" w:type="dxa"/>
            <w:vAlign w:val="center"/>
          </w:tcPr>
          <w:p w14:paraId="3070A40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未被污染的一次性输液瓶（袋）</w:t>
            </w:r>
          </w:p>
        </w:tc>
        <w:tc>
          <w:tcPr>
            <w:tcW w:w="1518" w:type="dxa"/>
            <w:vAlign w:val="center"/>
          </w:tcPr>
          <w:p w14:paraId="074B86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w:t>
            </w:r>
          </w:p>
        </w:tc>
        <w:tc>
          <w:tcPr>
            <w:tcW w:w="1518" w:type="dxa"/>
            <w:vAlign w:val="center"/>
          </w:tcPr>
          <w:p w14:paraId="06EE96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w:t>
            </w:r>
          </w:p>
        </w:tc>
        <w:tc>
          <w:tcPr>
            <w:tcW w:w="1518" w:type="dxa"/>
            <w:vAlign w:val="center"/>
          </w:tcPr>
          <w:p w14:paraId="13865E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176CA5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2t/a</w:t>
            </w:r>
          </w:p>
        </w:tc>
        <w:tc>
          <w:tcPr>
            <w:tcW w:w="1518" w:type="dxa"/>
            <w:vAlign w:val="center"/>
          </w:tcPr>
          <w:p w14:paraId="4BC90A0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0F548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2</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1184337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+2t/a</w:t>
            </w:r>
          </w:p>
        </w:tc>
      </w:tr>
      <w:tr w14:paraId="6F605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continue"/>
            <w:vAlign w:val="center"/>
          </w:tcPr>
          <w:p w14:paraId="41AD07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p>
        </w:tc>
        <w:tc>
          <w:tcPr>
            <w:tcW w:w="755" w:type="dxa"/>
            <w:vMerge w:val="restart"/>
            <w:vAlign w:val="center"/>
          </w:tcPr>
          <w:p w14:paraId="713373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宋体" w:eastAsia="宋体" w:cs="宋体"/>
                <w:snapToGrid w:val="0"/>
                <w:color w:val="000000" w:themeColor="text1"/>
                <w:kern w:val="21"/>
                <w:sz w:val="21"/>
                <w:szCs w:val="21"/>
                <w:highlight w:val="none"/>
                <w:lang w:val="en-US" w:eastAsia="zh-CN" w:bidi="ar-SA"/>
                <w14:textFill>
                  <w14:solidFill>
                    <w14:schemeClr w14:val="tx1"/>
                  </w14:solidFill>
                </w14:textFill>
              </w:rPr>
            </w:pPr>
            <w:r>
              <w:rPr>
                <w:rFonts w:hint="eastAsia" w:hAnsi="宋体" w:cs="宋体"/>
                <w:snapToGrid w:val="0"/>
                <w:color w:val="000000" w:themeColor="text1"/>
                <w:kern w:val="21"/>
                <w:sz w:val="21"/>
                <w:szCs w:val="21"/>
                <w:highlight w:val="none"/>
                <w:lang w:val="en-US" w:eastAsia="zh-CN" w:bidi="ar-SA"/>
                <w14:textFill>
                  <w14:solidFill>
                    <w14:schemeClr w14:val="tx1"/>
                  </w14:solidFill>
                </w14:textFill>
              </w:rPr>
              <w:t>危险废物</w:t>
            </w:r>
          </w:p>
        </w:tc>
        <w:tc>
          <w:tcPr>
            <w:tcW w:w="1709" w:type="dxa"/>
            <w:vAlign w:val="center"/>
          </w:tcPr>
          <w:p w14:paraId="180EAD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医疗废物</w:t>
            </w:r>
          </w:p>
        </w:tc>
        <w:tc>
          <w:tcPr>
            <w:tcW w:w="1518" w:type="dxa"/>
            <w:vAlign w:val="center"/>
          </w:tcPr>
          <w:p w14:paraId="19D5DE5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73t/a</w:t>
            </w:r>
          </w:p>
        </w:tc>
        <w:tc>
          <w:tcPr>
            <w:tcW w:w="1518" w:type="dxa"/>
            <w:vAlign w:val="center"/>
          </w:tcPr>
          <w:p w14:paraId="264E36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73t/a</w:t>
            </w:r>
          </w:p>
        </w:tc>
        <w:tc>
          <w:tcPr>
            <w:tcW w:w="1518" w:type="dxa"/>
            <w:vAlign w:val="center"/>
          </w:tcPr>
          <w:p w14:paraId="11D1FB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44F28D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38.39t/a</w:t>
            </w:r>
          </w:p>
        </w:tc>
        <w:tc>
          <w:tcPr>
            <w:tcW w:w="1518" w:type="dxa"/>
            <w:vAlign w:val="center"/>
          </w:tcPr>
          <w:p w14:paraId="735E41F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639009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111.39</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08FCBC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+38.39t/a</w:t>
            </w:r>
          </w:p>
        </w:tc>
      </w:tr>
      <w:tr w14:paraId="1593AF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continue"/>
            <w:vAlign w:val="center"/>
          </w:tcPr>
          <w:p w14:paraId="757B6E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14:textFill>
                  <w14:solidFill>
                    <w14:schemeClr w14:val="tx1"/>
                  </w14:solidFill>
                </w14:textFill>
              </w:rPr>
            </w:pPr>
          </w:p>
        </w:tc>
        <w:tc>
          <w:tcPr>
            <w:tcW w:w="755" w:type="dxa"/>
            <w:vMerge w:val="continue"/>
            <w:vAlign w:val="center"/>
          </w:tcPr>
          <w:p w14:paraId="3BED6F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bidi="ar-SA"/>
                <w14:textFill>
                  <w14:solidFill>
                    <w14:schemeClr w14:val="tx1"/>
                  </w14:solidFill>
                </w14:textFill>
              </w:rPr>
            </w:pPr>
          </w:p>
        </w:tc>
        <w:tc>
          <w:tcPr>
            <w:tcW w:w="1709" w:type="dxa"/>
            <w:vAlign w:val="center"/>
          </w:tcPr>
          <w:p w14:paraId="1C09E7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消毒剂沾染物</w:t>
            </w:r>
          </w:p>
        </w:tc>
        <w:tc>
          <w:tcPr>
            <w:tcW w:w="1518" w:type="dxa"/>
            <w:vAlign w:val="center"/>
          </w:tcPr>
          <w:p w14:paraId="14AAE0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0.02t/a</w:t>
            </w:r>
          </w:p>
        </w:tc>
        <w:tc>
          <w:tcPr>
            <w:tcW w:w="1518" w:type="dxa"/>
            <w:vAlign w:val="center"/>
          </w:tcPr>
          <w:p w14:paraId="06B9D73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0.02t/a</w:t>
            </w:r>
          </w:p>
        </w:tc>
        <w:tc>
          <w:tcPr>
            <w:tcW w:w="1518" w:type="dxa"/>
            <w:vAlign w:val="center"/>
          </w:tcPr>
          <w:p w14:paraId="40B5B3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0313DC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1t/a</w:t>
            </w:r>
          </w:p>
        </w:tc>
        <w:tc>
          <w:tcPr>
            <w:tcW w:w="1518" w:type="dxa"/>
            <w:vAlign w:val="center"/>
          </w:tcPr>
          <w:p w14:paraId="524C72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6990B9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1.02</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0576135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+1t/a</w:t>
            </w:r>
          </w:p>
        </w:tc>
      </w:tr>
      <w:tr w14:paraId="585BA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vMerge w:val="continue"/>
            <w:vAlign w:val="center"/>
          </w:tcPr>
          <w:p w14:paraId="117EA01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hAnsi="宋体" w:cs="宋体"/>
                <w:snapToGrid w:val="0"/>
                <w:color w:val="000000" w:themeColor="text1"/>
                <w:kern w:val="21"/>
                <w:sz w:val="21"/>
                <w:szCs w:val="21"/>
                <w:highlight w:val="none"/>
                <w14:textFill>
                  <w14:solidFill>
                    <w14:schemeClr w14:val="tx1"/>
                  </w14:solidFill>
                </w14:textFill>
              </w:rPr>
            </w:pPr>
          </w:p>
        </w:tc>
        <w:tc>
          <w:tcPr>
            <w:tcW w:w="755" w:type="dxa"/>
            <w:vMerge w:val="continue"/>
            <w:vAlign w:val="center"/>
          </w:tcPr>
          <w:p w14:paraId="7B5CD02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hAnsi="宋体" w:cs="宋体"/>
                <w:snapToGrid w:val="0"/>
                <w:color w:val="000000" w:themeColor="text1"/>
                <w:kern w:val="21"/>
                <w:sz w:val="21"/>
                <w:szCs w:val="21"/>
                <w:highlight w:val="none"/>
                <w14:textFill>
                  <w14:solidFill>
                    <w14:schemeClr w14:val="tx1"/>
                  </w14:solidFill>
                </w14:textFill>
              </w:rPr>
            </w:pPr>
          </w:p>
        </w:tc>
        <w:tc>
          <w:tcPr>
            <w:tcW w:w="1709" w:type="dxa"/>
            <w:vAlign w:val="center"/>
          </w:tcPr>
          <w:p w14:paraId="01ACA96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污泥、栅渣</w:t>
            </w:r>
          </w:p>
        </w:tc>
        <w:tc>
          <w:tcPr>
            <w:tcW w:w="1518" w:type="dxa"/>
            <w:vAlign w:val="center"/>
          </w:tcPr>
          <w:p w14:paraId="0A3420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0.6t/a</w:t>
            </w:r>
          </w:p>
        </w:tc>
        <w:tc>
          <w:tcPr>
            <w:tcW w:w="1518" w:type="dxa"/>
            <w:vAlign w:val="center"/>
          </w:tcPr>
          <w:p w14:paraId="558EC86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0.6t/a</w:t>
            </w:r>
          </w:p>
        </w:tc>
        <w:tc>
          <w:tcPr>
            <w:tcW w:w="1518" w:type="dxa"/>
            <w:vAlign w:val="center"/>
          </w:tcPr>
          <w:p w14:paraId="1C47F8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eastAsia="宋体" w:cs="宋体"/>
                <w:snapToGrid w:val="0"/>
                <w:color w:val="000000" w:themeColor="text1"/>
                <w:kern w:val="2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227FDC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54.397t/a</w:t>
            </w:r>
          </w:p>
        </w:tc>
        <w:tc>
          <w:tcPr>
            <w:tcW w:w="1518" w:type="dxa"/>
            <w:vAlign w:val="center"/>
          </w:tcPr>
          <w:p w14:paraId="13C16A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hAnsi="宋体" w:cs="宋体"/>
                <w:snapToGrid w:val="0"/>
                <w:color w:val="000000" w:themeColor="text1"/>
                <w:kern w:val="21"/>
                <w:sz w:val="21"/>
                <w:szCs w:val="21"/>
                <w:highlight w:val="none"/>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w:t>
            </w:r>
          </w:p>
        </w:tc>
        <w:tc>
          <w:tcPr>
            <w:tcW w:w="1518" w:type="dxa"/>
            <w:vAlign w:val="center"/>
          </w:tcPr>
          <w:p w14:paraId="46B91C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cs="宋体"/>
                <w:snapToGrid w:val="0"/>
                <w:color w:val="000000" w:themeColor="text1"/>
                <w:kern w:val="21"/>
                <w:sz w:val="21"/>
                <w:szCs w:val="21"/>
                <w:highlight w:val="none"/>
                <w:lang w:val="en-US" w:eastAsia="zh-CN"/>
                <w14:textFill>
                  <w14:solidFill>
                    <w14:schemeClr w14:val="tx1"/>
                  </w14:solidFill>
                </w14:textFill>
              </w:rPr>
            </w:pPr>
            <w:r>
              <w:rPr>
                <w:rFonts w:hint="default" w:hAnsi="宋体" w:cs="宋体"/>
                <w:snapToGrid w:val="0"/>
                <w:color w:val="000000" w:themeColor="text1"/>
                <w:kern w:val="21"/>
                <w:sz w:val="21"/>
                <w:szCs w:val="21"/>
                <w:highlight w:val="none"/>
                <w:lang w:val="en-US" w:eastAsia="zh-CN"/>
                <w14:textFill>
                  <w14:solidFill>
                    <w14:schemeClr w14:val="tx1"/>
                  </w14:solidFill>
                </w14:textFill>
              </w:rPr>
              <w:t>54.997</w:t>
            </w:r>
            <w:r>
              <w:rPr>
                <w:rFonts w:hint="eastAsia" w:hAnsi="宋体" w:cs="宋体"/>
                <w:snapToGrid w:val="0"/>
                <w:color w:val="000000" w:themeColor="text1"/>
                <w:kern w:val="21"/>
                <w:sz w:val="21"/>
                <w:szCs w:val="21"/>
                <w:highlight w:val="none"/>
                <w:lang w:val="en-US" w:eastAsia="zh-CN"/>
                <w14:textFill>
                  <w14:solidFill>
                    <w14:schemeClr w14:val="tx1"/>
                  </w14:solidFill>
                </w14:textFill>
              </w:rPr>
              <w:t>t/a</w:t>
            </w:r>
          </w:p>
        </w:tc>
        <w:tc>
          <w:tcPr>
            <w:tcW w:w="1518" w:type="dxa"/>
            <w:vAlign w:val="center"/>
          </w:tcPr>
          <w:p w14:paraId="7556A7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hAnsi="宋体" w:cs="宋体"/>
                <w:snapToGrid w:val="0"/>
                <w:color w:val="000000" w:themeColor="text1"/>
                <w:kern w:val="21"/>
                <w:sz w:val="21"/>
                <w:szCs w:val="21"/>
                <w:highlight w:val="none"/>
                <w:lang w:val="en-US" w:eastAsia="zh-CN"/>
                <w14:textFill>
                  <w14:solidFill>
                    <w14:schemeClr w14:val="tx1"/>
                  </w14:solidFill>
                </w14:textFill>
              </w:rPr>
              <w:t>+54.397t/a</w:t>
            </w:r>
          </w:p>
        </w:tc>
      </w:tr>
    </w:tbl>
    <w:p w14:paraId="1C04DB8F">
      <w:pPr>
        <w:spacing w:before="192" w:beforeLines="80" w:after="24"/>
        <w:jc w:val="left"/>
        <w:rPr>
          <w:rFonts w:hint="eastAsia" w:hAnsi="宋体"/>
          <w:snapToGrid w:val="0"/>
          <w:color w:val="000000" w:themeColor="text1"/>
          <w:spacing w:val="-6"/>
          <w:kern w:val="21"/>
          <w:szCs w:val="21"/>
          <w:highlight w:val="none"/>
          <w:lang w:eastAsia="zh-CN"/>
          <w14:textFill>
            <w14:solidFill>
              <w14:schemeClr w14:val="tx1"/>
            </w14:solidFill>
          </w14:textFill>
        </w:rPr>
      </w:pPr>
      <w:r>
        <w:rPr>
          <w:rFonts w:hAnsi="宋体"/>
          <w:snapToGrid w:val="0"/>
          <w:color w:val="000000" w:themeColor="text1"/>
          <w:kern w:val="21"/>
          <w:szCs w:val="21"/>
          <w:highlight w:val="none"/>
          <w14:textFill>
            <w14:solidFill>
              <w14:schemeClr w14:val="tx1"/>
            </w14:solidFill>
          </w14:textFill>
        </w:rPr>
        <w:t>注：</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3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③</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4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④</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5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⑤</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7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⑦</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int="eastAsia" w:hAnsi="宋体"/>
          <w:snapToGrid w:val="0"/>
          <w:color w:val="000000" w:themeColor="text1"/>
          <w:spacing w:val="-6"/>
          <w:kern w:val="21"/>
          <w:szCs w:val="21"/>
          <w:highlight w:val="none"/>
          <w:lang w:eastAsia="zh-CN"/>
          <w14:textFill>
            <w14:solidFill>
              <w14:schemeClr w14:val="tx1"/>
            </w14:solidFill>
          </w14:textFill>
        </w:rPr>
        <w:t>。</w:t>
      </w:r>
    </w:p>
    <w:p w14:paraId="31487D16">
      <w:pPr>
        <w:rPr>
          <w:rFonts w:hint="eastAsia" w:hAnsi="宋体"/>
          <w:snapToGrid w:val="0"/>
          <w:color w:val="000000" w:themeColor="text1"/>
          <w:spacing w:val="-6"/>
          <w:kern w:val="21"/>
          <w:szCs w:val="21"/>
          <w:highlight w:val="none"/>
          <w:lang w:eastAsia="zh-CN"/>
          <w14:textFill>
            <w14:solidFill>
              <w14:schemeClr w14:val="tx1"/>
            </w14:solidFill>
          </w14:textFill>
        </w:rPr>
        <w:sectPr>
          <w:headerReference r:id="rId7" w:type="default"/>
          <w:footerReference r:id="rId8" w:type="default"/>
          <w:pgSz w:w="16838" w:h="11905" w:orient="landscape"/>
          <w:pgMar w:top="1474" w:right="181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p>
    <w:p w14:paraId="31EC95CD">
      <w:pPr>
        <w:rPr>
          <w:rFonts w:hint="eastAsia" w:hAnsi="宋体"/>
          <w:b/>
          <w:bCs/>
          <w:snapToGrid w:val="0"/>
          <w:color w:val="000000" w:themeColor="text1"/>
          <w:spacing w:val="-6"/>
          <w:kern w:val="21"/>
          <w:szCs w:val="21"/>
          <w:highlight w:val="none"/>
          <w:lang w:eastAsia="zh-CN"/>
          <w14:textFill>
            <w14:solidFill>
              <w14:schemeClr w14:val="tx1"/>
            </w14:solidFill>
          </w14:textFill>
        </w:rPr>
      </w:pPr>
      <w:r>
        <w:rPr>
          <w:rFonts w:hint="eastAsia" w:hAnsi="宋体"/>
          <w:b/>
          <w:bCs/>
          <w:snapToGrid w:val="0"/>
          <w:color w:val="000000" w:themeColor="text1"/>
          <w:spacing w:val="-6"/>
          <w:kern w:val="21"/>
          <w:szCs w:val="21"/>
          <w:highlight w:val="none"/>
          <w:lang w:eastAsia="zh-CN"/>
          <w14:textFill>
            <w14:solidFill>
              <w14:schemeClr w14:val="tx1"/>
            </w14:solidFill>
          </w14:textFill>
        </w:rPr>
        <w:t>附图</w:t>
      </w:r>
    </w:p>
    <w:p w14:paraId="7EFDADAD">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附图1 项目地理位置图</w:t>
      </w:r>
    </w:p>
    <w:p w14:paraId="1BF2B8E5">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附图2 项目周边关系图及排污口位置图</w:t>
      </w:r>
    </w:p>
    <w:p w14:paraId="546419C8">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附图3 项目大气环境保护目标分布图</w:t>
      </w:r>
    </w:p>
    <w:p w14:paraId="324963B4">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附图4 项目平面布置图</w:t>
      </w:r>
    </w:p>
    <w:p w14:paraId="51B7B20E">
      <w:pPr>
        <w:rPr>
          <w:rFonts w:hint="eastAsia" w:hAnsi="宋体"/>
          <w:snapToGrid w:val="0"/>
          <w:color w:val="000000" w:themeColor="text1"/>
          <w:spacing w:val="-6"/>
          <w:kern w:val="21"/>
          <w:szCs w:val="21"/>
          <w:highlight w:val="none"/>
          <w:lang w:eastAsia="zh-CN"/>
          <w14:textFill>
            <w14:solidFill>
              <w14:schemeClr w14:val="tx1"/>
            </w14:solidFill>
          </w14:textFill>
        </w:rPr>
      </w:pPr>
    </w:p>
    <w:p w14:paraId="7832906F">
      <w:pPr>
        <w:rPr>
          <w:rFonts w:hint="eastAsia" w:hAnsi="宋体"/>
          <w:b/>
          <w:bCs/>
          <w:snapToGrid w:val="0"/>
          <w:color w:val="000000" w:themeColor="text1"/>
          <w:spacing w:val="-6"/>
          <w:kern w:val="21"/>
          <w:szCs w:val="21"/>
          <w:highlight w:val="none"/>
          <w:lang w:eastAsia="zh-CN"/>
          <w14:textFill>
            <w14:solidFill>
              <w14:schemeClr w14:val="tx1"/>
            </w14:solidFill>
          </w14:textFill>
        </w:rPr>
      </w:pPr>
      <w:r>
        <w:rPr>
          <w:rFonts w:hint="eastAsia" w:hAnsi="宋体"/>
          <w:b/>
          <w:bCs/>
          <w:snapToGrid w:val="0"/>
          <w:color w:val="000000" w:themeColor="text1"/>
          <w:spacing w:val="-6"/>
          <w:kern w:val="21"/>
          <w:szCs w:val="21"/>
          <w:highlight w:val="none"/>
          <w:lang w:eastAsia="zh-CN"/>
          <w14:textFill>
            <w14:solidFill>
              <w14:schemeClr w14:val="tx1"/>
            </w14:solidFill>
          </w14:textFill>
        </w:rPr>
        <w:t>附件</w:t>
      </w:r>
    </w:p>
    <w:p w14:paraId="687E8E23">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附件1 营业执照</w:t>
      </w:r>
    </w:p>
    <w:p w14:paraId="5E5EDE42">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附件2 租赁协议</w:t>
      </w:r>
    </w:p>
    <w:p w14:paraId="6DD93FBD">
      <w:pPr>
        <w:rPr>
          <w:rFonts w:hint="eastAsia" w:hAnsi="宋体"/>
          <w:snapToGrid w:val="0"/>
          <w:color w:val="000000" w:themeColor="text1"/>
          <w:spacing w:val="-6"/>
          <w:kern w:val="21"/>
          <w:szCs w:val="21"/>
          <w:highlight w:val="none"/>
          <w:lang w:eastAsia="zh-CN"/>
          <w14:textFill>
            <w14:solidFill>
              <w14:schemeClr w14:val="tx1"/>
            </w14:solidFill>
          </w14:textFill>
        </w:rPr>
      </w:pPr>
      <w:r>
        <w:rPr>
          <w:rFonts w:hint="eastAsia" w:hAnsi="宋体"/>
          <w:snapToGrid w:val="0"/>
          <w:color w:val="000000" w:themeColor="text1"/>
          <w:spacing w:val="-6"/>
          <w:kern w:val="21"/>
          <w:szCs w:val="21"/>
          <w:highlight w:val="none"/>
          <w:lang w:eastAsia="zh-CN"/>
          <w14:textFill>
            <w14:solidFill>
              <w14:schemeClr w14:val="tx1"/>
            </w14:solidFill>
          </w14:textFill>
        </w:rPr>
        <w:t>附件3 房产证</w:t>
      </w:r>
    </w:p>
    <w:p w14:paraId="21C02C46">
      <w:pPr>
        <w:rPr>
          <w:rFonts w:hint="default" w:hAnsi="宋体"/>
          <w:snapToGrid w:val="0"/>
          <w:color w:val="000000" w:themeColor="text1"/>
          <w:spacing w:val="-6"/>
          <w:kern w:val="21"/>
          <w:szCs w:val="21"/>
          <w:highlight w:val="none"/>
          <w:lang w:val="en-US" w:eastAsia="zh-CN"/>
          <w14:textFill>
            <w14:solidFill>
              <w14:schemeClr w14:val="tx1"/>
            </w14:solidFill>
          </w14:textFill>
        </w:rPr>
      </w:pPr>
      <w:r>
        <w:rPr>
          <w:rFonts w:hint="eastAsia" w:hAnsi="宋体"/>
          <w:snapToGrid w:val="0"/>
          <w:color w:val="000000" w:themeColor="text1"/>
          <w:spacing w:val="-6"/>
          <w:kern w:val="21"/>
          <w:szCs w:val="21"/>
          <w:highlight w:val="none"/>
          <w:lang w:val="en-US" w:eastAsia="zh-CN"/>
          <w14:textFill>
            <w14:solidFill>
              <w14:schemeClr w14:val="tx1"/>
            </w14:solidFill>
          </w14:textFill>
        </w:rPr>
        <w:t>附件4 噪声监测报告</w:t>
      </w:r>
    </w:p>
    <w:p w14:paraId="4CFF1AA3">
      <w:pPr>
        <w:rPr>
          <w:rFonts w:hint="eastAsia" w:hAnsi="宋体"/>
          <w:snapToGrid w:val="0"/>
          <w:color w:val="000000" w:themeColor="text1"/>
          <w:spacing w:val="-6"/>
          <w:kern w:val="21"/>
          <w:szCs w:val="21"/>
          <w:highlight w:val="none"/>
          <w:lang w:eastAsia="zh-CN"/>
          <w14:textFill>
            <w14:solidFill>
              <w14:schemeClr w14:val="tx1"/>
            </w14:solidFill>
          </w14:textFill>
        </w:rPr>
      </w:pPr>
    </w:p>
    <w:p w14:paraId="4F1558F2">
      <w:pPr>
        <w:rPr>
          <w:rFonts w:hint="eastAsia" w:hAnsi="宋体"/>
          <w:snapToGrid w:val="0"/>
          <w:color w:val="000000" w:themeColor="text1"/>
          <w:spacing w:val="-6"/>
          <w:kern w:val="21"/>
          <w:szCs w:val="21"/>
          <w:highlight w:val="none"/>
          <w:lang w:eastAsia="zh-CN"/>
          <w14:textFill>
            <w14:solidFill>
              <w14:schemeClr w14:val="tx1"/>
            </w14:solidFill>
          </w14:textFill>
        </w:rPr>
        <w:sectPr>
          <w:pgSz w:w="11905" w:h="16838"/>
          <w:pgMar w:top="1814" w:right="147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p>
    <w:p w14:paraId="62D04312">
      <w:pPr>
        <w:ind w:left="0" w:leftChars="0" w:firstLine="0" w:firstLineChars="0"/>
        <w:rPr>
          <w:rFonts w:hint="eastAsia" w:hAnsi="宋体"/>
          <w:snapToGrid w:val="0"/>
          <w:color w:val="000000" w:themeColor="text1"/>
          <w:spacing w:val="-6"/>
          <w:kern w:val="21"/>
          <w:szCs w:val="21"/>
          <w:highlight w:val="none"/>
          <w:lang w:eastAsia="zh-CN"/>
          <w14:textFill>
            <w14:solidFill>
              <w14:schemeClr w14:val="tx1"/>
            </w14:solidFill>
          </w14:textFill>
        </w:rPr>
      </w:pPr>
      <w:r>
        <w:rPr>
          <w:sz w:val="24"/>
          <w:highlight w:val="none"/>
        </w:rPr>
        <w:pict>
          <v:shape id="_x0000_s1032" o:spid="_x0000_s1032" o:spt="75" type="#_x0000_t75" style="position:absolute;left:0pt;margin-left:0pt;margin-top:0pt;height:357.4pt;width:676.4pt;mso-wrap-distance-bottom:0pt;mso-wrap-distance-top:0pt;z-index:251678720;mso-width-relative:page;mso-height-relative:page;" o:ole="t" filled="f" o:preferrelative="t" stroked="f" coordsize="21600,21600">
            <v:path/>
            <v:fill on="f" focussize="0,0"/>
            <v:stroke on="f"/>
            <v:imagedata r:id="rId35" o:title=""/>
            <o:lock v:ext="edit" aspectratio="f"/>
            <w10:wrap type="topAndBottom"/>
          </v:shape>
          <o:OLEObject Type="Embed" ProgID="Visio.Drawing.15" ShapeID="_x0000_s1032" DrawAspect="Content" ObjectID="_1468075731" r:id="rId34">
            <o:LockedField>false</o:LockedField>
          </o:OLEObject>
        </w:pict>
      </w:r>
    </w:p>
    <w:p w14:paraId="0DA4B15B">
      <w:pPr>
        <w:pStyle w:val="15"/>
        <w:rPr>
          <w:rFonts w:hint="default" w:ascii="Times New Roman" w:hAnsi="Times New Roman" w:eastAsia="宋体" w:cs="Times New Roman"/>
          <w:color w:val="000000" w:themeColor="text1"/>
          <w:sz w:val="24"/>
          <w:szCs w:val="24"/>
          <w:highlight w:val="none"/>
          <w14:textFill>
            <w14:solidFill>
              <w14:schemeClr w14:val="tx1"/>
            </w14:solidFill>
          </w14:textFill>
        </w:rPr>
        <w:sectPr>
          <w:pgSz w:w="16838" w:h="11905" w:orient="landscape"/>
          <w:pgMar w:top="1474" w:right="181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r>
        <w:rPr>
          <w:rFonts w:hint="default" w:ascii="Times New Roman" w:hAnsi="Times New Roman" w:eastAsia="宋体" w:cs="Times New Roman"/>
          <w:color w:val="000000" w:themeColor="text1"/>
          <w:sz w:val="24"/>
          <w:szCs w:val="24"/>
          <w:highlight w:val="none"/>
          <w14:textFill>
            <w14:solidFill>
              <w14:schemeClr w14:val="tx1"/>
            </w14:solidFill>
          </w14:textFill>
        </w:rPr>
        <w:t>附图1 项目地理位置图</w:t>
      </w:r>
    </w:p>
    <w:p w14:paraId="1C4849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highlight w:val="none"/>
          <w:lang w:eastAsia="zh-CN"/>
          <w14:textFill>
            <w14:solidFill>
              <w14:schemeClr w14:val="tx1"/>
            </w14:solidFill>
          </w14:textFill>
        </w:rPr>
      </w:pPr>
      <w:r>
        <w:rPr>
          <w:sz w:val="24"/>
          <w:highlight w:val="none"/>
        </w:rPr>
        <w:pict>
          <v:shape id="_x0000_s1034" o:spid="_x0000_s1034" o:spt="75" type="#_x0000_t75" style="position:absolute;left:0pt;margin-left:32.7pt;margin-top:-5.05pt;height:390.95pt;width:610.55pt;mso-wrap-distance-bottom:0pt;mso-wrap-distance-top:0pt;z-index:251683840;mso-width-relative:page;mso-height-relative:page;" o:ole="t" filled="f" o:preferrelative="t" stroked="f" coordsize="21600,21600">
            <v:path/>
            <v:fill on="f" focussize="0,0"/>
            <v:stroke on="f"/>
            <v:imagedata r:id="rId37" o:title=""/>
            <o:lock v:ext="edit" aspectratio="f"/>
            <w10:wrap type="topAndBottom"/>
          </v:shape>
          <o:OLEObject Type="Embed" ProgID="Visio.Drawing.15" ShapeID="_x0000_s1034" DrawAspect="Content" ObjectID="_1468075732" r:id="rId36">
            <o:LockedField>false</o:LockedField>
          </o:OLEObject>
        </w:pic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4290695</wp:posOffset>
                </wp:positionH>
                <wp:positionV relativeFrom="paragraph">
                  <wp:posOffset>2417445</wp:posOffset>
                </wp:positionV>
                <wp:extent cx="666750" cy="25717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6667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244AA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FF00"/>
                                <w:sz w:val="21"/>
                                <w:szCs w:val="21"/>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85pt;margin-top:190.35pt;height:20.25pt;width:52.5pt;z-index:251677696;mso-width-relative:page;mso-height-relative:page;" filled="f" stroked="f" coordsize="21600,21600" o:gfxdata="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TrquF2wAAAAsBAAAPAAAAAAAAAAEAIAAAACIAAABkcnMv&#10;ZG93bnJldi54bWxQSwECFAAUAAAACACHTuJAR6z7lTkCAABnBAAADgAAAAAAAAABACAAAAAqAQAA&#10;ZHJzL2Uyb0RvYy54bWxQSwUGAAAAAAYABgBZAQAA1QUAAAAA&#10;">
                <v:fill on="f" focussize="0,0"/>
                <v:stroke on="f" weight="0.5pt"/>
                <v:imagedata o:title=""/>
                <o:lock v:ext="edit" aspectratio="f"/>
                <v:textbox>
                  <w:txbxContent>
                    <w:p w14:paraId="32244AA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FF00"/>
                          <w:sz w:val="21"/>
                          <w:szCs w:val="21"/>
                          <w:lang w:val="en-US" w:eastAsia="zh-CN"/>
                        </w:rPr>
                        <w:t>DA001</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4438015</wp:posOffset>
                </wp:positionH>
                <wp:positionV relativeFrom="paragraph">
                  <wp:posOffset>2624455</wp:posOffset>
                </wp:positionV>
                <wp:extent cx="107950" cy="107950"/>
                <wp:effectExtent l="13970" t="13970" r="30480" b="30480"/>
                <wp:wrapNone/>
                <wp:docPr id="28" name="椭圆 2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9.45pt;margin-top:206.65pt;height:8.5pt;width:8.5pt;z-index:251667456;v-text-anchor:middle;mso-width-relative:page;mso-height-relative:page;" fillcolor="#FF0000" filled="t" stroked="t" coordsize="21600,21600" o:gfxdata="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aEW2S2QAAAAsBAAAPAAAAAAAAAAEAIAAAACIAAABkcnMvZG93bnJldi54bWxQSwECFAAU&#10;AAAACACHTuJAeyLlJGICAADhBAAADgAAAAAAAAABACAAAAAoAQAAZHJzL2Uyb0RvYy54bWxQSwUG&#10;AAAAAAYABgBZAQAA/AUAAAAA&#10;">
                <v:fill on="t" focussize="0,0"/>
                <v:stroke weight="2.25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4599940</wp:posOffset>
                </wp:positionH>
                <wp:positionV relativeFrom="paragraph">
                  <wp:posOffset>3839210</wp:posOffset>
                </wp:positionV>
                <wp:extent cx="1237615" cy="476250"/>
                <wp:effectExtent l="0" t="0" r="0" b="0"/>
                <wp:wrapNone/>
                <wp:docPr id="37" name="文本框 37"/>
                <wp:cNvGraphicFramePr/>
                <a:graphic xmlns:a="http://schemas.openxmlformats.org/drawingml/2006/main">
                  <a:graphicData uri="http://schemas.microsoft.com/office/word/2010/wordprocessingShape">
                    <wps:wsp>
                      <wps:cNvSpPr txBox="1"/>
                      <wps:spPr>
                        <a:xfrm rot="20580000">
                          <a:off x="0" y="0"/>
                          <a:ext cx="123761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E5C0A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宝盛里观澳园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2pt;margin-top:302.3pt;height:37.5pt;width:97.45pt;rotation:-1114112f;z-index:251674624;mso-width-relative:page;mso-height-relative:page;" filled="f" stroked="f" coordsize="21600,21600" o:gfxdata="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4SgHNsAAAALAQAADwAAAAAAAAAB&#10;ACAAAAAiAAAAZHJzL2Rvd25yZXYueG1sUEsBAhQAFAAAAAgAh07iQH81GW5GAgAAdwQAAA4AAAAA&#10;AAAAAQAgAAAAKgEAAGRycy9lMm9Eb2MueG1sUEsFBgAAAAAGAAYAWQEAAOIFAAAAAA==&#10;">
                <v:fill on="f" focussize="0,0"/>
                <v:stroke on="f" weight="0.5pt"/>
                <v:imagedata o:title=""/>
                <o:lock v:ext="edit" aspectratio="f"/>
                <v:textbox>
                  <w:txbxContent>
                    <w:p w14:paraId="4CE5C0A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宝盛里观澳园</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2466340</wp:posOffset>
                </wp:positionH>
                <wp:positionV relativeFrom="paragraph">
                  <wp:posOffset>2334260</wp:posOffset>
                </wp:positionV>
                <wp:extent cx="1237615" cy="476250"/>
                <wp:effectExtent l="0" t="0" r="0" b="0"/>
                <wp:wrapNone/>
                <wp:docPr id="36" name="文本框 36"/>
                <wp:cNvGraphicFramePr/>
                <a:graphic xmlns:a="http://schemas.openxmlformats.org/drawingml/2006/main">
                  <a:graphicData uri="http://schemas.microsoft.com/office/word/2010/wordprocessingShape">
                    <wps:wsp>
                      <wps:cNvSpPr txBox="1"/>
                      <wps:spPr>
                        <a:xfrm rot="20580000">
                          <a:off x="0" y="0"/>
                          <a:ext cx="123761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AF265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宝盛里东区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2pt;margin-top:183.8pt;height:37.5pt;width:97.45pt;rotation:-1114112f;z-index:251673600;mso-width-relative:page;mso-height-relative:page;" filled="f" stroked="f" coordsize="21600,21600" o:gfxdata="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6mQovcAAAACwEAAA8AAAAAAAAA&#10;AQAgAAAAIgAAAGRycy9kb3ducmV2LnhtbFBLAQIUABQAAAAIAIdO4kDqTxZKRgIAAHcEAAAOAAAA&#10;AAAAAAEAIAAAACsBAABkcnMvZTJvRG9jLnhtbFBLBQYAAAAABgAGAFkBAADjBQAAAAA=&#10;">
                <v:fill on="f" focussize="0,0"/>
                <v:stroke on="f" weight="0.5pt"/>
                <v:imagedata o:title=""/>
                <o:lock v:ext="edit" aspectratio="f"/>
                <v:textbox>
                  <w:txbxContent>
                    <w:p w14:paraId="5AAF265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宝盛里东区</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3761740</wp:posOffset>
                </wp:positionH>
                <wp:positionV relativeFrom="paragraph">
                  <wp:posOffset>1076960</wp:posOffset>
                </wp:positionV>
                <wp:extent cx="1237615" cy="476250"/>
                <wp:effectExtent l="0" t="0" r="0" b="0"/>
                <wp:wrapNone/>
                <wp:docPr id="33" name="文本框 33"/>
                <wp:cNvGraphicFramePr/>
                <a:graphic xmlns:a="http://schemas.openxmlformats.org/drawingml/2006/main">
                  <a:graphicData uri="http://schemas.microsoft.com/office/word/2010/wordprocessingShape">
                    <wps:wsp>
                      <wps:cNvSpPr txBox="1"/>
                      <wps:spPr>
                        <a:xfrm rot="20580000">
                          <a:off x="0" y="0"/>
                          <a:ext cx="123761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095A1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宝盛里东区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2pt;margin-top:84.8pt;height:37.5pt;width:97.45pt;rotation:-1114112f;z-index:251672576;mso-width-relative:page;mso-height-relative:page;" filled="f" stroked="f" coordsize="21600,21600" o:gfxdata="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rSSMZ2wAAAAsBAAAPAAAAAAAAAAEA&#10;IAAAACIAAABkcnMvZG93bnJldi54bWxQSwECFAAUAAAACACHTuJAK98k/kUCAAB3BAAADgAAAAAA&#10;AAABACAAAAAqAQAAZHJzL2Uyb0RvYy54bWxQSwUGAAAAAAYABgBZAQAA4QUAAAAA&#10;">
                <v:fill on="f" focussize="0,0"/>
                <v:stroke on="f" weight="0.5pt"/>
                <v:imagedata o:title=""/>
                <o:lock v:ext="edit" aspectratio="f"/>
                <v:textbox>
                  <w:txbxContent>
                    <w:p w14:paraId="1B095A1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FF00"/>
                          <w:sz w:val="21"/>
                          <w:szCs w:val="21"/>
                          <w:lang w:val="en-US" w:eastAsia="zh-CN"/>
                        </w:rPr>
                      </w:pPr>
                      <w:r>
                        <w:rPr>
                          <w:rFonts w:hint="eastAsia"/>
                          <w:b/>
                          <w:bCs/>
                          <w:color w:val="FFFF00"/>
                          <w:sz w:val="21"/>
                          <w:szCs w:val="21"/>
                          <w:lang w:val="en-US" w:eastAsia="zh-CN"/>
                        </w:rPr>
                        <w:t>宝盛里东区</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4733290</wp:posOffset>
                </wp:positionH>
                <wp:positionV relativeFrom="paragraph">
                  <wp:posOffset>2677160</wp:posOffset>
                </wp:positionV>
                <wp:extent cx="1237615" cy="476250"/>
                <wp:effectExtent l="0" t="0" r="0" b="0"/>
                <wp:wrapNone/>
                <wp:docPr id="78" name="文本框 78"/>
                <wp:cNvGraphicFramePr/>
                <a:graphic xmlns:a="http://schemas.openxmlformats.org/drawingml/2006/main">
                  <a:graphicData uri="http://schemas.microsoft.com/office/word/2010/wordprocessingShape">
                    <wps:wsp>
                      <wps:cNvSpPr txBox="1"/>
                      <wps:spPr>
                        <a:xfrm rot="20280000">
                          <a:off x="0" y="0"/>
                          <a:ext cx="123761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DFE4D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CCE8CF" w:themeColor="background1"/>
                                <w:sz w:val="21"/>
                                <w:szCs w:val="21"/>
                                <w:lang w:val="en-US" w:eastAsia="zh-CN"/>
                                <w14:textFill>
                                  <w14:solidFill>
                                    <w14:schemeClr w14:val="bg1"/>
                                  </w14:solidFill>
                                </w14:textFill>
                              </w:rPr>
                            </w:pPr>
                            <w:r>
                              <w:rPr>
                                <w:rFonts w:hint="eastAsia"/>
                                <w:b/>
                                <w:bCs/>
                                <w:color w:val="CCE8CF" w:themeColor="background1"/>
                                <w:sz w:val="21"/>
                                <w:szCs w:val="21"/>
                                <w:lang w:val="en-US" w:eastAsia="zh-CN"/>
                                <w14:textFill>
                                  <w14:solidFill>
                                    <w14:schemeClr w14:val="bg1"/>
                                  </w14:solidFill>
                                </w14:textFill>
                              </w:rPr>
                              <w:t>宝盛里公交场站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2.7pt;margin-top:210.8pt;height:37.5pt;width:97.45pt;rotation:-1441792f;z-index:251671552;mso-width-relative:page;mso-height-relative:page;" filled="f" stroked="f" coordsize="21600,21600" o:gfxdata="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BGi3TaAAAACwEAAA8AAAAAAAAAAQAg&#10;AAAAIgAAAGRycy9kb3ducmV2LnhtbFBLAQIUABQAAAAIAIdO4kDNZ5qaRQIAAHcEAAAOAAAAAAAA&#10;AAEAIAAAACkBAABkcnMvZTJvRG9jLnhtbFBLBQYAAAAABgAGAFkBAADgBQAAAAA=&#10;">
                <v:fill on="f" focussize="0,0"/>
                <v:stroke on="f" weight="0.5pt"/>
                <v:imagedata o:title=""/>
                <o:lock v:ext="edit" aspectratio="f"/>
                <v:textbox>
                  <w:txbxContent>
                    <w:p w14:paraId="03DFE4D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CCE8CF" w:themeColor="background1"/>
                          <w:sz w:val="21"/>
                          <w:szCs w:val="21"/>
                          <w:lang w:val="en-US" w:eastAsia="zh-CN"/>
                          <w14:textFill>
                            <w14:solidFill>
                              <w14:schemeClr w14:val="bg1"/>
                            </w14:solidFill>
                          </w14:textFill>
                        </w:rPr>
                      </w:pPr>
                      <w:r>
                        <w:rPr>
                          <w:rFonts w:hint="eastAsia"/>
                          <w:b/>
                          <w:bCs/>
                          <w:color w:val="CCE8CF" w:themeColor="background1"/>
                          <w:sz w:val="21"/>
                          <w:szCs w:val="21"/>
                          <w:lang w:val="en-US" w:eastAsia="zh-CN"/>
                          <w14:textFill>
                            <w14:solidFill>
                              <w14:schemeClr w14:val="bg1"/>
                            </w14:solidFill>
                          </w14:textFill>
                        </w:rPr>
                        <w:t>宝盛里公交场站</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5495290</wp:posOffset>
                </wp:positionH>
                <wp:positionV relativeFrom="paragraph">
                  <wp:posOffset>1501140</wp:posOffset>
                </wp:positionV>
                <wp:extent cx="295275" cy="980440"/>
                <wp:effectExtent l="0" t="0" r="0" b="0"/>
                <wp:wrapNone/>
                <wp:docPr id="76" name="文本框 76"/>
                <wp:cNvGraphicFramePr/>
                <a:graphic xmlns:a="http://schemas.openxmlformats.org/drawingml/2006/main">
                  <a:graphicData uri="http://schemas.microsoft.com/office/word/2010/wordprocessingShape">
                    <wps:wsp>
                      <wps:cNvSpPr txBox="1"/>
                      <wps:spPr>
                        <a:xfrm rot="20580000">
                          <a:off x="0" y="0"/>
                          <a:ext cx="295275" cy="980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BE8EC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0000"/>
                                <w:sz w:val="21"/>
                                <w:szCs w:val="21"/>
                                <w:lang w:val="en-US" w:eastAsia="zh-CN"/>
                              </w:rPr>
                              <w:t>黑泉路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7pt;margin-top:118.2pt;height:77.2pt;width:23.25pt;rotation:-1114112f;z-index:251670528;mso-width-relative:page;mso-height-relative:page;" filled="f" stroked="f" coordsize="21600,21600" o:gfxdata="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fN53XcAAAACwEAAA8AAAAAAAAA&#10;AQAgAAAAIgAAAGRycy9kb3ducmV2LnhtbFBLAQIUABQAAAAIAIdO4kC1I5A8RgIAAHYEAAAOAAAA&#10;AAAAAAEAIAAAACsBAABkcnMvZTJvRG9jLnhtbFBLBQYAAAAABgAGAFkBAADjBQAAAAA=&#10;">
                <v:fill on="f" focussize="0,0"/>
                <v:stroke on="f" weight="0.5pt"/>
                <v:imagedata o:title=""/>
                <o:lock v:ext="edit" aspectratio="f"/>
                <v:textbox>
                  <w:txbxContent>
                    <w:p w14:paraId="3ABE8EC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0000"/>
                          <w:sz w:val="21"/>
                          <w:szCs w:val="21"/>
                          <w:lang w:val="en-US" w:eastAsia="zh-CN"/>
                        </w:rPr>
                        <w:t>黑泉路</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4277360</wp:posOffset>
                </wp:positionH>
                <wp:positionV relativeFrom="paragraph">
                  <wp:posOffset>2943860</wp:posOffset>
                </wp:positionV>
                <wp:extent cx="666750" cy="257175"/>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6667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91E40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FF00"/>
                                <w:sz w:val="21"/>
                                <w:szCs w:val="21"/>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8pt;margin-top:231.8pt;height:20.25pt;width:52.5pt;z-index:251669504;mso-width-relative:page;mso-height-relative:page;" filled="f" stroked="f" coordsize="21600,21600" o:gfxdata="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ATixXdsAAAALAQAADwAAAAAAAAABACAAAAAiAAAAZHJz&#10;L2Rvd25yZXYueG1sUEsBAhQAFAAAAAgAh07iQEh+RjU6AgAAZwQAAA4AAAAAAAAAAQAgAAAAKgEA&#10;AGRycy9lMm9Eb2MueG1sUEsFBgAAAAAGAAYAWQEAANYFAAAAAA==&#10;">
                <v:fill on="f" focussize="0,0"/>
                <v:stroke on="f" weight="0.5pt"/>
                <v:imagedata o:title=""/>
                <o:lock v:ext="edit" aspectratio="f"/>
                <v:textbox>
                  <w:txbxContent>
                    <w:p w14:paraId="3F91E40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FF0000"/>
                          <w:sz w:val="21"/>
                          <w:szCs w:val="21"/>
                          <w:lang w:val="en-US" w:eastAsia="zh-CN"/>
                        </w:rPr>
                      </w:pPr>
                      <w:r>
                        <w:rPr>
                          <w:rFonts w:hint="eastAsia"/>
                          <w:b/>
                          <w:bCs/>
                          <w:color w:val="FFFF00"/>
                          <w:sz w:val="21"/>
                          <w:szCs w:val="21"/>
                          <w:lang w:val="en-US" w:eastAsia="zh-CN"/>
                        </w:rPr>
                        <w:t>DW001</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4427855</wp:posOffset>
                </wp:positionH>
                <wp:positionV relativeFrom="paragraph">
                  <wp:posOffset>2862580</wp:posOffset>
                </wp:positionV>
                <wp:extent cx="107950" cy="107950"/>
                <wp:effectExtent l="13970" t="13970" r="30480" b="30480"/>
                <wp:wrapNone/>
                <wp:docPr id="29" name="椭圆 2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8.65pt;margin-top:225.4pt;height:8.5pt;width:8.5pt;z-index:251668480;v-text-anchor:middle;mso-width-relative:page;mso-height-relative:page;" fillcolor="#00B0F0" filled="t" stroked="t" coordsize="21600,21600" o:gfxdata="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4uEBo2wAAAAsBAAAPAAAAAAAAAAEAIAAAACIAAABkcnMvZG93bnJldi54bWxQ&#10;SwECFAAUAAAACACHTuJAaoxZFGYCAADhBAAADgAAAAAAAAABACAAAAAqAQAAZHJzL2Uyb0RvYy54&#10;bWxQSwUGAAAAAAYABgBZAQAAAgYAAAAA&#10;">
                <v:fill on="t" focussize="0,0"/>
                <v:stroke weight="2.25pt" color="#FFFF00 [2404]" joinstyle="round"/>
                <v:imagedata o:title=""/>
                <o:lock v:ext="edit" aspectratio="f"/>
              </v:shape>
            </w:pict>
          </mc:Fallback>
        </mc:AlternateContent>
      </w:r>
    </w:p>
    <w:p w14:paraId="7297B6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highlight w:val="none"/>
          <w:lang w:eastAsia="zh-CN"/>
          <w14:textFill>
            <w14:solidFill>
              <w14:schemeClr w14:val="tx1"/>
            </w14:solidFill>
          </w14:textFill>
        </w:rPr>
      </w:pPr>
      <w:r>
        <w:rPr>
          <w:rFonts w:hint="eastAsia" w:eastAsia="宋体"/>
          <w:b/>
          <w:bCs/>
          <w:color w:val="000000" w:themeColor="text1"/>
          <w:highlight w:val="none"/>
          <w:lang w:eastAsia="zh-CN"/>
          <w14:textFill>
            <w14:solidFill>
              <w14:schemeClr w14:val="tx1"/>
            </w14:solidFill>
          </w14:textFill>
        </w:rPr>
        <w:t>附图2 项目周边关系图及</w:t>
      </w:r>
      <w:r>
        <w:rPr>
          <w:rFonts w:hint="eastAsia"/>
          <w:b/>
          <w:bCs/>
          <w:color w:val="000000" w:themeColor="text1"/>
          <w:highlight w:val="none"/>
          <w:lang w:val="en-US" w:eastAsia="zh-CN"/>
          <w14:textFill>
            <w14:solidFill>
              <w14:schemeClr w14:val="tx1"/>
            </w14:solidFill>
          </w14:textFill>
        </w:rPr>
        <w:t>排污口位置</w:t>
      </w:r>
      <w:r>
        <w:rPr>
          <w:rFonts w:hint="eastAsia" w:eastAsia="宋体"/>
          <w:b/>
          <w:bCs/>
          <w:color w:val="000000" w:themeColor="text1"/>
          <w:highlight w:val="none"/>
          <w:lang w:eastAsia="zh-CN"/>
          <w14:textFill>
            <w14:solidFill>
              <w14:schemeClr w14:val="tx1"/>
            </w14:solidFill>
          </w14:textFill>
        </w:rPr>
        <w:t>图</w:t>
      </w:r>
    </w:p>
    <w:p w14:paraId="404724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highlight w:val="none"/>
          <w:lang w:eastAsia="zh-CN"/>
          <w14:textFill>
            <w14:solidFill>
              <w14:schemeClr w14:val="tx1"/>
            </w14:solidFill>
          </w14:textFill>
        </w:rPr>
      </w:pPr>
    </w:p>
    <w:p w14:paraId="7F159A50">
      <w:pPr>
        <w:pStyle w:val="13"/>
        <w:jc w:val="center"/>
        <w:rPr>
          <w:rFonts w:hint="default" w:eastAsia="宋体"/>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附图3</w:t>
      </w:r>
      <w:r>
        <w:rPr>
          <w:rFonts w:hint="eastAsia" w:cs="Times New Roman"/>
          <w:b/>
          <w:bCs/>
          <w:color w:val="000000" w:themeColor="text1"/>
          <w:kern w:val="2"/>
          <w:sz w:val="24"/>
          <w:szCs w:val="24"/>
          <w:highlight w:val="none"/>
          <w:lang w:val="en-US" w:eastAsia="zh-CN" w:bidi="ar-SA"/>
          <w14:textFill>
            <w14:solidFill>
              <w14:schemeClr w14:val="tx1"/>
            </w14:solidFill>
          </w14:textFill>
        </w:rPr>
        <w:t xml:space="preserve"> </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项目大气环境保护目标分布图</w:t>
      </w:r>
    </w:p>
    <w:p w14:paraId="4773DEF0">
      <w:pPr>
        <w:rPr>
          <w:rFonts w:hint="eastAsia"/>
          <w:highlight w:val="none"/>
          <w:lang w:eastAsia="zh-CN"/>
        </w:rPr>
        <w:sectPr>
          <w:pgSz w:w="16838" w:h="11905" w:orient="landscape"/>
          <w:pgMar w:top="1474" w:right="181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r>
        <w:rPr>
          <w:sz w:val="24"/>
          <w:highlight w:val="none"/>
        </w:rPr>
        <w:pict>
          <v:shape id="_x0000_s1036" o:spid="_x0000_s1036" o:spt="75" type="#_x0000_t75" style="position:absolute;left:0pt;margin-left:32.7pt;margin-top:-24.2pt;height:422.4pt;width:606.8pt;mso-wrap-distance-bottom:0pt;mso-wrap-distance-top:0pt;z-index:251684864;mso-width-relative:page;mso-height-relative:page;" o:ole="t" filled="f" o:preferrelative="t" stroked="f" coordsize="21600,21600">
            <v:path/>
            <v:fill on="f" focussize="0,0"/>
            <v:stroke on="f"/>
            <v:imagedata r:id="rId39" o:title=""/>
            <o:lock v:ext="edit" aspectratio="f"/>
            <w10:wrap type="topAndBottom"/>
          </v:shape>
          <o:OLEObject Type="Embed" ProgID="Visio.Drawing.15" ShapeID="_x0000_s1036" DrawAspect="Content" ObjectID="_1468075733" r:id="rId38">
            <o:LockedField>false</o:LockedField>
          </o:OLEObject>
        </w:pict>
      </w:r>
    </w:p>
    <w:p w14:paraId="37FD43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bCs/>
          <w:color w:val="000000" w:themeColor="text1"/>
          <w:highlight w:val="none"/>
          <w:lang w:eastAsia="zh-CN"/>
          <w14:textFill>
            <w14:solidFill>
              <w14:schemeClr w14:val="tx1"/>
            </w14:solidFill>
          </w14:textFill>
        </w:rPr>
      </w:pPr>
      <w:r>
        <w:rPr>
          <w:sz w:val="24"/>
          <w:highlight w:val="none"/>
        </w:rPr>
        <w:pict>
          <v:shape id="_x0000_s1040" o:spid="_x0000_s1040" o:spt="75" type="#_x0000_t75" style="position:absolute;left:0pt;margin-left:21.1pt;margin-top:-14.55pt;height:459.05pt;width:635.3pt;mso-wrap-distance-bottom:0pt;mso-wrap-distance-top:0pt;z-index:251686912;mso-width-relative:page;mso-height-relative:page;" o:ole="t" filled="f" o:preferrelative="t" stroked="f" coordsize="21600,21600">
            <v:path/>
            <v:fill on="f" focussize="0,0"/>
            <v:stroke on="f"/>
            <v:imagedata r:id="rId41" o:title=""/>
            <o:lock v:ext="edit" aspectratio="f"/>
            <w10:wrap type="topAndBottom"/>
          </v:shape>
          <o:OLEObject Type="Embed" ProgID="Visio.Drawing.15" ShapeID="_x0000_s1040" DrawAspect="Content" ObjectID="_1468075734" r:id="rId40">
            <o:LockedField>false</o:LockedField>
          </o:OLEObject>
        </w:pic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1704975</wp:posOffset>
                </wp:positionH>
                <wp:positionV relativeFrom="paragraph">
                  <wp:posOffset>4081780</wp:posOffset>
                </wp:positionV>
                <wp:extent cx="122555" cy="75565"/>
                <wp:effectExtent l="12700" t="12700" r="17145" b="26035"/>
                <wp:wrapNone/>
                <wp:docPr id="41" name="矩形 41"/>
                <wp:cNvGraphicFramePr/>
                <a:graphic xmlns:a="http://schemas.openxmlformats.org/drawingml/2006/main">
                  <a:graphicData uri="http://schemas.microsoft.com/office/word/2010/wordprocessingShape">
                    <wps:wsp>
                      <wps:cNvSpPr/>
                      <wps:spPr>
                        <a:xfrm>
                          <a:off x="2640965" y="5017770"/>
                          <a:ext cx="122555" cy="7556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21.4pt;height:5.95pt;width:9.65pt;z-index:251676672;v-text-anchor:middle;mso-width-relative:page;mso-height-relative:page;" fillcolor="#CCE8CF [3212]" filled="t" stroked="t" coordsize="21600,21600" o:gfxdata="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Rv/xDbAAAACwEAAA8AAAAAAAAAAQAgAAAAIgAAAGRycy9kb3ducmV2&#10;LnhtbFBLAQIUABQAAAAIAIdO4kDjC7fKawIAAOkEAAAOAAAAAAAAAAEAIAAAACoBAABkcnMvZTJv&#10;RG9jLnhtbFBLBQYAAAAABgAGAFkBAAAHBgAAAAA=&#10;">
                <v:fill on="t" focussize="0,0"/>
                <v:stroke weight="2pt" color="#CCE8CF [3212]"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1704975</wp:posOffset>
                </wp:positionH>
                <wp:positionV relativeFrom="paragraph">
                  <wp:posOffset>4272280</wp:posOffset>
                </wp:positionV>
                <wp:extent cx="415290" cy="591820"/>
                <wp:effectExtent l="12700" t="12700" r="29210" b="24130"/>
                <wp:wrapNone/>
                <wp:docPr id="1" name="矩形 1"/>
                <wp:cNvGraphicFramePr/>
                <a:graphic xmlns:a="http://schemas.openxmlformats.org/drawingml/2006/main">
                  <a:graphicData uri="http://schemas.microsoft.com/office/word/2010/wordprocessingShape">
                    <wps:wsp>
                      <wps:cNvSpPr/>
                      <wps:spPr>
                        <a:xfrm>
                          <a:off x="2640965" y="5208270"/>
                          <a:ext cx="415290" cy="59182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36.4pt;height:46.6pt;width:32.7pt;z-index:251675648;v-text-anchor:middle;mso-width-relative:page;mso-height-relative:page;" fillcolor="#CCE8CF [3212]" filled="t" stroked="t" coordsize="21600,21600" o:gfxdata="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vJEkL2wAAAAsBAAAPAAAAAAAAAAEAIAAAACIAAABkcnMvZG93bnJl&#10;di54bWxQSwECFAAUAAAACACHTuJAZQxEAmwCAADoBAAADgAAAAAAAAABACAAAAAqAQAAZHJzL2Uy&#10;b0RvYy54bWxQSwUGAAAAAAYABgBZAQAACAYAAAAA&#10;">
                <v:fill on="t" focussize="0,0"/>
                <v:stroke weight="2pt" color="#CCE8CF [3212]" joinstyle="round"/>
                <v:imagedata o:title=""/>
                <o:lock v:ext="edit" aspectratio="f"/>
              </v:rect>
            </w:pict>
          </mc:Fallback>
        </mc:AlternateContent>
      </w:r>
      <w:r>
        <w:rPr>
          <w:rFonts w:hint="eastAsia"/>
          <w:b/>
          <w:bCs/>
          <w:color w:val="000000" w:themeColor="text1"/>
          <w:highlight w:val="none"/>
          <w:lang w:eastAsia="zh-CN"/>
          <w14:textFill>
            <w14:solidFill>
              <w14:schemeClr w14:val="tx1"/>
            </w14:solidFill>
          </w14:textFill>
        </w:rPr>
        <w:t>附图4</w:t>
      </w:r>
      <w:r>
        <w:rPr>
          <w:rFonts w:hint="eastAsia"/>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本</w:t>
      </w:r>
      <w:r>
        <w:rPr>
          <w:rFonts w:hint="eastAsia"/>
          <w:b/>
          <w:bCs/>
          <w:color w:val="000000" w:themeColor="text1"/>
          <w:highlight w:val="none"/>
          <w:lang w:eastAsia="zh-CN"/>
          <w14:textFill>
            <w14:solidFill>
              <w14:schemeClr w14:val="tx1"/>
            </w14:solidFill>
          </w14:textFill>
        </w:rPr>
        <w:t>项目</w:t>
      </w:r>
      <w:r>
        <w:rPr>
          <w:rFonts w:hint="eastAsia"/>
          <w:b/>
          <w:bCs/>
          <w:color w:val="000000" w:themeColor="text1"/>
          <w:highlight w:val="none"/>
          <w:lang w:val="en-US" w:eastAsia="zh-CN"/>
          <w14:textFill>
            <w14:solidFill>
              <w14:schemeClr w14:val="tx1"/>
            </w14:solidFill>
          </w14:textFill>
        </w:rPr>
        <w:t>3号楼6层</w:t>
      </w:r>
      <w:r>
        <w:rPr>
          <w:rFonts w:hint="eastAsia"/>
          <w:b/>
          <w:bCs/>
          <w:color w:val="000000" w:themeColor="text1"/>
          <w:highlight w:val="none"/>
          <w:lang w:eastAsia="zh-CN"/>
          <w14:textFill>
            <w14:solidFill>
              <w14:schemeClr w14:val="tx1"/>
            </w14:solidFill>
          </w14:textFill>
        </w:rPr>
        <w:t>平面布置图</w:t>
      </w:r>
    </w:p>
    <w:p w14:paraId="0E0140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bCs/>
          <w:color w:val="000000" w:themeColor="text1"/>
          <w:highlight w:val="none"/>
          <w:lang w:eastAsia="zh-CN"/>
          <w14:textFill>
            <w14:solidFill>
              <w14:schemeClr w14:val="tx1"/>
            </w14:solidFill>
          </w14:textFill>
        </w:rPr>
      </w:pPr>
      <w:r>
        <w:rPr>
          <w:sz w:val="24"/>
          <w:highlight w:val="none"/>
        </w:rPr>
        <w:pict>
          <v:shape id="_x0000_s1043" o:spid="_x0000_s1043" o:spt="75" type="#_x0000_t75" style="position:absolute;left:0pt;margin-left:21.1pt;margin-top:-14.55pt;height:459.05pt;width:635.3pt;mso-wrap-distance-bottom:0pt;mso-wrap-distance-top:0pt;z-index:251693056;mso-width-relative:page;mso-height-relative:page;" o:ole="t" filled="f" o:preferrelative="t" stroked="f" coordsize="21600,21600">
            <v:path/>
            <v:fill on="f" focussize="0,0"/>
            <v:stroke on="f"/>
            <v:imagedata r:id="rId41" o:title=""/>
            <o:lock v:ext="edit" aspectratio="f"/>
            <w10:wrap type="topAndBottom"/>
          </v:shape>
          <o:OLEObject Type="Embed" ProgID="Visio.Drawing.15" ShapeID="_x0000_s1043" DrawAspect="Content" ObjectID="_1468075735" r:id="rId42">
            <o:LockedField>false</o:LockedField>
          </o:OLEObject>
        </w:pic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1704975</wp:posOffset>
                </wp:positionH>
                <wp:positionV relativeFrom="paragraph">
                  <wp:posOffset>4081780</wp:posOffset>
                </wp:positionV>
                <wp:extent cx="122555" cy="75565"/>
                <wp:effectExtent l="12700" t="12700" r="17145" b="26035"/>
                <wp:wrapNone/>
                <wp:docPr id="17" name="矩形 17"/>
                <wp:cNvGraphicFramePr/>
                <a:graphic xmlns:a="http://schemas.openxmlformats.org/drawingml/2006/main">
                  <a:graphicData uri="http://schemas.microsoft.com/office/word/2010/wordprocessingShape">
                    <wps:wsp>
                      <wps:cNvSpPr/>
                      <wps:spPr>
                        <a:xfrm>
                          <a:off x="2640965" y="5017770"/>
                          <a:ext cx="122555" cy="7556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21.4pt;height:5.95pt;width:9.65pt;z-index:251692032;v-text-anchor:middle;mso-width-relative:page;mso-height-relative:page;" fillcolor="#CCE8CF [3212]" filled="t" stroked="t" coordsize="21600,21600" o:gfxdata="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0b/8Q2wAAAAsBAAAPAAAAAAAAAAEAIAAAACIAAABkcnMvZG93bnJl&#10;di54bWxQSwECFAAUAAAACACHTuJANfGqiWwCAADpBAAADgAAAAAAAAABACAAAAAqAQAAZHJzL2Uy&#10;b0RvYy54bWxQSwUGAAAAAAYABgBZAQAACAYAAAAA&#10;">
                <v:fill on="t" focussize="0,0"/>
                <v:stroke weight="2pt" color="#CCE8CF [3212]"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1704975</wp:posOffset>
                </wp:positionH>
                <wp:positionV relativeFrom="paragraph">
                  <wp:posOffset>4272280</wp:posOffset>
                </wp:positionV>
                <wp:extent cx="415290" cy="591820"/>
                <wp:effectExtent l="12700" t="12700" r="29210" b="24130"/>
                <wp:wrapNone/>
                <wp:docPr id="18" name="矩形 18"/>
                <wp:cNvGraphicFramePr/>
                <a:graphic xmlns:a="http://schemas.openxmlformats.org/drawingml/2006/main">
                  <a:graphicData uri="http://schemas.microsoft.com/office/word/2010/wordprocessingShape">
                    <wps:wsp>
                      <wps:cNvSpPr/>
                      <wps:spPr>
                        <a:xfrm>
                          <a:off x="2640965" y="5208270"/>
                          <a:ext cx="415290" cy="59182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36.4pt;height:46.6pt;width:32.7pt;z-index:251691008;v-text-anchor:middle;mso-width-relative:page;mso-height-relative:page;" fillcolor="#CCE8CF [3212]" filled="t" stroked="t" coordsize="21600,21600" o:gfxdata="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8kSQvbAAAACwEAAA8AAAAAAAAAAQAgAAAAIgAAAGRycy9kb3du&#10;cmV2LnhtbFBLAQIUABQAAAAIAIdO4kAqDAnQbgIAAOoEAAAOAAAAAAAAAAEAIAAAACoBAABkcnMv&#10;ZTJvRG9jLnhtbFBLBQYAAAAABgAGAFkBAAAKBgAAAAA=&#10;">
                <v:fill on="t" focussize="0,0"/>
                <v:stroke weight="2pt" color="#CCE8CF [3212]" joinstyle="round"/>
                <v:imagedata o:title=""/>
                <o:lock v:ext="edit" aspectratio="f"/>
              </v:rect>
            </w:pict>
          </mc:Fallback>
        </mc:AlternateContent>
      </w:r>
      <w:r>
        <w:rPr>
          <w:rFonts w:hint="eastAsia"/>
          <w:b/>
          <w:bCs/>
          <w:color w:val="000000" w:themeColor="text1"/>
          <w:highlight w:val="none"/>
          <w:lang w:eastAsia="zh-CN"/>
          <w14:textFill>
            <w14:solidFill>
              <w14:schemeClr w14:val="tx1"/>
            </w14:solidFill>
          </w14:textFill>
        </w:rPr>
        <w:t>附图4</w:t>
      </w: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lang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本</w:t>
      </w:r>
      <w:r>
        <w:rPr>
          <w:rFonts w:hint="eastAsia"/>
          <w:b/>
          <w:bCs/>
          <w:color w:val="000000" w:themeColor="text1"/>
          <w:highlight w:val="none"/>
          <w:lang w:eastAsia="zh-CN"/>
          <w14:textFill>
            <w14:solidFill>
              <w14:schemeClr w14:val="tx1"/>
            </w14:solidFill>
          </w14:textFill>
        </w:rPr>
        <w:t>项目</w:t>
      </w:r>
      <w:r>
        <w:rPr>
          <w:rFonts w:hint="eastAsia"/>
          <w:b/>
          <w:bCs/>
          <w:color w:val="000000" w:themeColor="text1"/>
          <w:highlight w:val="none"/>
          <w:lang w:val="en-US" w:eastAsia="zh-CN"/>
          <w14:textFill>
            <w14:solidFill>
              <w14:schemeClr w14:val="tx1"/>
            </w14:solidFill>
          </w14:textFill>
        </w:rPr>
        <w:t>3号楼7层</w:t>
      </w:r>
      <w:r>
        <w:rPr>
          <w:rFonts w:hint="eastAsia"/>
          <w:b/>
          <w:bCs/>
          <w:color w:val="000000" w:themeColor="text1"/>
          <w:highlight w:val="none"/>
          <w:lang w:eastAsia="zh-CN"/>
          <w14:textFill>
            <w14:solidFill>
              <w14:schemeClr w14:val="tx1"/>
            </w14:solidFill>
          </w14:textFill>
        </w:rPr>
        <w:t>平面布置图</w:t>
      </w:r>
    </w:p>
    <w:p w14:paraId="2DFFB2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bCs/>
          <w:color w:val="000000" w:themeColor="text1"/>
          <w:highlight w:val="none"/>
          <w:lang w:eastAsia="zh-CN"/>
          <w14:textFill>
            <w14:solidFill>
              <w14:schemeClr w14:val="tx1"/>
            </w14:solidFill>
          </w14:textFill>
        </w:rPr>
      </w:pPr>
      <w:r>
        <w:rPr>
          <w:sz w:val="24"/>
          <w:highlight w:val="none"/>
        </w:rPr>
        <w:pict>
          <v:shape id="_x0000_s1042" o:spid="_x0000_s1042" o:spt="75" type="#_x0000_t75" style="position:absolute;left:0pt;margin-left:21.1pt;margin-top:-14.55pt;height:479.75pt;width:631.8pt;mso-wrap-distance-bottom:0pt;mso-wrap-distance-top:0pt;z-index:251689984;mso-width-relative:page;mso-height-relative:page;" o:ole="t" filled="f" o:preferrelative="t" stroked="f" coordsize="21600,21600">
            <v:path/>
            <v:fill on="f" focussize="0,0"/>
            <v:stroke on="f"/>
            <v:imagedata r:id="rId44" o:title=""/>
            <o:lock v:ext="edit" aspectratio="f"/>
            <w10:wrap type="topAndBottom"/>
          </v:shape>
          <o:OLEObject Type="Embed" ProgID="Visio.Drawing.15" ShapeID="_x0000_s1042" DrawAspect="Content" ObjectID="_1468075736" r:id="rId43">
            <o:LockedField>false</o:LockedField>
          </o:OLEObject>
        </w:pic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1704975</wp:posOffset>
                </wp:positionH>
                <wp:positionV relativeFrom="paragraph">
                  <wp:posOffset>4081780</wp:posOffset>
                </wp:positionV>
                <wp:extent cx="122555" cy="75565"/>
                <wp:effectExtent l="12700" t="12700" r="17145" b="26035"/>
                <wp:wrapNone/>
                <wp:docPr id="15" name="矩形 15"/>
                <wp:cNvGraphicFramePr/>
                <a:graphic xmlns:a="http://schemas.openxmlformats.org/drawingml/2006/main">
                  <a:graphicData uri="http://schemas.microsoft.com/office/word/2010/wordprocessingShape">
                    <wps:wsp>
                      <wps:cNvSpPr/>
                      <wps:spPr>
                        <a:xfrm>
                          <a:off x="2640965" y="5017770"/>
                          <a:ext cx="122555" cy="7556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21.4pt;height:5.95pt;width:9.65pt;z-index:251688960;v-text-anchor:middle;mso-width-relative:page;mso-height-relative:page;" fillcolor="#CCE8CF [3212]" filled="t" stroked="t" coordsize="21600,21600" o:gfxdata="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Rv/xDbAAAACwEAAA8AAAAAAAAAAQAgAAAAIgAAAGRycy9kb3ducmV2&#10;LnhtbFBLAQIUABQAAAAIAIdO4kDBcFNQawIAAOkEAAAOAAAAAAAAAAEAIAAAACoBAABkcnMvZTJv&#10;RG9jLnhtbFBLBQYAAAAABgAGAFkBAAAHBgAAAAA=&#10;">
                <v:fill on="t" focussize="0,0"/>
                <v:stroke weight="2pt" color="#CCE8CF [3212]"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1704975</wp:posOffset>
                </wp:positionH>
                <wp:positionV relativeFrom="paragraph">
                  <wp:posOffset>4272280</wp:posOffset>
                </wp:positionV>
                <wp:extent cx="415290" cy="591820"/>
                <wp:effectExtent l="12700" t="12700" r="29210" b="24130"/>
                <wp:wrapNone/>
                <wp:docPr id="16" name="矩形 16"/>
                <wp:cNvGraphicFramePr/>
                <a:graphic xmlns:a="http://schemas.openxmlformats.org/drawingml/2006/main">
                  <a:graphicData uri="http://schemas.microsoft.com/office/word/2010/wordprocessingShape">
                    <wps:wsp>
                      <wps:cNvSpPr/>
                      <wps:spPr>
                        <a:xfrm>
                          <a:off x="2640965" y="5208270"/>
                          <a:ext cx="415290" cy="59182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25pt;margin-top:336.4pt;height:46.6pt;width:32.7pt;z-index:251687936;v-text-anchor:middle;mso-width-relative:page;mso-height-relative:page;" fillcolor="#CCE8CF [3212]" filled="t" stroked="t" coordsize="21600,21600" o:gfxdata="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8kSQvbAAAACwEAAA8AAAAAAAAAAQAgAAAAIgAAAGRycy9kb3du&#10;cmV2LnhtbFBLAQIUABQAAAAIAIdO4kA0btZAbgIAAOoEAAAOAAAAAAAAAAEAIAAAACoBAABkcnMv&#10;ZTJvRG9jLnhtbFBLBQYAAAAABgAGAFkBAAAKBgAAAAA=&#10;">
                <v:fill on="t" focussize="0,0"/>
                <v:stroke weight="2pt" color="#CCE8CF [3212]" joinstyle="round"/>
                <v:imagedata o:title=""/>
                <o:lock v:ext="edit" aspectratio="f"/>
              </v:rect>
            </w:pict>
          </mc:Fallback>
        </mc:AlternateContent>
      </w:r>
      <w:r>
        <w:rPr>
          <w:rFonts w:hint="eastAsia"/>
          <w:b/>
          <w:bCs/>
          <w:color w:val="000000" w:themeColor="text1"/>
          <w:highlight w:val="none"/>
          <w:lang w:eastAsia="zh-CN"/>
          <w14:textFill>
            <w14:solidFill>
              <w14:schemeClr w14:val="tx1"/>
            </w14:solidFill>
          </w14:textFill>
        </w:rPr>
        <w:t>附图4</w:t>
      </w:r>
      <w:r>
        <w:rPr>
          <w:rFonts w:hint="eastAsia"/>
          <w:b/>
          <w:bCs/>
          <w:color w:val="000000" w:themeColor="text1"/>
          <w:highlight w:val="none"/>
          <w:lang w:val="en-US" w:eastAsia="zh-CN"/>
          <w14:textFill>
            <w14:solidFill>
              <w14:schemeClr w14:val="tx1"/>
            </w14:solidFill>
          </w14:textFill>
        </w:rPr>
        <w:t>-3</w:t>
      </w:r>
      <w:r>
        <w:rPr>
          <w:rFonts w:hint="eastAsia"/>
          <w:b/>
          <w:bCs/>
          <w:color w:val="000000" w:themeColor="text1"/>
          <w:highlight w:val="none"/>
          <w:lang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本</w:t>
      </w:r>
      <w:r>
        <w:rPr>
          <w:rFonts w:hint="eastAsia"/>
          <w:b/>
          <w:bCs/>
          <w:color w:val="000000" w:themeColor="text1"/>
          <w:highlight w:val="none"/>
          <w:lang w:eastAsia="zh-CN"/>
          <w14:textFill>
            <w14:solidFill>
              <w14:schemeClr w14:val="tx1"/>
            </w14:solidFill>
          </w14:textFill>
        </w:rPr>
        <w:t>项目</w:t>
      </w:r>
      <w:r>
        <w:rPr>
          <w:rFonts w:hint="eastAsia"/>
          <w:b/>
          <w:bCs/>
          <w:color w:val="000000" w:themeColor="text1"/>
          <w:highlight w:val="none"/>
          <w:lang w:val="en-US" w:eastAsia="zh-CN"/>
          <w14:textFill>
            <w14:solidFill>
              <w14:schemeClr w14:val="tx1"/>
            </w14:solidFill>
          </w14:textFill>
        </w:rPr>
        <w:t>3号楼8层</w:t>
      </w:r>
      <w:r>
        <w:rPr>
          <w:rFonts w:hint="eastAsia"/>
          <w:b/>
          <w:bCs/>
          <w:color w:val="000000" w:themeColor="text1"/>
          <w:highlight w:val="none"/>
          <w:lang w:eastAsia="zh-CN"/>
          <w14:textFill>
            <w14:solidFill>
              <w14:schemeClr w14:val="tx1"/>
            </w14:solidFill>
          </w14:textFill>
        </w:rPr>
        <w:t>平面布置图</w:t>
      </w:r>
    </w:p>
    <w:p w14:paraId="6AE5EF3D">
      <w:pPr>
        <w:rPr>
          <w:rFonts w:hint="eastAsia"/>
          <w:highlight w:val="none"/>
          <w:lang w:eastAsia="zh-CN"/>
        </w:rPr>
        <w:sectPr>
          <w:pgSz w:w="16838" w:h="11905" w:orient="landscape"/>
          <w:pgMar w:top="1474" w:right="181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p>
    <w:p w14:paraId="3EA2A19F">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b/>
          <w:bCs/>
          <w:color w:val="000000" w:themeColor="text1"/>
          <w:highlight w:val="none"/>
          <w14:textFill>
            <w14:solidFill>
              <w14:schemeClr w14:val="tx1"/>
            </w14:solidFill>
          </w14:textFill>
        </w:rPr>
      </w:pPr>
      <w:r>
        <w:rPr>
          <w:sz w:val="24"/>
          <w:highlight w:val="none"/>
        </w:rPr>
        <w:pict>
          <v:shape id="_x0000_s1039" o:spid="_x0000_s1039" o:spt="75" type="#_x0000_t75" style="position:absolute;left:0pt;margin-left:11.7pt;margin-top:6.05pt;height:459.6pt;width:439.35pt;mso-wrap-distance-bottom:0pt;mso-wrap-distance-top:0pt;z-index:251685888;mso-width-relative:page;mso-height-relative:page;" o:ole="t" filled="f" o:preferrelative="t" stroked="f" coordsize="21600,21600">
            <v:path/>
            <v:fill on="f" focussize="0,0"/>
            <v:stroke on="f"/>
            <v:imagedata r:id="rId46" o:title=""/>
            <o:lock v:ext="edit" aspectratio="f"/>
            <w10:wrap type="topAndBottom"/>
          </v:shape>
          <o:OLEObject Type="Embed" ProgID="Visio.Drawing.15" ShapeID="_x0000_s1039" DrawAspect="Content" ObjectID="_1468075737" r:id="rId45">
            <o:LockedField>false</o:LockedField>
          </o:OLEObject>
        </w:pict>
      </w:r>
    </w:p>
    <w:p w14:paraId="7EE0F694">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b/>
          <w:bCs/>
          <w:color w:val="000000" w:themeColor="text1"/>
          <w:highlight w:val="none"/>
          <w14:textFill>
            <w14:solidFill>
              <w14:schemeClr w14:val="tx1"/>
            </w14:solidFill>
          </w14:textFill>
        </w:rPr>
      </w:pPr>
    </w:p>
    <w:p w14:paraId="751723BB">
      <w:pPr>
        <w:keepNext w:val="0"/>
        <w:keepLines w:val="0"/>
        <w:pageBreakBefore w:val="0"/>
        <w:widowControl w:val="0"/>
        <w:tabs>
          <w:tab w:val="left" w:pos="3786"/>
        </w:tabs>
        <w:kinsoku/>
        <w:wordWrap/>
        <w:overflowPunct/>
        <w:topLinePunct w:val="0"/>
        <w:autoSpaceDE/>
        <w:autoSpaceDN/>
        <w:bidi w:val="0"/>
        <w:adjustRightInd/>
        <w:snapToGrid/>
        <w:ind w:firstLine="0" w:firstLineChars="0"/>
        <w:jc w:val="center"/>
        <w:textAlignment w:val="auto"/>
        <w:rPr>
          <w:rFonts w:hint="eastAsia"/>
          <w:b/>
          <w:bCs/>
          <w:color w:val="000000" w:themeColor="text1"/>
          <w:highlight w:val="none"/>
          <w14:textFill>
            <w14:solidFill>
              <w14:schemeClr w14:val="tx1"/>
            </w14:solidFill>
          </w14:textFill>
        </w:rPr>
        <w:sectPr>
          <w:pgSz w:w="11905" w:h="16838"/>
          <w:pgMar w:top="1814" w:right="1474" w:bottom="1474" w:left="1474" w:header="850" w:footer="850" w:gutter="0"/>
          <w:pgBorders>
            <w:top w:val="none" w:sz="0" w:space="0"/>
            <w:left w:val="none" w:sz="0" w:space="0"/>
            <w:bottom w:val="none" w:sz="0" w:space="0"/>
            <w:right w:val="none" w:sz="0" w:space="0"/>
          </w:pgBorders>
          <w:pgNumType w:fmt="decimal"/>
          <w:cols w:space="0" w:num="1"/>
          <w:docGrid w:linePitch="319" w:charSpace="0"/>
        </w:sectPr>
      </w:pPr>
      <w:r>
        <w:rPr>
          <w:rFonts w:hint="eastAsia"/>
          <w:b/>
          <w:bCs/>
          <w:color w:val="000000" w:themeColor="text1"/>
          <w:highlight w:val="none"/>
          <w:lang w:eastAsia="zh-CN"/>
          <w14:textFill>
            <w14:solidFill>
              <w14:schemeClr w14:val="tx1"/>
            </w14:solidFill>
          </w14:textFill>
        </w:rPr>
        <w:t>附图4</w:t>
      </w:r>
      <w:r>
        <w:rPr>
          <w:rFonts w:hint="eastAsia"/>
          <w:b/>
          <w:bCs/>
          <w:color w:val="000000" w:themeColor="text1"/>
          <w:highlight w:val="none"/>
          <w:lang w:val="en-US" w:eastAsia="zh-CN"/>
          <w14:textFill>
            <w14:solidFill>
              <w14:schemeClr w14:val="tx1"/>
            </w14:solidFill>
          </w14:textFill>
        </w:rPr>
        <w:t>-4</w:t>
      </w:r>
      <w:r>
        <w:rPr>
          <w:rFonts w:hint="eastAsia"/>
          <w:b/>
          <w:bCs/>
          <w:color w:val="000000" w:themeColor="text1"/>
          <w:highlight w:val="none"/>
          <w:lang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本</w:t>
      </w:r>
      <w:r>
        <w:rPr>
          <w:rFonts w:hint="eastAsia"/>
          <w:b/>
          <w:bCs/>
          <w:color w:val="000000" w:themeColor="text1"/>
          <w:highlight w:val="none"/>
          <w:lang w:eastAsia="zh-CN"/>
          <w14:textFill>
            <w14:solidFill>
              <w14:schemeClr w14:val="tx1"/>
            </w14:solidFill>
          </w14:textFill>
        </w:rPr>
        <w:t>项目</w:t>
      </w:r>
      <w:r>
        <w:rPr>
          <w:rFonts w:hint="eastAsia"/>
          <w:b/>
          <w:bCs/>
          <w:color w:val="000000" w:themeColor="text1"/>
          <w:highlight w:val="none"/>
          <w:lang w:val="en-US" w:eastAsia="zh-CN"/>
          <w14:textFill>
            <w14:solidFill>
              <w14:schemeClr w14:val="tx1"/>
            </w14:solidFill>
          </w14:textFill>
        </w:rPr>
        <w:t>9号楼1层北侧</w:t>
      </w:r>
      <w:r>
        <w:rPr>
          <w:rFonts w:hint="eastAsia"/>
          <w:b/>
          <w:bCs/>
          <w:color w:val="000000" w:themeColor="text1"/>
          <w:highlight w:val="none"/>
          <w:lang w:eastAsia="zh-CN"/>
          <w14:textFill>
            <w14:solidFill>
              <w14:schemeClr w14:val="tx1"/>
            </w14:solidFill>
          </w14:textFill>
        </w:rPr>
        <w:t>平面布置</w:t>
      </w:r>
      <w:r>
        <w:rPr>
          <w:rFonts w:hint="eastAsia"/>
          <w:b/>
          <w:bCs/>
          <w:color w:val="000000" w:themeColor="text1"/>
          <w:highlight w:val="none"/>
          <w:lang w:val="en-US" w:eastAsia="zh-CN"/>
          <w14:textFill>
            <w14:solidFill>
              <w14:schemeClr w14:val="tx1"/>
            </w14:solidFill>
          </w14:textFill>
        </w:rPr>
        <w:t>图</w:t>
      </w:r>
    </w:p>
    <w:p w14:paraId="42964FA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highlight w:val="none"/>
          <w:lang w:eastAsia="zh-CN"/>
          <w14:textFill>
            <w14:solidFill>
              <w14:schemeClr w14:val="tx1"/>
            </w14:solidFill>
          </w14:textFill>
        </w:rPr>
      </w:pPr>
    </w:p>
    <w:sectPr>
      <w:pgSz w:w="11905" w:h="16838"/>
      <w:pgMar w:top="1814" w:right="1474" w:bottom="1474" w:left="1474" w:header="850" w:footer="850" w:gutter="0"/>
      <w:pgBorders>
        <w:top w:val="none" w:sz="0" w:space="0"/>
        <w:left w:val="none" w:sz="0" w:space="0"/>
        <w:bottom w:val="none" w:sz="0" w:space="0"/>
        <w:right w:val="none" w:sz="0" w:space="0"/>
      </w:pgBorders>
      <w:pgNumType w:fmt="decimal"/>
      <w:cols w:space="0" w:num="1"/>
      <w:docGrid w:linePitch="31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14FE27B-B452-4292-A657-97F52E7FAE58}"/>
  </w:font>
  <w:font w:name="Arial">
    <w:panose1 w:val="020B0604020202020204"/>
    <w:charset w:val="01"/>
    <w:family w:val="swiss"/>
    <w:pitch w:val="default"/>
    <w:sig w:usb0="E0002AFF" w:usb1="C0007843" w:usb2="00000009" w:usb3="00000000" w:csb0="400001FF" w:csb1="FFFF0000"/>
    <w:embedRegular r:id="rId2" w:fontKey="{A86DC281-2E55-40A5-9260-FEA993C2B914}"/>
  </w:font>
  <w:font w:name="黑体">
    <w:panose1 w:val="02010609060101010101"/>
    <w:charset w:val="86"/>
    <w:family w:val="auto"/>
    <w:pitch w:val="default"/>
    <w:sig w:usb0="800002BF" w:usb1="38CF7CFA" w:usb2="00000016" w:usb3="00000000" w:csb0="00040001" w:csb1="00000000"/>
    <w:embedRegular r:id="rId3" w:fontKey="{4030B0E3-6230-4752-BC22-ED4C7082C70B}"/>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panose1 w:val="020B0604020202020204"/>
    <w:charset w:val="86"/>
    <w:family w:val="roman"/>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embedRegular r:id="rId4" w:fontKey="{1DA1FBEC-2646-447F-A1E7-37CF18A59B08}"/>
  </w:font>
  <w:font w:name="微软雅黑">
    <w:panose1 w:val="020B0503020204020204"/>
    <w:charset w:val="86"/>
    <w:family w:val="swiss"/>
    <w:pitch w:val="default"/>
    <w:sig w:usb0="80000287" w:usb1="280F3C52" w:usb2="00000016" w:usb3="00000000" w:csb0="0004001F" w:csb1="00000000"/>
    <w:embedRegular r:id="rId5" w:fontKey="{3929DD88-1464-4909-9983-D9E9B1938BD3}"/>
  </w:font>
  <w:font w:name="楷体">
    <w:panose1 w:val="02010609060101010101"/>
    <w:charset w:val="86"/>
    <w:family w:val="modern"/>
    <w:pitch w:val="default"/>
    <w:sig w:usb0="800002BF" w:usb1="38CF7CFA" w:usb2="00000016" w:usb3="00000000" w:csb0="00040001" w:csb1="00000000"/>
    <w:embedRegular r:id="rId6" w:fontKey="{D5D38692-9501-424D-AC75-49B39CAF5476}"/>
  </w:font>
  <w:font w:name="仿宋">
    <w:panose1 w:val="02010609060101010101"/>
    <w:charset w:val="86"/>
    <w:family w:val="modern"/>
    <w:pitch w:val="default"/>
    <w:sig w:usb0="800002BF" w:usb1="38CF7CFA" w:usb2="00000016" w:usb3="00000000" w:csb0="00040001" w:csb1="00000000"/>
    <w:embedRegular r:id="rId7" w:fontKey="{2257431C-B01E-40EE-8C58-595006EF2D80}"/>
  </w:font>
  <w:font w:name="Cambria Math">
    <w:panose1 w:val="02040503050406030204"/>
    <w:charset w:val="00"/>
    <w:family w:val="auto"/>
    <w:pitch w:val="default"/>
    <w:sig w:usb0="E00002FF" w:usb1="420024FF" w:usb2="00000000" w:usb3="00000000" w:csb0="2000019F" w:csb1="00000000"/>
    <w:embedRegular r:id="rId8" w:fontKey="{93C4A9D4-B9FA-421B-91DE-553467EBDBA1}"/>
  </w:font>
  <w:font w:name="方正小标宋_GBK">
    <w:panose1 w:val="02000000000000000000"/>
    <w:charset w:val="86"/>
    <w:family w:val="script"/>
    <w:pitch w:val="default"/>
    <w:sig w:usb0="A00002BF" w:usb1="38CF7CFA" w:usb2="00082016" w:usb3="00000000" w:csb0="00040001" w:csb1="00000000"/>
    <w:embedRegular r:id="rId9" w:fontKey="{3452814D-131D-4E22-AD34-85A564D4BF40}"/>
  </w:font>
  <w:font w:name="WPSEMBED1">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E73763">
    <w:pPr>
      <w:tabs>
        <w:tab w:val="left" w:pos="4682"/>
        <w:tab w:val="right" w:pos="8306"/>
      </w:tabs>
      <w:ind w:right="720"/>
      <w:rPr>
        <w:rFonts w:hint="default" w:ascii="宋体" w:hAnsi="宋体"/>
        <w:sz w:val="21"/>
        <w:szCs w:val="21"/>
        <w:lang w:val="en-US"/>
      </w:rPr>
    </w:pPr>
    <w:r>
      <w:rPr>
        <w:rFonts w:hint="eastAsia" w:ascii="宋体" w:hAnsi="宋体"/>
        <w:sz w:val="21"/>
        <w:szCs w:val="21"/>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E692E">
    <w:pPr>
      <w:tabs>
        <w:tab w:val="left" w:pos="4682"/>
        <w:tab w:val="right" w:pos="8306"/>
      </w:tabs>
      <w:ind w:right="720"/>
      <w:rPr>
        <w:rFonts w:hint="default" w:ascii="宋体" w:hAnsi="宋体"/>
        <w:sz w:val="21"/>
        <w:szCs w:val="21"/>
        <w:lang w:val="en-US"/>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80587A">
                          <w:pPr>
                            <w:tabs>
                              <w:tab w:val="center" w:pos="4153"/>
                              <w:tab w:val="right" w:pos="8306"/>
                            </w:tabs>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2780587A">
                    <w:pPr>
                      <w:tabs>
                        <w:tab w:val="center" w:pos="4153"/>
                        <w:tab w:val="right" w:pos="8306"/>
                      </w:tabs>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宋体" w:hAnsi="宋体"/>
        <w:sz w:val="21"/>
        <w:szCs w:val="21"/>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D8F22">
    <w:pPr>
      <w:tabs>
        <w:tab w:val="center" w:pos="4153"/>
        <w:tab w:val="right" w:pos="8306"/>
      </w:tabs>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9948D">
                          <w:pPr>
                            <w:tabs>
                              <w:tab w:val="center" w:pos="4153"/>
                              <w:tab w:val="right" w:pos="8306"/>
                            </w:tabs>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4AF9948D">
                    <w:pPr>
                      <w:tabs>
                        <w:tab w:val="center" w:pos="4153"/>
                        <w:tab w:val="right" w:pos="8306"/>
                      </w:tabs>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DD911">
    <w:pPr>
      <w:ind w:left="4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E3E9C7"/>
    <w:multiLevelType w:val="singleLevel"/>
    <w:tmpl w:val="98E3E9C7"/>
    <w:lvl w:ilvl="0" w:tentative="0">
      <w:start w:val="1"/>
      <w:numFmt w:val="decimal"/>
      <w:suff w:val="nothing"/>
      <w:lvlText w:val="%1、"/>
      <w:lvlJc w:val="left"/>
      <w:rPr>
        <w:rFonts w:hint="default"/>
        <w:b/>
        <w:bCs/>
        <w:sz w:val="24"/>
        <w:szCs w:val="24"/>
      </w:rPr>
    </w:lvl>
  </w:abstractNum>
  <w:abstractNum w:abstractNumId="1">
    <w:nsid w:val="A70B1DE6"/>
    <w:multiLevelType w:val="singleLevel"/>
    <w:tmpl w:val="A70B1DE6"/>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NotTrackMoves/>
  <w:documentProtection w:enforcement="0"/>
  <w:defaultTabStop w:val="420"/>
  <w:drawingGridHorizontalSpacing w:val="210"/>
  <w:drawingGridVerticalSpacing w:val="-794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I4OTQyYWQxMTk4OThiOTA2YzA1YjgxN2IzYjZkMmIifQ=="/>
  </w:docVars>
  <w:rsids>
    <w:rsidRoot w:val="00172A27"/>
    <w:rsid w:val="0000024F"/>
    <w:rsid w:val="00000768"/>
    <w:rsid w:val="00000988"/>
    <w:rsid w:val="00000AC8"/>
    <w:rsid w:val="00001082"/>
    <w:rsid w:val="000010D3"/>
    <w:rsid w:val="00001B2E"/>
    <w:rsid w:val="00001CDF"/>
    <w:rsid w:val="00002557"/>
    <w:rsid w:val="0000263F"/>
    <w:rsid w:val="00002AA4"/>
    <w:rsid w:val="00003052"/>
    <w:rsid w:val="000035E3"/>
    <w:rsid w:val="00003827"/>
    <w:rsid w:val="00003E37"/>
    <w:rsid w:val="00004B2D"/>
    <w:rsid w:val="00004B76"/>
    <w:rsid w:val="00005BBB"/>
    <w:rsid w:val="000062E9"/>
    <w:rsid w:val="00006C3F"/>
    <w:rsid w:val="00006CE4"/>
    <w:rsid w:val="00007CCA"/>
    <w:rsid w:val="00010392"/>
    <w:rsid w:val="0001068E"/>
    <w:rsid w:val="000106B2"/>
    <w:rsid w:val="00011593"/>
    <w:rsid w:val="000115CF"/>
    <w:rsid w:val="000118A6"/>
    <w:rsid w:val="000125A8"/>
    <w:rsid w:val="000130A2"/>
    <w:rsid w:val="00013253"/>
    <w:rsid w:val="00013D0D"/>
    <w:rsid w:val="000153F5"/>
    <w:rsid w:val="00017501"/>
    <w:rsid w:val="00017BEB"/>
    <w:rsid w:val="0002098D"/>
    <w:rsid w:val="0002120D"/>
    <w:rsid w:val="00021B5C"/>
    <w:rsid w:val="00021B9B"/>
    <w:rsid w:val="00021DE4"/>
    <w:rsid w:val="00022A9C"/>
    <w:rsid w:val="000232F6"/>
    <w:rsid w:val="000238A8"/>
    <w:rsid w:val="00024BCC"/>
    <w:rsid w:val="00024C5F"/>
    <w:rsid w:val="0002516A"/>
    <w:rsid w:val="0002561E"/>
    <w:rsid w:val="00026323"/>
    <w:rsid w:val="0002678D"/>
    <w:rsid w:val="000272A8"/>
    <w:rsid w:val="000277E8"/>
    <w:rsid w:val="00027BE4"/>
    <w:rsid w:val="00027CF3"/>
    <w:rsid w:val="00027FEF"/>
    <w:rsid w:val="0003015B"/>
    <w:rsid w:val="000317CE"/>
    <w:rsid w:val="00031B10"/>
    <w:rsid w:val="00032A5A"/>
    <w:rsid w:val="00032EF0"/>
    <w:rsid w:val="00032EF1"/>
    <w:rsid w:val="0003349B"/>
    <w:rsid w:val="0003493B"/>
    <w:rsid w:val="0003576D"/>
    <w:rsid w:val="000365D1"/>
    <w:rsid w:val="000375A4"/>
    <w:rsid w:val="00037E5F"/>
    <w:rsid w:val="000401DD"/>
    <w:rsid w:val="0004070E"/>
    <w:rsid w:val="00040E3F"/>
    <w:rsid w:val="00041D21"/>
    <w:rsid w:val="0004243B"/>
    <w:rsid w:val="000428E3"/>
    <w:rsid w:val="0004448B"/>
    <w:rsid w:val="00044A90"/>
    <w:rsid w:val="00044D2B"/>
    <w:rsid w:val="00045022"/>
    <w:rsid w:val="00045EF4"/>
    <w:rsid w:val="000460B2"/>
    <w:rsid w:val="00046256"/>
    <w:rsid w:val="00047263"/>
    <w:rsid w:val="00047F9A"/>
    <w:rsid w:val="00047FE8"/>
    <w:rsid w:val="00051281"/>
    <w:rsid w:val="000522DC"/>
    <w:rsid w:val="000525BF"/>
    <w:rsid w:val="00052A59"/>
    <w:rsid w:val="00053AA2"/>
    <w:rsid w:val="00054A3A"/>
    <w:rsid w:val="00055B8A"/>
    <w:rsid w:val="00055EEF"/>
    <w:rsid w:val="000562EE"/>
    <w:rsid w:val="00056D9D"/>
    <w:rsid w:val="000608E7"/>
    <w:rsid w:val="00060D43"/>
    <w:rsid w:val="000610B5"/>
    <w:rsid w:val="00063B9D"/>
    <w:rsid w:val="00065DD7"/>
    <w:rsid w:val="00067A54"/>
    <w:rsid w:val="0007201B"/>
    <w:rsid w:val="000743CA"/>
    <w:rsid w:val="0007483C"/>
    <w:rsid w:val="000757CE"/>
    <w:rsid w:val="000757E5"/>
    <w:rsid w:val="00076653"/>
    <w:rsid w:val="000808EF"/>
    <w:rsid w:val="00081744"/>
    <w:rsid w:val="000817FC"/>
    <w:rsid w:val="00081C6C"/>
    <w:rsid w:val="00081FB4"/>
    <w:rsid w:val="00082FD0"/>
    <w:rsid w:val="00083A58"/>
    <w:rsid w:val="00084215"/>
    <w:rsid w:val="000851E7"/>
    <w:rsid w:val="000857CE"/>
    <w:rsid w:val="00085F0B"/>
    <w:rsid w:val="000864E5"/>
    <w:rsid w:val="00086F6F"/>
    <w:rsid w:val="000900FC"/>
    <w:rsid w:val="00090581"/>
    <w:rsid w:val="00092107"/>
    <w:rsid w:val="00092997"/>
    <w:rsid w:val="00092CAD"/>
    <w:rsid w:val="00092CAE"/>
    <w:rsid w:val="00093F26"/>
    <w:rsid w:val="00095257"/>
    <w:rsid w:val="00095D40"/>
    <w:rsid w:val="00095F06"/>
    <w:rsid w:val="0009710A"/>
    <w:rsid w:val="00097179"/>
    <w:rsid w:val="000974B7"/>
    <w:rsid w:val="0009750F"/>
    <w:rsid w:val="00097D0E"/>
    <w:rsid w:val="00097E92"/>
    <w:rsid w:val="000A00F6"/>
    <w:rsid w:val="000A0883"/>
    <w:rsid w:val="000A12FE"/>
    <w:rsid w:val="000A161A"/>
    <w:rsid w:val="000A1B37"/>
    <w:rsid w:val="000A216E"/>
    <w:rsid w:val="000A2B96"/>
    <w:rsid w:val="000A3F74"/>
    <w:rsid w:val="000A52F5"/>
    <w:rsid w:val="000A5487"/>
    <w:rsid w:val="000A676A"/>
    <w:rsid w:val="000A7799"/>
    <w:rsid w:val="000B32C9"/>
    <w:rsid w:val="000B3F27"/>
    <w:rsid w:val="000B5750"/>
    <w:rsid w:val="000B5B85"/>
    <w:rsid w:val="000B672B"/>
    <w:rsid w:val="000B672E"/>
    <w:rsid w:val="000B707D"/>
    <w:rsid w:val="000B7178"/>
    <w:rsid w:val="000B74DC"/>
    <w:rsid w:val="000C0BAD"/>
    <w:rsid w:val="000C0FAE"/>
    <w:rsid w:val="000C13A2"/>
    <w:rsid w:val="000C16D7"/>
    <w:rsid w:val="000C175D"/>
    <w:rsid w:val="000C1D2E"/>
    <w:rsid w:val="000C2C01"/>
    <w:rsid w:val="000C3180"/>
    <w:rsid w:val="000C3207"/>
    <w:rsid w:val="000C321A"/>
    <w:rsid w:val="000C4513"/>
    <w:rsid w:val="000C63D0"/>
    <w:rsid w:val="000C64B2"/>
    <w:rsid w:val="000C749D"/>
    <w:rsid w:val="000C7799"/>
    <w:rsid w:val="000D027C"/>
    <w:rsid w:val="000D2707"/>
    <w:rsid w:val="000D2A8C"/>
    <w:rsid w:val="000D373F"/>
    <w:rsid w:val="000D392F"/>
    <w:rsid w:val="000D3C9C"/>
    <w:rsid w:val="000D4036"/>
    <w:rsid w:val="000D42F4"/>
    <w:rsid w:val="000D430E"/>
    <w:rsid w:val="000D4C9B"/>
    <w:rsid w:val="000D5197"/>
    <w:rsid w:val="000D5698"/>
    <w:rsid w:val="000D5712"/>
    <w:rsid w:val="000D6946"/>
    <w:rsid w:val="000D79EB"/>
    <w:rsid w:val="000D7BE0"/>
    <w:rsid w:val="000E0EBC"/>
    <w:rsid w:val="000E0F78"/>
    <w:rsid w:val="000E36E9"/>
    <w:rsid w:val="000E4DCF"/>
    <w:rsid w:val="000E5A37"/>
    <w:rsid w:val="000E710E"/>
    <w:rsid w:val="000E7364"/>
    <w:rsid w:val="000E781C"/>
    <w:rsid w:val="000E7EC1"/>
    <w:rsid w:val="000F06DF"/>
    <w:rsid w:val="000F1A08"/>
    <w:rsid w:val="000F2E6A"/>
    <w:rsid w:val="000F2F02"/>
    <w:rsid w:val="000F4535"/>
    <w:rsid w:val="000F4D8A"/>
    <w:rsid w:val="000F5698"/>
    <w:rsid w:val="000F5C0B"/>
    <w:rsid w:val="000F5CDB"/>
    <w:rsid w:val="000F606C"/>
    <w:rsid w:val="000F6E7E"/>
    <w:rsid w:val="000F7B11"/>
    <w:rsid w:val="00100427"/>
    <w:rsid w:val="001018F2"/>
    <w:rsid w:val="00101CB0"/>
    <w:rsid w:val="001024D3"/>
    <w:rsid w:val="00102BEA"/>
    <w:rsid w:val="00103041"/>
    <w:rsid w:val="00103887"/>
    <w:rsid w:val="00103CFB"/>
    <w:rsid w:val="001040A7"/>
    <w:rsid w:val="001041C7"/>
    <w:rsid w:val="00104627"/>
    <w:rsid w:val="00104AE4"/>
    <w:rsid w:val="00105257"/>
    <w:rsid w:val="001056D8"/>
    <w:rsid w:val="001067B2"/>
    <w:rsid w:val="00106AE3"/>
    <w:rsid w:val="00107D6F"/>
    <w:rsid w:val="00110040"/>
    <w:rsid w:val="00110873"/>
    <w:rsid w:val="00110EBF"/>
    <w:rsid w:val="00111292"/>
    <w:rsid w:val="001113D8"/>
    <w:rsid w:val="00111AC2"/>
    <w:rsid w:val="00111EC6"/>
    <w:rsid w:val="00112778"/>
    <w:rsid w:val="001128C1"/>
    <w:rsid w:val="001132F6"/>
    <w:rsid w:val="00113302"/>
    <w:rsid w:val="00113625"/>
    <w:rsid w:val="001137E8"/>
    <w:rsid w:val="00113B1A"/>
    <w:rsid w:val="00113B2A"/>
    <w:rsid w:val="00115561"/>
    <w:rsid w:val="00115E7D"/>
    <w:rsid w:val="00115F90"/>
    <w:rsid w:val="00116654"/>
    <w:rsid w:val="00116FDC"/>
    <w:rsid w:val="00117829"/>
    <w:rsid w:val="00117905"/>
    <w:rsid w:val="00117E64"/>
    <w:rsid w:val="001200E0"/>
    <w:rsid w:val="001201D4"/>
    <w:rsid w:val="001216B0"/>
    <w:rsid w:val="0012213E"/>
    <w:rsid w:val="001229F1"/>
    <w:rsid w:val="00122D67"/>
    <w:rsid w:val="00123638"/>
    <w:rsid w:val="0012385F"/>
    <w:rsid w:val="00124AB7"/>
    <w:rsid w:val="00126238"/>
    <w:rsid w:val="00126439"/>
    <w:rsid w:val="00126544"/>
    <w:rsid w:val="00126BB2"/>
    <w:rsid w:val="00127188"/>
    <w:rsid w:val="0012767E"/>
    <w:rsid w:val="00127C70"/>
    <w:rsid w:val="00127EBE"/>
    <w:rsid w:val="00130021"/>
    <w:rsid w:val="00131546"/>
    <w:rsid w:val="001316E5"/>
    <w:rsid w:val="001325EF"/>
    <w:rsid w:val="001327F6"/>
    <w:rsid w:val="00132969"/>
    <w:rsid w:val="00132DBD"/>
    <w:rsid w:val="00133E9C"/>
    <w:rsid w:val="0013417A"/>
    <w:rsid w:val="00134D1B"/>
    <w:rsid w:val="00135878"/>
    <w:rsid w:val="00135A4C"/>
    <w:rsid w:val="00135FBB"/>
    <w:rsid w:val="00136B51"/>
    <w:rsid w:val="001400D5"/>
    <w:rsid w:val="00140252"/>
    <w:rsid w:val="00141B67"/>
    <w:rsid w:val="00142281"/>
    <w:rsid w:val="001431E2"/>
    <w:rsid w:val="001437F0"/>
    <w:rsid w:val="001454C7"/>
    <w:rsid w:val="00146F26"/>
    <w:rsid w:val="001475CE"/>
    <w:rsid w:val="00147764"/>
    <w:rsid w:val="00150363"/>
    <w:rsid w:val="001508C2"/>
    <w:rsid w:val="00150FBC"/>
    <w:rsid w:val="001514FB"/>
    <w:rsid w:val="0015150E"/>
    <w:rsid w:val="0015165A"/>
    <w:rsid w:val="00151C60"/>
    <w:rsid w:val="0015210D"/>
    <w:rsid w:val="0015238D"/>
    <w:rsid w:val="001526A9"/>
    <w:rsid w:val="00152A2E"/>
    <w:rsid w:val="00154FC0"/>
    <w:rsid w:val="00155254"/>
    <w:rsid w:val="0015628B"/>
    <w:rsid w:val="001609CA"/>
    <w:rsid w:val="00160A3A"/>
    <w:rsid w:val="0016118D"/>
    <w:rsid w:val="001613FD"/>
    <w:rsid w:val="001616F4"/>
    <w:rsid w:val="00162055"/>
    <w:rsid w:val="0016213C"/>
    <w:rsid w:val="0016274E"/>
    <w:rsid w:val="00162D02"/>
    <w:rsid w:val="00163247"/>
    <w:rsid w:val="0016324D"/>
    <w:rsid w:val="00163360"/>
    <w:rsid w:val="001633FA"/>
    <w:rsid w:val="0016464C"/>
    <w:rsid w:val="00164D22"/>
    <w:rsid w:val="00165501"/>
    <w:rsid w:val="00165D74"/>
    <w:rsid w:val="001664A7"/>
    <w:rsid w:val="00166ACC"/>
    <w:rsid w:val="00166BA5"/>
    <w:rsid w:val="001679E9"/>
    <w:rsid w:val="00170B0F"/>
    <w:rsid w:val="00171151"/>
    <w:rsid w:val="001716B3"/>
    <w:rsid w:val="00171A0E"/>
    <w:rsid w:val="00172A27"/>
    <w:rsid w:val="00172E6F"/>
    <w:rsid w:val="001730CD"/>
    <w:rsid w:val="00173727"/>
    <w:rsid w:val="00173820"/>
    <w:rsid w:val="00174BEF"/>
    <w:rsid w:val="001750D4"/>
    <w:rsid w:val="00175582"/>
    <w:rsid w:val="00176A0D"/>
    <w:rsid w:val="001777D9"/>
    <w:rsid w:val="00177B3E"/>
    <w:rsid w:val="001803B7"/>
    <w:rsid w:val="00181C35"/>
    <w:rsid w:val="001833F7"/>
    <w:rsid w:val="00184447"/>
    <w:rsid w:val="00184E34"/>
    <w:rsid w:val="001854BD"/>
    <w:rsid w:val="00185727"/>
    <w:rsid w:val="001863EC"/>
    <w:rsid w:val="00186C27"/>
    <w:rsid w:val="00186CF4"/>
    <w:rsid w:val="00191B11"/>
    <w:rsid w:val="00192488"/>
    <w:rsid w:val="001928CE"/>
    <w:rsid w:val="00193914"/>
    <w:rsid w:val="00194DA2"/>
    <w:rsid w:val="00195672"/>
    <w:rsid w:val="00195B37"/>
    <w:rsid w:val="00195E82"/>
    <w:rsid w:val="00196084"/>
    <w:rsid w:val="00196423"/>
    <w:rsid w:val="0019679F"/>
    <w:rsid w:val="001976FD"/>
    <w:rsid w:val="001A0609"/>
    <w:rsid w:val="001A0B58"/>
    <w:rsid w:val="001A233C"/>
    <w:rsid w:val="001A2D06"/>
    <w:rsid w:val="001A2D88"/>
    <w:rsid w:val="001A3423"/>
    <w:rsid w:val="001A37F0"/>
    <w:rsid w:val="001A38B9"/>
    <w:rsid w:val="001A3BFC"/>
    <w:rsid w:val="001A438A"/>
    <w:rsid w:val="001A50C2"/>
    <w:rsid w:val="001A52C9"/>
    <w:rsid w:val="001A5E7F"/>
    <w:rsid w:val="001A6804"/>
    <w:rsid w:val="001A697D"/>
    <w:rsid w:val="001A6AE9"/>
    <w:rsid w:val="001A7872"/>
    <w:rsid w:val="001B0554"/>
    <w:rsid w:val="001B0BC9"/>
    <w:rsid w:val="001B0C86"/>
    <w:rsid w:val="001B0CC2"/>
    <w:rsid w:val="001B240B"/>
    <w:rsid w:val="001B2C01"/>
    <w:rsid w:val="001B2F8F"/>
    <w:rsid w:val="001B3B88"/>
    <w:rsid w:val="001B3E92"/>
    <w:rsid w:val="001B3EF8"/>
    <w:rsid w:val="001B41D1"/>
    <w:rsid w:val="001B4A98"/>
    <w:rsid w:val="001B5795"/>
    <w:rsid w:val="001B61F7"/>
    <w:rsid w:val="001B77BB"/>
    <w:rsid w:val="001B7A0D"/>
    <w:rsid w:val="001C0087"/>
    <w:rsid w:val="001C1577"/>
    <w:rsid w:val="001C19EC"/>
    <w:rsid w:val="001C2A1E"/>
    <w:rsid w:val="001C2B0C"/>
    <w:rsid w:val="001C2F89"/>
    <w:rsid w:val="001C3197"/>
    <w:rsid w:val="001C369E"/>
    <w:rsid w:val="001C48E5"/>
    <w:rsid w:val="001C5201"/>
    <w:rsid w:val="001C66B6"/>
    <w:rsid w:val="001C6F0A"/>
    <w:rsid w:val="001D0A5E"/>
    <w:rsid w:val="001D0ACC"/>
    <w:rsid w:val="001D2944"/>
    <w:rsid w:val="001D3B90"/>
    <w:rsid w:val="001D47AE"/>
    <w:rsid w:val="001D65CE"/>
    <w:rsid w:val="001D6A3A"/>
    <w:rsid w:val="001D6F98"/>
    <w:rsid w:val="001D6F9B"/>
    <w:rsid w:val="001E1BE0"/>
    <w:rsid w:val="001E28F6"/>
    <w:rsid w:val="001E2EB7"/>
    <w:rsid w:val="001E3250"/>
    <w:rsid w:val="001E337D"/>
    <w:rsid w:val="001E492E"/>
    <w:rsid w:val="001E5509"/>
    <w:rsid w:val="001E5AF1"/>
    <w:rsid w:val="001E5BA7"/>
    <w:rsid w:val="001E5BB1"/>
    <w:rsid w:val="001E5CAF"/>
    <w:rsid w:val="001E6BB8"/>
    <w:rsid w:val="001E6DFA"/>
    <w:rsid w:val="001E7385"/>
    <w:rsid w:val="001E779E"/>
    <w:rsid w:val="001F37E9"/>
    <w:rsid w:val="001F3DFC"/>
    <w:rsid w:val="001F45F2"/>
    <w:rsid w:val="001F61BC"/>
    <w:rsid w:val="001F71D6"/>
    <w:rsid w:val="001F75F5"/>
    <w:rsid w:val="001F77CF"/>
    <w:rsid w:val="002000C4"/>
    <w:rsid w:val="00200184"/>
    <w:rsid w:val="0020065F"/>
    <w:rsid w:val="0020074C"/>
    <w:rsid w:val="002018C3"/>
    <w:rsid w:val="00201C1A"/>
    <w:rsid w:val="002071A4"/>
    <w:rsid w:val="0020732C"/>
    <w:rsid w:val="00207646"/>
    <w:rsid w:val="0021117A"/>
    <w:rsid w:val="0021183B"/>
    <w:rsid w:val="002120FD"/>
    <w:rsid w:val="00213278"/>
    <w:rsid w:val="00214558"/>
    <w:rsid w:val="00214846"/>
    <w:rsid w:val="00215533"/>
    <w:rsid w:val="00217202"/>
    <w:rsid w:val="00217813"/>
    <w:rsid w:val="002201B5"/>
    <w:rsid w:val="00220ED9"/>
    <w:rsid w:val="00221BB6"/>
    <w:rsid w:val="00223655"/>
    <w:rsid w:val="00223D83"/>
    <w:rsid w:val="002245DF"/>
    <w:rsid w:val="0022529B"/>
    <w:rsid w:val="002257C1"/>
    <w:rsid w:val="00225BDF"/>
    <w:rsid w:val="00225CC5"/>
    <w:rsid w:val="00226031"/>
    <w:rsid w:val="002260DF"/>
    <w:rsid w:val="002266AF"/>
    <w:rsid w:val="00227D56"/>
    <w:rsid w:val="00230DAD"/>
    <w:rsid w:val="00231F79"/>
    <w:rsid w:val="002320FD"/>
    <w:rsid w:val="00232A49"/>
    <w:rsid w:val="00232BDB"/>
    <w:rsid w:val="0023424A"/>
    <w:rsid w:val="00234BCE"/>
    <w:rsid w:val="00235817"/>
    <w:rsid w:val="00235864"/>
    <w:rsid w:val="002376D0"/>
    <w:rsid w:val="00237A33"/>
    <w:rsid w:val="002409C2"/>
    <w:rsid w:val="002409D5"/>
    <w:rsid w:val="00240B9C"/>
    <w:rsid w:val="00240E25"/>
    <w:rsid w:val="002411EB"/>
    <w:rsid w:val="002412C9"/>
    <w:rsid w:val="002417E3"/>
    <w:rsid w:val="00241AD9"/>
    <w:rsid w:val="00241B03"/>
    <w:rsid w:val="00242183"/>
    <w:rsid w:val="002422FE"/>
    <w:rsid w:val="00242E16"/>
    <w:rsid w:val="00243D72"/>
    <w:rsid w:val="00244469"/>
    <w:rsid w:val="002447C2"/>
    <w:rsid w:val="00245A78"/>
    <w:rsid w:val="002465A4"/>
    <w:rsid w:val="00246C2B"/>
    <w:rsid w:val="002522E6"/>
    <w:rsid w:val="00252523"/>
    <w:rsid w:val="00252FEB"/>
    <w:rsid w:val="00256517"/>
    <w:rsid w:val="00256E11"/>
    <w:rsid w:val="0025757F"/>
    <w:rsid w:val="0026067F"/>
    <w:rsid w:val="0026306F"/>
    <w:rsid w:val="0026377A"/>
    <w:rsid w:val="00264678"/>
    <w:rsid w:val="002648CC"/>
    <w:rsid w:val="00264CD2"/>
    <w:rsid w:val="002659C1"/>
    <w:rsid w:val="002666EC"/>
    <w:rsid w:val="00266ED2"/>
    <w:rsid w:val="00271B76"/>
    <w:rsid w:val="002749DA"/>
    <w:rsid w:val="00274E29"/>
    <w:rsid w:val="00275C49"/>
    <w:rsid w:val="0027663A"/>
    <w:rsid w:val="002773F2"/>
    <w:rsid w:val="002779FF"/>
    <w:rsid w:val="00280199"/>
    <w:rsid w:val="002806EB"/>
    <w:rsid w:val="002819FE"/>
    <w:rsid w:val="00282252"/>
    <w:rsid w:val="00282F45"/>
    <w:rsid w:val="0028345B"/>
    <w:rsid w:val="0028485C"/>
    <w:rsid w:val="00285085"/>
    <w:rsid w:val="0028558D"/>
    <w:rsid w:val="00285BF8"/>
    <w:rsid w:val="00286A93"/>
    <w:rsid w:val="00286F8B"/>
    <w:rsid w:val="00287CF9"/>
    <w:rsid w:val="00287F2A"/>
    <w:rsid w:val="00290EA4"/>
    <w:rsid w:val="00290FBD"/>
    <w:rsid w:val="00291580"/>
    <w:rsid w:val="00291950"/>
    <w:rsid w:val="0029197D"/>
    <w:rsid w:val="00291B8B"/>
    <w:rsid w:val="002922B6"/>
    <w:rsid w:val="00292A1F"/>
    <w:rsid w:val="00292BAB"/>
    <w:rsid w:val="00292BFD"/>
    <w:rsid w:val="00293089"/>
    <w:rsid w:val="00293C42"/>
    <w:rsid w:val="00293C58"/>
    <w:rsid w:val="00293D45"/>
    <w:rsid w:val="00294304"/>
    <w:rsid w:val="00294C12"/>
    <w:rsid w:val="00295275"/>
    <w:rsid w:val="00295B40"/>
    <w:rsid w:val="00296525"/>
    <w:rsid w:val="002973EC"/>
    <w:rsid w:val="002A04A7"/>
    <w:rsid w:val="002A11BA"/>
    <w:rsid w:val="002A169C"/>
    <w:rsid w:val="002A1DBD"/>
    <w:rsid w:val="002A33A5"/>
    <w:rsid w:val="002A34A1"/>
    <w:rsid w:val="002A3503"/>
    <w:rsid w:val="002A3C2E"/>
    <w:rsid w:val="002A4B9E"/>
    <w:rsid w:val="002A5A59"/>
    <w:rsid w:val="002A64E9"/>
    <w:rsid w:val="002A666E"/>
    <w:rsid w:val="002A66B8"/>
    <w:rsid w:val="002A6FD8"/>
    <w:rsid w:val="002A77A4"/>
    <w:rsid w:val="002B0A2F"/>
    <w:rsid w:val="002B12B3"/>
    <w:rsid w:val="002B1BB1"/>
    <w:rsid w:val="002B1E8E"/>
    <w:rsid w:val="002B294D"/>
    <w:rsid w:val="002B2F28"/>
    <w:rsid w:val="002B3558"/>
    <w:rsid w:val="002B3DD6"/>
    <w:rsid w:val="002B691E"/>
    <w:rsid w:val="002B774D"/>
    <w:rsid w:val="002C17A6"/>
    <w:rsid w:val="002C1A65"/>
    <w:rsid w:val="002C28A4"/>
    <w:rsid w:val="002C33FB"/>
    <w:rsid w:val="002C44C0"/>
    <w:rsid w:val="002C4B2D"/>
    <w:rsid w:val="002C5A32"/>
    <w:rsid w:val="002C6460"/>
    <w:rsid w:val="002D004D"/>
    <w:rsid w:val="002D04F6"/>
    <w:rsid w:val="002D08DD"/>
    <w:rsid w:val="002D144B"/>
    <w:rsid w:val="002D1A1A"/>
    <w:rsid w:val="002D227C"/>
    <w:rsid w:val="002D26D3"/>
    <w:rsid w:val="002D2A18"/>
    <w:rsid w:val="002D2AAF"/>
    <w:rsid w:val="002D2EC1"/>
    <w:rsid w:val="002D3485"/>
    <w:rsid w:val="002D38C4"/>
    <w:rsid w:val="002D3FF2"/>
    <w:rsid w:val="002D5414"/>
    <w:rsid w:val="002D54C8"/>
    <w:rsid w:val="002D6CB8"/>
    <w:rsid w:val="002D71B4"/>
    <w:rsid w:val="002D7D2A"/>
    <w:rsid w:val="002E1668"/>
    <w:rsid w:val="002E1851"/>
    <w:rsid w:val="002E1EA8"/>
    <w:rsid w:val="002E20A1"/>
    <w:rsid w:val="002E2A38"/>
    <w:rsid w:val="002E2D44"/>
    <w:rsid w:val="002E4106"/>
    <w:rsid w:val="002E4155"/>
    <w:rsid w:val="002E5D49"/>
    <w:rsid w:val="002E5EDB"/>
    <w:rsid w:val="002E6D0D"/>
    <w:rsid w:val="002E6E51"/>
    <w:rsid w:val="002E77D7"/>
    <w:rsid w:val="002F00C8"/>
    <w:rsid w:val="002F121D"/>
    <w:rsid w:val="002F12AD"/>
    <w:rsid w:val="002F134C"/>
    <w:rsid w:val="002F1403"/>
    <w:rsid w:val="002F140D"/>
    <w:rsid w:val="002F2DDE"/>
    <w:rsid w:val="002F3078"/>
    <w:rsid w:val="002F31AA"/>
    <w:rsid w:val="002F3D21"/>
    <w:rsid w:val="002F4A05"/>
    <w:rsid w:val="002F4EE8"/>
    <w:rsid w:val="002F546A"/>
    <w:rsid w:val="002F581F"/>
    <w:rsid w:val="002F5A9C"/>
    <w:rsid w:val="002F65A3"/>
    <w:rsid w:val="002F7089"/>
    <w:rsid w:val="002F71E9"/>
    <w:rsid w:val="002F7645"/>
    <w:rsid w:val="002F7CCC"/>
    <w:rsid w:val="003005E6"/>
    <w:rsid w:val="00300F95"/>
    <w:rsid w:val="003023D3"/>
    <w:rsid w:val="003028CF"/>
    <w:rsid w:val="00302DA1"/>
    <w:rsid w:val="0030306B"/>
    <w:rsid w:val="00303814"/>
    <w:rsid w:val="003041C5"/>
    <w:rsid w:val="00304D03"/>
    <w:rsid w:val="00305794"/>
    <w:rsid w:val="00307533"/>
    <w:rsid w:val="00307A36"/>
    <w:rsid w:val="00307EAB"/>
    <w:rsid w:val="00310990"/>
    <w:rsid w:val="00311FC3"/>
    <w:rsid w:val="00313D56"/>
    <w:rsid w:val="00314349"/>
    <w:rsid w:val="003144EE"/>
    <w:rsid w:val="00314699"/>
    <w:rsid w:val="0031491A"/>
    <w:rsid w:val="00314F69"/>
    <w:rsid w:val="00316F88"/>
    <w:rsid w:val="003179D4"/>
    <w:rsid w:val="00317FA2"/>
    <w:rsid w:val="003203AB"/>
    <w:rsid w:val="003210E6"/>
    <w:rsid w:val="00321179"/>
    <w:rsid w:val="00322BE8"/>
    <w:rsid w:val="00323C4B"/>
    <w:rsid w:val="0032437B"/>
    <w:rsid w:val="0032499E"/>
    <w:rsid w:val="00324B8C"/>
    <w:rsid w:val="0032508C"/>
    <w:rsid w:val="003256B6"/>
    <w:rsid w:val="0032748B"/>
    <w:rsid w:val="003278AE"/>
    <w:rsid w:val="00327E12"/>
    <w:rsid w:val="0033050A"/>
    <w:rsid w:val="003309BB"/>
    <w:rsid w:val="003314C4"/>
    <w:rsid w:val="0033257A"/>
    <w:rsid w:val="00333D2C"/>
    <w:rsid w:val="00334623"/>
    <w:rsid w:val="0033464E"/>
    <w:rsid w:val="003353E5"/>
    <w:rsid w:val="00335403"/>
    <w:rsid w:val="003364DA"/>
    <w:rsid w:val="00341697"/>
    <w:rsid w:val="00341828"/>
    <w:rsid w:val="00343879"/>
    <w:rsid w:val="00343952"/>
    <w:rsid w:val="00343D8F"/>
    <w:rsid w:val="00343F8F"/>
    <w:rsid w:val="00344887"/>
    <w:rsid w:val="00344CC6"/>
    <w:rsid w:val="0034556E"/>
    <w:rsid w:val="003459D1"/>
    <w:rsid w:val="00346BC6"/>
    <w:rsid w:val="00346E1C"/>
    <w:rsid w:val="0034724F"/>
    <w:rsid w:val="003477F7"/>
    <w:rsid w:val="003524BF"/>
    <w:rsid w:val="00353224"/>
    <w:rsid w:val="003536E1"/>
    <w:rsid w:val="00354061"/>
    <w:rsid w:val="003555EE"/>
    <w:rsid w:val="00355725"/>
    <w:rsid w:val="00355A85"/>
    <w:rsid w:val="00357129"/>
    <w:rsid w:val="003572CC"/>
    <w:rsid w:val="0035748C"/>
    <w:rsid w:val="00357769"/>
    <w:rsid w:val="00360837"/>
    <w:rsid w:val="003614A7"/>
    <w:rsid w:val="0036266F"/>
    <w:rsid w:val="00363CED"/>
    <w:rsid w:val="003643F3"/>
    <w:rsid w:val="00364CD0"/>
    <w:rsid w:val="00365793"/>
    <w:rsid w:val="003658A9"/>
    <w:rsid w:val="00365AAB"/>
    <w:rsid w:val="00366B4E"/>
    <w:rsid w:val="0036771F"/>
    <w:rsid w:val="003678AB"/>
    <w:rsid w:val="00367B5A"/>
    <w:rsid w:val="00370070"/>
    <w:rsid w:val="0037080A"/>
    <w:rsid w:val="00370C95"/>
    <w:rsid w:val="0037141D"/>
    <w:rsid w:val="003728F8"/>
    <w:rsid w:val="00372CFE"/>
    <w:rsid w:val="00372F91"/>
    <w:rsid w:val="00373F76"/>
    <w:rsid w:val="00374635"/>
    <w:rsid w:val="003752C8"/>
    <w:rsid w:val="00375679"/>
    <w:rsid w:val="00375DE4"/>
    <w:rsid w:val="003762F8"/>
    <w:rsid w:val="00376FDA"/>
    <w:rsid w:val="0037711F"/>
    <w:rsid w:val="00380047"/>
    <w:rsid w:val="00380224"/>
    <w:rsid w:val="00380832"/>
    <w:rsid w:val="003818CF"/>
    <w:rsid w:val="003818F8"/>
    <w:rsid w:val="0038198F"/>
    <w:rsid w:val="00381B03"/>
    <w:rsid w:val="00381E80"/>
    <w:rsid w:val="00382528"/>
    <w:rsid w:val="00382D94"/>
    <w:rsid w:val="00382E80"/>
    <w:rsid w:val="00384D97"/>
    <w:rsid w:val="0038518A"/>
    <w:rsid w:val="00385A6B"/>
    <w:rsid w:val="00385A72"/>
    <w:rsid w:val="00385F1F"/>
    <w:rsid w:val="00385F35"/>
    <w:rsid w:val="00385F85"/>
    <w:rsid w:val="0038602A"/>
    <w:rsid w:val="00387B35"/>
    <w:rsid w:val="00390FCC"/>
    <w:rsid w:val="00391844"/>
    <w:rsid w:val="00392836"/>
    <w:rsid w:val="00392AED"/>
    <w:rsid w:val="003932AD"/>
    <w:rsid w:val="00393D34"/>
    <w:rsid w:val="003941AC"/>
    <w:rsid w:val="0039426C"/>
    <w:rsid w:val="00394281"/>
    <w:rsid w:val="00395878"/>
    <w:rsid w:val="00395FFE"/>
    <w:rsid w:val="003967F3"/>
    <w:rsid w:val="00397383"/>
    <w:rsid w:val="00397F3E"/>
    <w:rsid w:val="003A0313"/>
    <w:rsid w:val="003A17DC"/>
    <w:rsid w:val="003A2788"/>
    <w:rsid w:val="003A33F5"/>
    <w:rsid w:val="003A38EE"/>
    <w:rsid w:val="003A3C26"/>
    <w:rsid w:val="003A3EFF"/>
    <w:rsid w:val="003A44D6"/>
    <w:rsid w:val="003A45A2"/>
    <w:rsid w:val="003A49E9"/>
    <w:rsid w:val="003A4E64"/>
    <w:rsid w:val="003A53DA"/>
    <w:rsid w:val="003A5767"/>
    <w:rsid w:val="003A5D7B"/>
    <w:rsid w:val="003A63C8"/>
    <w:rsid w:val="003A65D2"/>
    <w:rsid w:val="003A65F3"/>
    <w:rsid w:val="003B018F"/>
    <w:rsid w:val="003B0D97"/>
    <w:rsid w:val="003B101C"/>
    <w:rsid w:val="003B1037"/>
    <w:rsid w:val="003B1A35"/>
    <w:rsid w:val="003B29BC"/>
    <w:rsid w:val="003B2D5D"/>
    <w:rsid w:val="003B2DF0"/>
    <w:rsid w:val="003B5D53"/>
    <w:rsid w:val="003B5F5B"/>
    <w:rsid w:val="003B643A"/>
    <w:rsid w:val="003B6D8D"/>
    <w:rsid w:val="003B7862"/>
    <w:rsid w:val="003B7DE7"/>
    <w:rsid w:val="003C08E6"/>
    <w:rsid w:val="003C0990"/>
    <w:rsid w:val="003C1484"/>
    <w:rsid w:val="003C19E8"/>
    <w:rsid w:val="003C19EB"/>
    <w:rsid w:val="003C28CA"/>
    <w:rsid w:val="003C2A84"/>
    <w:rsid w:val="003C30A2"/>
    <w:rsid w:val="003C3C4D"/>
    <w:rsid w:val="003C3C5A"/>
    <w:rsid w:val="003C43C4"/>
    <w:rsid w:val="003C4D35"/>
    <w:rsid w:val="003C5B7B"/>
    <w:rsid w:val="003C6539"/>
    <w:rsid w:val="003C66B6"/>
    <w:rsid w:val="003C71CC"/>
    <w:rsid w:val="003C7F29"/>
    <w:rsid w:val="003D0404"/>
    <w:rsid w:val="003D0C62"/>
    <w:rsid w:val="003D0D36"/>
    <w:rsid w:val="003D0D76"/>
    <w:rsid w:val="003D11BF"/>
    <w:rsid w:val="003D3490"/>
    <w:rsid w:val="003D46F5"/>
    <w:rsid w:val="003D4C93"/>
    <w:rsid w:val="003D539E"/>
    <w:rsid w:val="003D614E"/>
    <w:rsid w:val="003D7587"/>
    <w:rsid w:val="003D7EEB"/>
    <w:rsid w:val="003D7F8A"/>
    <w:rsid w:val="003E01E7"/>
    <w:rsid w:val="003E1808"/>
    <w:rsid w:val="003E19D3"/>
    <w:rsid w:val="003E1FA0"/>
    <w:rsid w:val="003E2007"/>
    <w:rsid w:val="003E3E26"/>
    <w:rsid w:val="003E3E40"/>
    <w:rsid w:val="003E440B"/>
    <w:rsid w:val="003E5335"/>
    <w:rsid w:val="003E54B3"/>
    <w:rsid w:val="003E57C0"/>
    <w:rsid w:val="003E65F2"/>
    <w:rsid w:val="003E670E"/>
    <w:rsid w:val="003E722F"/>
    <w:rsid w:val="003E7F6B"/>
    <w:rsid w:val="003F01B4"/>
    <w:rsid w:val="003F036C"/>
    <w:rsid w:val="003F079A"/>
    <w:rsid w:val="003F19A6"/>
    <w:rsid w:val="003F3052"/>
    <w:rsid w:val="003F32F3"/>
    <w:rsid w:val="003F46E7"/>
    <w:rsid w:val="003F4B3B"/>
    <w:rsid w:val="003F5322"/>
    <w:rsid w:val="003F53E2"/>
    <w:rsid w:val="003F5901"/>
    <w:rsid w:val="003F5B14"/>
    <w:rsid w:val="003F5C4A"/>
    <w:rsid w:val="003F6912"/>
    <w:rsid w:val="003F6A1E"/>
    <w:rsid w:val="003F6A69"/>
    <w:rsid w:val="003F7A77"/>
    <w:rsid w:val="003F7D2B"/>
    <w:rsid w:val="00400CFB"/>
    <w:rsid w:val="004010C5"/>
    <w:rsid w:val="00401757"/>
    <w:rsid w:val="00401CC4"/>
    <w:rsid w:val="0040231F"/>
    <w:rsid w:val="00402728"/>
    <w:rsid w:val="0040313F"/>
    <w:rsid w:val="00403422"/>
    <w:rsid w:val="00403428"/>
    <w:rsid w:val="00403CFF"/>
    <w:rsid w:val="00403E33"/>
    <w:rsid w:val="00405637"/>
    <w:rsid w:val="00405A87"/>
    <w:rsid w:val="0040655E"/>
    <w:rsid w:val="00406CD3"/>
    <w:rsid w:val="00407590"/>
    <w:rsid w:val="00407865"/>
    <w:rsid w:val="00407D1B"/>
    <w:rsid w:val="00407EE7"/>
    <w:rsid w:val="00410C05"/>
    <w:rsid w:val="00410C80"/>
    <w:rsid w:val="0041144A"/>
    <w:rsid w:val="00411AB8"/>
    <w:rsid w:val="00411F65"/>
    <w:rsid w:val="0041225B"/>
    <w:rsid w:val="004125F9"/>
    <w:rsid w:val="00412851"/>
    <w:rsid w:val="00412A48"/>
    <w:rsid w:val="00412CFF"/>
    <w:rsid w:val="004132C0"/>
    <w:rsid w:val="004132E8"/>
    <w:rsid w:val="0041352E"/>
    <w:rsid w:val="00413B8E"/>
    <w:rsid w:val="00413E78"/>
    <w:rsid w:val="00413FC6"/>
    <w:rsid w:val="00414813"/>
    <w:rsid w:val="00414F6B"/>
    <w:rsid w:val="00415156"/>
    <w:rsid w:val="00415173"/>
    <w:rsid w:val="00415988"/>
    <w:rsid w:val="00415F32"/>
    <w:rsid w:val="004165E8"/>
    <w:rsid w:val="00417130"/>
    <w:rsid w:val="0041728D"/>
    <w:rsid w:val="00417AA0"/>
    <w:rsid w:val="00417D27"/>
    <w:rsid w:val="00420BC8"/>
    <w:rsid w:val="00422891"/>
    <w:rsid w:val="0042445F"/>
    <w:rsid w:val="00424BE0"/>
    <w:rsid w:val="00425AFB"/>
    <w:rsid w:val="00426F0D"/>
    <w:rsid w:val="0042781E"/>
    <w:rsid w:val="00427E06"/>
    <w:rsid w:val="004325B8"/>
    <w:rsid w:val="00433407"/>
    <w:rsid w:val="00437082"/>
    <w:rsid w:val="0043763D"/>
    <w:rsid w:val="00440355"/>
    <w:rsid w:val="0044140A"/>
    <w:rsid w:val="00441793"/>
    <w:rsid w:val="004420B2"/>
    <w:rsid w:val="00442A0E"/>
    <w:rsid w:val="0044303B"/>
    <w:rsid w:val="004433A5"/>
    <w:rsid w:val="00443D84"/>
    <w:rsid w:val="00444866"/>
    <w:rsid w:val="00444F59"/>
    <w:rsid w:val="00445998"/>
    <w:rsid w:val="004459D1"/>
    <w:rsid w:val="00445AA9"/>
    <w:rsid w:val="00445CB0"/>
    <w:rsid w:val="00445DFB"/>
    <w:rsid w:val="00446C33"/>
    <w:rsid w:val="00446DF6"/>
    <w:rsid w:val="0044756A"/>
    <w:rsid w:val="00447BA2"/>
    <w:rsid w:val="00450DE4"/>
    <w:rsid w:val="004510FF"/>
    <w:rsid w:val="00451A01"/>
    <w:rsid w:val="00451B38"/>
    <w:rsid w:val="00451F0C"/>
    <w:rsid w:val="00452A79"/>
    <w:rsid w:val="00452D81"/>
    <w:rsid w:val="004534D8"/>
    <w:rsid w:val="00453635"/>
    <w:rsid w:val="00453FC9"/>
    <w:rsid w:val="004548DE"/>
    <w:rsid w:val="004550B0"/>
    <w:rsid w:val="0045573D"/>
    <w:rsid w:val="00456A65"/>
    <w:rsid w:val="00456CA6"/>
    <w:rsid w:val="00460A09"/>
    <w:rsid w:val="004611C6"/>
    <w:rsid w:val="00461F8D"/>
    <w:rsid w:val="0046227B"/>
    <w:rsid w:val="0046270F"/>
    <w:rsid w:val="0046357E"/>
    <w:rsid w:val="004638EA"/>
    <w:rsid w:val="00463F8E"/>
    <w:rsid w:val="0046433D"/>
    <w:rsid w:val="0046453C"/>
    <w:rsid w:val="00464C5A"/>
    <w:rsid w:val="00465129"/>
    <w:rsid w:val="00465296"/>
    <w:rsid w:val="0046542D"/>
    <w:rsid w:val="00467377"/>
    <w:rsid w:val="00467A78"/>
    <w:rsid w:val="00471CE6"/>
    <w:rsid w:val="00471E4F"/>
    <w:rsid w:val="00472809"/>
    <w:rsid w:val="00472926"/>
    <w:rsid w:val="004730CD"/>
    <w:rsid w:val="00474149"/>
    <w:rsid w:val="00474FC6"/>
    <w:rsid w:val="00475748"/>
    <w:rsid w:val="00475C21"/>
    <w:rsid w:val="00476DDD"/>
    <w:rsid w:val="00477057"/>
    <w:rsid w:val="004770C6"/>
    <w:rsid w:val="00477736"/>
    <w:rsid w:val="00477C0F"/>
    <w:rsid w:val="00480664"/>
    <w:rsid w:val="004809EE"/>
    <w:rsid w:val="004811BC"/>
    <w:rsid w:val="00481B05"/>
    <w:rsid w:val="0048202C"/>
    <w:rsid w:val="0048293B"/>
    <w:rsid w:val="004842E2"/>
    <w:rsid w:val="0048435F"/>
    <w:rsid w:val="00485B18"/>
    <w:rsid w:val="00485FE6"/>
    <w:rsid w:val="004860DB"/>
    <w:rsid w:val="00486C34"/>
    <w:rsid w:val="00486E86"/>
    <w:rsid w:val="004870C6"/>
    <w:rsid w:val="004874D5"/>
    <w:rsid w:val="00487764"/>
    <w:rsid w:val="004900DE"/>
    <w:rsid w:val="004901E9"/>
    <w:rsid w:val="004902F2"/>
    <w:rsid w:val="004902FF"/>
    <w:rsid w:val="0049032D"/>
    <w:rsid w:val="00491819"/>
    <w:rsid w:val="00491898"/>
    <w:rsid w:val="00491CAB"/>
    <w:rsid w:val="004922AD"/>
    <w:rsid w:val="004931B7"/>
    <w:rsid w:val="004935F3"/>
    <w:rsid w:val="00494B6D"/>
    <w:rsid w:val="00494B92"/>
    <w:rsid w:val="00494D37"/>
    <w:rsid w:val="00494DA7"/>
    <w:rsid w:val="004954CE"/>
    <w:rsid w:val="00496727"/>
    <w:rsid w:val="00497919"/>
    <w:rsid w:val="00497D40"/>
    <w:rsid w:val="00497D90"/>
    <w:rsid w:val="004A01A2"/>
    <w:rsid w:val="004A0A41"/>
    <w:rsid w:val="004A0D39"/>
    <w:rsid w:val="004A1F84"/>
    <w:rsid w:val="004A25AE"/>
    <w:rsid w:val="004A3861"/>
    <w:rsid w:val="004A4203"/>
    <w:rsid w:val="004A4765"/>
    <w:rsid w:val="004A5F86"/>
    <w:rsid w:val="004A675E"/>
    <w:rsid w:val="004A75F9"/>
    <w:rsid w:val="004A7DA2"/>
    <w:rsid w:val="004B04B8"/>
    <w:rsid w:val="004B1118"/>
    <w:rsid w:val="004B1779"/>
    <w:rsid w:val="004B19C0"/>
    <w:rsid w:val="004B1F60"/>
    <w:rsid w:val="004B1FDB"/>
    <w:rsid w:val="004B3906"/>
    <w:rsid w:val="004B42BE"/>
    <w:rsid w:val="004B46FE"/>
    <w:rsid w:val="004B4988"/>
    <w:rsid w:val="004B4D81"/>
    <w:rsid w:val="004B5338"/>
    <w:rsid w:val="004B5486"/>
    <w:rsid w:val="004B5626"/>
    <w:rsid w:val="004B5E12"/>
    <w:rsid w:val="004B5EB1"/>
    <w:rsid w:val="004B6837"/>
    <w:rsid w:val="004B6898"/>
    <w:rsid w:val="004B69BD"/>
    <w:rsid w:val="004B77EB"/>
    <w:rsid w:val="004B79BB"/>
    <w:rsid w:val="004B7A90"/>
    <w:rsid w:val="004C16F4"/>
    <w:rsid w:val="004C27C0"/>
    <w:rsid w:val="004C280B"/>
    <w:rsid w:val="004C3881"/>
    <w:rsid w:val="004C42CE"/>
    <w:rsid w:val="004C4B37"/>
    <w:rsid w:val="004C586C"/>
    <w:rsid w:val="004C58EF"/>
    <w:rsid w:val="004C5D1D"/>
    <w:rsid w:val="004C614D"/>
    <w:rsid w:val="004C6325"/>
    <w:rsid w:val="004C651B"/>
    <w:rsid w:val="004D0375"/>
    <w:rsid w:val="004D042A"/>
    <w:rsid w:val="004D04B3"/>
    <w:rsid w:val="004D09F6"/>
    <w:rsid w:val="004D0D82"/>
    <w:rsid w:val="004D2656"/>
    <w:rsid w:val="004D2C84"/>
    <w:rsid w:val="004D3F68"/>
    <w:rsid w:val="004D3FCB"/>
    <w:rsid w:val="004D4AEB"/>
    <w:rsid w:val="004D5593"/>
    <w:rsid w:val="004D5800"/>
    <w:rsid w:val="004D69D1"/>
    <w:rsid w:val="004D6F60"/>
    <w:rsid w:val="004D7A9E"/>
    <w:rsid w:val="004E06E1"/>
    <w:rsid w:val="004E08C7"/>
    <w:rsid w:val="004E1450"/>
    <w:rsid w:val="004E20F2"/>
    <w:rsid w:val="004E2611"/>
    <w:rsid w:val="004E3503"/>
    <w:rsid w:val="004E356B"/>
    <w:rsid w:val="004E360A"/>
    <w:rsid w:val="004E3B6C"/>
    <w:rsid w:val="004E41EF"/>
    <w:rsid w:val="004E5E3E"/>
    <w:rsid w:val="004E6209"/>
    <w:rsid w:val="004E625B"/>
    <w:rsid w:val="004E6425"/>
    <w:rsid w:val="004E652C"/>
    <w:rsid w:val="004E6ED1"/>
    <w:rsid w:val="004E733E"/>
    <w:rsid w:val="004E755E"/>
    <w:rsid w:val="004F023A"/>
    <w:rsid w:val="004F0C2F"/>
    <w:rsid w:val="004F1033"/>
    <w:rsid w:val="004F136D"/>
    <w:rsid w:val="004F1DB9"/>
    <w:rsid w:val="004F2E74"/>
    <w:rsid w:val="004F3852"/>
    <w:rsid w:val="004F4377"/>
    <w:rsid w:val="004F455F"/>
    <w:rsid w:val="004F4DC0"/>
    <w:rsid w:val="004F5CD1"/>
    <w:rsid w:val="004F702F"/>
    <w:rsid w:val="004F70AC"/>
    <w:rsid w:val="004F73F7"/>
    <w:rsid w:val="004F7D19"/>
    <w:rsid w:val="00500547"/>
    <w:rsid w:val="00500CC3"/>
    <w:rsid w:val="00501394"/>
    <w:rsid w:val="00502186"/>
    <w:rsid w:val="0050267C"/>
    <w:rsid w:val="005027DE"/>
    <w:rsid w:val="00502B62"/>
    <w:rsid w:val="0050335D"/>
    <w:rsid w:val="005045B8"/>
    <w:rsid w:val="0050511F"/>
    <w:rsid w:val="00505547"/>
    <w:rsid w:val="00506C35"/>
    <w:rsid w:val="00506F8F"/>
    <w:rsid w:val="00507D10"/>
    <w:rsid w:val="005100B5"/>
    <w:rsid w:val="00510986"/>
    <w:rsid w:val="00511056"/>
    <w:rsid w:val="00511F1B"/>
    <w:rsid w:val="005125A9"/>
    <w:rsid w:val="00512823"/>
    <w:rsid w:val="00513FF0"/>
    <w:rsid w:val="005151A8"/>
    <w:rsid w:val="005160D4"/>
    <w:rsid w:val="00516894"/>
    <w:rsid w:val="00516E24"/>
    <w:rsid w:val="005202E6"/>
    <w:rsid w:val="005210AF"/>
    <w:rsid w:val="00521114"/>
    <w:rsid w:val="005212E6"/>
    <w:rsid w:val="00521D44"/>
    <w:rsid w:val="00521FCD"/>
    <w:rsid w:val="00522513"/>
    <w:rsid w:val="00522B42"/>
    <w:rsid w:val="00522CAE"/>
    <w:rsid w:val="00525400"/>
    <w:rsid w:val="005259E2"/>
    <w:rsid w:val="00526801"/>
    <w:rsid w:val="00526DF3"/>
    <w:rsid w:val="00526DF9"/>
    <w:rsid w:val="00526E37"/>
    <w:rsid w:val="00527D4A"/>
    <w:rsid w:val="005310F9"/>
    <w:rsid w:val="00532935"/>
    <w:rsid w:val="00533124"/>
    <w:rsid w:val="00533240"/>
    <w:rsid w:val="0053395A"/>
    <w:rsid w:val="00533AA9"/>
    <w:rsid w:val="00535056"/>
    <w:rsid w:val="0053535C"/>
    <w:rsid w:val="00536D84"/>
    <w:rsid w:val="0053747C"/>
    <w:rsid w:val="00540279"/>
    <w:rsid w:val="0054097C"/>
    <w:rsid w:val="00540EB5"/>
    <w:rsid w:val="00542513"/>
    <w:rsid w:val="005427B1"/>
    <w:rsid w:val="005428BB"/>
    <w:rsid w:val="00543526"/>
    <w:rsid w:val="00544E27"/>
    <w:rsid w:val="00545A80"/>
    <w:rsid w:val="00545B24"/>
    <w:rsid w:val="0054601B"/>
    <w:rsid w:val="0054613B"/>
    <w:rsid w:val="0054619D"/>
    <w:rsid w:val="00546C49"/>
    <w:rsid w:val="00546C86"/>
    <w:rsid w:val="00546C8F"/>
    <w:rsid w:val="005472E2"/>
    <w:rsid w:val="00547929"/>
    <w:rsid w:val="00547C03"/>
    <w:rsid w:val="00550830"/>
    <w:rsid w:val="00551E1A"/>
    <w:rsid w:val="00552E0C"/>
    <w:rsid w:val="0055310B"/>
    <w:rsid w:val="005549A9"/>
    <w:rsid w:val="005553F2"/>
    <w:rsid w:val="005557D9"/>
    <w:rsid w:val="005562FC"/>
    <w:rsid w:val="00557F33"/>
    <w:rsid w:val="00560B37"/>
    <w:rsid w:val="005610DB"/>
    <w:rsid w:val="00561130"/>
    <w:rsid w:val="005629D6"/>
    <w:rsid w:val="00562BF5"/>
    <w:rsid w:val="005633A8"/>
    <w:rsid w:val="005639CF"/>
    <w:rsid w:val="005643EF"/>
    <w:rsid w:val="005644EF"/>
    <w:rsid w:val="00564644"/>
    <w:rsid w:val="00564799"/>
    <w:rsid w:val="00564B8E"/>
    <w:rsid w:val="00564FAA"/>
    <w:rsid w:val="00565031"/>
    <w:rsid w:val="0056506D"/>
    <w:rsid w:val="005650F5"/>
    <w:rsid w:val="0056540A"/>
    <w:rsid w:val="0056541B"/>
    <w:rsid w:val="00565E62"/>
    <w:rsid w:val="0056636E"/>
    <w:rsid w:val="00566737"/>
    <w:rsid w:val="00570C34"/>
    <w:rsid w:val="00571B1C"/>
    <w:rsid w:val="00571B9A"/>
    <w:rsid w:val="0057208E"/>
    <w:rsid w:val="005722B8"/>
    <w:rsid w:val="0057305B"/>
    <w:rsid w:val="0057347D"/>
    <w:rsid w:val="00574D2C"/>
    <w:rsid w:val="00575C4D"/>
    <w:rsid w:val="00576F48"/>
    <w:rsid w:val="00577C09"/>
    <w:rsid w:val="00580706"/>
    <w:rsid w:val="00580BA1"/>
    <w:rsid w:val="00580F07"/>
    <w:rsid w:val="005820CF"/>
    <w:rsid w:val="00582292"/>
    <w:rsid w:val="0058296C"/>
    <w:rsid w:val="00583F23"/>
    <w:rsid w:val="00584073"/>
    <w:rsid w:val="00584382"/>
    <w:rsid w:val="00585AB0"/>
    <w:rsid w:val="005865AA"/>
    <w:rsid w:val="00586A3C"/>
    <w:rsid w:val="005874E6"/>
    <w:rsid w:val="0058792B"/>
    <w:rsid w:val="00587CDC"/>
    <w:rsid w:val="0059041E"/>
    <w:rsid w:val="00590791"/>
    <w:rsid w:val="0059132C"/>
    <w:rsid w:val="005917E0"/>
    <w:rsid w:val="00592B3A"/>
    <w:rsid w:val="00592E73"/>
    <w:rsid w:val="0059300D"/>
    <w:rsid w:val="00593BDB"/>
    <w:rsid w:val="00593C44"/>
    <w:rsid w:val="00593EC7"/>
    <w:rsid w:val="00594FBF"/>
    <w:rsid w:val="0059509F"/>
    <w:rsid w:val="0059681B"/>
    <w:rsid w:val="005A052E"/>
    <w:rsid w:val="005A1B5A"/>
    <w:rsid w:val="005A2A45"/>
    <w:rsid w:val="005A2D64"/>
    <w:rsid w:val="005A3462"/>
    <w:rsid w:val="005A3B6B"/>
    <w:rsid w:val="005A3F6F"/>
    <w:rsid w:val="005A4002"/>
    <w:rsid w:val="005A5947"/>
    <w:rsid w:val="005A5AA8"/>
    <w:rsid w:val="005A5D76"/>
    <w:rsid w:val="005A6DC5"/>
    <w:rsid w:val="005A6F8B"/>
    <w:rsid w:val="005A7659"/>
    <w:rsid w:val="005A7F47"/>
    <w:rsid w:val="005B06BB"/>
    <w:rsid w:val="005B0BB1"/>
    <w:rsid w:val="005B1A79"/>
    <w:rsid w:val="005B29B0"/>
    <w:rsid w:val="005B30D9"/>
    <w:rsid w:val="005B3308"/>
    <w:rsid w:val="005B3C60"/>
    <w:rsid w:val="005B3D5E"/>
    <w:rsid w:val="005B3EB4"/>
    <w:rsid w:val="005B3F9D"/>
    <w:rsid w:val="005B48D1"/>
    <w:rsid w:val="005B4F06"/>
    <w:rsid w:val="005B5940"/>
    <w:rsid w:val="005B654D"/>
    <w:rsid w:val="005B73B8"/>
    <w:rsid w:val="005B7DCE"/>
    <w:rsid w:val="005B7F6F"/>
    <w:rsid w:val="005C0A74"/>
    <w:rsid w:val="005C0C3E"/>
    <w:rsid w:val="005C15CD"/>
    <w:rsid w:val="005C177F"/>
    <w:rsid w:val="005C2FA7"/>
    <w:rsid w:val="005C425A"/>
    <w:rsid w:val="005C446C"/>
    <w:rsid w:val="005C6ED0"/>
    <w:rsid w:val="005C776B"/>
    <w:rsid w:val="005D03EA"/>
    <w:rsid w:val="005D08DA"/>
    <w:rsid w:val="005D1B18"/>
    <w:rsid w:val="005D1BCF"/>
    <w:rsid w:val="005D1E15"/>
    <w:rsid w:val="005D1F6A"/>
    <w:rsid w:val="005D4267"/>
    <w:rsid w:val="005D4CAC"/>
    <w:rsid w:val="005D573F"/>
    <w:rsid w:val="005D5C86"/>
    <w:rsid w:val="005D7EAC"/>
    <w:rsid w:val="005E1ADA"/>
    <w:rsid w:val="005E33F7"/>
    <w:rsid w:val="005E5BDD"/>
    <w:rsid w:val="005E651B"/>
    <w:rsid w:val="005E661D"/>
    <w:rsid w:val="005E667A"/>
    <w:rsid w:val="005E6814"/>
    <w:rsid w:val="005E7740"/>
    <w:rsid w:val="005E779E"/>
    <w:rsid w:val="005E7C04"/>
    <w:rsid w:val="005F00BE"/>
    <w:rsid w:val="005F138A"/>
    <w:rsid w:val="005F1835"/>
    <w:rsid w:val="005F1C45"/>
    <w:rsid w:val="005F32A1"/>
    <w:rsid w:val="005F342B"/>
    <w:rsid w:val="005F39FB"/>
    <w:rsid w:val="005F5355"/>
    <w:rsid w:val="005F5912"/>
    <w:rsid w:val="005F59E7"/>
    <w:rsid w:val="005F69B5"/>
    <w:rsid w:val="005F69F7"/>
    <w:rsid w:val="005F7D22"/>
    <w:rsid w:val="006001B1"/>
    <w:rsid w:val="0060113B"/>
    <w:rsid w:val="0060124F"/>
    <w:rsid w:val="0060167A"/>
    <w:rsid w:val="006018F5"/>
    <w:rsid w:val="0060197D"/>
    <w:rsid w:val="006027C7"/>
    <w:rsid w:val="00602931"/>
    <w:rsid w:val="00602C69"/>
    <w:rsid w:val="00602CFA"/>
    <w:rsid w:val="006035C7"/>
    <w:rsid w:val="00603A60"/>
    <w:rsid w:val="00603FBE"/>
    <w:rsid w:val="00604010"/>
    <w:rsid w:val="006041C2"/>
    <w:rsid w:val="0060455E"/>
    <w:rsid w:val="00604940"/>
    <w:rsid w:val="006056FB"/>
    <w:rsid w:val="00605A7B"/>
    <w:rsid w:val="00606EAF"/>
    <w:rsid w:val="00606F6B"/>
    <w:rsid w:val="00607B99"/>
    <w:rsid w:val="006109EF"/>
    <w:rsid w:val="00610BE0"/>
    <w:rsid w:val="00611600"/>
    <w:rsid w:val="0061229B"/>
    <w:rsid w:val="00612345"/>
    <w:rsid w:val="00612C87"/>
    <w:rsid w:val="00612ECC"/>
    <w:rsid w:val="0061333E"/>
    <w:rsid w:val="00613CFA"/>
    <w:rsid w:val="0061452A"/>
    <w:rsid w:val="00614550"/>
    <w:rsid w:val="00614966"/>
    <w:rsid w:val="00615E82"/>
    <w:rsid w:val="00617644"/>
    <w:rsid w:val="00620ADB"/>
    <w:rsid w:val="00620CE5"/>
    <w:rsid w:val="00620F5B"/>
    <w:rsid w:val="006211B0"/>
    <w:rsid w:val="00621933"/>
    <w:rsid w:val="00621C19"/>
    <w:rsid w:val="00622260"/>
    <w:rsid w:val="0062241D"/>
    <w:rsid w:val="00624441"/>
    <w:rsid w:val="0062463E"/>
    <w:rsid w:val="006254A2"/>
    <w:rsid w:val="00625EFD"/>
    <w:rsid w:val="0062780F"/>
    <w:rsid w:val="0062795E"/>
    <w:rsid w:val="00627A1A"/>
    <w:rsid w:val="00627BBB"/>
    <w:rsid w:val="00630C80"/>
    <w:rsid w:val="00631286"/>
    <w:rsid w:val="0063178E"/>
    <w:rsid w:val="00631C93"/>
    <w:rsid w:val="006323FB"/>
    <w:rsid w:val="006329AA"/>
    <w:rsid w:val="006330E4"/>
    <w:rsid w:val="00633389"/>
    <w:rsid w:val="0063417C"/>
    <w:rsid w:val="0063470E"/>
    <w:rsid w:val="006352D4"/>
    <w:rsid w:val="00635346"/>
    <w:rsid w:val="0063588C"/>
    <w:rsid w:val="00635D02"/>
    <w:rsid w:val="0063676D"/>
    <w:rsid w:val="00636982"/>
    <w:rsid w:val="00636EAF"/>
    <w:rsid w:val="006370FC"/>
    <w:rsid w:val="00637BA0"/>
    <w:rsid w:val="00640941"/>
    <w:rsid w:val="006410CB"/>
    <w:rsid w:val="00642595"/>
    <w:rsid w:val="006432C9"/>
    <w:rsid w:val="00643334"/>
    <w:rsid w:val="006438F9"/>
    <w:rsid w:val="00643B45"/>
    <w:rsid w:val="00643F4E"/>
    <w:rsid w:val="00644830"/>
    <w:rsid w:val="00644ED7"/>
    <w:rsid w:val="0064513B"/>
    <w:rsid w:val="00645CDB"/>
    <w:rsid w:val="00646BA8"/>
    <w:rsid w:val="00646D28"/>
    <w:rsid w:val="00647DF4"/>
    <w:rsid w:val="00647EC6"/>
    <w:rsid w:val="00650AC7"/>
    <w:rsid w:val="00650EA0"/>
    <w:rsid w:val="006517A6"/>
    <w:rsid w:val="006536B3"/>
    <w:rsid w:val="00654813"/>
    <w:rsid w:val="00654A2C"/>
    <w:rsid w:val="00655790"/>
    <w:rsid w:val="00657552"/>
    <w:rsid w:val="00661709"/>
    <w:rsid w:val="00661BE2"/>
    <w:rsid w:val="00661C2E"/>
    <w:rsid w:val="00661CB3"/>
    <w:rsid w:val="00662733"/>
    <w:rsid w:val="0066285A"/>
    <w:rsid w:val="00663A01"/>
    <w:rsid w:val="006642EB"/>
    <w:rsid w:val="00665044"/>
    <w:rsid w:val="00665A11"/>
    <w:rsid w:val="00665A28"/>
    <w:rsid w:val="00666D67"/>
    <w:rsid w:val="00666E83"/>
    <w:rsid w:val="006679D6"/>
    <w:rsid w:val="00670AE4"/>
    <w:rsid w:val="00671C46"/>
    <w:rsid w:val="00671E19"/>
    <w:rsid w:val="006727BC"/>
    <w:rsid w:val="006728F7"/>
    <w:rsid w:val="00672CA0"/>
    <w:rsid w:val="00672CEF"/>
    <w:rsid w:val="00672F89"/>
    <w:rsid w:val="0067458C"/>
    <w:rsid w:val="00674742"/>
    <w:rsid w:val="00674EB9"/>
    <w:rsid w:val="00675980"/>
    <w:rsid w:val="0067603C"/>
    <w:rsid w:val="006768DC"/>
    <w:rsid w:val="00677E6D"/>
    <w:rsid w:val="00680BEC"/>
    <w:rsid w:val="00681BE5"/>
    <w:rsid w:val="00681CC2"/>
    <w:rsid w:val="00682473"/>
    <w:rsid w:val="006825C4"/>
    <w:rsid w:val="00682DF3"/>
    <w:rsid w:val="00683724"/>
    <w:rsid w:val="0068422D"/>
    <w:rsid w:val="00684262"/>
    <w:rsid w:val="0068513A"/>
    <w:rsid w:val="00685187"/>
    <w:rsid w:val="00685384"/>
    <w:rsid w:val="00685579"/>
    <w:rsid w:val="006860A0"/>
    <w:rsid w:val="00686110"/>
    <w:rsid w:val="0068637A"/>
    <w:rsid w:val="00686A98"/>
    <w:rsid w:val="00686E06"/>
    <w:rsid w:val="00687401"/>
    <w:rsid w:val="006875BD"/>
    <w:rsid w:val="00687ADF"/>
    <w:rsid w:val="006903FA"/>
    <w:rsid w:val="00690EFC"/>
    <w:rsid w:val="00690FE6"/>
    <w:rsid w:val="0069104D"/>
    <w:rsid w:val="00691C6B"/>
    <w:rsid w:val="00691D32"/>
    <w:rsid w:val="006923F3"/>
    <w:rsid w:val="00692CE2"/>
    <w:rsid w:val="00693285"/>
    <w:rsid w:val="00693584"/>
    <w:rsid w:val="006940F5"/>
    <w:rsid w:val="00694DA6"/>
    <w:rsid w:val="0069744B"/>
    <w:rsid w:val="006979A6"/>
    <w:rsid w:val="00697CA8"/>
    <w:rsid w:val="00697CCF"/>
    <w:rsid w:val="00697D38"/>
    <w:rsid w:val="00697E5F"/>
    <w:rsid w:val="006A028C"/>
    <w:rsid w:val="006A0577"/>
    <w:rsid w:val="006A11DB"/>
    <w:rsid w:val="006A21EB"/>
    <w:rsid w:val="006A2687"/>
    <w:rsid w:val="006A4F0F"/>
    <w:rsid w:val="006A606A"/>
    <w:rsid w:val="006A6303"/>
    <w:rsid w:val="006A6B55"/>
    <w:rsid w:val="006A7838"/>
    <w:rsid w:val="006A7ED2"/>
    <w:rsid w:val="006B0098"/>
    <w:rsid w:val="006B1259"/>
    <w:rsid w:val="006B12E0"/>
    <w:rsid w:val="006B20D1"/>
    <w:rsid w:val="006B2571"/>
    <w:rsid w:val="006B2DA3"/>
    <w:rsid w:val="006B3EF8"/>
    <w:rsid w:val="006B3FA7"/>
    <w:rsid w:val="006B5675"/>
    <w:rsid w:val="006B5751"/>
    <w:rsid w:val="006C1AF0"/>
    <w:rsid w:val="006C1F22"/>
    <w:rsid w:val="006C2AB1"/>
    <w:rsid w:val="006C2D23"/>
    <w:rsid w:val="006C3011"/>
    <w:rsid w:val="006C30A9"/>
    <w:rsid w:val="006C336D"/>
    <w:rsid w:val="006C4210"/>
    <w:rsid w:val="006C4986"/>
    <w:rsid w:val="006C4A50"/>
    <w:rsid w:val="006C4B49"/>
    <w:rsid w:val="006C5290"/>
    <w:rsid w:val="006C6223"/>
    <w:rsid w:val="006C6652"/>
    <w:rsid w:val="006C6694"/>
    <w:rsid w:val="006C687E"/>
    <w:rsid w:val="006C7CA4"/>
    <w:rsid w:val="006D1D60"/>
    <w:rsid w:val="006D278A"/>
    <w:rsid w:val="006D3D17"/>
    <w:rsid w:val="006D3EDE"/>
    <w:rsid w:val="006D49F1"/>
    <w:rsid w:val="006D56E8"/>
    <w:rsid w:val="006D58EB"/>
    <w:rsid w:val="006D5BC0"/>
    <w:rsid w:val="006D5F5F"/>
    <w:rsid w:val="006D6CD9"/>
    <w:rsid w:val="006D7123"/>
    <w:rsid w:val="006E008E"/>
    <w:rsid w:val="006E02F0"/>
    <w:rsid w:val="006E0D77"/>
    <w:rsid w:val="006E0D7F"/>
    <w:rsid w:val="006E1729"/>
    <w:rsid w:val="006E1BE5"/>
    <w:rsid w:val="006E1C24"/>
    <w:rsid w:val="006E1E1A"/>
    <w:rsid w:val="006E1E7F"/>
    <w:rsid w:val="006E212D"/>
    <w:rsid w:val="006E3357"/>
    <w:rsid w:val="006E40A4"/>
    <w:rsid w:val="006E4592"/>
    <w:rsid w:val="006E5551"/>
    <w:rsid w:val="006E5E5C"/>
    <w:rsid w:val="006E61DC"/>
    <w:rsid w:val="006E7978"/>
    <w:rsid w:val="006F0C94"/>
    <w:rsid w:val="006F11B8"/>
    <w:rsid w:val="006F1340"/>
    <w:rsid w:val="006F1708"/>
    <w:rsid w:val="006F1C50"/>
    <w:rsid w:val="006F35AD"/>
    <w:rsid w:val="006F38F1"/>
    <w:rsid w:val="006F3E05"/>
    <w:rsid w:val="006F4627"/>
    <w:rsid w:val="006F48E0"/>
    <w:rsid w:val="006F5690"/>
    <w:rsid w:val="006F58CD"/>
    <w:rsid w:val="006F594A"/>
    <w:rsid w:val="006F6789"/>
    <w:rsid w:val="006F6AAC"/>
    <w:rsid w:val="006F7352"/>
    <w:rsid w:val="006F7917"/>
    <w:rsid w:val="00701A88"/>
    <w:rsid w:val="00701BE1"/>
    <w:rsid w:val="00703A26"/>
    <w:rsid w:val="00704F4B"/>
    <w:rsid w:val="0070519B"/>
    <w:rsid w:val="0070536A"/>
    <w:rsid w:val="0070579C"/>
    <w:rsid w:val="00705FAA"/>
    <w:rsid w:val="0070636F"/>
    <w:rsid w:val="00706B4B"/>
    <w:rsid w:val="00710A4C"/>
    <w:rsid w:val="00711446"/>
    <w:rsid w:val="00712062"/>
    <w:rsid w:val="00712369"/>
    <w:rsid w:val="00712692"/>
    <w:rsid w:val="007134E8"/>
    <w:rsid w:val="00713C9B"/>
    <w:rsid w:val="00715E8C"/>
    <w:rsid w:val="00716922"/>
    <w:rsid w:val="00716C62"/>
    <w:rsid w:val="00717A26"/>
    <w:rsid w:val="007223B1"/>
    <w:rsid w:val="00722499"/>
    <w:rsid w:val="0072298D"/>
    <w:rsid w:val="00724376"/>
    <w:rsid w:val="00724513"/>
    <w:rsid w:val="00724865"/>
    <w:rsid w:val="0072520A"/>
    <w:rsid w:val="007253E7"/>
    <w:rsid w:val="00725E06"/>
    <w:rsid w:val="00727034"/>
    <w:rsid w:val="0073076F"/>
    <w:rsid w:val="007326A3"/>
    <w:rsid w:val="007332D7"/>
    <w:rsid w:val="00733707"/>
    <w:rsid w:val="0073454E"/>
    <w:rsid w:val="00734655"/>
    <w:rsid w:val="00735511"/>
    <w:rsid w:val="00735B1B"/>
    <w:rsid w:val="00735DFA"/>
    <w:rsid w:val="00735F4C"/>
    <w:rsid w:val="00737846"/>
    <w:rsid w:val="007400B1"/>
    <w:rsid w:val="007417D0"/>
    <w:rsid w:val="0074308A"/>
    <w:rsid w:val="007439A9"/>
    <w:rsid w:val="007442AB"/>
    <w:rsid w:val="0074489B"/>
    <w:rsid w:val="007458BD"/>
    <w:rsid w:val="00745B51"/>
    <w:rsid w:val="007477B6"/>
    <w:rsid w:val="00750038"/>
    <w:rsid w:val="007504CD"/>
    <w:rsid w:val="007505D9"/>
    <w:rsid w:val="007506A2"/>
    <w:rsid w:val="00750788"/>
    <w:rsid w:val="00751C69"/>
    <w:rsid w:val="0075231E"/>
    <w:rsid w:val="0075274F"/>
    <w:rsid w:val="00753217"/>
    <w:rsid w:val="00753599"/>
    <w:rsid w:val="007539AB"/>
    <w:rsid w:val="0075465B"/>
    <w:rsid w:val="007548BB"/>
    <w:rsid w:val="007572B6"/>
    <w:rsid w:val="007573E1"/>
    <w:rsid w:val="00761B33"/>
    <w:rsid w:val="00761DFE"/>
    <w:rsid w:val="00763523"/>
    <w:rsid w:val="00763713"/>
    <w:rsid w:val="00765195"/>
    <w:rsid w:val="00765DFD"/>
    <w:rsid w:val="007666C0"/>
    <w:rsid w:val="0076680E"/>
    <w:rsid w:val="00767825"/>
    <w:rsid w:val="00767B48"/>
    <w:rsid w:val="0077002E"/>
    <w:rsid w:val="007711C7"/>
    <w:rsid w:val="007720BB"/>
    <w:rsid w:val="0077268B"/>
    <w:rsid w:val="007729E1"/>
    <w:rsid w:val="00773B72"/>
    <w:rsid w:val="0077413A"/>
    <w:rsid w:val="00775CE9"/>
    <w:rsid w:val="007762E3"/>
    <w:rsid w:val="00776CBC"/>
    <w:rsid w:val="00776D5B"/>
    <w:rsid w:val="007772E9"/>
    <w:rsid w:val="0077799A"/>
    <w:rsid w:val="0078091A"/>
    <w:rsid w:val="00780A0F"/>
    <w:rsid w:val="00780D0A"/>
    <w:rsid w:val="00782C91"/>
    <w:rsid w:val="00783052"/>
    <w:rsid w:val="00783994"/>
    <w:rsid w:val="00784B8F"/>
    <w:rsid w:val="00787BE7"/>
    <w:rsid w:val="00790758"/>
    <w:rsid w:val="00790DD2"/>
    <w:rsid w:val="0079122D"/>
    <w:rsid w:val="00791C9A"/>
    <w:rsid w:val="00792163"/>
    <w:rsid w:val="007922A2"/>
    <w:rsid w:val="00792499"/>
    <w:rsid w:val="00792F3B"/>
    <w:rsid w:val="0079381E"/>
    <w:rsid w:val="00793C6F"/>
    <w:rsid w:val="00794B8D"/>
    <w:rsid w:val="00794F50"/>
    <w:rsid w:val="00795E20"/>
    <w:rsid w:val="0079600C"/>
    <w:rsid w:val="00797C15"/>
    <w:rsid w:val="007A008A"/>
    <w:rsid w:val="007A0324"/>
    <w:rsid w:val="007A0E18"/>
    <w:rsid w:val="007A1B34"/>
    <w:rsid w:val="007A1C5C"/>
    <w:rsid w:val="007A1ED9"/>
    <w:rsid w:val="007A248C"/>
    <w:rsid w:val="007A326A"/>
    <w:rsid w:val="007A3870"/>
    <w:rsid w:val="007A416F"/>
    <w:rsid w:val="007A48BD"/>
    <w:rsid w:val="007A4D24"/>
    <w:rsid w:val="007A5260"/>
    <w:rsid w:val="007A6069"/>
    <w:rsid w:val="007A658F"/>
    <w:rsid w:val="007A748E"/>
    <w:rsid w:val="007A7D26"/>
    <w:rsid w:val="007B0948"/>
    <w:rsid w:val="007B26CB"/>
    <w:rsid w:val="007B3F28"/>
    <w:rsid w:val="007B4253"/>
    <w:rsid w:val="007B49CB"/>
    <w:rsid w:val="007B4C23"/>
    <w:rsid w:val="007B5678"/>
    <w:rsid w:val="007B5B2C"/>
    <w:rsid w:val="007B68EF"/>
    <w:rsid w:val="007B73FE"/>
    <w:rsid w:val="007B743E"/>
    <w:rsid w:val="007B7E20"/>
    <w:rsid w:val="007C142A"/>
    <w:rsid w:val="007C2BF8"/>
    <w:rsid w:val="007C2DB9"/>
    <w:rsid w:val="007C3482"/>
    <w:rsid w:val="007C3573"/>
    <w:rsid w:val="007C4FCD"/>
    <w:rsid w:val="007C5178"/>
    <w:rsid w:val="007C5EAD"/>
    <w:rsid w:val="007C717F"/>
    <w:rsid w:val="007D0CE2"/>
    <w:rsid w:val="007D11D4"/>
    <w:rsid w:val="007D25F0"/>
    <w:rsid w:val="007D33C0"/>
    <w:rsid w:val="007D4311"/>
    <w:rsid w:val="007D5EDC"/>
    <w:rsid w:val="007D640E"/>
    <w:rsid w:val="007D65ED"/>
    <w:rsid w:val="007E03E8"/>
    <w:rsid w:val="007E172A"/>
    <w:rsid w:val="007E1D39"/>
    <w:rsid w:val="007E1ECE"/>
    <w:rsid w:val="007E20FB"/>
    <w:rsid w:val="007E2170"/>
    <w:rsid w:val="007E377E"/>
    <w:rsid w:val="007E379C"/>
    <w:rsid w:val="007E3E48"/>
    <w:rsid w:val="007E4431"/>
    <w:rsid w:val="007E4993"/>
    <w:rsid w:val="007E5724"/>
    <w:rsid w:val="007E5B46"/>
    <w:rsid w:val="007E6268"/>
    <w:rsid w:val="007E67C3"/>
    <w:rsid w:val="007E7C82"/>
    <w:rsid w:val="007F01BE"/>
    <w:rsid w:val="007F1252"/>
    <w:rsid w:val="007F1834"/>
    <w:rsid w:val="007F2EB8"/>
    <w:rsid w:val="007F3245"/>
    <w:rsid w:val="007F3838"/>
    <w:rsid w:val="007F3AB6"/>
    <w:rsid w:val="007F4445"/>
    <w:rsid w:val="007F4536"/>
    <w:rsid w:val="007F4DA7"/>
    <w:rsid w:val="007F5450"/>
    <w:rsid w:val="007F54A3"/>
    <w:rsid w:val="007F761B"/>
    <w:rsid w:val="007F796D"/>
    <w:rsid w:val="00800369"/>
    <w:rsid w:val="00800B67"/>
    <w:rsid w:val="00801D43"/>
    <w:rsid w:val="008023D2"/>
    <w:rsid w:val="00802DF1"/>
    <w:rsid w:val="00802E49"/>
    <w:rsid w:val="00802F3A"/>
    <w:rsid w:val="008033F2"/>
    <w:rsid w:val="0080347F"/>
    <w:rsid w:val="00803D5B"/>
    <w:rsid w:val="00804779"/>
    <w:rsid w:val="008063A3"/>
    <w:rsid w:val="00806F04"/>
    <w:rsid w:val="00807023"/>
    <w:rsid w:val="00807CB0"/>
    <w:rsid w:val="00810CBE"/>
    <w:rsid w:val="008112B5"/>
    <w:rsid w:val="008120DE"/>
    <w:rsid w:val="00813732"/>
    <w:rsid w:val="008145B6"/>
    <w:rsid w:val="008146A5"/>
    <w:rsid w:val="00814AD0"/>
    <w:rsid w:val="00814C96"/>
    <w:rsid w:val="00814FFC"/>
    <w:rsid w:val="00815274"/>
    <w:rsid w:val="00815C5A"/>
    <w:rsid w:val="00815F2E"/>
    <w:rsid w:val="008160C2"/>
    <w:rsid w:val="00816364"/>
    <w:rsid w:val="008163E9"/>
    <w:rsid w:val="008173D6"/>
    <w:rsid w:val="008174D0"/>
    <w:rsid w:val="00817973"/>
    <w:rsid w:val="00817D52"/>
    <w:rsid w:val="00820169"/>
    <w:rsid w:val="008206EC"/>
    <w:rsid w:val="00821729"/>
    <w:rsid w:val="008227B5"/>
    <w:rsid w:val="00822F96"/>
    <w:rsid w:val="00822FA2"/>
    <w:rsid w:val="008232BD"/>
    <w:rsid w:val="00824611"/>
    <w:rsid w:val="008256AA"/>
    <w:rsid w:val="008269D6"/>
    <w:rsid w:val="00826CBC"/>
    <w:rsid w:val="00827136"/>
    <w:rsid w:val="008277C4"/>
    <w:rsid w:val="00827DE8"/>
    <w:rsid w:val="0083044F"/>
    <w:rsid w:val="00831868"/>
    <w:rsid w:val="008329E2"/>
    <w:rsid w:val="0083388B"/>
    <w:rsid w:val="0083431A"/>
    <w:rsid w:val="00834320"/>
    <w:rsid w:val="0083436A"/>
    <w:rsid w:val="008347F5"/>
    <w:rsid w:val="0083549E"/>
    <w:rsid w:val="00835A2A"/>
    <w:rsid w:val="00835B2F"/>
    <w:rsid w:val="0083717E"/>
    <w:rsid w:val="00840561"/>
    <w:rsid w:val="00840A4D"/>
    <w:rsid w:val="00840CB1"/>
    <w:rsid w:val="00841630"/>
    <w:rsid w:val="00841F65"/>
    <w:rsid w:val="00842D19"/>
    <w:rsid w:val="00842E0C"/>
    <w:rsid w:val="008430E9"/>
    <w:rsid w:val="00843954"/>
    <w:rsid w:val="008442B4"/>
    <w:rsid w:val="00844400"/>
    <w:rsid w:val="00844738"/>
    <w:rsid w:val="008448EE"/>
    <w:rsid w:val="00845314"/>
    <w:rsid w:val="0084771F"/>
    <w:rsid w:val="008507C4"/>
    <w:rsid w:val="0085082A"/>
    <w:rsid w:val="00852A0C"/>
    <w:rsid w:val="00853B14"/>
    <w:rsid w:val="00853FFD"/>
    <w:rsid w:val="00854E6C"/>
    <w:rsid w:val="00854FF0"/>
    <w:rsid w:val="00855473"/>
    <w:rsid w:val="0085607F"/>
    <w:rsid w:val="00860356"/>
    <w:rsid w:val="00861271"/>
    <w:rsid w:val="00861A69"/>
    <w:rsid w:val="00861C49"/>
    <w:rsid w:val="008620F3"/>
    <w:rsid w:val="00864180"/>
    <w:rsid w:val="00864379"/>
    <w:rsid w:val="0086457D"/>
    <w:rsid w:val="00864655"/>
    <w:rsid w:val="00864AB5"/>
    <w:rsid w:val="00864CBD"/>
    <w:rsid w:val="00864E44"/>
    <w:rsid w:val="0086621E"/>
    <w:rsid w:val="008677EA"/>
    <w:rsid w:val="00870ABF"/>
    <w:rsid w:val="00871B97"/>
    <w:rsid w:val="00871EDD"/>
    <w:rsid w:val="00872F63"/>
    <w:rsid w:val="00874620"/>
    <w:rsid w:val="0087478E"/>
    <w:rsid w:val="00874945"/>
    <w:rsid w:val="00875340"/>
    <w:rsid w:val="008759F8"/>
    <w:rsid w:val="00875A93"/>
    <w:rsid w:val="00875F12"/>
    <w:rsid w:val="0087628D"/>
    <w:rsid w:val="00876D96"/>
    <w:rsid w:val="0088066E"/>
    <w:rsid w:val="008806F2"/>
    <w:rsid w:val="0088085C"/>
    <w:rsid w:val="00880F7B"/>
    <w:rsid w:val="008817CC"/>
    <w:rsid w:val="00881C74"/>
    <w:rsid w:val="00881CF3"/>
    <w:rsid w:val="00882638"/>
    <w:rsid w:val="00882DAE"/>
    <w:rsid w:val="00883447"/>
    <w:rsid w:val="00886DF4"/>
    <w:rsid w:val="00886EC5"/>
    <w:rsid w:val="008870D3"/>
    <w:rsid w:val="00887D5A"/>
    <w:rsid w:val="00887D90"/>
    <w:rsid w:val="00890289"/>
    <w:rsid w:val="008918E6"/>
    <w:rsid w:val="00891B31"/>
    <w:rsid w:val="008931E6"/>
    <w:rsid w:val="00893671"/>
    <w:rsid w:val="00897BC5"/>
    <w:rsid w:val="008A1022"/>
    <w:rsid w:val="008A3CA2"/>
    <w:rsid w:val="008A533F"/>
    <w:rsid w:val="008A5BC7"/>
    <w:rsid w:val="008A739E"/>
    <w:rsid w:val="008A7DDB"/>
    <w:rsid w:val="008B047D"/>
    <w:rsid w:val="008B075A"/>
    <w:rsid w:val="008B088A"/>
    <w:rsid w:val="008B1E9A"/>
    <w:rsid w:val="008B2410"/>
    <w:rsid w:val="008B2A3A"/>
    <w:rsid w:val="008B391D"/>
    <w:rsid w:val="008B41C7"/>
    <w:rsid w:val="008B5614"/>
    <w:rsid w:val="008B5F3F"/>
    <w:rsid w:val="008B6A15"/>
    <w:rsid w:val="008B6A93"/>
    <w:rsid w:val="008C0DBF"/>
    <w:rsid w:val="008C2C09"/>
    <w:rsid w:val="008C313E"/>
    <w:rsid w:val="008C3E93"/>
    <w:rsid w:val="008C407C"/>
    <w:rsid w:val="008C4730"/>
    <w:rsid w:val="008C4B91"/>
    <w:rsid w:val="008C522C"/>
    <w:rsid w:val="008C56CC"/>
    <w:rsid w:val="008C58FC"/>
    <w:rsid w:val="008C68DA"/>
    <w:rsid w:val="008C6B49"/>
    <w:rsid w:val="008C6C96"/>
    <w:rsid w:val="008C711D"/>
    <w:rsid w:val="008C7450"/>
    <w:rsid w:val="008C7EB1"/>
    <w:rsid w:val="008D08E5"/>
    <w:rsid w:val="008D0F23"/>
    <w:rsid w:val="008D1C3B"/>
    <w:rsid w:val="008D242C"/>
    <w:rsid w:val="008D2D16"/>
    <w:rsid w:val="008D4570"/>
    <w:rsid w:val="008D49C1"/>
    <w:rsid w:val="008D5169"/>
    <w:rsid w:val="008D5A9E"/>
    <w:rsid w:val="008D67FD"/>
    <w:rsid w:val="008D688A"/>
    <w:rsid w:val="008D6A10"/>
    <w:rsid w:val="008D6A85"/>
    <w:rsid w:val="008D74AC"/>
    <w:rsid w:val="008E05F8"/>
    <w:rsid w:val="008E0961"/>
    <w:rsid w:val="008E1AFA"/>
    <w:rsid w:val="008E1FDE"/>
    <w:rsid w:val="008E26CE"/>
    <w:rsid w:val="008E2EF9"/>
    <w:rsid w:val="008E3118"/>
    <w:rsid w:val="008E350B"/>
    <w:rsid w:val="008E43ED"/>
    <w:rsid w:val="008E5446"/>
    <w:rsid w:val="008E6616"/>
    <w:rsid w:val="008E6E71"/>
    <w:rsid w:val="008E7A2D"/>
    <w:rsid w:val="008E7A85"/>
    <w:rsid w:val="008E7B34"/>
    <w:rsid w:val="008E7EC1"/>
    <w:rsid w:val="008F10FB"/>
    <w:rsid w:val="008F11FF"/>
    <w:rsid w:val="008F1221"/>
    <w:rsid w:val="008F23DA"/>
    <w:rsid w:val="008F247C"/>
    <w:rsid w:val="008F2C9B"/>
    <w:rsid w:val="008F3390"/>
    <w:rsid w:val="008F3BEE"/>
    <w:rsid w:val="008F3C1F"/>
    <w:rsid w:val="008F74FA"/>
    <w:rsid w:val="008F78C5"/>
    <w:rsid w:val="00900048"/>
    <w:rsid w:val="009001BF"/>
    <w:rsid w:val="009002B5"/>
    <w:rsid w:val="009009B7"/>
    <w:rsid w:val="0090102B"/>
    <w:rsid w:val="00903DEA"/>
    <w:rsid w:val="00903FF7"/>
    <w:rsid w:val="00904A75"/>
    <w:rsid w:val="00904B80"/>
    <w:rsid w:val="00904B81"/>
    <w:rsid w:val="00904CA4"/>
    <w:rsid w:val="00904F47"/>
    <w:rsid w:val="00905703"/>
    <w:rsid w:val="0090581A"/>
    <w:rsid w:val="00905880"/>
    <w:rsid w:val="00905CC2"/>
    <w:rsid w:val="009067E0"/>
    <w:rsid w:val="00906FDB"/>
    <w:rsid w:val="00907651"/>
    <w:rsid w:val="009077C7"/>
    <w:rsid w:val="00907D56"/>
    <w:rsid w:val="00911779"/>
    <w:rsid w:val="00911798"/>
    <w:rsid w:val="0091194C"/>
    <w:rsid w:val="0091366B"/>
    <w:rsid w:val="00913DF3"/>
    <w:rsid w:val="00915B68"/>
    <w:rsid w:val="009162D8"/>
    <w:rsid w:val="00916842"/>
    <w:rsid w:val="00921AE0"/>
    <w:rsid w:val="00921BC7"/>
    <w:rsid w:val="00923738"/>
    <w:rsid w:val="009238B2"/>
    <w:rsid w:val="00924F94"/>
    <w:rsid w:val="009256D0"/>
    <w:rsid w:val="00925BC0"/>
    <w:rsid w:val="00926675"/>
    <w:rsid w:val="00927443"/>
    <w:rsid w:val="00927D92"/>
    <w:rsid w:val="009317D7"/>
    <w:rsid w:val="009319B0"/>
    <w:rsid w:val="00931AE2"/>
    <w:rsid w:val="00931D98"/>
    <w:rsid w:val="0093220E"/>
    <w:rsid w:val="00932D28"/>
    <w:rsid w:val="009336B2"/>
    <w:rsid w:val="00935A78"/>
    <w:rsid w:val="009362B0"/>
    <w:rsid w:val="0093736D"/>
    <w:rsid w:val="00937B45"/>
    <w:rsid w:val="0094049F"/>
    <w:rsid w:val="00940B41"/>
    <w:rsid w:val="009419BF"/>
    <w:rsid w:val="0094285D"/>
    <w:rsid w:val="009429F3"/>
    <w:rsid w:val="00942EC7"/>
    <w:rsid w:val="009431FF"/>
    <w:rsid w:val="0094332B"/>
    <w:rsid w:val="009434E1"/>
    <w:rsid w:val="00943C63"/>
    <w:rsid w:val="00943DD3"/>
    <w:rsid w:val="0094424F"/>
    <w:rsid w:val="009444C8"/>
    <w:rsid w:val="0094711B"/>
    <w:rsid w:val="00947B5E"/>
    <w:rsid w:val="00950219"/>
    <w:rsid w:val="009509C2"/>
    <w:rsid w:val="009509CB"/>
    <w:rsid w:val="00951259"/>
    <w:rsid w:val="0095198E"/>
    <w:rsid w:val="00951A60"/>
    <w:rsid w:val="00951D34"/>
    <w:rsid w:val="009521BF"/>
    <w:rsid w:val="00952279"/>
    <w:rsid w:val="00952C98"/>
    <w:rsid w:val="00952E33"/>
    <w:rsid w:val="00952E7E"/>
    <w:rsid w:val="009532AF"/>
    <w:rsid w:val="00953FF2"/>
    <w:rsid w:val="00954129"/>
    <w:rsid w:val="0095642A"/>
    <w:rsid w:val="009568AB"/>
    <w:rsid w:val="0095792E"/>
    <w:rsid w:val="00960169"/>
    <w:rsid w:val="00960655"/>
    <w:rsid w:val="009607D3"/>
    <w:rsid w:val="00960E62"/>
    <w:rsid w:val="00961054"/>
    <w:rsid w:val="009620DD"/>
    <w:rsid w:val="00962B20"/>
    <w:rsid w:val="00962CF7"/>
    <w:rsid w:val="0096329E"/>
    <w:rsid w:val="0096348D"/>
    <w:rsid w:val="009637B8"/>
    <w:rsid w:val="0096445B"/>
    <w:rsid w:val="00964DAA"/>
    <w:rsid w:val="00965112"/>
    <w:rsid w:val="00966235"/>
    <w:rsid w:val="0096657E"/>
    <w:rsid w:val="0096707D"/>
    <w:rsid w:val="00967ACF"/>
    <w:rsid w:val="00970233"/>
    <w:rsid w:val="00970B0C"/>
    <w:rsid w:val="00971137"/>
    <w:rsid w:val="009712E3"/>
    <w:rsid w:val="00971DCF"/>
    <w:rsid w:val="0097262F"/>
    <w:rsid w:val="00973814"/>
    <w:rsid w:val="00973B9E"/>
    <w:rsid w:val="00973C61"/>
    <w:rsid w:val="00973D5C"/>
    <w:rsid w:val="00973DB4"/>
    <w:rsid w:val="009751C0"/>
    <w:rsid w:val="009758C7"/>
    <w:rsid w:val="00975A5E"/>
    <w:rsid w:val="00975D66"/>
    <w:rsid w:val="00975D8A"/>
    <w:rsid w:val="009769D6"/>
    <w:rsid w:val="00977DA7"/>
    <w:rsid w:val="00980CEB"/>
    <w:rsid w:val="009818A2"/>
    <w:rsid w:val="00981BB6"/>
    <w:rsid w:val="00981BFA"/>
    <w:rsid w:val="00981E9D"/>
    <w:rsid w:val="009830E0"/>
    <w:rsid w:val="009852B7"/>
    <w:rsid w:val="00986374"/>
    <w:rsid w:val="00986A23"/>
    <w:rsid w:val="00986B38"/>
    <w:rsid w:val="00987CEA"/>
    <w:rsid w:val="009911BB"/>
    <w:rsid w:val="00991507"/>
    <w:rsid w:val="00991581"/>
    <w:rsid w:val="0099180E"/>
    <w:rsid w:val="00991A07"/>
    <w:rsid w:val="0099447F"/>
    <w:rsid w:val="009948C3"/>
    <w:rsid w:val="009953BB"/>
    <w:rsid w:val="0099576C"/>
    <w:rsid w:val="00996190"/>
    <w:rsid w:val="00996246"/>
    <w:rsid w:val="00996A0F"/>
    <w:rsid w:val="00996CB6"/>
    <w:rsid w:val="009970A4"/>
    <w:rsid w:val="009A27B7"/>
    <w:rsid w:val="009A2EC2"/>
    <w:rsid w:val="009A42BE"/>
    <w:rsid w:val="009A4963"/>
    <w:rsid w:val="009A6E6D"/>
    <w:rsid w:val="009B0506"/>
    <w:rsid w:val="009B1664"/>
    <w:rsid w:val="009B18E3"/>
    <w:rsid w:val="009B1B07"/>
    <w:rsid w:val="009B26B2"/>
    <w:rsid w:val="009B2C0C"/>
    <w:rsid w:val="009B2E2B"/>
    <w:rsid w:val="009B4891"/>
    <w:rsid w:val="009B514D"/>
    <w:rsid w:val="009B5356"/>
    <w:rsid w:val="009B545A"/>
    <w:rsid w:val="009B55AC"/>
    <w:rsid w:val="009B60B5"/>
    <w:rsid w:val="009B70D9"/>
    <w:rsid w:val="009B7505"/>
    <w:rsid w:val="009C038E"/>
    <w:rsid w:val="009C149C"/>
    <w:rsid w:val="009C150C"/>
    <w:rsid w:val="009C1E57"/>
    <w:rsid w:val="009C28EA"/>
    <w:rsid w:val="009C2AB9"/>
    <w:rsid w:val="009C2C14"/>
    <w:rsid w:val="009C46E3"/>
    <w:rsid w:val="009C5247"/>
    <w:rsid w:val="009C6DA5"/>
    <w:rsid w:val="009C7F86"/>
    <w:rsid w:val="009D016C"/>
    <w:rsid w:val="009D099E"/>
    <w:rsid w:val="009D0A28"/>
    <w:rsid w:val="009D165A"/>
    <w:rsid w:val="009D2358"/>
    <w:rsid w:val="009D4E12"/>
    <w:rsid w:val="009E02C7"/>
    <w:rsid w:val="009E0CBB"/>
    <w:rsid w:val="009E2639"/>
    <w:rsid w:val="009E2A06"/>
    <w:rsid w:val="009E3127"/>
    <w:rsid w:val="009E34B4"/>
    <w:rsid w:val="009E404A"/>
    <w:rsid w:val="009E4B9F"/>
    <w:rsid w:val="009E4CE1"/>
    <w:rsid w:val="009E5347"/>
    <w:rsid w:val="009E6E13"/>
    <w:rsid w:val="009E7003"/>
    <w:rsid w:val="009E7F8D"/>
    <w:rsid w:val="009F0E29"/>
    <w:rsid w:val="009F3894"/>
    <w:rsid w:val="009F3902"/>
    <w:rsid w:val="009F3EEA"/>
    <w:rsid w:val="009F4C1B"/>
    <w:rsid w:val="009F4EC7"/>
    <w:rsid w:val="009F51BF"/>
    <w:rsid w:val="009F556F"/>
    <w:rsid w:val="009F570F"/>
    <w:rsid w:val="009F69EB"/>
    <w:rsid w:val="009F6C31"/>
    <w:rsid w:val="009F6D7B"/>
    <w:rsid w:val="009F6ED9"/>
    <w:rsid w:val="009F7692"/>
    <w:rsid w:val="00A0172C"/>
    <w:rsid w:val="00A026F6"/>
    <w:rsid w:val="00A02B31"/>
    <w:rsid w:val="00A03702"/>
    <w:rsid w:val="00A03A85"/>
    <w:rsid w:val="00A03C12"/>
    <w:rsid w:val="00A043A2"/>
    <w:rsid w:val="00A064E5"/>
    <w:rsid w:val="00A100D6"/>
    <w:rsid w:val="00A1036C"/>
    <w:rsid w:val="00A10E41"/>
    <w:rsid w:val="00A111F4"/>
    <w:rsid w:val="00A118E0"/>
    <w:rsid w:val="00A11B2F"/>
    <w:rsid w:val="00A11D13"/>
    <w:rsid w:val="00A12660"/>
    <w:rsid w:val="00A12741"/>
    <w:rsid w:val="00A12C19"/>
    <w:rsid w:val="00A139E8"/>
    <w:rsid w:val="00A14314"/>
    <w:rsid w:val="00A150EE"/>
    <w:rsid w:val="00A15E3D"/>
    <w:rsid w:val="00A15FEC"/>
    <w:rsid w:val="00A16C4B"/>
    <w:rsid w:val="00A17944"/>
    <w:rsid w:val="00A17CE1"/>
    <w:rsid w:val="00A20C00"/>
    <w:rsid w:val="00A20E27"/>
    <w:rsid w:val="00A21710"/>
    <w:rsid w:val="00A221FA"/>
    <w:rsid w:val="00A2277B"/>
    <w:rsid w:val="00A22814"/>
    <w:rsid w:val="00A24886"/>
    <w:rsid w:val="00A24D2B"/>
    <w:rsid w:val="00A250FE"/>
    <w:rsid w:val="00A26939"/>
    <w:rsid w:val="00A26FA9"/>
    <w:rsid w:val="00A27DDB"/>
    <w:rsid w:val="00A309F3"/>
    <w:rsid w:val="00A319B8"/>
    <w:rsid w:val="00A3245D"/>
    <w:rsid w:val="00A32840"/>
    <w:rsid w:val="00A32DDB"/>
    <w:rsid w:val="00A33CB9"/>
    <w:rsid w:val="00A360E4"/>
    <w:rsid w:val="00A36226"/>
    <w:rsid w:val="00A36A66"/>
    <w:rsid w:val="00A36E54"/>
    <w:rsid w:val="00A40319"/>
    <w:rsid w:val="00A426E8"/>
    <w:rsid w:val="00A42D94"/>
    <w:rsid w:val="00A43382"/>
    <w:rsid w:val="00A4348D"/>
    <w:rsid w:val="00A434AC"/>
    <w:rsid w:val="00A43704"/>
    <w:rsid w:val="00A44710"/>
    <w:rsid w:val="00A44D0F"/>
    <w:rsid w:val="00A4562E"/>
    <w:rsid w:val="00A47998"/>
    <w:rsid w:val="00A47AB9"/>
    <w:rsid w:val="00A500C9"/>
    <w:rsid w:val="00A510A6"/>
    <w:rsid w:val="00A51465"/>
    <w:rsid w:val="00A51613"/>
    <w:rsid w:val="00A51D77"/>
    <w:rsid w:val="00A53062"/>
    <w:rsid w:val="00A536F2"/>
    <w:rsid w:val="00A53886"/>
    <w:rsid w:val="00A54B7A"/>
    <w:rsid w:val="00A54C8B"/>
    <w:rsid w:val="00A5549A"/>
    <w:rsid w:val="00A55845"/>
    <w:rsid w:val="00A55B22"/>
    <w:rsid w:val="00A55B45"/>
    <w:rsid w:val="00A56FA1"/>
    <w:rsid w:val="00A5786A"/>
    <w:rsid w:val="00A579A5"/>
    <w:rsid w:val="00A6022A"/>
    <w:rsid w:val="00A612D8"/>
    <w:rsid w:val="00A6244D"/>
    <w:rsid w:val="00A62DA6"/>
    <w:rsid w:val="00A638E8"/>
    <w:rsid w:val="00A64177"/>
    <w:rsid w:val="00A64260"/>
    <w:rsid w:val="00A64585"/>
    <w:rsid w:val="00A646E0"/>
    <w:rsid w:val="00A66149"/>
    <w:rsid w:val="00A66EA3"/>
    <w:rsid w:val="00A67532"/>
    <w:rsid w:val="00A67D58"/>
    <w:rsid w:val="00A67F89"/>
    <w:rsid w:val="00A704EB"/>
    <w:rsid w:val="00A7067B"/>
    <w:rsid w:val="00A70BFD"/>
    <w:rsid w:val="00A70FCF"/>
    <w:rsid w:val="00A7105C"/>
    <w:rsid w:val="00A713CF"/>
    <w:rsid w:val="00A71AF4"/>
    <w:rsid w:val="00A72009"/>
    <w:rsid w:val="00A72904"/>
    <w:rsid w:val="00A72F57"/>
    <w:rsid w:val="00A7383E"/>
    <w:rsid w:val="00A73CE9"/>
    <w:rsid w:val="00A73FA0"/>
    <w:rsid w:val="00A74311"/>
    <w:rsid w:val="00A75B2D"/>
    <w:rsid w:val="00A76B22"/>
    <w:rsid w:val="00A77AEA"/>
    <w:rsid w:val="00A821C3"/>
    <w:rsid w:val="00A8227F"/>
    <w:rsid w:val="00A82C84"/>
    <w:rsid w:val="00A83280"/>
    <w:rsid w:val="00A8373E"/>
    <w:rsid w:val="00A84034"/>
    <w:rsid w:val="00A84433"/>
    <w:rsid w:val="00A845DD"/>
    <w:rsid w:val="00A8465F"/>
    <w:rsid w:val="00A84C72"/>
    <w:rsid w:val="00A85402"/>
    <w:rsid w:val="00A86054"/>
    <w:rsid w:val="00A86C0D"/>
    <w:rsid w:val="00A9089E"/>
    <w:rsid w:val="00A90D69"/>
    <w:rsid w:val="00A90EA0"/>
    <w:rsid w:val="00A9104C"/>
    <w:rsid w:val="00A910F9"/>
    <w:rsid w:val="00A92792"/>
    <w:rsid w:val="00A92CEB"/>
    <w:rsid w:val="00A93FCA"/>
    <w:rsid w:val="00A940FF"/>
    <w:rsid w:val="00A94331"/>
    <w:rsid w:val="00A9589E"/>
    <w:rsid w:val="00A97848"/>
    <w:rsid w:val="00AA0AF7"/>
    <w:rsid w:val="00AA0F95"/>
    <w:rsid w:val="00AA2099"/>
    <w:rsid w:val="00AA2887"/>
    <w:rsid w:val="00AA2AB4"/>
    <w:rsid w:val="00AA31F2"/>
    <w:rsid w:val="00AA354E"/>
    <w:rsid w:val="00AA39A1"/>
    <w:rsid w:val="00AA3F9F"/>
    <w:rsid w:val="00AA4D54"/>
    <w:rsid w:val="00AA4DF9"/>
    <w:rsid w:val="00AA4F1A"/>
    <w:rsid w:val="00AA5260"/>
    <w:rsid w:val="00AA5530"/>
    <w:rsid w:val="00AA6FF1"/>
    <w:rsid w:val="00AA7E9A"/>
    <w:rsid w:val="00AB1F6E"/>
    <w:rsid w:val="00AB2149"/>
    <w:rsid w:val="00AB2BE1"/>
    <w:rsid w:val="00AB35C0"/>
    <w:rsid w:val="00AB3E47"/>
    <w:rsid w:val="00AB4645"/>
    <w:rsid w:val="00AB563B"/>
    <w:rsid w:val="00AB69F9"/>
    <w:rsid w:val="00AB6A18"/>
    <w:rsid w:val="00AB6D79"/>
    <w:rsid w:val="00AB716A"/>
    <w:rsid w:val="00AB7709"/>
    <w:rsid w:val="00AB7B73"/>
    <w:rsid w:val="00AC0BF0"/>
    <w:rsid w:val="00AC193D"/>
    <w:rsid w:val="00AC223B"/>
    <w:rsid w:val="00AC35A9"/>
    <w:rsid w:val="00AC5C1E"/>
    <w:rsid w:val="00AC5FDE"/>
    <w:rsid w:val="00AC62F1"/>
    <w:rsid w:val="00AC6348"/>
    <w:rsid w:val="00AC64E7"/>
    <w:rsid w:val="00AC6507"/>
    <w:rsid w:val="00AC751C"/>
    <w:rsid w:val="00AC7ED9"/>
    <w:rsid w:val="00AD00A3"/>
    <w:rsid w:val="00AD00BD"/>
    <w:rsid w:val="00AD00D4"/>
    <w:rsid w:val="00AD0A2F"/>
    <w:rsid w:val="00AD222B"/>
    <w:rsid w:val="00AD24A1"/>
    <w:rsid w:val="00AD34F1"/>
    <w:rsid w:val="00AD3ABE"/>
    <w:rsid w:val="00AD513F"/>
    <w:rsid w:val="00AD530C"/>
    <w:rsid w:val="00AD5480"/>
    <w:rsid w:val="00AD6229"/>
    <w:rsid w:val="00AD67DA"/>
    <w:rsid w:val="00AD76A9"/>
    <w:rsid w:val="00AD7A8E"/>
    <w:rsid w:val="00AD7D09"/>
    <w:rsid w:val="00AE0A97"/>
    <w:rsid w:val="00AE2898"/>
    <w:rsid w:val="00AE2A47"/>
    <w:rsid w:val="00AE2FFA"/>
    <w:rsid w:val="00AE312C"/>
    <w:rsid w:val="00AE3989"/>
    <w:rsid w:val="00AE5701"/>
    <w:rsid w:val="00AE6618"/>
    <w:rsid w:val="00AE6895"/>
    <w:rsid w:val="00AF045C"/>
    <w:rsid w:val="00AF1286"/>
    <w:rsid w:val="00AF12B4"/>
    <w:rsid w:val="00AF1EF6"/>
    <w:rsid w:val="00AF21DD"/>
    <w:rsid w:val="00AF2813"/>
    <w:rsid w:val="00AF2970"/>
    <w:rsid w:val="00AF31E0"/>
    <w:rsid w:val="00AF465D"/>
    <w:rsid w:val="00AF5AFB"/>
    <w:rsid w:val="00AF5B11"/>
    <w:rsid w:val="00AF6127"/>
    <w:rsid w:val="00AF6D96"/>
    <w:rsid w:val="00AF7765"/>
    <w:rsid w:val="00AF78AB"/>
    <w:rsid w:val="00B002C0"/>
    <w:rsid w:val="00B002CA"/>
    <w:rsid w:val="00B00B87"/>
    <w:rsid w:val="00B00FCE"/>
    <w:rsid w:val="00B01661"/>
    <w:rsid w:val="00B01DAD"/>
    <w:rsid w:val="00B043B1"/>
    <w:rsid w:val="00B04DDD"/>
    <w:rsid w:val="00B05500"/>
    <w:rsid w:val="00B05DFF"/>
    <w:rsid w:val="00B05E5E"/>
    <w:rsid w:val="00B06582"/>
    <w:rsid w:val="00B06A59"/>
    <w:rsid w:val="00B06C8A"/>
    <w:rsid w:val="00B0772D"/>
    <w:rsid w:val="00B1050B"/>
    <w:rsid w:val="00B10AA1"/>
    <w:rsid w:val="00B11E6E"/>
    <w:rsid w:val="00B126C1"/>
    <w:rsid w:val="00B1298D"/>
    <w:rsid w:val="00B13EF1"/>
    <w:rsid w:val="00B15C8E"/>
    <w:rsid w:val="00B160EE"/>
    <w:rsid w:val="00B16A5D"/>
    <w:rsid w:val="00B16D9C"/>
    <w:rsid w:val="00B17286"/>
    <w:rsid w:val="00B207CA"/>
    <w:rsid w:val="00B214EC"/>
    <w:rsid w:val="00B2169F"/>
    <w:rsid w:val="00B2268C"/>
    <w:rsid w:val="00B22D32"/>
    <w:rsid w:val="00B23171"/>
    <w:rsid w:val="00B233F9"/>
    <w:rsid w:val="00B23449"/>
    <w:rsid w:val="00B2388F"/>
    <w:rsid w:val="00B23B22"/>
    <w:rsid w:val="00B246C6"/>
    <w:rsid w:val="00B2494E"/>
    <w:rsid w:val="00B24E00"/>
    <w:rsid w:val="00B250A3"/>
    <w:rsid w:val="00B2584B"/>
    <w:rsid w:val="00B25E7E"/>
    <w:rsid w:val="00B2601E"/>
    <w:rsid w:val="00B26BFB"/>
    <w:rsid w:val="00B270E3"/>
    <w:rsid w:val="00B27F2C"/>
    <w:rsid w:val="00B30630"/>
    <w:rsid w:val="00B30783"/>
    <w:rsid w:val="00B30A36"/>
    <w:rsid w:val="00B30C57"/>
    <w:rsid w:val="00B31F4E"/>
    <w:rsid w:val="00B32632"/>
    <w:rsid w:val="00B32B4A"/>
    <w:rsid w:val="00B33ADB"/>
    <w:rsid w:val="00B34397"/>
    <w:rsid w:val="00B34EA8"/>
    <w:rsid w:val="00B35590"/>
    <w:rsid w:val="00B355A3"/>
    <w:rsid w:val="00B367AB"/>
    <w:rsid w:val="00B368BD"/>
    <w:rsid w:val="00B37C6F"/>
    <w:rsid w:val="00B40456"/>
    <w:rsid w:val="00B40467"/>
    <w:rsid w:val="00B412E0"/>
    <w:rsid w:val="00B41692"/>
    <w:rsid w:val="00B42731"/>
    <w:rsid w:val="00B42F59"/>
    <w:rsid w:val="00B43967"/>
    <w:rsid w:val="00B43B43"/>
    <w:rsid w:val="00B44A1E"/>
    <w:rsid w:val="00B45AA8"/>
    <w:rsid w:val="00B466EA"/>
    <w:rsid w:val="00B46EA4"/>
    <w:rsid w:val="00B50162"/>
    <w:rsid w:val="00B5055F"/>
    <w:rsid w:val="00B51953"/>
    <w:rsid w:val="00B529EF"/>
    <w:rsid w:val="00B5339F"/>
    <w:rsid w:val="00B537F6"/>
    <w:rsid w:val="00B540F1"/>
    <w:rsid w:val="00B556A7"/>
    <w:rsid w:val="00B55C6B"/>
    <w:rsid w:val="00B561ED"/>
    <w:rsid w:val="00B5730E"/>
    <w:rsid w:val="00B6025C"/>
    <w:rsid w:val="00B614A5"/>
    <w:rsid w:val="00B61F9A"/>
    <w:rsid w:val="00B62A1E"/>
    <w:rsid w:val="00B63648"/>
    <w:rsid w:val="00B646B0"/>
    <w:rsid w:val="00B659E1"/>
    <w:rsid w:val="00B66432"/>
    <w:rsid w:val="00B66F14"/>
    <w:rsid w:val="00B67307"/>
    <w:rsid w:val="00B6731C"/>
    <w:rsid w:val="00B7032A"/>
    <w:rsid w:val="00B71C08"/>
    <w:rsid w:val="00B71F65"/>
    <w:rsid w:val="00B7269F"/>
    <w:rsid w:val="00B727E7"/>
    <w:rsid w:val="00B72FA3"/>
    <w:rsid w:val="00B73EEF"/>
    <w:rsid w:val="00B73FCB"/>
    <w:rsid w:val="00B74382"/>
    <w:rsid w:val="00B746EF"/>
    <w:rsid w:val="00B74893"/>
    <w:rsid w:val="00B74FEB"/>
    <w:rsid w:val="00B75120"/>
    <w:rsid w:val="00B753F9"/>
    <w:rsid w:val="00B76409"/>
    <w:rsid w:val="00B76BEF"/>
    <w:rsid w:val="00B76CE7"/>
    <w:rsid w:val="00B77368"/>
    <w:rsid w:val="00B8037F"/>
    <w:rsid w:val="00B80B65"/>
    <w:rsid w:val="00B812D0"/>
    <w:rsid w:val="00B81659"/>
    <w:rsid w:val="00B8405F"/>
    <w:rsid w:val="00B84817"/>
    <w:rsid w:val="00B84868"/>
    <w:rsid w:val="00B85100"/>
    <w:rsid w:val="00B857E5"/>
    <w:rsid w:val="00B859CE"/>
    <w:rsid w:val="00B859F3"/>
    <w:rsid w:val="00B8603E"/>
    <w:rsid w:val="00B86323"/>
    <w:rsid w:val="00B87369"/>
    <w:rsid w:val="00B87D0F"/>
    <w:rsid w:val="00B90078"/>
    <w:rsid w:val="00B900D5"/>
    <w:rsid w:val="00B9025E"/>
    <w:rsid w:val="00B90F2F"/>
    <w:rsid w:val="00B913D5"/>
    <w:rsid w:val="00B91727"/>
    <w:rsid w:val="00B918C3"/>
    <w:rsid w:val="00B91970"/>
    <w:rsid w:val="00B92181"/>
    <w:rsid w:val="00B929A2"/>
    <w:rsid w:val="00B93239"/>
    <w:rsid w:val="00B93322"/>
    <w:rsid w:val="00B93F2F"/>
    <w:rsid w:val="00B94021"/>
    <w:rsid w:val="00B94E6B"/>
    <w:rsid w:val="00B94F41"/>
    <w:rsid w:val="00B9516A"/>
    <w:rsid w:val="00B95CDD"/>
    <w:rsid w:val="00B96654"/>
    <w:rsid w:val="00B96BF7"/>
    <w:rsid w:val="00B97F84"/>
    <w:rsid w:val="00BA03CE"/>
    <w:rsid w:val="00BA1153"/>
    <w:rsid w:val="00BA1E55"/>
    <w:rsid w:val="00BA3706"/>
    <w:rsid w:val="00BA375A"/>
    <w:rsid w:val="00BA396C"/>
    <w:rsid w:val="00BA4086"/>
    <w:rsid w:val="00BA44C5"/>
    <w:rsid w:val="00BA4B36"/>
    <w:rsid w:val="00BA661F"/>
    <w:rsid w:val="00BA6CC1"/>
    <w:rsid w:val="00BB0572"/>
    <w:rsid w:val="00BB0658"/>
    <w:rsid w:val="00BB0E34"/>
    <w:rsid w:val="00BB0F83"/>
    <w:rsid w:val="00BB1152"/>
    <w:rsid w:val="00BB1212"/>
    <w:rsid w:val="00BB16D0"/>
    <w:rsid w:val="00BB1917"/>
    <w:rsid w:val="00BB1975"/>
    <w:rsid w:val="00BB5FA0"/>
    <w:rsid w:val="00BB74F2"/>
    <w:rsid w:val="00BC0D14"/>
    <w:rsid w:val="00BC0E2F"/>
    <w:rsid w:val="00BC15E2"/>
    <w:rsid w:val="00BC2372"/>
    <w:rsid w:val="00BC2901"/>
    <w:rsid w:val="00BC3841"/>
    <w:rsid w:val="00BC41AE"/>
    <w:rsid w:val="00BC4B90"/>
    <w:rsid w:val="00BC4F87"/>
    <w:rsid w:val="00BC5334"/>
    <w:rsid w:val="00BC5BE0"/>
    <w:rsid w:val="00BC678A"/>
    <w:rsid w:val="00BC73DC"/>
    <w:rsid w:val="00BC7CEE"/>
    <w:rsid w:val="00BD16C2"/>
    <w:rsid w:val="00BD1A78"/>
    <w:rsid w:val="00BD1D63"/>
    <w:rsid w:val="00BD20A2"/>
    <w:rsid w:val="00BD2C29"/>
    <w:rsid w:val="00BD30F0"/>
    <w:rsid w:val="00BD34FB"/>
    <w:rsid w:val="00BD3702"/>
    <w:rsid w:val="00BD3B88"/>
    <w:rsid w:val="00BD3CC0"/>
    <w:rsid w:val="00BD451D"/>
    <w:rsid w:val="00BD4959"/>
    <w:rsid w:val="00BD4D1B"/>
    <w:rsid w:val="00BD523E"/>
    <w:rsid w:val="00BD6C79"/>
    <w:rsid w:val="00BD6C8E"/>
    <w:rsid w:val="00BD6D75"/>
    <w:rsid w:val="00BE05A0"/>
    <w:rsid w:val="00BE06DE"/>
    <w:rsid w:val="00BE1381"/>
    <w:rsid w:val="00BE142A"/>
    <w:rsid w:val="00BE1536"/>
    <w:rsid w:val="00BE192A"/>
    <w:rsid w:val="00BE3D08"/>
    <w:rsid w:val="00BE4DBE"/>
    <w:rsid w:val="00BE514C"/>
    <w:rsid w:val="00BE54DC"/>
    <w:rsid w:val="00BE5923"/>
    <w:rsid w:val="00BE5EA9"/>
    <w:rsid w:val="00BE708D"/>
    <w:rsid w:val="00BE7215"/>
    <w:rsid w:val="00BE7694"/>
    <w:rsid w:val="00BF03AF"/>
    <w:rsid w:val="00BF0414"/>
    <w:rsid w:val="00BF0948"/>
    <w:rsid w:val="00BF0EB0"/>
    <w:rsid w:val="00BF0FC3"/>
    <w:rsid w:val="00BF1462"/>
    <w:rsid w:val="00BF14A3"/>
    <w:rsid w:val="00BF22F8"/>
    <w:rsid w:val="00BF2D62"/>
    <w:rsid w:val="00BF388F"/>
    <w:rsid w:val="00BF391C"/>
    <w:rsid w:val="00BF3C56"/>
    <w:rsid w:val="00BF3C8E"/>
    <w:rsid w:val="00BF3E02"/>
    <w:rsid w:val="00BF5511"/>
    <w:rsid w:val="00BF606F"/>
    <w:rsid w:val="00BF6EDA"/>
    <w:rsid w:val="00C00006"/>
    <w:rsid w:val="00C00072"/>
    <w:rsid w:val="00C006FE"/>
    <w:rsid w:val="00C01BF6"/>
    <w:rsid w:val="00C01FBA"/>
    <w:rsid w:val="00C02ABC"/>
    <w:rsid w:val="00C0339A"/>
    <w:rsid w:val="00C041A8"/>
    <w:rsid w:val="00C04276"/>
    <w:rsid w:val="00C047FA"/>
    <w:rsid w:val="00C05514"/>
    <w:rsid w:val="00C10ED9"/>
    <w:rsid w:val="00C10FE6"/>
    <w:rsid w:val="00C120A0"/>
    <w:rsid w:val="00C1243E"/>
    <w:rsid w:val="00C12A2F"/>
    <w:rsid w:val="00C13384"/>
    <w:rsid w:val="00C137CC"/>
    <w:rsid w:val="00C1465C"/>
    <w:rsid w:val="00C14885"/>
    <w:rsid w:val="00C16234"/>
    <w:rsid w:val="00C16AF9"/>
    <w:rsid w:val="00C16BAD"/>
    <w:rsid w:val="00C1707E"/>
    <w:rsid w:val="00C1719F"/>
    <w:rsid w:val="00C17330"/>
    <w:rsid w:val="00C1778B"/>
    <w:rsid w:val="00C20025"/>
    <w:rsid w:val="00C2055D"/>
    <w:rsid w:val="00C21CCA"/>
    <w:rsid w:val="00C21CDD"/>
    <w:rsid w:val="00C21DD4"/>
    <w:rsid w:val="00C22930"/>
    <w:rsid w:val="00C23588"/>
    <w:rsid w:val="00C23CB6"/>
    <w:rsid w:val="00C241B1"/>
    <w:rsid w:val="00C24B4B"/>
    <w:rsid w:val="00C250C7"/>
    <w:rsid w:val="00C252DF"/>
    <w:rsid w:val="00C266CB"/>
    <w:rsid w:val="00C27980"/>
    <w:rsid w:val="00C279FE"/>
    <w:rsid w:val="00C30A02"/>
    <w:rsid w:val="00C30A69"/>
    <w:rsid w:val="00C31D6A"/>
    <w:rsid w:val="00C32FA9"/>
    <w:rsid w:val="00C33050"/>
    <w:rsid w:val="00C334D1"/>
    <w:rsid w:val="00C3352E"/>
    <w:rsid w:val="00C34FFE"/>
    <w:rsid w:val="00C37953"/>
    <w:rsid w:val="00C409D4"/>
    <w:rsid w:val="00C40A84"/>
    <w:rsid w:val="00C40DD7"/>
    <w:rsid w:val="00C414F5"/>
    <w:rsid w:val="00C432AB"/>
    <w:rsid w:val="00C43FA0"/>
    <w:rsid w:val="00C43FB2"/>
    <w:rsid w:val="00C4443E"/>
    <w:rsid w:val="00C44682"/>
    <w:rsid w:val="00C44983"/>
    <w:rsid w:val="00C45F59"/>
    <w:rsid w:val="00C46218"/>
    <w:rsid w:val="00C46370"/>
    <w:rsid w:val="00C46443"/>
    <w:rsid w:val="00C474F9"/>
    <w:rsid w:val="00C477F7"/>
    <w:rsid w:val="00C51B40"/>
    <w:rsid w:val="00C52A73"/>
    <w:rsid w:val="00C52AC3"/>
    <w:rsid w:val="00C52CEE"/>
    <w:rsid w:val="00C53FB1"/>
    <w:rsid w:val="00C5513A"/>
    <w:rsid w:val="00C57D3F"/>
    <w:rsid w:val="00C61107"/>
    <w:rsid w:val="00C6141E"/>
    <w:rsid w:val="00C6223D"/>
    <w:rsid w:val="00C62450"/>
    <w:rsid w:val="00C626A0"/>
    <w:rsid w:val="00C63FB1"/>
    <w:rsid w:val="00C64772"/>
    <w:rsid w:val="00C65EA0"/>
    <w:rsid w:val="00C65F9B"/>
    <w:rsid w:val="00C66608"/>
    <w:rsid w:val="00C66E50"/>
    <w:rsid w:val="00C6718D"/>
    <w:rsid w:val="00C67CA6"/>
    <w:rsid w:val="00C724AA"/>
    <w:rsid w:val="00C743FF"/>
    <w:rsid w:val="00C74794"/>
    <w:rsid w:val="00C74EAD"/>
    <w:rsid w:val="00C7528F"/>
    <w:rsid w:val="00C75E81"/>
    <w:rsid w:val="00C765EA"/>
    <w:rsid w:val="00C76678"/>
    <w:rsid w:val="00C768A1"/>
    <w:rsid w:val="00C772FA"/>
    <w:rsid w:val="00C7769C"/>
    <w:rsid w:val="00C80B9D"/>
    <w:rsid w:val="00C8138D"/>
    <w:rsid w:val="00C81784"/>
    <w:rsid w:val="00C81A11"/>
    <w:rsid w:val="00C81BAB"/>
    <w:rsid w:val="00C81D5E"/>
    <w:rsid w:val="00C82152"/>
    <w:rsid w:val="00C827D4"/>
    <w:rsid w:val="00C8292A"/>
    <w:rsid w:val="00C82F6B"/>
    <w:rsid w:val="00C84658"/>
    <w:rsid w:val="00C84673"/>
    <w:rsid w:val="00C850B4"/>
    <w:rsid w:val="00C85777"/>
    <w:rsid w:val="00C85D1C"/>
    <w:rsid w:val="00C8680B"/>
    <w:rsid w:val="00C86877"/>
    <w:rsid w:val="00C87094"/>
    <w:rsid w:val="00C87E1F"/>
    <w:rsid w:val="00C91DBC"/>
    <w:rsid w:val="00C92E84"/>
    <w:rsid w:val="00C954C4"/>
    <w:rsid w:val="00C96D51"/>
    <w:rsid w:val="00CA0048"/>
    <w:rsid w:val="00CA0152"/>
    <w:rsid w:val="00CA07E6"/>
    <w:rsid w:val="00CA109D"/>
    <w:rsid w:val="00CA3797"/>
    <w:rsid w:val="00CA38C5"/>
    <w:rsid w:val="00CA417D"/>
    <w:rsid w:val="00CA42EE"/>
    <w:rsid w:val="00CA4852"/>
    <w:rsid w:val="00CA51AD"/>
    <w:rsid w:val="00CA5591"/>
    <w:rsid w:val="00CA5658"/>
    <w:rsid w:val="00CA6A02"/>
    <w:rsid w:val="00CA7BE4"/>
    <w:rsid w:val="00CB1222"/>
    <w:rsid w:val="00CB1842"/>
    <w:rsid w:val="00CB1CB0"/>
    <w:rsid w:val="00CB2601"/>
    <w:rsid w:val="00CB2BCA"/>
    <w:rsid w:val="00CB2BEA"/>
    <w:rsid w:val="00CB4A94"/>
    <w:rsid w:val="00CB520A"/>
    <w:rsid w:val="00CB5DCE"/>
    <w:rsid w:val="00CB6327"/>
    <w:rsid w:val="00CB6E54"/>
    <w:rsid w:val="00CB760D"/>
    <w:rsid w:val="00CB77BE"/>
    <w:rsid w:val="00CB7B47"/>
    <w:rsid w:val="00CB7FDC"/>
    <w:rsid w:val="00CC028C"/>
    <w:rsid w:val="00CC1331"/>
    <w:rsid w:val="00CC1CDA"/>
    <w:rsid w:val="00CC2308"/>
    <w:rsid w:val="00CC2987"/>
    <w:rsid w:val="00CC2F6E"/>
    <w:rsid w:val="00CC39EA"/>
    <w:rsid w:val="00CC3B72"/>
    <w:rsid w:val="00CC432B"/>
    <w:rsid w:val="00CC442D"/>
    <w:rsid w:val="00CC459B"/>
    <w:rsid w:val="00CC4AC0"/>
    <w:rsid w:val="00CC4C0B"/>
    <w:rsid w:val="00CC59B7"/>
    <w:rsid w:val="00CC5C41"/>
    <w:rsid w:val="00CC62E7"/>
    <w:rsid w:val="00CD004C"/>
    <w:rsid w:val="00CD0566"/>
    <w:rsid w:val="00CD0614"/>
    <w:rsid w:val="00CD1021"/>
    <w:rsid w:val="00CD110C"/>
    <w:rsid w:val="00CD39A8"/>
    <w:rsid w:val="00CD3EBD"/>
    <w:rsid w:val="00CD3EE9"/>
    <w:rsid w:val="00CD439C"/>
    <w:rsid w:val="00CD5AB6"/>
    <w:rsid w:val="00CD6889"/>
    <w:rsid w:val="00CD798A"/>
    <w:rsid w:val="00CE021B"/>
    <w:rsid w:val="00CE0348"/>
    <w:rsid w:val="00CE046D"/>
    <w:rsid w:val="00CE3694"/>
    <w:rsid w:val="00CE388D"/>
    <w:rsid w:val="00CE58D2"/>
    <w:rsid w:val="00CE66DA"/>
    <w:rsid w:val="00CE7238"/>
    <w:rsid w:val="00CE73EA"/>
    <w:rsid w:val="00CE79FD"/>
    <w:rsid w:val="00CE7CE7"/>
    <w:rsid w:val="00CF1633"/>
    <w:rsid w:val="00CF1DED"/>
    <w:rsid w:val="00CF211F"/>
    <w:rsid w:val="00CF22E4"/>
    <w:rsid w:val="00CF2388"/>
    <w:rsid w:val="00CF24EE"/>
    <w:rsid w:val="00CF2B0B"/>
    <w:rsid w:val="00CF3770"/>
    <w:rsid w:val="00CF3FD2"/>
    <w:rsid w:val="00CF468F"/>
    <w:rsid w:val="00CF4A70"/>
    <w:rsid w:val="00CF52C2"/>
    <w:rsid w:val="00CF670F"/>
    <w:rsid w:val="00CF68FF"/>
    <w:rsid w:val="00CF7DC4"/>
    <w:rsid w:val="00CF7FB9"/>
    <w:rsid w:val="00D008A5"/>
    <w:rsid w:val="00D011C2"/>
    <w:rsid w:val="00D015C9"/>
    <w:rsid w:val="00D01ED9"/>
    <w:rsid w:val="00D026DA"/>
    <w:rsid w:val="00D02A43"/>
    <w:rsid w:val="00D02BF8"/>
    <w:rsid w:val="00D03371"/>
    <w:rsid w:val="00D05515"/>
    <w:rsid w:val="00D06067"/>
    <w:rsid w:val="00D0661A"/>
    <w:rsid w:val="00D07EDE"/>
    <w:rsid w:val="00D12049"/>
    <w:rsid w:val="00D124AB"/>
    <w:rsid w:val="00D12C80"/>
    <w:rsid w:val="00D12EF8"/>
    <w:rsid w:val="00D13ADB"/>
    <w:rsid w:val="00D146F6"/>
    <w:rsid w:val="00D14868"/>
    <w:rsid w:val="00D14CE0"/>
    <w:rsid w:val="00D151A5"/>
    <w:rsid w:val="00D15713"/>
    <w:rsid w:val="00D15D49"/>
    <w:rsid w:val="00D15F2E"/>
    <w:rsid w:val="00D16CF4"/>
    <w:rsid w:val="00D17122"/>
    <w:rsid w:val="00D2010C"/>
    <w:rsid w:val="00D20A0F"/>
    <w:rsid w:val="00D210B3"/>
    <w:rsid w:val="00D223E0"/>
    <w:rsid w:val="00D23115"/>
    <w:rsid w:val="00D25025"/>
    <w:rsid w:val="00D25050"/>
    <w:rsid w:val="00D26941"/>
    <w:rsid w:val="00D27167"/>
    <w:rsid w:val="00D271D9"/>
    <w:rsid w:val="00D27920"/>
    <w:rsid w:val="00D30982"/>
    <w:rsid w:val="00D30DF7"/>
    <w:rsid w:val="00D31F8A"/>
    <w:rsid w:val="00D32149"/>
    <w:rsid w:val="00D3339F"/>
    <w:rsid w:val="00D3372F"/>
    <w:rsid w:val="00D348C5"/>
    <w:rsid w:val="00D34F47"/>
    <w:rsid w:val="00D36014"/>
    <w:rsid w:val="00D3676E"/>
    <w:rsid w:val="00D37632"/>
    <w:rsid w:val="00D407CD"/>
    <w:rsid w:val="00D40A24"/>
    <w:rsid w:val="00D40D03"/>
    <w:rsid w:val="00D42337"/>
    <w:rsid w:val="00D42FF3"/>
    <w:rsid w:val="00D43CAC"/>
    <w:rsid w:val="00D4453F"/>
    <w:rsid w:val="00D44740"/>
    <w:rsid w:val="00D44C86"/>
    <w:rsid w:val="00D4541C"/>
    <w:rsid w:val="00D459AA"/>
    <w:rsid w:val="00D45A85"/>
    <w:rsid w:val="00D46BC0"/>
    <w:rsid w:val="00D506AE"/>
    <w:rsid w:val="00D50783"/>
    <w:rsid w:val="00D507B7"/>
    <w:rsid w:val="00D50848"/>
    <w:rsid w:val="00D51951"/>
    <w:rsid w:val="00D538A5"/>
    <w:rsid w:val="00D53BDF"/>
    <w:rsid w:val="00D54760"/>
    <w:rsid w:val="00D548DD"/>
    <w:rsid w:val="00D54981"/>
    <w:rsid w:val="00D55C4B"/>
    <w:rsid w:val="00D55D6B"/>
    <w:rsid w:val="00D5610D"/>
    <w:rsid w:val="00D5655F"/>
    <w:rsid w:val="00D56BA7"/>
    <w:rsid w:val="00D57B29"/>
    <w:rsid w:val="00D57F73"/>
    <w:rsid w:val="00D606B8"/>
    <w:rsid w:val="00D60745"/>
    <w:rsid w:val="00D62474"/>
    <w:rsid w:val="00D62520"/>
    <w:rsid w:val="00D626EC"/>
    <w:rsid w:val="00D62ECB"/>
    <w:rsid w:val="00D6392B"/>
    <w:rsid w:val="00D63B3B"/>
    <w:rsid w:val="00D64F26"/>
    <w:rsid w:val="00D65B43"/>
    <w:rsid w:val="00D65BA8"/>
    <w:rsid w:val="00D65D29"/>
    <w:rsid w:val="00D67094"/>
    <w:rsid w:val="00D67790"/>
    <w:rsid w:val="00D67AB2"/>
    <w:rsid w:val="00D706C2"/>
    <w:rsid w:val="00D70B83"/>
    <w:rsid w:val="00D710D4"/>
    <w:rsid w:val="00D71A64"/>
    <w:rsid w:val="00D7210F"/>
    <w:rsid w:val="00D731FA"/>
    <w:rsid w:val="00D73266"/>
    <w:rsid w:val="00D73D2C"/>
    <w:rsid w:val="00D752E0"/>
    <w:rsid w:val="00D75C70"/>
    <w:rsid w:val="00D761A3"/>
    <w:rsid w:val="00D762CE"/>
    <w:rsid w:val="00D7670F"/>
    <w:rsid w:val="00D771B1"/>
    <w:rsid w:val="00D811D3"/>
    <w:rsid w:val="00D81459"/>
    <w:rsid w:val="00D814DB"/>
    <w:rsid w:val="00D819D0"/>
    <w:rsid w:val="00D827BD"/>
    <w:rsid w:val="00D82F40"/>
    <w:rsid w:val="00D83E49"/>
    <w:rsid w:val="00D856E8"/>
    <w:rsid w:val="00D85B77"/>
    <w:rsid w:val="00D860D0"/>
    <w:rsid w:val="00D86517"/>
    <w:rsid w:val="00D86FF0"/>
    <w:rsid w:val="00D87F34"/>
    <w:rsid w:val="00D90619"/>
    <w:rsid w:val="00D90F04"/>
    <w:rsid w:val="00D92994"/>
    <w:rsid w:val="00D929AC"/>
    <w:rsid w:val="00D9331C"/>
    <w:rsid w:val="00D93C78"/>
    <w:rsid w:val="00D948EF"/>
    <w:rsid w:val="00D95967"/>
    <w:rsid w:val="00D95B1F"/>
    <w:rsid w:val="00D969DC"/>
    <w:rsid w:val="00D96FCC"/>
    <w:rsid w:val="00D97355"/>
    <w:rsid w:val="00D97C9E"/>
    <w:rsid w:val="00D97EE0"/>
    <w:rsid w:val="00D97F5C"/>
    <w:rsid w:val="00DA01AF"/>
    <w:rsid w:val="00DA037A"/>
    <w:rsid w:val="00DA14A6"/>
    <w:rsid w:val="00DA1D08"/>
    <w:rsid w:val="00DA3347"/>
    <w:rsid w:val="00DA36AE"/>
    <w:rsid w:val="00DA3BEC"/>
    <w:rsid w:val="00DA476C"/>
    <w:rsid w:val="00DA5D1E"/>
    <w:rsid w:val="00DA5EE5"/>
    <w:rsid w:val="00DA623C"/>
    <w:rsid w:val="00DA67B1"/>
    <w:rsid w:val="00DA6FA5"/>
    <w:rsid w:val="00DA7216"/>
    <w:rsid w:val="00DB01A9"/>
    <w:rsid w:val="00DB0CED"/>
    <w:rsid w:val="00DB1412"/>
    <w:rsid w:val="00DB1F52"/>
    <w:rsid w:val="00DB2105"/>
    <w:rsid w:val="00DB28F6"/>
    <w:rsid w:val="00DB39B8"/>
    <w:rsid w:val="00DB3A9A"/>
    <w:rsid w:val="00DB3BEF"/>
    <w:rsid w:val="00DB433E"/>
    <w:rsid w:val="00DB4AA2"/>
    <w:rsid w:val="00DB4CB2"/>
    <w:rsid w:val="00DB5232"/>
    <w:rsid w:val="00DB59A6"/>
    <w:rsid w:val="00DB630F"/>
    <w:rsid w:val="00DB6BE6"/>
    <w:rsid w:val="00DB6D67"/>
    <w:rsid w:val="00DB75AD"/>
    <w:rsid w:val="00DB7D60"/>
    <w:rsid w:val="00DB7F17"/>
    <w:rsid w:val="00DC00D9"/>
    <w:rsid w:val="00DC0213"/>
    <w:rsid w:val="00DC06E0"/>
    <w:rsid w:val="00DC256F"/>
    <w:rsid w:val="00DC26A2"/>
    <w:rsid w:val="00DC3838"/>
    <w:rsid w:val="00DC41CA"/>
    <w:rsid w:val="00DC5064"/>
    <w:rsid w:val="00DC5F4C"/>
    <w:rsid w:val="00DC5FC1"/>
    <w:rsid w:val="00DC72ED"/>
    <w:rsid w:val="00DC7AC3"/>
    <w:rsid w:val="00DD0430"/>
    <w:rsid w:val="00DD0E2A"/>
    <w:rsid w:val="00DD29BF"/>
    <w:rsid w:val="00DD54B7"/>
    <w:rsid w:val="00DD5748"/>
    <w:rsid w:val="00DD5D72"/>
    <w:rsid w:val="00DD6248"/>
    <w:rsid w:val="00DD70C4"/>
    <w:rsid w:val="00DE13A5"/>
    <w:rsid w:val="00DE16C8"/>
    <w:rsid w:val="00DE1EBF"/>
    <w:rsid w:val="00DE20FF"/>
    <w:rsid w:val="00DE2EBB"/>
    <w:rsid w:val="00DE30E6"/>
    <w:rsid w:val="00DE336F"/>
    <w:rsid w:val="00DE3BC0"/>
    <w:rsid w:val="00DE576D"/>
    <w:rsid w:val="00DE660B"/>
    <w:rsid w:val="00DE67B3"/>
    <w:rsid w:val="00DE6849"/>
    <w:rsid w:val="00DF009E"/>
    <w:rsid w:val="00DF09C7"/>
    <w:rsid w:val="00DF2EBF"/>
    <w:rsid w:val="00DF34FC"/>
    <w:rsid w:val="00DF3765"/>
    <w:rsid w:val="00DF42F6"/>
    <w:rsid w:val="00DF4724"/>
    <w:rsid w:val="00DF4794"/>
    <w:rsid w:val="00DF4B85"/>
    <w:rsid w:val="00DF6269"/>
    <w:rsid w:val="00DF66B4"/>
    <w:rsid w:val="00DF7735"/>
    <w:rsid w:val="00DF7C00"/>
    <w:rsid w:val="00E002D9"/>
    <w:rsid w:val="00E0081F"/>
    <w:rsid w:val="00E027C3"/>
    <w:rsid w:val="00E03D5A"/>
    <w:rsid w:val="00E04BC7"/>
    <w:rsid w:val="00E05443"/>
    <w:rsid w:val="00E05F03"/>
    <w:rsid w:val="00E05F24"/>
    <w:rsid w:val="00E05F54"/>
    <w:rsid w:val="00E06899"/>
    <w:rsid w:val="00E07080"/>
    <w:rsid w:val="00E07269"/>
    <w:rsid w:val="00E07699"/>
    <w:rsid w:val="00E108CC"/>
    <w:rsid w:val="00E11427"/>
    <w:rsid w:val="00E11A1D"/>
    <w:rsid w:val="00E12A12"/>
    <w:rsid w:val="00E13534"/>
    <w:rsid w:val="00E13A73"/>
    <w:rsid w:val="00E13B1C"/>
    <w:rsid w:val="00E13C0A"/>
    <w:rsid w:val="00E13C0E"/>
    <w:rsid w:val="00E13E79"/>
    <w:rsid w:val="00E146A1"/>
    <w:rsid w:val="00E14BF5"/>
    <w:rsid w:val="00E14C6A"/>
    <w:rsid w:val="00E155FF"/>
    <w:rsid w:val="00E15693"/>
    <w:rsid w:val="00E17BE9"/>
    <w:rsid w:val="00E209BB"/>
    <w:rsid w:val="00E21020"/>
    <w:rsid w:val="00E2186A"/>
    <w:rsid w:val="00E23180"/>
    <w:rsid w:val="00E233E5"/>
    <w:rsid w:val="00E24A51"/>
    <w:rsid w:val="00E24DB7"/>
    <w:rsid w:val="00E24FC6"/>
    <w:rsid w:val="00E26323"/>
    <w:rsid w:val="00E2769A"/>
    <w:rsid w:val="00E277FF"/>
    <w:rsid w:val="00E2798F"/>
    <w:rsid w:val="00E30256"/>
    <w:rsid w:val="00E305F0"/>
    <w:rsid w:val="00E31043"/>
    <w:rsid w:val="00E319A0"/>
    <w:rsid w:val="00E32847"/>
    <w:rsid w:val="00E334A8"/>
    <w:rsid w:val="00E33B8D"/>
    <w:rsid w:val="00E33D2C"/>
    <w:rsid w:val="00E34AB4"/>
    <w:rsid w:val="00E35011"/>
    <w:rsid w:val="00E352C5"/>
    <w:rsid w:val="00E35AF8"/>
    <w:rsid w:val="00E36468"/>
    <w:rsid w:val="00E369D5"/>
    <w:rsid w:val="00E36BD9"/>
    <w:rsid w:val="00E36F14"/>
    <w:rsid w:val="00E371FE"/>
    <w:rsid w:val="00E37BDE"/>
    <w:rsid w:val="00E40CAD"/>
    <w:rsid w:val="00E40E88"/>
    <w:rsid w:val="00E41509"/>
    <w:rsid w:val="00E4178E"/>
    <w:rsid w:val="00E41C3E"/>
    <w:rsid w:val="00E41DED"/>
    <w:rsid w:val="00E42C30"/>
    <w:rsid w:val="00E43279"/>
    <w:rsid w:val="00E439B5"/>
    <w:rsid w:val="00E44306"/>
    <w:rsid w:val="00E44DF7"/>
    <w:rsid w:val="00E4514E"/>
    <w:rsid w:val="00E45350"/>
    <w:rsid w:val="00E467DF"/>
    <w:rsid w:val="00E4698C"/>
    <w:rsid w:val="00E46FE3"/>
    <w:rsid w:val="00E470D4"/>
    <w:rsid w:val="00E47C1F"/>
    <w:rsid w:val="00E50430"/>
    <w:rsid w:val="00E51FE0"/>
    <w:rsid w:val="00E520EA"/>
    <w:rsid w:val="00E531AC"/>
    <w:rsid w:val="00E5409A"/>
    <w:rsid w:val="00E621CE"/>
    <w:rsid w:val="00E62C9E"/>
    <w:rsid w:val="00E6318D"/>
    <w:rsid w:val="00E63676"/>
    <w:rsid w:val="00E637AD"/>
    <w:rsid w:val="00E641F4"/>
    <w:rsid w:val="00E641FA"/>
    <w:rsid w:val="00E64549"/>
    <w:rsid w:val="00E65013"/>
    <w:rsid w:val="00E65885"/>
    <w:rsid w:val="00E65896"/>
    <w:rsid w:val="00E6646F"/>
    <w:rsid w:val="00E66472"/>
    <w:rsid w:val="00E66BF5"/>
    <w:rsid w:val="00E703FF"/>
    <w:rsid w:val="00E7074B"/>
    <w:rsid w:val="00E709F3"/>
    <w:rsid w:val="00E73AC2"/>
    <w:rsid w:val="00E755B1"/>
    <w:rsid w:val="00E7608A"/>
    <w:rsid w:val="00E76EA9"/>
    <w:rsid w:val="00E76F2E"/>
    <w:rsid w:val="00E77F45"/>
    <w:rsid w:val="00E808F3"/>
    <w:rsid w:val="00E81B9E"/>
    <w:rsid w:val="00E82F84"/>
    <w:rsid w:val="00E832FC"/>
    <w:rsid w:val="00E843B9"/>
    <w:rsid w:val="00E854A7"/>
    <w:rsid w:val="00E85AA8"/>
    <w:rsid w:val="00E865C2"/>
    <w:rsid w:val="00E869E2"/>
    <w:rsid w:val="00E873F2"/>
    <w:rsid w:val="00E8758D"/>
    <w:rsid w:val="00E8777E"/>
    <w:rsid w:val="00E900B2"/>
    <w:rsid w:val="00E91867"/>
    <w:rsid w:val="00E91963"/>
    <w:rsid w:val="00E91AE6"/>
    <w:rsid w:val="00E92921"/>
    <w:rsid w:val="00E92D55"/>
    <w:rsid w:val="00E93A1B"/>
    <w:rsid w:val="00E93AB9"/>
    <w:rsid w:val="00E94590"/>
    <w:rsid w:val="00E945D2"/>
    <w:rsid w:val="00E94988"/>
    <w:rsid w:val="00E95388"/>
    <w:rsid w:val="00E9558E"/>
    <w:rsid w:val="00E9559D"/>
    <w:rsid w:val="00E95720"/>
    <w:rsid w:val="00E96BE6"/>
    <w:rsid w:val="00E96EF0"/>
    <w:rsid w:val="00E973ED"/>
    <w:rsid w:val="00E976FA"/>
    <w:rsid w:val="00EA0158"/>
    <w:rsid w:val="00EA1809"/>
    <w:rsid w:val="00EA1918"/>
    <w:rsid w:val="00EA2D0C"/>
    <w:rsid w:val="00EA31BF"/>
    <w:rsid w:val="00EA459B"/>
    <w:rsid w:val="00EA4C1A"/>
    <w:rsid w:val="00EA4D03"/>
    <w:rsid w:val="00EA505F"/>
    <w:rsid w:val="00EA5353"/>
    <w:rsid w:val="00EA5F2D"/>
    <w:rsid w:val="00EA616A"/>
    <w:rsid w:val="00EA63A8"/>
    <w:rsid w:val="00EA6DC8"/>
    <w:rsid w:val="00EA787D"/>
    <w:rsid w:val="00EB07B4"/>
    <w:rsid w:val="00EB1AC1"/>
    <w:rsid w:val="00EB1BDD"/>
    <w:rsid w:val="00EB2B62"/>
    <w:rsid w:val="00EB3CFF"/>
    <w:rsid w:val="00EB52C0"/>
    <w:rsid w:val="00EB5351"/>
    <w:rsid w:val="00EB5C69"/>
    <w:rsid w:val="00EB7155"/>
    <w:rsid w:val="00EB76FC"/>
    <w:rsid w:val="00EB7B00"/>
    <w:rsid w:val="00EB7B4B"/>
    <w:rsid w:val="00EC022A"/>
    <w:rsid w:val="00EC03E9"/>
    <w:rsid w:val="00EC0D14"/>
    <w:rsid w:val="00EC1299"/>
    <w:rsid w:val="00EC23DF"/>
    <w:rsid w:val="00EC388A"/>
    <w:rsid w:val="00EC3F3E"/>
    <w:rsid w:val="00EC5064"/>
    <w:rsid w:val="00EC51E0"/>
    <w:rsid w:val="00EC53EE"/>
    <w:rsid w:val="00EC54FE"/>
    <w:rsid w:val="00EC64FE"/>
    <w:rsid w:val="00EC74C5"/>
    <w:rsid w:val="00ED008A"/>
    <w:rsid w:val="00ED1680"/>
    <w:rsid w:val="00ED2B81"/>
    <w:rsid w:val="00ED36A8"/>
    <w:rsid w:val="00ED374D"/>
    <w:rsid w:val="00ED54CA"/>
    <w:rsid w:val="00ED638E"/>
    <w:rsid w:val="00ED6CD7"/>
    <w:rsid w:val="00ED6EFE"/>
    <w:rsid w:val="00ED6F63"/>
    <w:rsid w:val="00EE0599"/>
    <w:rsid w:val="00EE0EF9"/>
    <w:rsid w:val="00EE1ACE"/>
    <w:rsid w:val="00EE3973"/>
    <w:rsid w:val="00EE4E2A"/>
    <w:rsid w:val="00EE5130"/>
    <w:rsid w:val="00EE5353"/>
    <w:rsid w:val="00EE5559"/>
    <w:rsid w:val="00EE5695"/>
    <w:rsid w:val="00EE57B7"/>
    <w:rsid w:val="00EE6370"/>
    <w:rsid w:val="00EE6CCF"/>
    <w:rsid w:val="00EE7499"/>
    <w:rsid w:val="00EF0726"/>
    <w:rsid w:val="00EF1820"/>
    <w:rsid w:val="00EF1E61"/>
    <w:rsid w:val="00EF23C1"/>
    <w:rsid w:val="00EF296F"/>
    <w:rsid w:val="00EF33F5"/>
    <w:rsid w:val="00EF59CD"/>
    <w:rsid w:val="00EF5C6B"/>
    <w:rsid w:val="00EF64A9"/>
    <w:rsid w:val="00EF6828"/>
    <w:rsid w:val="00EF6CB8"/>
    <w:rsid w:val="00EF7CE1"/>
    <w:rsid w:val="00F005FE"/>
    <w:rsid w:val="00F006F8"/>
    <w:rsid w:val="00F028F5"/>
    <w:rsid w:val="00F02B61"/>
    <w:rsid w:val="00F03E46"/>
    <w:rsid w:val="00F04038"/>
    <w:rsid w:val="00F04633"/>
    <w:rsid w:val="00F055D7"/>
    <w:rsid w:val="00F059ED"/>
    <w:rsid w:val="00F05E6C"/>
    <w:rsid w:val="00F06067"/>
    <w:rsid w:val="00F0617F"/>
    <w:rsid w:val="00F06249"/>
    <w:rsid w:val="00F06705"/>
    <w:rsid w:val="00F07C73"/>
    <w:rsid w:val="00F07D86"/>
    <w:rsid w:val="00F103A2"/>
    <w:rsid w:val="00F11564"/>
    <w:rsid w:val="00F1341C"/>
    <w:rsid w:val="00F13C98"/>
    <w:rsid w:val="00F13D22"/>
    <w:rsid w:val="00F14FAF"/>
    <w:rsid w:val="00F1583D"/>
    <w:rsid w:val="00F15BFD"/>
    <w:rsid w:val="00F21256"/>
    <w:rsid w:val="00F2204E"/>
    <w:rsid w:val="00F229AE"/>
    <w:rsid w:val="00F22C5F"/>
    <w:rsid w:val="00F23D8F"/>
    <w:rsid w:val="00F253B5"/>
    <w:rsid w:val="00F2577B"/>
    <w:rsid w:val="00F261DD"/>
    <w:rsid w:val="00F264EC"/>
    <w:rsid w:val="00F27332"/>
    <w:rsid w:val="00F2756A"/>
    <w:rsid w:val="00F2759C"/>
    <w:rsid w:val="00F2785F"/>
    <w:rsid w:val="00F30EF0"/>
    <w:rsid w:val="00F31968"/>
    <w:rsid w:val="00F34385"/>
    <w:rsid w:val="00F34F86"/>
    <w:rsid w:val="00F352F0"/>
    <w:rsid w:val="00F35C07"/>
    <w:rsid w:val="00F35DC3"/>
    <w:rsid w:val="00F367D7"/>
    <w:rsid w:val="00F37DFC"/>
    <w:rsid w:val="00F4176B"/>
    <w:rsid w:val="00F41773"/>
    <w:rsid w:val="00F43FEF"/>
    <w:rsid w:val="00F449AA"/>
    <w:rsid w:val="00F44ACF"/>
    <w:rsid w:val="00F44D5E"/>
    <w:rsid w:val="00F45378"/>
    <w:rsid w:val="00F45D7B"/>
    <w:rsid w:val="00F46D15"/>
    <w:rsid w:val="00F46F77"/>
    <w:rsid w:val="00F5038A"/>
    <w:rsid w:val="00F52385"/>
    <w:rsid w:val="00F52564"/>
    <w:rsid w:val="00F54099"/>
    <w:rsid w:val="00F541E1"/>
    <w:rsid w:val="00F54BAC"/>
    <w:rsid w:val="00F5532D"/>
    <w:rsid w:val="00F56353"/>
    <w:rsid w:val="00F56387"/>
    <w:rsid w:val="00F564CB"/>
    <w:rsid w:val="00F56C4B"/>
    <w:rsid w:val="00F57030"/>
    <w:rsid w:val="00F607CB"/>
    <w:rsid w:val="00F60858"/>
    <w:rsid w:val="00F62ABA"/>
    <w:rsid w:val="00F62AC6"/>
    <w:rsid w:val="00F63C4A"/>
    <w:rsid w:val="00F648D5"/>
    <w:rsid w:val="00F64929"/>
    <w:rsid w:val="00F64B47"/>
    <w:rsid w:val="00F64DA2"/>
    <w:rsid w:val="00F6537D"/>
    <w:rsid w:val="00F654A7"/>
    <w:rsid w:val="00F65F50"/>
    <w:rsid w:val="00F663A1"/>
    <w:rsid w:val="00F66709"/>
    <w:rsid w:val="00F671A9"/>
    <w:rsid w:val="00F67209"/>
    <w:rsid w:val="00F67B75"/>
    <w:rsid w:val="00F67F28"/>
    <w:rsid w:val="00F705B3"/>
    <w:rsid w:val="00F7071A"/>
    <w:rsid w:val="00F70727"/>
    <w:rsid w:val="00F7083B"/>
    <w:rsid w:val="00F71201"/>
    <w:rsid w:val="00F71434"/>
    <w:rsid w:val="00F7171E"/>
    <w:rsid w:val="00F71C7F"/>
    <w:rsid w:val="00F71E5E"/>
    <w:rsid w:val="00F7263B"/>
    <w:rsid w:val="00F72A38"/>
    <w:rsid w:val="00F72F97"/>
    <w:rsid w:val="00F730BB"/>
    <w:rsid w:val="00F74C09"/>
    <w:rsid w:val="00F74E26"/>
    <w:rsid w:val="00F75CD2"/>
    <w:rsid w:val="00F760E2"/>
    <w:rsid w:val="00F76259"/>
    <w:rsid w:val="00F762EC"/>
    <w:rsid w:val="00F76D05"/>
    <w:rsid w:val="00F8082D"/>
    <w:rsid w:val="00F80AF4"/>
    <w:rsid w:val="00F80C04"/>
    <w:rsid w:val="00F81B27"/>
    <w:rsid w:val="00F823AE"/>
    <w:rsid w:val="00F828CF"/>
    <w:rsid w:val="00F83618"/>
    <w:rsid w:val="00F83C64"/>
    <w:rsid w:val="00F84A09"/>
    <w:rsid w:val="00F851FD"/>
    <w:rsid w:val="00F86742"/>
    <w:rsid w:val="00F86D90"/>
    <w:rsid w:val="00F86FFD"/>
    <w:rsid w:val="00F87BFE"/>
    <w:rsid w:val="00F909D4"/>
    <w:rsid w:val="00F91C27"/>
    <w:rsid w:val="00F92AC5"/>
    <w:rsid w:val="00F92D4C"/>
    <w:rsid w:val="00F93184"/>
    <w:rsid w:val="00F93765"/>
    <w:rsid w:val="00F93FF1"/>
    <w:rsid w:val="00F95C21"/>
    <w:rsid w:val="00F96665"/>
    <w:rsid w:val="00F9681C"/>
    <w:rsid w:val="00F96867"/>
    <w:rsid w:val="00F96C19"/>
    <w:rsid w:val="00F97269"/>
    <w:rsid w:val="00FA037D"/>
    <w:rsid w:val="00FA0510"/>
    <w:rsid w:val="00FA1412"/>
    <w:rsid w:val="00FA1662"/>
    <w:rsid w:val="00FA178F"/>
    <w:rsid w:val="00FA2CC7"/>
    <w:rsid w:val="00FA2E7F"/>
    <w:rsid w:val="00FA3002"/>
    <w:rsid w:val="00FA35A4"/>
    <w:rsid w:val="00FA3B2C"/>
    <w:rsid w:val="00FA41E1"/>
    <w:rsid w:val="00FA63D7"/>
    <w:rsid w:val="00FA6DB6"/>
    <w:rsid w:val="00FA7647"/>
    <w:rsid w:val="00FA7752"/>
    <w:rsid w:val="00FB06B4"/>
    <w:rsid w:val="00FB17C9"/>
    <w:rsid w:val="00FB19ED"/>
    <w:rsid w:val="00FB22F0"/>
    <w:rsid w:val="00FB3F9C"/>
    <w:rsid w:val="00FB4164"/>
    <w:rsid w:val="00FB4363"/>
    <w:rsid w:val="00FB45D9"/>
    <w:rsid w:val="00FB4E14"/>
    <w:rsid w:val="00FB568D"/>
    <w:rsid w:val="00FB5768"/>
    <w:rsid w:val="00FB7B6C"/>
    <w:rsid w:val="00FC1866"/>
    <w:rsid w:val="00FC239A"/>
    <w:rsid w:val="00FC2F52"/>
    <w:rsid w:val="00FC4834"/>
    <w:rsid w:val="00FC4A87"/>
    <w:rsid w:val="00FC5403"/>
    <w:rsid w:val="00FC5752"/>
    <w:rsid w:val="00FC5873"/>
    <w:rsid w:val="00FC5B06"/>
    <w:rsid w:val="00FC61B1"/>
    <w:rsid w:val="00FD0FE6"/>
    <w:rsid w:val="00FD1E56"/>
    <w:rsid w:val="00FD2FCE"/>
    <w:rsid w:val="00FD3BF9"/>
    <w:rsid w:val="00FD54CE"/>
    <w:rsid w:val="00FD5D43"/>
    <w:rsid w:val="00FD6D1F"/>
    <w:rsid w:val="00FD7D80"/>
    <w:rsid w:val="00FE030C"/>
    <w:rsid w:val="00FE0B6B"/>
    <w:rsid w:val="00FE1A7F"/>
    <w:rsid w:val="00FE3093"/>
    <w:rsid w:val="00FE31E4"/>
    <w:rsid w:val="00FE394E"/>
    <w:rsid w:val="00FE4A76"/>
    <w:rsid w:val="00FE5094"/>
    <w:rsid w:val="00FE528C"/>
    <w:rsid w:val="00FE58D8"/>
    <w:rsid w:val="00FE5A82"/>
    <w:rsid w:val="00FE5B78"/>
    <w:rsid w:val="00FE5DE6"/>
    <w:rsid w:val="00FE5E6F"/>
    <w:rsid w:val="00FE5ED3"/>
    <w:rsid w:val="00FE6746"/>
    <w:rsid w:val="00FE6767"/>
    <w:rsid w:val="00FF0E03"/>
    <w:rsid w:val="00FF1399"/>
    <w:rsid w:val="00FF223A"/>
    <w:rsid w:val="00FF22B5"/>
    <w:rsid w:val="00FF2778"/>
    <w:rsid w:val="00FF3652"/>
    <w:rsid w:val="00FF36D1"/>
    <w:rsid w:val="00FF41D4"/>
    <w:rsid w:val="00FF458E"/>
    <w:rsid w:val="00FF48B1"/>
    <w:rsid w:val="00FF4903"/>
    <w:rsid w:val="00FF4F63"/>
    <w:rsid w:val="00FF59DD"/>
    <w:rsid w:val="00FF5A4D"/>
    <w:rsid w:val="00FF662A"/>
    <w:rsid w:val="00FF7963"/>
    <w:rsid w:val="00FF7D81"/>
    <w:rsid w:val="00FF7E65"/>
    <w:rsid w:val="010215AC"/>
    <w:rsid w:val="01085400"/>
    <w:rsid w:val="0109278D"/>
    <w:rsid w:val="010C0502"/>
    <w:rsid w:val="010F47FA"/>
    <w:rsid w:val="0115010A"/>
    <w:rsid w:val="01162073"/>
    <w:rsid w:val="011804F0"/>
    <w:rsid w:val="011B0BBC"/>
    <w:rsid w:val="01202909"/>
    <w:rsid w:val="01213882"/>
    <w:rsid w:val="012872C5"/>
    <w:rsid w:val="012956E2"/>
    <w:rsid w:val="012E34F5"/>
    <w:rsid w:val="012E74F0"/>
    <w:rsid w:val="01304F65"/>
    <w:rsid w:val="01343791"/>
    <w:rsid w:val="01350AD8"/>
    <w:rsid w:val="013533A9"/>
    <w:rsid w:val="01372051"/>
    <w:rsid w:val="013C246A"/>
    <w:rsid w:val="013C731E"/>
    <w:rsid w:val="01401F5A"/>
    <w:rsid w:val="01412F1A"/>
    <w:rsid w:val="01415CD2"/>
    <w:rsid w:val="01435D3B"/>
    <w:rsid w:val="01436805"/>
    <w:rsid w:val="01441FB7"/>
    <w:rsid w:val="01457570"/>
    <w:rsid w:val="014C0B29"/>
    <w:rsid w:val="014C3520"/>
    <w:rsid w:val="014C3675"/>
    <w:rsid w:val="01523273"/>
    <w:rsid w:val="015248B5"/>
    <w:rsid w:val="0152776C"/>
    <w:rsid w:val="015675DA"/>
    <w:rsid w:val="0158285F"/>
    <w:rsid w:val="015B3238"/>
    <w:rsid w:val="015C0A67"/>
    <w:rsid w:val="015F3C5C"/>
    <w:rsid w:val="0160298A"/>
    <w:rsid w:val="01602CF5"/>
    <w:rsid w:val="016F54A3"/>
    <w:rsid w:val="01700B20"/>
    <w:rsid w:val="01727770"/>
    <w:rsid w:val="017B6AED"/>
    <w:rsid w:val="017D6DF3"/>
    <w:rsid w:val="017D7A75"/>
    <w:rsid w:val="01804A4C"/>
    <w:rsid w:val="018067FB"/>
    <w:rsid w:val="018362EB"/>
    <w:rsid w:val="01855E64"/>
    <w:rsid w:val="01873887"/>
    <w:rsid w:val="018A1427"/>
    <w:rsid w:val="018A58CB"/>
    <w:rsid w:val="018B7D8A"/>
    <w:rsid w:val="018C100A"/>
    <w:rsid w:val="01910DAA"/>
    <w:rsid w:val="019127B6"/>
    <w:rsid w:val="01923B88"/>
    <w:rsid w:val="0192652E"/>
    <w:rsid w:val="01945F4A"/>
    <w:rsid w:val="019601E9"/>
    <w:rsid w:val="01993E6E"/>
    <w:rsid w:val="01995E38"/>
    <w:rsid w:val="019B1886"/>
    <w:rsid w:val="019B3634"/>
    <w:rsid w:val="019B7612"/>
    <w:rsid w:val="019F02DD"/>
    <w:rsid w:val="019F20A2"/>
    <w:rsid w:val="019F3ECE"/>
    <w:rsid w:val="01A6732E"/>
    <w:rsid w:val="01A71FD9"/>
    <w:rsid w:val="01A95C58"/>
    <w:rsid w:val="01AA4CF6"/>
    <w:rsid w:val="01AA68AB"/>
    <w:rsid w:val="01AB1A72"/>
    <w:rsid w:val="01AF7682"/>
    <w:rsid w:val="01B13F71"/>
    <w:rsid w:val="01B14C3D"/>
    <w:rsid w:val="01B24B10"/>
    <w:rsid w:val="01B43863"/>
    <w:rsid w:val="01BA0B6E"/>
    <w:rsid w:val="01BA4479"/>
    <w:rsid w:val="01BE7323"/>
    <w:rsid w:val="01C0139F"/>
    <w:rsid w:val="01C04E49"/>
    <w:rsid w:val="01C05F2B"/>
    <w:rsid w:val="01C2621D"/>
    <w:rsid w:val="01C342B5"/>
    <w:rsid w:val="01C62A5D"/>
    <w:rsid w:val="01C6530C"/>
    <w:rsid w:val="01C7267B"/>
    <w:rsid w:val="01CE3A0A"/>
    <w:rsid w:val="01CF1530"/>
    <w:rsid w:val="01D4314F"/>
    <w:rsid w:val="01D54D19"/>
    <w:rsid w:val="01D60B10"/>
    <w:rsid w:val="01D64D9F"/>
    <w:rsid w:val="01D67715"/>
    <w:rsid w:val="01DA015E"/>
    <w:rsid w:val="01DB75AC"/>
    <w:rsid w:val="01DB7ED5"/>
    <w:rsid w:val="01DC629B"/>
    <w:rsid w:val="01E1125B"/>
    <w:rsid w:val="01E1703D"/>
    <w:rsid w:val="01E36492"/>
    <w:rsid w:val="01EB68FC"/>
    <w:rsid w:val="01EC0334"/>
    <w:rsid w:val="01EC20E2"/>
    <w:rsid w:val="01EC5C3E"/>
    <w:rsid w:val="01ED6EBF"/>
    <w:rsid w:val="01F20D71"/>
    <w:rsid w:val="01F33470"/>
    <w:rsid w:val="01F66ABD"/>
    <w:rsid w:val="01F8432A"/>
    <w:rsid w:val="01FC2DC5"/>
    <w:rsid w:val="01FD609D"/>
    <w:rsid w:val="01FE6179"/>
    <w:rsid w:val="0204110C"/>
    <w:rsid w:val="02043D75"/>
    <w:rsid w:val="02051AE6"/>
    <w:rsid w:val="02072A78"/>
    <w:rsid w:val="02096361"/>
    <w:rsid w:val="020B6A0C"/>
    <w:rsid w:val="020C615A"/>
    <w:rsid w:val="020E02AA"/>
    <w:rsid w:val="020E45C6"/>
    <w:rsid w:val="02107597"/>
    <w:rsid w:val="02112AA9"/>
    <w:rsid w:val="021138F7"/>
    <w:rsid w:val="0212454D"/>
    <w:rsid w:val="021423A4"/>
    <w:rsid w:val="02160F0D"/>
    <w:rsid w:val="02182ED7"/>
    <w:rsid w:val="021A27AB"/>
    <w:rsid w:val="021A3AD1"/>
    <w:rsid w:val="021D04ED"/>
    <w:rsid w:val="021D673F"/>
    <w:rsid w:val="022542B9"/>
    <w:rsid w:val="022573A2"/>
    <w:rsid w:val="022B3571"/>
    <w:rsid w:val="02353A89"/>
    <w:rsid w:val="02355837"/>
    <w:rsid w:val="02370CE4"/>
    <w:rsid w:val="023C3969"/>
    <w:rsid w:val="023F66B6"/>
    <w:rsid w:val="02405F8A"/>
    <w:rsid w:val="02420E31"/>
    <w:rsid w:val="02436AF0"/>
    <w:rsid w:val="024535A0"/>
    <w:rsid w:val="02467F68"/>
    <w:rsid w:val="024806E1"/>
    <w:rsid w:val="024E4267"/>
    <w:rsid w:val="024E68F9"/>
    <w:rsid w:val="02523B07"/>
    <w:rsid w:val="02535CBD"/>
    <w:rsid w:val="02557D02"/>
    <w:rsid w:val="025A769D"/>
    <w:rsid w:val="025F28B4"/>
    <w:rsid w:val="026003DA"/>
    <w:rsid w:val="026305F6"/>
    <w:rsid w:val="0265792B"/>
    <w:rsid w:val="026643CE"/>
    <w:rsid w:val="026A3B24"/>
    <w:rsid w:val="026A3CE8"/>
    <w:rsid w:val="026C6D7F"/>
    <w:rsid w:val="027029E7"/>
    <w:rsid w:val="0273010D"/>
    <w:rsid w:val="02746F16"/>
    <w:rsid w:val="027942D3"/>
    <w:rsid w:val="027B4806"/>
    <w:rsid w:val="027C16B8"/>
    <w:rsid w:val="027C3466"/>
    <w:rsid w:val="027F6AB2"/>
    <w:rsid w:val="0282283E"/>
    <w:rsid w:val="028247F4"/>
    <w:rsid w:val="0283599B"/>
    <w:rsid w:val="028464DD"/>
    <w:rsid w:val="028477DF"/>
    <w:rsid w:val="02856493"/>
    <w:rsid w:val="02881E0B"/>
    <w:rsid w:val="028C11CF"/>
    <w:rsid w:val="028C3BD3"/>
    <w:rsid w:val="028E3199"/>
    <w:rsid w:val="02941414"/>
    <w:rsid w:val="0295277A"/>
    <w:rsid w:val="02974566"/>
    <w:rsid w:val="02993174"/>
    <w:rsid w:val="029C2F92"/>
    <w:rsid w:val="029F4D63"/>
    <w:rsid w:val="02A05595"/>
    <w:rsid w:val="02A209F3"/>
    <w:rsid w:val="02A3720C"/>
    <w:rsid w:val="02A73944"/>
    <w:rsid w:val="02A8425B"/>
    <w:rsid w:val="02A93B2F"/>
    <w:rsid w:val="02AA7BAD"/>
    <w:rsid w:val="02AB5498"/>
    <w:rsid w:val="02AD7AC3"/>
    <w:rsid w:val="02AF383B"/>
    <w:rsid w:val="02AF7D72"/>
    <w:rsid w:val="02AF7F28"/>
    <w:rsid w:val="02B01361"/>
    <w:rsid w:val="02B0310F"/>
    <w:rsid w:val="02B7517C"/>
    <w:rsid w:val="02B769C7"/>
    <w:rsid w:val="02BC641D"/>
    <w:rsid w:val="02C60DF8"/>
    <w:rsid w:val="02C913C1"/>
    <w:rsid w:val="02CB12A1"/>
    <w:rsid w:val="02CC553F"/>
    <w:rsid w:val="02CD1F13"/>
    <w:rsid w:val="02CD2E68"/>
    <w:rsid w:val="02D30986"/>
    <w:rsid w:val="02D50DC8"/>
    <w:rsid w:val="02D74B40"/>
    <w:rsid w:val="02DB2825"/>
    <w:rsid w:val="02DB6913"/>
    <w:rsid w:val="02DE5ECF"/>
    <w:rsid w:val="02E1567E"/>
    <w:rsid w:val="02E255F0"/>
    <w:rsid w:val="02E37041"/>
    <w:rsid w:val="02E4100B"/>
    <w:rsid w:val="02E42DB9"/>
    <w:rsid w:val="02E565E2"/>
    <w:rsid w:val="02E64D83"/>
    <w:rsid w:val="02EB73E1"/>
    <w:rsid w:val="02ED4765"/>
    <w:rsid w:val="02EE59E6"/>
    <w:rsid w:val="02EF1E8A"/>
    <w:rsid w:val="02F05C02"/>
    <w:rsid w:val="02F079B0"/>
    <w:rsid w:val="02F52E40"/>
    <w:rsid w:val="02F54AC6"/>
    <w:rsid w:val="02F86670"/>
    <w:rsid w:val="02F92D08"/>
    <w:rsid w:val="02FC6355"/>
    <w:rsid w:val="02FF3F99"/>
    <w:rsid w:val="03013A68"/>
    <w:rsid w:val="03014218"/>
    <w:rsid w:val="03015CC8"/>
    <w:rsid w:val="03031491"/>
    <w:rsid w:val="03045209"/>
    <w:rsid w:val="0305345B"/>
    <w:rsid w:val="03065425"/>
    <w:rsid w:val="030B1A2A"/>
    <w:rsid w:val="030F4FF0"/>
    <w:rsid w:val="031016C9"/>
    <w:rsid w:val="03121D7C"/>
    <w:rsid w:val="031300D2"/>
    <w:rsid w:val="031725C6"/>
    <w:rsid w:val="031841A0"/>
    <w:rsid w:val="03194B7A"/>
    <w:rsid w:val="031B668D"/>
    <w:rsid w:val="031D1405"/>
    <w:rsid w:val="031F3DF1"/>
    <w:rsid w:val="0322103E"/>
    <w:rsid w:val="03230548"/>
    <w:rsid w:val="03244FD8"/>
    <w:rsid w:val="03247659"/>
    <w:rsid w:val="032517D0"/>
    <w:rsid w:val="03261624"/>
    <w:rsid w:val="0327596B"/>
    <w:rsid w:val="032763A5"/>
    <w:rsid w:val="032A692E"/>
    <w:rsid w:val="032C3828"/>
    <w:rsid w:val="032C58C5"/>
    <w:rsid w:val="032E477D"/>
    <w:rsid w:val="032F68D7"/>
    <w:rsid w:val="0330604B"/>
    <w:rsid w:val="0331391B"/>
    <w:rsid w:val="03367AB9"/>
    <w:rsid w:val="033A063B"/>
    <w:rsid w:val="033A6D09"/>
    <w:rsid w:val="034037F3"/>
    <w:rsid w:val="03427A32"/>
    <w:rsid w:val="034321D6"/>
    <w:rsid w:val="03455F4E"/>
    <w:rsid w:val="034616DB"/>
    <w:rsid w:val="034C6370"/>
    <w:rsid w:val="034C6EE8"/>
    <w:rsid w:val="034D6BB0"/>
    <w:rsid w:val="034E324F"/>
    <w:rsid w:val="035246C1"/>
    <w:rsid w:val="03527A63"/>
    <w:rsid w:val="03597303"/>
    <w:rsid w:val="035B751F"/>
    <w:rsid w:val="035D3297"/>
    <w:rsid w:val="035E4633"/>
    <w:rsid w:val="03625043"/>
    <w:rsid w:val="03626DC9"/>
    <w:rsid w:val="036301D5"/>
    <w:rsid w:val="03634626"/>
    <w:rsid w:val="03655CA8"/>
    <w:rsid w:val="03672DD7"/>
    <w:rsid w:val="03686549"/>
    <w:rsid w:val="0368705F"/>
    <w:rsid w:val="036903E2"/>
    <w:rsid w:val="03697A39"/>
    <w:rsid w:val="036D12B2"/>
    <w:rsid w:val="036F4D79"/>
    <w:rsid w:val="03726617"/>
    <w:rsid w:val="037379BF"/>
    <w:rsid w:val="03750ED4"/>
    <w:rsid w:val="03767EB5"/>
    <w:rsid w:val="037951C3"/>
    <w:rsid w:val="03800D34"/>
    <w:rsid w:val="03831236"/>
    <w:rsid w:val="03832248"/>
    <w:rsid w:val="03852728"/>
    <w:rsid w:val="03854168"/>
    <w:rsid w:val="03870230"/>
    <w:rsid w:val="03870314"/>
    <w:rsid w:val="038B0F5B"/>
    <w:rsid w:val="038D3451"/>
    <w:rsid w:val="038F0F77"/>
    <w:rsid w:val="03933EAF"/>
    <w:rsid w:val="039638F4"/>
    <w:rsid w:val="039667A9"/>
    <w:rsid w:val="0397158C"/>
    <w:rsid w:val="03990F6B"/>
    <w:rsid w:val="039B791C"/>
    <w:rsid w:val="039E34BA"/>
    <w:rsid w:val="039E77D0"/>
    <w:rsid w:val="03A03184"/>
    <w:rsid w:val="03A77504"/>
    <w:rsid w:val="03AA5DB1"/>
    <w:rsid w:val="03AB7B6C"/>
    <w:rsid w:val="03AC7D7B"/>
    <w:rsid w:val="03AD22FE"/>
    <w:rsid w:val="03AF31FD"/>
    <w:rsid w:val="03B1493A"/>
    <w:rsid w:val="03B15904"/>
    <w:rsid w:val="03B46C2F"/>
    <w:rsid w:val="03B7227C"/>
    <w:rsid w:val="03BB1D6C"/>
    <w:rsid w:val="03BE360A"/>
    <w:rsid w:val="03BE7AAE"/>
    <w:rsid w:val="03C04BBB"/>
    <w:rsid w:val="03C055D4"/>
    <w:rsid w:val="03C07382"/>
    <w:rsid w:val="03C54999"/>
    <w:rsid w:val="03C86237"/>
    <w:rsid w:val="03CC5D27"/>
    <w:rsid w:val="03CF75C5"/>
    <w:rsid w:val="03D16FFC"/>
    <w:rsid w:val="03D42E2E"/>
    <w:rsid w:val="03D50244"/>
    <w:rsid w:val="03D753A7"/>
    <w:rsid w:val="03D8291E"/>
    <w:rsid w:val="03D90444"/>
    <w:rsid w:val="03DC09CE"/>
    <w:rsid w:val="03E00D98"/>
    <w:rsid w:val="03E0235B"/>
    <w:rsid w:val="03E23E55"/>
    <w:rsid w:val="03E52A26"/>
    <w:rsid w:val="03E61FF3"/>
    <w:rsid w:val="03E76FB4"/>
    <w:rsid w:val="03EB7DBF"/>
    <w:rsid w:val="03ED3244"/>
    <w:rsid w:val="03F302E2"/>
    <w:rsid w:val="03F51722"/>
    <w:rsid w:val="03F861DD"/>
    <w:rsid w:val="03FA6D38"/>
    <w:rsid w:val="03FB42BA"/>
    <w:rsid w:val="03FD3580"/>
    <w:rsid w:val="03FD54C6"/>
    <w:rsid w:val="03FE03D1"/>
    <w:rsid w:val="040930D8"/>
    <w:rsid w:val="04096F7B"/>
    <w:rsid w:val="040B64A7"/>
    <w:rsid w:val="040C6817"/>
    <w:rsid w:val="040D0565"/>
    <w:rsid w:val="040F7D83"/>
    <w:rsid w:val="04100597"/>
    <w:rsid w:val="04112729"/>
    <w:rsid w:val="04133956"/>
    <w:rsid w:val="0413780D"/>
    <w:rsid w:val="04155920"/>
    <w:rsid w:val="041659F1"/>
    <w:rsid w:val="04194CE4"/>
    <w:rsid w:val="041A4E3F"/>
    <w:rsid w:val="041B1266"/>
    <w:rsid w:val="0422003D"/>
    <w:rsid w:val="04224F34"/>
    <w:rsid w:val="04243DB5"/>
    <w:rsid w:val="04284E13"/>
    <w:rsid w:val="04293179"/>
    <w:rsid w:val="042A6EF2"/>
    <w:rsid w:val="042B5143"/>
    <w:rsid w:val="042E0790"/>
    <w:rsid w:val="042E0DB9"/>
    <w:rsid w:val="042E35BA"/>
    <w:rsid w:val="042F2492"/>
    <w:rsid w:val="04301D26"/>
    <w:rsid w:val="043164D2"/>
    <w:rsid w:val="0433224A"/>
    <w:rsid w:val="0438160E"/>
    <w:rsid w:val="04395005"/>
    <w:rsid w:val="043B2EAD"/>
    <w:rsid w:val="043D4E77"/>
    <w:rsid w:val="043E3628"/>
    <w:rsid w:val="043F29CE"/>
    <w:rsid w:val="04406715"/>
    <w:rsid w:val="044163B3"/>
    <w:rsid w:val="04425FE9"/>
    <w:rsid w:val="04455AD9"/>
    <w:rsid w:val="044955CA"/>
    <w:rsid w:val="044B1342"/>
    <w:rsid w:val="044B7594"/>
    <w:rsid w:val="044C330C"/>
    <w:rsid w:val="044F0764"/>
    <w:rsid w:val="045126D0"/>
    <w:rsid w:val="04536FA7"/>
    <w:rsid w:val="0453757C"/>
    <w:rsid w:val="04540722"/>
    <w:rsid w:val="04543B68"/>
    <w:rsid w:val="0457667D"/>
    <w:rsid w:val="045A09FE"/>
    <w:rsid w:val="045A77D7"/>
    <w:rsid w:val="045D6797"/>
    <w:rsid w:val="045D7C1E"/>
    <w:rsid w:val="045E5706"/>
    <w:rsid w:val="045F6B9B"/>
    <w:rsid w:val="04602913"/>
    <w:rsid w:val="046046C1"/>
    <w:rsid w:val="04615199"/>
    <w:rsid w:val="046236F6"/>
    <w:rsid w:val="04626EF4"/>
    <w:rsid w:val="04637B4D"/>
    <w:rsid w:val="046442CB"/>
    <w:rsid w:val="04653F60"/>
    <w:rsid w:val="04680F4A"/>
    <w:rsid w:val="04697A1A"/>
    <w:rsid w:val="046B5540"/>
    <w:rsid w:val="04705F84"/>
    <w:rsid w:val="04714B20"/>
    <w:rsid w:val="04717A85"/>
    <w:rsid w:val="047368F3"/>
    <w:rsid w:val="04743028"/>
    <w:rsid w:val="0475016D"/>
    <w:rsid w:val="04776088"/>
    <w:rsid w:val="047A39D5"/>
    <w:rsid w:val="047F2D99"/>
    <w:rsid w:val="047F6045"/>
    <w:rsid w:val="04804DA9"/>
    <w:rsid w:val="04805D11"/>
    <w:rsid w:val="04806B11"/>
    <w:rsid w:val="04812FB5"/>
    <w:rsid w:val="0481475A"/>
    <w:rsid w:val="04826D2E"/>
    <w:rsid w:val="04846602"/>
    <w:rsid w:val="04853043"/>
    <w:rsid w:val="048C3708"/>
    <w:rsid w:val="048C54B6"/>
    <w:rsid w:val="048D2141"/>
    <w:rsid w:val="048F3DCE"/>
    <w:rsid w:val="048F465A"/>
    <w:rsid w:val="0490660D"/>
    <w:rsid w:val="04926F71"/>
    <w:rsid w:val="049305F5"/>
    <w:rsid w:val="049525BD"/>
    <w:rsid w:val="049A0B9B"/>
    <w:rsid w:val="049D12CA"/>
    <w:rsid w:val="04A21A03"/>
    <w:rsid w:val="04A627F5"/>
    <w:rsid w:val="04A930A7"/>
    <w:rsid w:val="04B05649"/>
    <w:rsid w:val="04B073F7"/>
    <w:rsid w:val="04B2316F"/>
    <w:rsid w:val="04B52122"/>
    <w:rsid w:val="04B944C7"/>
    <w:rsid w:val="04BA64C7"/>
    <w:rsid w:val="04BB1EDD"/>
    <w:rsid w:val="04BC223F"/>
    <w:rsid w:val="04BF763A"/>
    <w:rsid w:val="04C240E9"/>
    <w:rsid w:val="04C26804"/>
    <w:rsid w:val="04C2712A"/>
    <w:rsid w:val="04C960AD"/>
    <w:rsid w:val="04CB41E8"/>
    <w:rsid w:val="04CE19B8"/>
    <w:rsid w:val="04CE1F73"/>
    <w:rsid w:val="04CF1C67"/>
    <w:rsid w:val="04D05CEB"/>
    <w:rsid w:val="04D208F9"/>
    <w:rsid w:val="04D37589"/>
    <w:rsid w:val="04D60E51"/>
    <w:rsid w:val="04DC2964"/>
    <w:rsid w:val="04DC3B8C"/>
    <w:rsid w:val="04DF1A8A"/>
    <w:rsid w:val="04DF5F2E"/>
    <w:rsid w:val="04E03757"/>
    <w:rsid w:val="04E07226"/>
    <w:rsid w:val="04E23328"/>
    <w:rsid w:val="04E62470"/>
    <w:rsid w:val="04E716C3"/>
    <w:rsid w:val="04E92909"/>
    <w:rsid w:val="04EF0A59"/>
    <w:rsid w:val="04EF4078"/>
    <w:rsid w:val="04EF5385"/>
    <w:rsid w:val="04F419D9"/>
    <w:rsid w:val="04F43D3F"/>
    <w:rsid w:val="04F76DD4"/>
    <w:rsid w:val="04F91EAB"/>
    <w:rsid w:val="04FC088E"/>
    <w:rsid w:val="04FC5042"/>
    <w:rsid w:val="04FE4606"/>
    <w:rsid w:val="04FF212C"/>
    <w:rsid w:val="04FF4BA9"/>
    <w:rsid w:val="05015B58"/>
    <w:rsid w:val="050414F1"/>
    <w:rsid w:val="05051787"/>
    <w:rsid w:val="05094D59"/>
    <w:rsid w:val="050F05C1"/>
    <w:rsid w:val="050F6813"/>
    <w:rsid w:val="051200B1"/>
    <w:rsid w:val="05170B49"/>
    <w:rsid w:val="051C3426"/>
    <w:rsid w:val="051C5515"/>
    <w:rsid w:val="051F7EF6"/>
    <w:rsid w:val="05216546"/>
    <w:rsid w:val="05216A4C"/>
    <w:rsid w:val="05230EF2"/>
    <w:rsid w:val="05262860"/>
    <w:rsid w:val="052662F7"/>
    <w:rsid w:val="05291032"/>
    <w:rsid w:val="0529461A"/>
    <w:rsid w:val="05341E77"/>
    <w:rsid w:val="053578FC"/>
    <w:rsid w:val="053C0C8A"/>
    <w:rsid w:val="053C512E"/>
    <w:rsid w:val="053E71E6"/>
    <w:rsid w:val="05405ACE"/>
    <w:rsid w:val="054229B7"/>
    <w:rsid w:val="05430682"/>
    <w:rsid w:val="05431723"/>
    <w:rsid w:val="05447A71"/>
    <w:rsid w:val="05485881"/>
    <w:rsid w:val="0548762F"/>
    <w:rsid w:val="054D1796"/>
    <w:rsid w:val="05502988"/>
    <w:rsid w:val="05504736"/>
    <w:rsid w:val="05573D16"/>
    <w:rsid w:val="05592172"/>
    <w:rsid w:val="05600E1D"/>
    <w:rsid w:val="0560548A"/>
    <w:rsid w:val="05616943"/>
    <w:rsid w:val="056621AB"/>
    <w:rsid w:val="0569619C"/>
    <w:rsid w:val="056D02F4"/>
    <w:rsid w:val="056D4978"/>
    <w:rsid w:val="056D52E8"/>
    <w:rsid w:val="056D7096"/>
    <w:rsid w:val="056F52C2"/>
    <w:rsid w:val="05721780"/>
    <w:rsid w:val="057228FE"/>
    <w:rsid w:val="05780BC2"/>
    <w:rsid w:val="05807C3C"/>
    <w:rsid w:val="05812B41"/>
    <w:rsid w:val="058473A1"/>
    <w:rsid w:val="05856AD5"/>
    <w:rsid w:val="05882122"/>
    <w:rsid w:val="058A057E"/>
    <w:rsid w:val="058C2BCD"/>
    <w:rsid w:val="058D14E6"/>
    <w:rsid w:val="058D44F9"/>
    <w:rsid w:val="05914282"/>
    <w:rsid w:val="05922FA0"/>
    <w:rsid w:val="05946D18"/>
    <w:rsid w:val="05960333"/>
    <w:rsid w:val="0599023E"/>
    <w:rsid w:val="059960DD"/>
    <w:rsid w:val="059B00A7"/>
    <w:rsid w:val="05A351AD"/>
    <w:rsid w:val="05A91BDE"/>
    <w:rsid w:val="05AC22B4"/>
    <w:rsid w:val="05AD264D"/>
    <w:rsid w:val="05B22981"/>
    <w:rsid w:val="05B2719F"/>
    <w:rsid w:val="05B47692"/>
    <w:rsid w:val="05B47935"/>
    <w:rsid w:val="05C01F6D"/>
    <w:rsid w:val="05C159B1"/>
    <w:rsid w:val="05C6456E"/>
    <w:rsid w:val="05C671E9"/>
    <w:rsid w:val="05C72C4A"/>
    <w:rsid w:val="05C74CC8"/>
    <w:rsid w:val="05CA107E"/>
    <w:rsid w:val="05CD7688"/>
    <w:rsid w:val="05D15C2C"/>
    <w:rsid w:val="05D26B02"/>
    <w:rsid w:val="05D33A24"/>
    <w:rsid w:val="05D50DBA"/>
    <w:rsid w:val="05D90BCF"/>
    <w:rsid w:val="05D9472B"/>
    <w:rsid w:val="05DB04A3"/>
    <w:rsid w:val="05DC421B"/>
    <w:rsid w:val="05DE16D7"/>
    <w:rsid w:val="05DE68D5"/>
    <w:rsid w:val="05DE7F94"/>
    <w:rsid w:val="05DF6C92"/>
    <w:rsid w:val="05E23C32"/>
    <w:rsid w:val="05E42EC1"/>
    <w:rsid w:val="05E71075"/>
    <w:rsid w:val="05E93724"/>
    <w:rsid w:val="05E94074"/>
    <w:rsid w:val="05E96906"/>
    <w:rsid w:val="05EA2DDC"/>
    <w:rsid w:val="05ED01D7"/>
    <w:rsid w:val="05F01B95"/>
    <w:rsid w:val="05F24F09"/>
    <w:rsid w:val="05FA2A1A"/>
    <w:rsid w:val="05FB5A9A"/>
    <w:rsid w:val="05FB6D97"/>
    <w:rsid w:val="05FE23E4"/>
    <w:rsid w:val="060043AE"/>
    <w:rsid w:val="06030E4F"/>
    <w:rsid w:val="060317A8"/>
    <w:rsid w:val="06043E67"/>
    <w:rsid w:val="060818B0"/>
    <w:rsid w:val="060C2D53"/>
    <w:rsid w:val="061627CC"/>
    <w:rsid w:val="0617312A"/>
    <w:rsid w:val="061816F7"/>
    <w:rsid w:val="061D286A"/>
    <w:rsid w:val="061F2581"/>
    <w:rsid w:val="0620235A"/>
    <w:rsid w:val="062264F1"/>
    <w:rsid w:val="06231E4A"/>
    <w:rsid w:val="06253E14"/>
    <w:rsid w:val="06257234"/>
    <w:rsid w:val="062830F1"/>
    <w:rsid w:val="062C0CFF"/>
    <w:rsid w:val="062E71E0"/>
    <w:rsid w:val="063127B9"/>
    <w:rsid w:val="063330D6"/>
    <w:rsid w:val="06334642"/>
    <w:rsid w:val="0637713C"/>
    <w:rsid w:val="063B53E6"/>
    <w:rsid w:val="06400C4E"/>
    <w:rsid w:val="06420522"/>
    <w:rsid w:val="064A5629"/>
    <w:rsid w:val="064D4DCB"/>
    <w:rsid w:val="06523F87"/>
    <w:rsid w:val="06524EBB"/>
    <w:rsid w:val="06543ADB"/>
    <w:rsid w:val="065743DF"/>
    <w:rsid w:val="065875E5"/>
    <w:rsid w:val="0659586C"/>
    <w:rsid w:val="065A010D"/>
    <w:rsid w:val="065A72EE"/>
    <w:rsid w:val="065E4C2E"/>
    <w:rsid w:val="065F405F"/>
    <w:rsid w:val="06602E5E"/>
    <w:rsid w:val="06652463"/>
    <w:rsid w:val="066850B1"/>
    <w:rsid w:val="066E7569"/>
    <w:rsid w:val="06733D9B"/>
    <w:rsid w:val="0675084B"/>
    <w:rsid w:val="06753AD3"/>
    <w:rsid w:val="067712FB"/>
    <w:rsid w:val="067B57E2"/>
    <w:rsid w:val="067C4E48"/>
    <w:rsid w:val="067F1777"/>
    <w:rsid w:val="06822D24"/>
    <w:rsid w:val="0683407E"/>
    <w:rsid w:val="06843669"/>
    <w:rsid w:val="06850AD5"/>
    <w:rsid w:val="068648B3"/>
    <w:rsid w:val="068A719C"/>
    <w:rsid w:val="068B65D1"/>
    <w:rsid w:val="068E28DD"/>
    <w:rsid w:val="06905732"/>
    <w:rsid w:val="06966693"/>
    <w:rsid w:val="06976AC0"/>
    <w:rsid w:val="069A036D"/>
    <w:rsid w:val="069A06D8"/>
    <w:rsid w:val="069D7E4F"/>
    <w:rsid w:val="069E4717"/>
    <w:rsid w:val="069F3FEC"/>
    <w:rsid w:val="069F5975"/>
    <w:rsid w:val="06A55A83"/>
    <w:rsid w:val="06A66D03"/>
    <w:rsid w:val="06A92108"/>
    <w:rsid w:val="06B01218"/>
    <w:rsid w:val="06B45EFF"/>
    <w:rsid w:val="06B47B7A"/>
    <w:rsid w:val="06B61769"/>
    <w:rsid w:val="06B875E4"/>
    <w:rsid w:val="06B94957"/>
    <w:rsid w:val="06BF3FA4"/>
    <w:rsid w:val="06C02D46"/>
    <w:rsid w:val="06C278B5"/>
    <w:rsid w:val="06C4362D"/>
    <w:rsid w:val="06C51A28"/>
    <w:rsid w:val="06C669EC"/>
    <w:rsid w:val="06CC4290"/>
    <w:rsid w:val="06CC522F"/>
    <w:rsid w:val="06CE0008"/>
    <w:rsid w:val="06D136D5"/>
    <w:rsid w:val="06D16E10"/>
    <w:rsid w:val="06D263F6"/>
    <w:rsid w:val="06D32A31"/>
    <w:rsid w:val="06D80E87"/>
    <w:rsid w:val="06D82C35"/>
    <w:rsid w:val="06DB482C"/>
    <w:rsid w:val="06DF2215"/>
    <w:rsid w:val="06E57B1F"/>
    <w:rsid w:val="06E94E42"/>
    <w:rsid w:val="06EA7ED6"/>
    <w:rsid w:val="06EC66E0"/>
    <w:rsid w:val="06EE06AA"/>
    <w:rsid w:val="06F162E5"/>
    <w:rsid w:val="06F3462A"/>
    <w:rsid w:val="06F4329F"/>
    <w:rsid w:val="06F840BA"/>
    <w:rsid w:val="06F90EFC"/>
    <w:rsid w:val="07026C51"/>
    <w:rsid w:val="070659F4"/>
    <w:rsid w:val="070752C8"/>
    <w:rsid w:val="07083D17"/>
    <w:rsid w:val="07097292"/>
    <w:rsid w:val="07117EF5"/>
    <w:rsid w:val="07143D9D"/>
    <w:rsid w:val="0717375D"/>
    <w:rsid w:val="071969AA"/>
    <w:rsid w:val="071B7D91"/>
    <w:rsid w:val="071D4B6E"/>
    <w:rsid w:val="071D5FD6"/>
    <w:rsid w:val="071F2612"/>
    <w:rsid w:val="071F3A56"/>
    <w:rsid w:val="07210DE0"/>
    <w:rsid w:val="07222102"/>
    <w:rsid w:val="07222F58"/>
    <w:rsid w:val="072365A6"/>
    <w:rsid w:val="072461A6"/>
    <w:rsid w:val="072506E0"/>
    <w:rsid w:val="072B1256"/>
    <w:rsid w:val="072B60A6"/>
    <w:rsid w:val="072C1B62"/>
    <w:rsid w:val="072D659E"/>
    <w:rsid w:val="07302A71"/>
    <w:rsid w:val="0730481F"/>
    <w:rsid w:val="07362E57"/>
    <w:rsid w:val="07380482"/>
    <w:rsid w:val="07391925"/>
    <w:rsid w:val="073D7ADD"/>
    <w:rsid w:val="073E32E0"/>
    <w:rsid w:val="073E6F3C"/>
    <w:rsid w:val="073F0F06"/>
    <w:rsid w:val="073F4A62"/>
    <w:rsid w:val="07484B91"/>
    <w:rsid w:val="074D1C73"/>
    <w:rsid w:val="074E0505"/>
    <w:rsid w:val="074F739B"/>
    <w:rsid w:val="0754189F"/>
    <w:rsid w:val="07574D9E"/>
    <w:rsid w:val="075A189C"/>
    <w:rsid w:val="075A7AEE"/>
    <w:rsid w:val="075B0E6F"/>
    <w:rsid w:val="075C73C2"/>
    <w:rsid w:val="075E46C1"/>
    <w:rsid w:val="075F5104"/>
    <w:rsid w:val="076020AA"/>
    <w:rsid w:val="0767004F"/>
    <w:rsid w:val="076935CA"/>
    <w:rsid w:val="076A4FCA"/>
    <w:rsid w:val="076B1CFB"/>
    <w:rsid w:val="076D229C"/>
    <w:rsid w:val="076D2EA1"/>
    <w:rsid w:val="07707311"/>
    <w:rsid w:val="07751DC8"/>
    <w:rsid w:val="07766AFE"/>
    <w:rsid w:val="07767AA6"/>
    <w:rsid w:val="077741FC"/>
    <w:rsid w:val="07775550"/>
    <w:rsid w:val="07785704"/>
    <w:rsid w:val="077C5361"/>
    <w:rsid w:val="077E5935"/>
    <w:rsid w:val="07805BAA"/>
    <w:rsid w:val="07862691"/>
    <w:rsid w:val="0788780A"/>
    <w:rsid w:val="078A0D82"/>
    <w:rsid w:val="079052BE"/>
    <w:rsid w:val="0797664C"/>
    <w:rsid w:val="07990616"/>
    <w:rsid w:val="079A613C"/>
    <w:rsid w:val="079E5C2C"/>
    <w:rsid w:val="07A066D2"/>
    <w:rsid w:val="07A22853"/>
    <w:rsid w:val="07A31495"/>
    <w:rsid w:val="07A43A50"/>
    <w:rsid w:val="07A80859"/>
    <w:rsid w:val="07AC4872"/>
    <w:rsid w:val="07AD3187"/>
    <w:rsid w:val="07AF406D"/>
    <w:rsid w:val="07B138E1"/>
    <w:rsid w:val="07B156AD"/>
    <w:rsid w:val="07B266A6"/>
    <w:rsid w:val="07BA233A"/>
    <w:rsid w:val="07BB058C"/>
    <w:rsid w:val="07BC75F7"/>
    <w:rsid w:val="07C02047"/>
    <w:rsid w:val="07C17496"/>
    <w:rsid w:val="07C66F31"/>
    <w:rsid w:val="07C733D5"/>
    <w:rsid w:val="07CA6A21"/>
    <w:rsid w:val="07CA7590"/>
    <w:rsid w:val="07CB7A94"/>
    <w:rsid w:val="07CE268F"/>
    <w:rsid w:val="07D16002"/>
    <w:rsid w:val="07D21D7A"/>
    <w:rsid w:val="07D37407"/>
    <w:rsid w:val="07D443E7"/>
    <w:rsid w:val="07D7113E"/>
    <w:rsid w:val="07DA2F78"/>
    <w:rsid w:val="07DE427B"/>
    <w:rsid w:val="07DE709B"/>
    <w:rsid w:val="07DF3537"/>
    <w:rsid w:val="07DF4652"/>
    <w:rsid w:val="07E01DA1"/>
    <w:rsid w:val="07E46609"/>
    <w:rsid w:val="07E502BF"/>
    <w:rsid w:val="07E64320"/>
    <w:rsid w:val="07E91C65"/>
    <w:rsid w:val="07EA42D2"/>
    <w:rsid w:val="07EB0E6D"/>
    <w:rsid w:val="07EC1A0C"/>
    <w:rsid w:val="07F933E3"/>
    <w:rsid w:val="07FA75BF"/>
    <w:rsid w:val="07FB4E2D"/>
    <w:rsid w:val="07FB67F7"/>
    <w:rsid w:val="07FB7FBE"/>
    <w:rsid w:val="07FE2B6F"/>
    <w:rsid w:val="07FE42E2"/>
    <w:rsid w:val="07FE68AF"/>
    <w:rsid w:val="07FF3A37"/>
    <w:rsid w:val="080207BD"/>
    <w:rsid w:val="08095EDC"/>
    <w:rsid w:val="080A0E6A"/>
    <w:rsid w:val="080B4BAB"/>
    <w:rsid w:val="08135162"/>
    <w:rsid w:val="08145258"/>
    <w:rsid w:val="08160EAA"/>
    <w:rsid w:val="08162E72"/>
    <w:rsid w:val="081838E1"/>
    <w:rsid w:val="081845DE"/>
    <w:rsid w:val="081C4913"/>
    <w:rsid w:val="081C62BE"/>
    <w:rsid w:val="081D2908"/>
    <w:rsid w:val="081D6956"/>
    <w:rsid w:val="081E5E8C"/>
    <w:rsid w:val="08215D04"/>
    <w:rsid w:val="08270ED8"/>
    <w:rsid w:val="08273E74"/>
    <w:rsid w:val="08277056"/>
    <w:rsid w:val="0828199A"/>
    <w:rsid w:val="082857CB"/>
    <w:rsid w:val="082C6816"/>
    <w:rsid w:val="082D752C"/>
    <w:rsid w:val="082F2D28"/>
    <w:rsid w:val="08353ACF"/>
    <w:rsid w:val="083972EC"/>
    <w:rsid w:val="083B347B"/>
    <w:rsid w:val="083C537E"/>
    <w:rsid w:val="083D5445"/>
    <w:rsid w:val="083E2F6B"/>
    <w:rsid w:val="083F3FAD"/>
    <w:rsid w:val="0841381E"/>
    <w:rsid w:val="0842054D"/>
    <w:rsid w:val="08420CAE"/>
    <w:rsid w:val="0842480A"/>
    <w:rsid w:val="08431A6D"/>
    <w:rsid w:val="08434384"/>
    <w:rsid w:val="0849203C"/>
    <w:rsid w:val="08506C7E"/>
    <w:rsid w:val="085207C5"/>
    <w:rsid w:val="08527AF2"/>
    <w:rsid w:val="08573C3C"/>
    <w:rsid w:val="085B1341"/>
    <w:rsid w:val="085D5AE7"/>
    <w:rsid w:val="085D7C9A"/>
    <w:rsid w:val="08605B16"/>
    <w:rsid w:val="08624EAC"/>
    <w:rsid w:val="08626333"/>
    <w:rsid w:val="08646E76"/>
    <w:rsid w:val="0865499C"/>
    <w:rsid w:val="0869623A"/>
    <w:rsid w:val="086D0767"/>
    <w:rsid w:val="086D408F"/>
    <w:rsid w:val="086E1AA3"/>
    <w:rsid w:val="0870581B"/>
    <w:rsid w:val="08707CF7"/>
    <w:rsid w:val="08725BAF"/>
    <w:rsid w:val="08740015"/>
    <w:rsid w:val="08752E31"/>
    <w:rsid w:val="08766BA9"/>
    <w:rsid w:val="08772154"/>
    <w:rsid w:val="087A532A"/>
    <w:rsid w:val="087A534E"/>
    <w:rsid w:val="087D3A94"/>
    <w:rsid w:val="087E3B70"/>
    <w:rsid w:val="088017D6"/>
    <w:rsid w:val="08841D89"/>
    <w:rsid w:val="08871A52"/>
    <w:rsid w:val="0888155D"/>
    <w:rsid w:val="0888721A"/>
    <w:rsid w:val="088968DD"/>
    <w:rsid w:val="088A4F2A"/>
    <w:rsid w:val="088C017B"/>
    <w:rsid w:val="088C1F29"/>
    <w:rsid w:val="088E5CA1"/>
    <w:rsid w:val="088F4710"/>
    <w:rsid w:val="089112ED"/>
    <w:rsid w:val="08931509"/>
    <w:rsid w:val="08964B56"/>
    <w:rsid w:val="089716ED"/>
    <w:rsid w:val="08971DC4"/>
    <w:rsid w:val="08986BC1"/>
    <w:rsid w:val="089A1F45"/>
    <w:rsid w:val="089B03BE"/>
    <w:rsid w:val="089B6610"/>
    <w:rsid w:val="089D4136"/>
    <w:rsid w:val="08A13C26"/>
    <w:rsid w:val="08A334E0"/>
    <w:rsid w:val="08A62C0B"/>
    <w:rsid w:val="08A65B8C"/>
    <w:rsid w:val="08AA59B2"/>
    <w:rsid w:val="08B236DB"/>
    <w:rsid w:val="08B66FA6"/>
    <w:rsid w:val="08B817AC"/>
    <w:rsid w:val="08C23B9D"/>
    <w:rsid w:val="08C24455"/>
    <w:rsid w:val="08C46110"/>
    <w:rsid w:val="08C46E0A"/>
    <w:rsid w:val="08C47915"/>
    <w:rsid w:val="08C56A9F"/>
    <w:rsid w:val="08C648F6"/>
    <w:rsid w:val="08CC4A1B"/>
    <w:rsid w:val="08CE42EF"/>
    <w:rsid w:val="08D00067"/>
    <w:rsid w:val="08D200D0"/>
    <w:rsid w:val="08D2574A"/>
    <w:rsid w:val="08D3254A"/>
    <w:rsid w:val="08DB2BFA"/>
    <w:rsid w:val="08DC0036"/>
    <w:rsid w:val="08DC4C5E"/>
    <w:rsid w:val="08DC70A2"/>
    <w:rsid w:val="08DD09D6"/>
    <w:rsid w:val="08DF02AB"/>
    <w:rsid w:val="08DF5C89"/>
    <w:rsid w:val="08E21B49"/>
    <w:rsid w:val="08E41D65"/>
    <w:rsid w:val="08EE7D90"/>
    <w:rsid w:val="08EF4AFC"/>
    <w:rsid w:val="08EF6C78"/>
    <w:rsid w:val="08F30F9E"/>
    <w:rsid w:val="08F428B3"/>
    <w:rsid w:val="08F62384"/>
    <w:rsid w:val="08FA50E4"/>
    <w:rsid w:val="08FE2171"/>
    <w:rsid w:val="08FE27C4"/>
    <w:rsid w:val="08FF094D"/>
    <w:rsid w:val="08FF6B9F"/>
    <w:rsid w:val="09020DFA"/>
    <w:rsid w:val="090221EB"/>
    <w:rsid w:val="090441B5"/>
    <w:rsid w:val="09047F72"/>
    <w:rsid w:val="09061898"/>
    <w:rsid w:val="09070D27"/>
    <w:rsid w:val="090715AF"/>
    <w:rsid w:val="09077647"/>
    <w:rsid w:val="090B0EC8"/>
    <w:rsid w:val="090C3C17"/>
    <w:rsid w:val="090E293E"/>
    <w:rsid w:val="090F7499"/>
    <w:rsid w:val="09101C07"/>
    <w:rsid w:val="09113B70"/>
    <w:rsid w:val="091361A6"/>
    <w:rsid w:val="09143CEF"/>
    <w:rsid w:val="091918B4"/>
    <w:rsid w:val="091A588A"/>
    <w:rsid w:val="091A6792"/>
    <w:rsid w:val="091A6C9B"/>
    <w:rsid w:val="091C3F4A"/>
    <w:rsid w:val="091D0DD3"/>
    <w:rsid w:val="091E384B"/>
    <w:rsid w:val="091F2D9D"/>
    <w:rsid w:val="0920407D"/>
    <w:rsid w:val="0922463B"/>
    <w:rsid w:val="09227CB1"/>
    <w:rsid w:val="0923007F"/>
    <w:rsid w:val="0923288D"/>
    <w:rsid w:val="092425F0"/>
    <w:rsid w:val="09293C1C"/>
    <w:rsid w:val="092A7C8A"/>
    <w:rsid w:val="092B4659"/>
    <w:rsid w:val="092D370C"/>
    <w:rsid w:val="092E1232"/>
    <w:rsid w:val="092E4D8E"/>
    <w:rsid w:val="092E642F"/>
    <w:rsid w:val="09300B06"/>
    <w:rsid w:val="09305CD0"/>
    <w:rsid w:val="09306D58"/>
    <w:rsid w:val="09324404"/>
    <w:rsid w:val="09334B9B"/>
    <w:rsid w:val="093630D0"/>
    <w:rsid w:val="09380C40"/>
    <w:rsid w:val="093A6304"/>
    <w:rsid w:val="093C74AB"/>
    <w:rsid w:val="09420839"/>
    <w:rsid w:val="09431DE8"/>
    <w:rsid w:val="094559F1"/>
    <w:rsid w:val="09460150"/>
    <w:rsid w:val="0946032A"/>
    <w:rsid w:val="094817DD"/>
    <w:rsid w:val="0953392A"/>
    <w:rsid w:val="0954778C"/>
    <w:rsid w:val="0955332F"/>
    <w:rsid w:val="095617CB"/>
    <w:rsid w:val="09570789"/>
    <w:rsid w:val="095962AF"/>
    <w:rsid w:val="095C21A6"/>
    <w:rsid w:val="095C7B4D"/>
    <w:rsid w:val="095D0158"/>
    <w:rsid w:val="0964482A"/>
    <w:rsid w:val="096864F2"/>
    <w:rsid w:val="09691401"/>
    <w:rsid w:val="096A04BC"/>
    <w:rsid w:val="096B5FE2"/>
    <w:rsid w:val="096E0EE2"/>
    <w:rsid w:val="0971418D"/>
    <w:rsid w:val="09743612"/>
    <w:rsid w:val="09776735"/>
    <w:rsid w:val="0978425B"/>
    <w:rsid w:val="097A5C71"/>
    <w:rsid w:val="097C1F9D"/>
    <w:rsid w:val="097D0913"/>
    <w:rsid w:val="097D1872"/>
    <w:rsid w:val="097E7AC3"/>
    <w:rsid w:val="097F1A8E"/>
    <w:rsid w:val="097F383C"/>
    <w:rsid w:val="09833B0C"/>
    <w:rsid w:val="098350DA"/>
    <w:rsid w:val="098362E0"/>
    <w:rsid w:val="09862E1C"/>
    <w:rsid w:val="09864BCA"/>
    <w:rsid w:val="0989613F"/>
    <w:rsid w:val="098B2DCE"/>
    <w:rsid w:val="099077F7"/>
    <w:rsid w:val="0994100B"/>
    <w:rsid w:val="099575C0"/>
    <w:rsid w:val="099C7837"/>
    <w:rsid w:val="099F7A3A"/>
    <w:rsid w:val="09A03EDE"/>
    <w:rsid w:val="09A0546C"/>
    <w:rsid w:val="09A11A04"/>
    <w:rsid w:val="09A17C56"/>
    <w:rsid w:val="09A46ABD"/>
    <w:rsid w:val="09A64DC8"/>
    <w:rsid w:val="09A760DD"/>
    <w:rsid w:val="09A80893"/>
    <w:rsid w:val="09A84B40"/>
    <w:rsid w:val="09AA6B0A"/>
    <w:rsid w:val="09AD0540"/>
    <w:rsid w:val="09AF207D"/>
    <w:rsid w:val="09AF294E"/>
    <w:rsid w:val="09B30424"/>
    <w:rsid w:val="09B637B7"/>
    <w:rsid w:val="09B730DA"/>
    <w:rsid w:val="09B77638"/>
    <w:rsid w:val="09B77984"/>
    <w:rsid w:val="09B94F9F"/>
    <w:rsid w:val="09B94FB6"/>
    <w:rsid w:val="09BF3DB7"/>
    <w:rsid w:val="09C1206D"/>
    <w:rsid w:val="09C53944"/>
    <w:rsid w:val="09C776A5"/>
    <w:rsid w:val="09C82F67"/>
    <w:rsid w:val="09C910AE"/>
    <w:rsid w:val="09CD42F4"/>
    <w:rsid w:val="09CE5BB1"/>
    <w:rsid w:val="09D516AE"/>
    <w:rsid w:val="09D640F0"/>
    <w:rsid w:val="09D724F3"/>
    <w:rsid w:val="09D74EF0"/>
    <w:rsid w:val="09D83A6D"/>
    <w:rsid w:val="09D9119E"/>
    <w:rsid w:val="09DB2BA2"/>
    <w:rsid w:val="09DE5788"/>
    <w:rsid w:val="09DF42DA"/>
    <w:rsid w:val="09E10F21"/>
    <w:rsid w:val="09E128FE"/>
    <w:rsid w:val="09E244F6"/>
    <w:rsid w:val="09E47668"/>
    <w:rsid w:val="09ED2DAF"/>
    <w:rsid w:val="09EE2CD8"/>
    <w:rsid w:val="09EF09C1"/>
    <w:rsid w:val="09EF1681"/>
    <w:rsid w:val="09F40BE1"/>
    <w:rsid w:val="09FC2AE2"/>
    <w:rsid w:val="09FE0C04"/>
    <w:rsid w:val="0A0106F5"/>
    <w:rsid w:val="0A026946"/>
    <w:rsid w:val="0A043E81"/>
    <w:rsid w:val="0A051F93"/>
    <w:rsid w:val="0A0525A8"/>
    <w:rsid w:val="0A097B82"/>
    <w:rsid w:val="0A0D52EB"/>
    <w:rsid w:val="0A0E1A0A"/>
    <w:rsid w:val="0A0F696E"/>
    <w:rsid w:val="0A136F96"/>
    <w:rsid w:val="0A14667A"/>
    <w:rsid w:val="0A171CC6"/>
    <w:rsid w:val="0A196653"/>
    <w:rsid w:val="0A1C5356"/>
    <w:rsid w:val="0A1E73F4"/>
    <w:rsid w:val="0A22681A"/>
    <w:rsid w:val="0A232419"/>
    <w:rsid w:val="0A2363B9"/>
    <w:rsid w:val="0A264B9C"/>
    <w:rsid w:val="0A266340"/>
    <w:rsid w:val="0A2763AD"/>
    <w:rsid w:val="0A296FCF"/>
    <w:rsid w:val="0A2B18EC"/>
    <w:rsid w:val="0A2C7499"/>
    <w:rsid w:val="0A2F5C60"/>
    <w:rsid w:val="0A301362"/>
    <w:rsid w:val="0A3263A7"/>
    <w:rsid w:val="0A333646"/>
    <w:rsid w:val="0A3579F1"/>
    <w:rsid w:val="0A374116"/>
    <w:rsid w:val="0A381A3F"/>
    <w:rsid w:val="0A382368"/>
    <w:rsid w:val="0A3A7C3C"/>
    <w:rsid w:val="0A3B3C06"/>
    <w:rsid w:val="0A404AFB"/>
    <w:rsid w:val="0A416A09"/>
    <w:rsid w:val="0A4A11CF"/>
    <w:rsid w:val="0A4B2253"/>
    <w:rsid w:val="0A4D6167"/>
    <w:rsid w:val="0A55032E"/>
    <w:rsid w:val="0A587E1D"/>
    <w:rsid w:val="0A5A1386"/>
    <w:rsid w:val="0A5B0825"/>
    <w:rsid w:val="0A5B0AFA"/>
    <w:rsid w:val="0A5E1708"/>
    <w:rsid w:val="0A606451"/>
    <w:rsid w:val="0A656ED5"/>
    <w:rsid w:val="0A6767AA"/>
    <w:rsid w:val="0A6D5ADC"/>
    <w:rsid w:val="0A6E3A46"/>
    <w:rsid w:val="0A6F1B02"/>
    <w:rsid w:val="0A71587A"/>
    <w:rsid w:val="0A716677"/>
    <w:rsid w:val="0A723C4B"/>
    <w:rsid w:val="0A726EFC"/>
    <w:rsid w:val="0A757080"/>
    <w:rsid w:val="0A7F7F97"/>
    <w:rsid w:val="0A806213"/>
    <w:rsid w:val="0A8117D8"/>
    <w:rsid w:val="0A820A57"/>
    <w:rsid w:val="0A8547AD"/>
    <w:rsid w:val="0A856C30"/>
    <w:rsid w:val="0A8772F3"/>
    <w:rsid w:val="0A884C87"/>
    <w:rsid w:val="0A8C3A1B"/>
    <w:rsid w:val="0A8E01DA"/>
    <w:rsid w:val="0A8F5D00"/>
    <w:rsid w:val="0A917CCA"/>
    <w:rsid w:val="0A95254D"/>
    <w:rsid w:val="0A99092D"/>
    <w:rsid w:val="0A9926DB"/>
    <w:rsid w:val="0A9B61A9"/>
    <w:rsid w:val="0A9C1BFA"/>
    <w:rsid w:val="0A9E7CF1"/>
    <w:rsid w:val="0AA55524"/>
    <w:rsid w:val="0AA7129C"/>
    <w:rsid w:val="0AB654F5"/>
    <w:rsid w:val="0ABA0FCF"/>
    <w:rsid w:val="0ABA2D7D"/>
    <w:rsid w:val="0ABA32A4"/>
    <w:rsid w:val="0ABA7B3B"/>
    <w:rsid w:val="0ABE2142"/>
    <w:rsid w:val="0AC012A3"/>
    <w:rsid w:val="0AC510A2"/>
    <w:rsid w:val="0AC63EAB"/>
    <w:rsid w:val="0ACE0286"/>
    <w:rsid w:val="0AD0339C"/>
    <w:rsid w:val="0ADA10BE"/>
    <w:rsid w:val="0ADD081A"/>
    <w:rsid w:val="0AE0655C"/>
    <w:rsid w:val="0AE1122C"/>
    <w:rsid w:val="0AE1296A"/>
    <w:rsid w:val="0AE222D4"/>
    <w:rsid w:val="0AEC1875"/>
    <w:rsid w:val="0AEE0C79"/>
    <w:rsid w:val="0AF02C43"/>
    <w:rsid w:val="0AF0634D"/>
    <w:rsid w:val="0AF53DB5"/>
    <w:rsid w:val="0AF73FD1"/>
    <w:rsid w:val="0AF8770F"/>
    <w:rsid w:val="0AFC1352"/>
    <w:rsid w:val="0AFD0C8E"/>
    <w:rsid w:val="0B0009AC"/>
    <w:rsid w:val="0B042881"/>
    <w:rsid w:val="0B0508D1"/>
    <w:rsid w:val="0B0653DE"/>
    <w:rsid w:val="0B066FA5"/>
    <w:rsid w:val="0B0749AC"/>
    <w:rsid w:val="0B093D05"/>
    <w:rsid w:val="0B1000F2"/>
    <w:rsid w:val="0B100BEF"/>
    <w:rsid w:val="0B1366F3"/>
    <w:rsid w:val="0B1412DE"/>
    <w:rsid w:val="0B16053C"/>
    <w:rsid w:val="0B160EBA"/>
    <w:rsid w:val="0B1A1A6E"/>
    <w:rsid w:val="0B1A381C"/>
    <w:rsid w:val="0B1B7A70"/>
    <w:rsid w:val="0B1D155E"/>
    <w:rsid w:val="0B1F7D68"/>
    <w:rsid w:val="0B23544C"/>
    <w:rsid w:val="0B250AB1"/>
    <w:rsid w:val="0B2800A8"/>
    <w:rsid w:val="0B284469"/>
    <w:rsid w:val="0B2B77D7"/>
    <w:rsid w:val="0B2F2338"/>
    <w:rsid w:val="0B310B66"/>
    <w:rsid w:val="0B3112B7"/>
    <w:rsid w:val="0B3133D7"/>
    <w:rsid w:val="0B317E08"/>
    <w:rsid w:val="0B32314A"/>
    <w:rsid w:val="0B3351D8"/>
    <w:rsid w:val="0B344DE8"/>
    <w:rsid w:val="0B360443"/>
    <w:rsid w:val="0B380146"/>
    <w:rsid w:val="0B3F54E4"/>
    <w:rsid w:val="0B436330"/>
    <w:rsid w:val="0B440899"/>
    <w:rsid w:val="0B444D3D"/>
    <w:rsid w:val="0B4644D6"/>
    <w:rsid w:val="0B48482D"/>
    <w:rsid w:val="0B487B5A"/>
    <w:rsid w:val="0B4936C4"/>
    <w:rsid w:val="0B494101"/>
    <w:rsid w:val="0B4B3EFD"/>
    <w:rsid w:val="0B500941"/>
    <w:rsid w:val="0B550251"/>
    <w:rsid w:val="0B5F1B77"/>
    <w:rsid w:val="0B61144B"/>
    <w:rsid w:val="0B611852"/>
    <w:rsid w:val="0B61763F"/>
    <w:rsid w:val="0B640D2B"/>
    <w:rsid w:val="0B666A61"/>
    <w:rsid w:val="0B6A3512"/>
    <w:rsid w:val="0B6C7DF0"/>
    <w:rsid w:val="0B6D4294"/>
    <w:rsid w:val="0B6F0DB6"/>
    <w:rsid w:val="0B701C5E"/>
    <w:rsid w:val="0B703B78"/>
    <w:rsid w:val="0B703C02"/>
    <w:rsid w:val="0B711972"/>
    <w:rsid w:val="0B7520A7"/>
    <w:rsid w:val="0B7849E6"/>
    <w:rsid w:val="0B811AED"/>
    <w:rsid w:val="0B85559E"/>
    <w:rsid w:val="0B891C87"/>
    <w:rsid w:val="0B892750"/>
    <w:rsid w:val="0B8B296C"/>
    <w:rsid w:val="0B8B7CCB"/>
    <w:rsid w:val="0B8D0492"/>
    <w:rsid w:val="0B9102C0"/>
    <w:rsid w:val="0B9624EA"/>
    <w:rsid w:val="0B966523"/>
    <w:rsid w:val="0B9A6334"/>
    <w:rsid w:val="0B9C1DAC"/>
    <w:rsid w:val="0B9E7886"/>
    <w:rsid w:val="0BA04D77"/>
    <w:rsid w:val="0BA175AA"/>
    <w:rsid w:val="0BA96403"/>
    <w:rsid w:val="0BAA1044"/>
    <w:rsid w:val="0BAB0918"/>
    <w:rsid w:val="0BAC3C0F"/>
    <w:rsid w:val="0BB41CD0"/>
    <w:rsid w:val="0BB630C9"/>
    <w:rsid w:val="0BB73E8E"/>
    <w:rsid w:val="0BBF669C"/>
    <w:rsid w:val="0BC47C2C"/>
    <w:rsid w:val="0BC65752"/>
    <w:rsid w:val="0BC83278"/>
    <w:rsid w:val="0BCC2389"/>
    <w:rsid w:val="0BCD4D32"/>
    <w:rsid w:val="0BD208A4"/>
    <w:rsid w:val="0BD240F7"/>
    <w:rsid w:val="0BD26113"/>
    <w:rsid w:val="0BD40D27"/>
    <w:rsid w:val="0BD44493"/>
    <w:rsid w:val="0BD460C1"/>
    <w:rsid w:val="0BD641F6"/>
    <w:rsid w:val="0BD713B8"/>
    <w:rsid w:val="0BD87A3C"/>
    <w:rsid w:val="0BE0738E"/>
    <w:rsid w:val="0BE107DE"/>
    <w:rsid w:val="0BE45BD8"/>
    <w:rsid w:val="0BE64F96"/>
    <w:rsid w:val="0BEC2B99"/>
    <w:rsid w:val="0BEC77EE"/>
    <w:rsid w:val="0BEF2A51"/>
    <w:rsid w:val="0BF101E6"/>
    <w:rsid w:val="0BF12DF7"/>
    <w:rsid w:val="0BF13228"/>
    <w:rsid w:val="0BF24799"/>
    <w:rsid w:val="0BF30FFB"/>
    <w:rsid w:val="0BF447FF"/>
    <w:rsid w:val="0BFD5B70"/>
    <w:rsid w:val="0C0535F5"/>
    <w:rsid w:val="0C095E76"/>
    <w:rsid w:val="0C0A7063"/>
    <w:rsid w:val="0C0C6D3C"/>
    <w:rsid w:val="0C0D258F"/>
    <w:rsid w:val="0C113DF5"/>
    <w:rsid w:val="0C120997"/>
    <w:rsid w:val="0C124E23"/>
    <w:rsid w:val="0C154014"/>
    <w:rsid w:val="0C1747E3"/>
    <w:rsid w:val="0C176AF6"/>
    <w:rsid w:val="0C177D5B"/>
    <w:rsid w:val="0C197F77"/>
    <w:rsid w:val="0C1B3CF0"/>
    <w:rsid w:val="0C1B451D"/>
    <w:rsid w:val="0C1B5A9E"/>
    <w:rsid w:val="0C1C1F80"/>
    <w:rsid w:val="0C1E733C"/>
    <w:rsid w:val="0C272694"/>
    <w:rsid w:val="0C2974B8"/>
    <w:rsid w:val="0C2A735A"/>
    <w:rsid w:val="0C321039"/>
    <w:rsid w:val="0C34090D"/>
    <w:rsid w:val="0C3506F9"/>
    <w:rsid w:val="0C380E41"/>
    <w:rsid w:val="0C3923C8"/>
    <w:rsid w:val="0C3B2945"/>
    <w:rsid w:val="0C3B6140"/>
    <w:rsid w:val="0C3D1EB8"/>
    <w:rsid w:val="0C3E51B5"/>
    <w:rsid w:val="0C4274CE"/>
    <w:rsid w:val="0C433405"/>
    <w:rsid w:val="0C454B32"/>
    <w:rsid w:val="0C47234A"/>
    <w:rsid w:val="0C4B5487"/>
    <w:rsid w:val="0C4C3EA9"/>
    <w:rsid w:val="0C4C4380"/>
    <w:rsid w:val="0C4D30F2"/>
    <w:rsid w:val="0C4E4D41"/>
    <w:rsid w:val="0C50615C"/>
    <w:rsid w:val="0C513FF3"/>
    <w:rsid w:val="0C5425DE"/>
    <w:rsid w:val="0C57776C"/>
    <w:rsid w:val="0C583D88"/>
    <w:rsid w:val="0C586A60"/>
    <w:rsid w:val="0C5D1BAD"/>
    <w:rsid w:val="0C606CCA"/>
    <w:rsid w:val="0C61547A"/>
    <w:rsid w:val="0C615675"/>
    <w:rsid w:val="0C6311F3"/>
    <w:rsid w:val="0C6805B7"/>
    <w:rsid w:val="0C6C454B"/>
    <w:rsid w:val="0C6F4365"/>
    <w:rsid w:val="0C701C23"/>
    <w:rsid w:val="0C704717"/>
    <w:rsid w:val="0C7078E1"/>
    <w:rsid w:val="0C75623D"/>
    <w:rsid w:val="0C760F26"/>
    <w:rsid w:val="0C775615"/>
    <w:rsid w:val="0C7927C4"/>
    <w:rsid w:val="0C831895"/>
    <w:rsid w:val="0C857F09"/>
    <w:rsid w:val="0C8E2094"/>
    <w:rsid w:val="0C901D25"/>
    <w:rsid w:val="0C945850"/>
    <w:rsid w:val="0C97702A"/>
    <w:rsid w:val="0C992E66"/>
    <w:rsid w:val="0C9B3C30"/>
    <w:rsid w:val="0C9C460A"/>
    <w:rsid w:val="0C9D747A"/>
    <w:rsid w:val="0CA10F35"/>
    <w:rsid w:val="0CA6363B"/>
    <w:rsid w:val="0CAF268A"/>
    <w:rsid w:val="0CAF6729"/>
    <w:rsid w:val="0CAF7FFC"/>
    <w:rsid w:val="0CB07925"/>
    <w:rsid w:val="0CB3217A"/>
    <w:rsid w:val="0CB91AD0"/>
    <w:rsid w:val="0CBA29F7"/>
    <w:rsid w:val="0CBE28CD"/>
    <w:rsid w:val="0CBE467B"/>
    <w:rsid w:val="0CBF0A93"/>
    <w:rsid w:val="0CC132CB"/>
    <w:rsid w:val="0CCA77F0"/>
    <w:rsid w:val="0CCC46E5"/>
    <w:rsid w:val="0CD724B2"/>
    <w:rsid w:val="0CD81BE1"/>
    <w:rsid w:val="0CD90EE9"/>
    <w:rsid w:val="0CDB2461"/>
    <w:rsid w:val="0CE2480D"/>
    <w:rsid w:val="0CE42333"/>
    <w:rsid w:val="0CE540EE"/>
    <w:rsid w:val="0CE700AE"/>
    <w:rsid w:val="0CE958B4"/>
    <w:rsid w:val="0CED22CE"/>
    <w:rsid w:val="0CF06F2A"/>
    <w:rsid w:val="0CF15714"/>
    <w:rsid w:val="0CF205B8"/>
    <w:rsid w:val="0CF22B13"/>
    <w:rsid w:val="0CF25247"/>
    <w:rsid w:val="0CF319D2"/>
    <w:rsid w:val="0CF707BC"/>
    <w:rsid w:val="0CF859E7"/>
    <w:rsid w:val="0CFE2CC9"/>
    <w:rsid w:val="0CFF0F1B"/>
    <w:rsid w:val="0D0121CB"/>
    <w:rsid w:val="0D0522AA"/>
    <w:rsid w:val="0D075AA7"/>
    <w:rsid w:val="0D141031"/>
    <w:rsid w:val="0D1500CF"/>
    <w:rsid w:val="0D173582"/>
    <w:rsid w:val="0D1752EB"/>
    <w:rsid w:val="0D1B50FA"/>
    <w:rsid w:val="0D2070E4"/>
    <w:rsid w:val="0D210E41"/>
    <w:rsid w:val="0D214773"/>
    <w:rsid w:val="0D242020"/>
    <w:rsid w:val="0D272220"/>
    <w:rsid w:val="0D2770C9"/>
    <w:rsid w:val="0D295F98"/>
    <w:rsid w:val="0D2B4B72"/>
    <w:rsid w:val="0D2C3CDA"/>
    <w:rsid w:val="0D2E7A52"/>
    <w:rsid w:val="0D3037CB"/>
    <w:rsid w:val="0D35493D"/>
    <w:rsid w:val="0D3832B6"/>
    <w:rsid w:val="0D38442D"/>
    <w:rsid w:val="0D3F5DE7"/>
    <w:rsid w:val="0D414358"/>
    <w:rsid w:val="0D453BD6"/>
    <w:rsid w:val="0D4903E8"/>
    <w:rsid w:val="0D4B23B2"/>
    <w:rsid w:val="0D553231"/>
    <w:rsid w:val="0D5648B3"/>
    <w:rsid w:val="0D570D57"/>
    <w:rsid w:val="0D576FA9"/>
    <w:rsid w:val="0D5A43A4"/>
    <w:rsid w:val="0D5D6545"/>
    <w:rsid w:val="0D5D774E"/>
    <w:rsid w:val="0D6214AA"/>
    <w:rsid w:val="0D660F9A"/>
    <w:rsid w:val="0D6945E7"/>
    <w:rsid w:val="0D6B65B1"/>
    <w:rsid w:val="0D6C5EE5"/>
    <w:rsid w:val="0D6D52EE"/>
    <w:rsid w:val="0D6E7E4F"/>
    <w:rsid w:val="0D6F3395"/>
    <w:rsid w:val="0D6F6AF0"/>
    <w:rsid w:val="0D740158"/>
    <w:rsid w:val="0D786450"/>
    <w:rsid w:val="0D791B45"/>
    <w:rsid w:val="0D7A1104"/>
    <w:rsid w:val="0D7A67F4"/>
    <w:rsid w:val="0D7C5FA9"/>
    <w:rsid w:val="0D7F205C"/>
    <w:rsid w:val="0D802DE8"/>
    <w:rsid w:val="0D804BE4"/>
    <w:rsid w:val="0D87623D"/>
    <w:rsid w:val="0D883A97"/>
    <w:rsid w:val="0D8A0CD6"/>
    <w:rsid w:val="0D8B151B"/>
    <w:rsid w:val="0D8B6C53"/>
    <w:rsid w:val="0D904677"/>
    <w:rsid w:val="0D9060DD"/>
    <w:rsid w:val="0D9317BE"/>
    <w:rsid w:val="0D9553DC"/>
    <w:rsid w:val="0D966794"/>
    <w:rsid w:val="0D973A63"/>
    <w:rsid w:val="0D9941F9"/>
    <w:rsid w:val="0D9C7D07"/>
    <w:rsid w:val="0D9F625A"/>
    <w:rsid w:val="0DA21337"/>
    <w:rsid w:val="0DA4444E"/>
    <w:rsid w:val="0DA769D6"/>
    <w:rsid w:val="0DA92C0A"/>
    <w:rsid w:val="0DAD0977"/>
    <w:rsid w:val="0DAE6DA5"/>
    <w:rsid w:val="0DAF62E1"/>
    <w:rsid w:val="0DB077E4"/>
    <w:rsid w:val="0DB412B3"/>
    <w:rsid w:val="0DB461AA"/>
    <w:rsid w:val="0DB717F6"/>
    <w:rsid w:val="0DB735A4"/>
    <w:rsid w:val="0DB77A48"/>
    <w:rsid w:val="0DB974B0"/>
    <w:rsid w:val="0DBD44CA"/>
    <w:rsid w:val="0DBE40BA"/>
    <w:rsid w:val="0DC14423"/>
    <w:rsid w:val="0DC254EA"/>
    <w:rsid w:val="0DC3473D"/>
    <w:rsid w:val="0DC363ED"/>
    <w:rsid w:val="0DC45CC1"/>
    <w:rsid w:val="0DC61A39"/>
    <w:rsid w:val="0DC83A03"/>
    <w:rsid w:val="0DCA5C92"/>
    <w:rsid w:val="0DCB34F3"/>
    <w:rsid w:val="0DD26630"/>
    <w:rsid w:val="0DD31932"/>
    <w:rsid w:val="0DD35148"/>
    <w:rsid w:val="0DD369DC"/>
    <w:rsid w:val="0DDA07ED"/>
    <w:rsid w:val="0DDA1988"/>
    <w:rsid w:val="0DDD36DA"/>
    <w:rsid w:val="0DDE3227"/>
    <w:rsid w:val="0DDF2AFB"/>
    <w:rsid w:val="0DE10621"/>
    <w:rsid w:val="0DE620DB"/>
    <w:rsid w:val="0DE93979"/>
    <w:rsid w:val="0DEB5944"/>
    <w:rsid w:val="0DEB76F2"/>
    <w:rsid w:val="0DED3889"/>
    <w:rsid w:val="0DF02F5A"/>
    <w:rsid w:val="0DF06BAE"/>
    <w:rsid w:val="0DF465A6"/>
    <w:rsid w:val="0DF90060"/>
    <w:rsid w:val="0DFA0823"/>
    <w:rsid w:val="0DFB64F3"/>
    <w:rsid w:val="0DFC1FFF"/>
    <w:rsid w:val="0DFE574F"/>
    <w:rsid w:val="0E06410C"/>
    <w:rsid w:val="0E0662D9"/>
    <w:rsid w:val="0E0B1B42"/>
    <w:rsid w:val="0E0C044D"/>
    <w:rsid w:val="0E0E4AD3"/>
    <w:rsid w:val="0E0F33E0"/>
    <w:rsid w:val="0E101D6A"/>
    <w:rsid w:val="0E1567CA"/>
    <w:rsid w:val="0E1E68C5"/>
    <w:rsid w:val="0E246509"/>
    <w:rsid w:val="0E26697C"/>
    <w:rsid w:val="0E2D1AB8"/>
    <w:rsid w:val="0E372937"/>
    <w:rsid w:val="0E395D20"/>
    <w:rsid w:val="0E3966AF"/>
    <w:rsid w:val="0E3D648A"/>
    <w:rsid w:val="0E484B44"/>
    <w:rsid w:val="0E490DAF"/>
    <w:rsid w:val="0E497933"/>
    <w:rsid w:val="0E4B35A4"/>
    <w:rsid w:val="0E50560A"/>
    <w:rsid w:val="0E573BF3"/>
    <w:rsid w:val="0E5928AD"/>
    <w:rsid w:val="0E593927"/>
    <w:rsid w:val="0E5C414B"/>
    <w:rsid w:val="0E5F788B"/>
    <w:rsid w:val="0E601E8E"/>
    <w:rsid w:val="0E605767"/>
    <w:rsid w:val="0E62504B"/>
    <w:rsid w:val="0E6360AE"/>
    <w:rsid w:val="0E671419"/>
    <w:rsid w:val="0E6C7D9F"/>
    <w:rsid w:val="0E727929"/>
    <w:rsid w:val="0E741495"/>
    <w:rsid w:val="0E7B0220"/>
    <w:rsid w:val="0E7F132A"/>
    <w:rsid w:val="0E824BBE"/>
    <w:rsid w:val="0E83792A"/>
    <w:rsid w:val="0E864BBA"/>
    <w:rsid w:val="0E87741A"/>
    <w:rsid w:val="0E8A0CB9"/>
    <w:rsid w:val="0E8B24D0"/>
    <w:rsid w:val="0E8C446E"/>
    <w:rsid w:val="0E8D69FB"/>
    <w:rsid w:val="0E903DF5"/>
    <w:rsid w:val="0E913856"/>
    <w:rsid w:val="0E997646"/>
    <w:rsid w:val="0E9D70C0"/>
    <w:rsid w:val="0E9F3DF8"/>
    <w:rsid w:val="0EA0244A"/>
    <w:rsid w:val="0EA877A3"/>
    <w:rsid w:val="0EAC0C2F"/>
    <w:rsid w:val="0EAC50D3"/>
    <w:rsid w:val="0EAD0CA6"/>
    <w:rsid w:val="0EAD731F"/>
    <w:rsid w:val="0EAE274B"/>
    <w:rsid w:val="0EAF24CD"/>
    <w:rsid w:val="0EAF6844"/>
    <w:rsid w:val="0EB36461"/>
    <w:rsid w:val="0EBB2DAD"/>
    <w:rsid w:val="0EBB3568"/>
    <w:rsid w:val="0EC07C41"/>
    <w:rsid w:val="0EC3241C"/>
    <w:rsid w:val="0EC45B1A"/>
    <w:rsid w:val="0EC817E1"/>
    <w:rsid w:val="0EC822C9"/>
    <w:rsid w:val="0EC85224"/>
    <w:rsid w:val="0ECA4611"/>
    <w:rsid w:val="0ECA4B48"/>
    <w:rsid w:val="0ECB2A61"/>
    <w:rsid w:val="0ECE5763"/>
    <w:rsid w:val="0ED02F14"/>
    <w:rsid w:val="0ED4462A"/>
    <w:rsid w:val="0ED80288"/>
    <w:rsid w:val="0EDB32C2"/>
    <w:rsid w:val="0EDC162F"/>
    <w:rsid w:val="0EDD34DE"/>
    <w:rsid w:val="0EDD528C"/>
    <w:rsid w:val="0EE0705A"/>
    <w:rsid w:val="0EE27C4B"/>
    <w:rsid w:val="0EE52393"/>
    <w:rsid w:val="0EE86C1C"/>
    <w:rsid w:val="0EE946B6"/>
    <w:rsid w:val="0EEB74B8"/>
    <w:rsid w:val="0EEC54CF"/>
    <w:rsid w:val="0EF63DBF"/>
    <w:rsid w:val="0EF80C90"/>
    <w:rsid w:val="0EF96B51"/>
    <w:rsid w:val="0EFA2346"/>
    <w:rsid w:val="0EFB1BB6"/>
    <w:rsid w:val="0EFC4554"/>
    <w:rsid w:val="0EFE2DC1"/>
    <w:rsid w:val="0F0376B4"/>
    <w:rsid w:val="0F066A07"/>
    <w:rsid w:val="0F087E2F"/>
    <w:rsid w:val="0F0A3BA7"/>
    <w:rsid w:val="0F12144F"/>
    <w:rsid w:val="0F17581B"/>
    <w:rsid w:val="0F213C2C"/>
    <w:rsid w:val="0F21415D"/>
    <w:rsid w:val="0F274759"/>
    <w:rsid w:val="0F2904D1"/>
    <w:rsid w:val="0F2A1C61"/>
    <w:rsid w:val="0F2A52CA"/>
    <w:rsid w:val="0F2A5FF8"/>
    <w:rsid w:val="0F2C69E9"/>
    <w:rsid w:val="0F2D6E8A"/>
    <w:rsid w:val="0F306C20"/>
    <w:rsid w:val="0F334030"/>
    <w:rsid w:val="0F3375A2"/>
    <w:rsid w:val="0F352EF7"/>
    <w:rsid w:val="0F364782"/>
    <w:rsid w:val="0F3A0931"/>
    <w:rsid w:val="0F3B0205"/>
    <w:rsid w:val="0F451083"/>
    <w:rsid w:val="0F467583"/>
    <w:rsid w:val="0F473373"/>
    <w:rsid w:val="0F482F54"/>
    <w:rsid w:val="0F485BC2"/>
    <w:rsid w:val="0F4C0664"/>
    <w:rsid w:val="0F4C6A04"/>
    <w:rsid w:val="0F5340F4"/>
    <w:rsid w:val="0F53554E"/>
    <w:rsid w:val="0F56503F"/>
    <w:rsid w:val="0F58671C"/>
    <w:rsid w:val="0F5965E2"/>
    <w:rsid w:val="0F5E4E75"/>
    <w:rsid w:val="0F627C5C"/>
    <w:rsid w:val="0F640D73"/>
    <w:rsid w:val="0F6442B3"/>
    <w:rsid w:val="0F666574"/>
    <w:rsid w:val="0F6A70A4"/>
    <w:rsid w:val="0F6C4862"/>
    <w:rsid w:val="0F6E00F9"/>
    <w:rsid w:val="0F7368A8"/>
    <w:rsid w:val="0F7442D0"/>
    <w:rsid w:val="0F751969"/>
    <w:rsid w:val="0F7C190B"/>
    <w:rsid w:val="0F7C3C77"/>
    <w:rsid w:val="0F7F00F1"/>
    <w:rsid w:val="0F80752D"/>
    <w:rsid w:val="0F81239C"/>
    <w:rsid w:val="0F8266D9"/>
    <w:rsid w:val="0F84073C"/>
    <w:rsid w:val="0F8751F8"/>
    <w:rsid w:val="0F8E2A2A"/>
    <w:rsid w:val="0F8E47D8"/>
    <w:rsid w:val="0F8E6586"/>
    <w:rsid w:val="0F8F5FCB"/>
    <w:rsid w:val="0F917E25"/>
    <w:rsid w:val="0F932BA2"/>
    <w:rsid w:val="0F9477AA"/>
    <w:rsid w:val="0F955B67"/>
    <w:rsid w:val="0F965C50"/>
    <w:rsid w:val="0F9A4F2B"/>
    <w:rsid w:val="0F9C3B82"/>
    <w:rsid w:val="0F9E6A44"/>
    <w:rsid w:val="0FA2213C"/>
    <w:rsid w:val="0FA405E3"/>
    <w:rsid w:val="0FA47770"/>
    <w:rsid w:val="0FA57836"/>
    <w:rsid w:val="0FA57C09"/>
    <w:rsid w:val="0FA61182"/>
    <w:rsid w:val="0FA61B22"/>
    <w:rsid w:val="0FAA3E38"/>
    <w:rsid w:val="0FB12275"/>
    <w:rsid w:val="0FBA55CD"/>
    <w:rsid w:val="0FBB0A77"/>
    <w:rsid w:val="0FBC0859"/>
    <w:rsid w:val="0FBC7598"/>
    <w:rsid w:val="0FBD6E6C"/>
    <w:rsid w:val="0FBF2100"/>
    <w:rsid w:val="0FC55D71"/>
    <w:rsid w:val="0FC71A98"/>
    <w:rsid w:val="0FCB1589"/>
    <w:rsid w:val="0FCD50F7"/>
    <w:rsid w:val="0FD04D59"/>
    <w:rsid w:val="0FD16A4E"/>
    <w:rsid w:val="0FD2175C"/>
    <w:rsid w:val="0FD31F02"/>
    <w:rsid w:val="0FD52BDC"/>
    <w:rsid w:val="0FD82B8D"/>
    <w:rsid w:val="0FDA7A1E"/>
    <w:rsid w:val="0FDC02B9"/>
    <w:rsid w:val="0FDC5873"/>
    <w:rsid w:val="0FDD2A1C"/>
    <w:rsid w:val="0FDD306A"/>
    <w:rsid w:val="0FE16044"/>
    <w:rsid w:val="0FE22363"/>
    <w:rsid w:val="0FE33D0C"/>
    <w:rsid w:val="0FE53229"/>
    <w:rsid w:val="0FE67B78"/>
    <w:rsid w:val="0FF01672"/>
    <w:rsid w:val="0FF67F08"/>
    <w:rsid w:val="0FF97CCE"/>
    <w:rsid w:val="0FF97D9D"/>
    <w:rsid w:val="0FFE2582"/>
    <w:rsid w:val="10014FAA"/>
    <w:rsid w:val="1009310A"/>
    <w:rsid w:val="100E76C7"/>
    <w:rsid w:val="10100391"/>
    <w:rsid w:val="10142F30"/>
    <w:rsid w:val="10150A56"/>
    <w:rsid w:val="101528F4"/>
    <w:rsid w:val="101747CE"/>
    <w:rsid w:val="101957F6"/>
    <w:rsid w:val="101A678E"/>
    <w:rsid w:val="101E510B"/>
    <w:rsid w:val="10204EFF"/>
    <w:rsid w:val="102173FB"/>
    <w:rsid w:val="10260EB5"/>
    <w:rsid w:val="102874AB"/>
    <w:rsid w:val="10294501"/>
    <w:rsid w:val="102A27C9"/>
    <w:rsid w:val="102B2256"/>
    <w:rsid w:val="102B775E"/>
    <w:rsid w:val="10323598"/>
    <w:rsid w:val="1038246B"/>
    <w:rsid w:val="10392996"/>
    <w:rsid w:val="10394744"/>
    <w:rsid w:val="103A670E"/>
    <w:rsid w:val="103B2A40"/>
    <w:rsid w:val="10427692"/>
    <w:rsid w:val="10447CF8"/>
    <w:rsid w:val="104A3256"/>
    <w:rsid w:val="104A4BA3"/>
    <w:rsid w:val="104E5D16"/>
    <w:rsid w:val="10525806"/>
    <w:rsid w:val="10562A83"/>
    <w:rsid w:val="10563D26"/>
    <w:rsid w:val="105A6708"/>
    <w:rsid w:val="105B0B5E"/>
    <w:rsid w:val="1060759B"/>
    <w:rsid w:val="10615A49"/>
    <w:rsid w:val="106519DD"/>
    <w:rsid w:val="106B68C8"/>
    <w:rsid w:val="106D2B6E"/>
    <w:rsid w:val="106F0166"/>
    <w:rsid w:val="107400BB"/>
    <w:rsid w:val="10742F9C"/>
    <w:rsid w:val="10831E63"/>
    <w:rsid w:val="10855BDB"/>
    <w:rsid w:val="108871F8"/>
    <w:rsid w:val="10897D96"/>
    <w:rsid w:val="108B64E3"/>
    <w:rsid w:val="108F4B64"/>
    <w:rsid w:val="108F6A5A"/>
    <w:rsid w:val="10936117"/>
    <w:rsid w:val="10943002"/>
    <w:rsid w:val="109531FC"/>
    <w:rsid w:val="10953945"/>
    <w:rsid w:val="1095641A"/>
    <w:rsid w:val="10993885"/>
    <w:rsid w:val="109C2F25"/>
    <w:rsid w:val="109F6B16"/>
    <w:rsid w:val="10A03AEF"/>
    <w:rsid w:val="10A51DDA"/>
    <w:rsid w:val="10A707D2"/>
    <w:rsid w:val="10AA21DC"/>
    <w:rsid w:val="10AC19A7"/>
    <w:rsid w:val="10B22749"/>
    <w:rsid w:val="10B822C3"/>
    <w:rsid w:val="10B84D24"/>
    <w:rsid w:val="10B976CD"/>
    <w:rsid w:val="10BC6CAD"/>
    <w:rsid w:val="10C15A65"/>
    <w:rsid w:val="10C2668E"/>
    <w:rsid w:val="10C64683"/>
    <w:rsid w:val="10C94ACA"/>
    <w:rsid w:val="10CC3087"/>
    <w:rsid w:val="10CD61F7"/>
    <w:rsid w:val="10CF32FA"/>
    <w:rsid w:val="10CF50A9"/>
    <w:rsid w:val="10D3115B"/>
    <w:rsid w:val="10D316F3"/>
    <w:rsid w:val="10D34B99"/>
    <w:rsid w:val="10D4204A"/>
    <w:rsid w:val="10D46C30"/>
    <w:rsid w:val="10D64689"/>
    <w:rsid w:val="10D75D0B"/>
    <w:rsid w:val="10D95F27"/>
    <w:rsid w:val="10DA2E7C"/>
    <w:rsid w:val="10DB3A4D"/>
    <w:rsid w:val="10DD53D1"/>
    <w:rsid w:val="10DD77C5"/>
    <w:rsid w:val="10E96ABA"/>
    <w:rsid w:val="10F15E25"/>
    <w:rsid w:val="10F16DCD"/>
    <w:rsid w:val="10F87F3B"/>
    <w:rsid w:val="10FA5D19"/>
    <w:rsid w:val="10FC23FC"/>
    <w:rsid w:val="10FC434A"/>
    <w:rsid w:val="10FC5772"/>
    <w:rsid w:val="1102390F"/>
    <w:rsid w:val="11025D25"/>
    <w:rsid w:val="11032FA4"/>
    <w:rsid w:val="11040436"/>
    <w:rsid w:val="11043FBA"/>
    <w:rsid w:val="11074842"/>
    <w:rsid w:val="110E3732"/>
    <w:rsid w:val="11104F59"/>
    <w:rsid w:val="11124F95"/>
    <w:rsid w:val="11151AAF"/>
    <w:rsid w:val="111520AA"/>
    <w:rsid w:val="1115264F"/>
    <w:rsid w:val="11162CD7"/>
    <w:rsid w:val="11166833"/>
    <w:rsid w:val="1126226E"/>
    <w:rsid w:val="11274EE5"/>
    <w:rsid w:val="112B2128"/>
    <w:rsid w:val="11302747"/>
    <w:rsid w:val="113373E5"/>
    <w:rsid w:val="11351AFD"/>
    <w:rsid w:val="113639DF"/>
    <w:rsid w:val="11380EA0"/>
    <w:rsid w:val="113D185A"/>
    <w:rsid w:val="11403E37"/>
    <w:rsid w:val="114127B4"/>
    <w:rsid w:val="11450CA3"/>
    <w:rsid w:val="11452442"/>
    <w:rsid w:val="11472E91"/>
    <w:rsid w:val="11493B84"/>
    <w:rsid w:val="114A2981"/>
    <w:rsid w:val="114A32C1"/>
    <w:rsid w:val="114A3997"/>
    <w:rsid w:val="114C73CD"/>
    <w:rsid w:val="114D2FE9"/>
    <w:rsid w:val="11535CDA"/>
    <w:rsid w:val="11611AC6"/>
    <w:rsid w:val="11621A79"/>
    <w:rsid w:val="11664487"/>
    <w:rsid w:val="11677F10"/>
    <w:rsid w:val="116972AB"/>
    <w:rsid w:val="116A41D2"/>
    <w:rsid w:val="116B32AF"/>
    <w:rsid w:val="116F4139"/>
    <w:rsid w:val="11742234"/>
    <w:rsid w:val="11755C50"/>
    <w:rsid w:val="11760116"/>
    <w:rsid w:val="117F6ACF"/>
    <w:rsid w:val="118063A3"/>
    <w:rsid w:val="11813E2C"/>
    <w:rsid w:val="11875983"/>
    <w:rsid w:val="118916FB"/>
    <w:rsid w:val="118E3067"/>
    <w:rsid w:val="119046DF"/>
    <w:rsid w:val="11916282"/>
    <w:rsid w:val="119360D6"/>
    <w:rsid w:val="11965762"/>
    <w:rsid w:val="119B136A"/>
    <w:rsid w:val="119E3EEC"/>
    <w:rsid w:val="119F3152"/>
    <w:rsid w:val="11A01D14"/>
    <w:rsid w:val="11A35E37"/>
    <w:rsid w:val="11AB305F"/>
    <w:rsid w:val="11AD6755"/>
    <w:rsid w:val="11B04EDA"/>
    <w:rsid w:val="11B10BF0"/>
    <w:rsid w:val="11B36778"/>
    <w:rsid w:val="11B429A9"/>
    <w:rsid w:val="11B60016"/>
    <w:rsid w:val="11C42733"/>
    <w:rsid w:val="11C6025A"/>
    <w:rsid w:val="11C64F77"/>
    <w:rsid w:val="11C95F9C"/>
    <w:rsid w:val="11C96CDB"/>
    <w:rsid w:val="11CA3C1A"/>
    <w:rsid w:val="11CC0BDA"/>
    <w:rsid w:val="11CF0E46"/>
    <w:rsid w:val="11D54941"/>
    <w:rsid w:val="11D8296A"/>
    <w:rsid w:val="11D861DF"/>
    <w:rsid w:val="11D87F8D"/>
    <w:rsid w:val="11DA3D05"/>
    <w:rsid w:val="11DA543C"/>
    <w:rsid w:val="11DC5CCF"/>
    <w:rsid w:val="11DF131B"/>
    <w:rsid w:val="11E608FC"/>
    <w:rsid w:val="11E76422"/>
    <w:rsid w:val="11E86C12"/>
    <w:rsid w:val="11EA5308"/>
    <w:rsid w:val="11EE3E41"/>
    <w:rsid w:val="11F27423"/>
    <w:rsid w:val="11F320DD"/>
    <w:rsid w:val="11F42AB7"/>
    <w:rsid w:val="11F612D3"/>
    <w:rsid w:val="1202325C"/>
    <w:rsid w:val="120268D5"/>
    <w:rsid w:val="12041DE8"/>
    <w:rsid w:val="12042B30"/>
    <w:rsid w:val="12046F80"/>
    <w:rsid w:val="1206262D"/>
    <w:rsid w:val="120627E3"/>
    <w:rsid w:val="12071515"/>
    <w:rsid w:val="120D5E88"/>
    <w:rsid w:val="120E1C01"/>
    <w:rsid w:val="12121331"/>
    <w:rsid w:val="12130FC5"/>
    <w:rsid w:val="121511E1"/>
    <w:rsid w:val="121A6D18"/>
    <w:rsid w:val="121F04D7"/>
    <w:rsid w:val="121F5BBC"/>
    <w:rsid w:val="12260CF8"/>
    <w:rsid w:val="1226519C"/>
    <w:rsid w:val="1227409C"/>
    <w:rsid w:val="122B037F"/>
    <w:rsid w:val="122D2087"/>
    <w:rsid w:val="122D652B"/>
    <w:rsid w:val="12371157"/>
    <w:rsid w:val="12372F05"/>
    <w:rsid w:val="123C49C0"/>
    <w:rsid w:val="123E1747"/>
    <w:rsid w:val="123E3CEF"/>
    <w:rsid w:val="123F000C"/>
    <w:rsid w:val="123F1DBA"/>
    <w:rsid w:val="123F4FE3"/>
    <w:rsid w:val="12443874"/>
    <w:rsid w:val="12445622"/>
    <w:rsid w:val="12463741"/>
    <w:rsid w:val="12464A11"/>
    <w:rsid w:val="1247556E"/>
    <w:rsid w:val="124D0AE6"/>
    <w:rsid w:val="124D2729"/>
    <w:rsid w:val="1250094E"/>
    <w:rsid w:val="12514532"/>
    <w:rsid w:val="12535865"/>
    <w:rsid w:val="125A2296"/>
    <w:rsid w:val="125E00D9"/>
    <w:rsid w:val="12617F82"/>
    <w:rsid w:val="1262695E"/>
    <w:rsid w:val="126314FB"/>
    <w:rsid w:val="12652B38"/>
    <w:rsid w:val="126C05B9"/>
    <w:rsid w:val="126F53B1"/>
    <w:rsid w:val="126F595C"/>
    <w:rsid w:val="12751C80"/>
    <w:rsid w:val="127631F4"/>
    <w:rsid w:val="127B49BD"/>
    <w:rsid w:val="127C300E"/>
    <w:rsid w:val="127D2AC2"/>
    <w:rsid w:val="128003B3"/>
    <w:rsid w:val="12814D6D"/>
    <w:rsid w:val="128232DB"/>
    <w:rsid w:val="12865C3B"/>
    <w:rsid w:val="12876E26"/>
    <w:rsid w:val="128B3251"/>
    <w:rsid w:val="128D09BE"/>
    <w:rsid w:val="128E09D9"/>
    <w:rsid w:val="128F5BE1"/>
    <w:rsid w:val="128F7D72"/>
    <w:rsid w:val="129025AB"/>
    <w:rsid w:val="12922832"/>
    <w:rsid w:val="1293587A"/>
    <w:rsid w:val="129C38DD"/>
    <w:rsid w:val="129C43E7"/>
    <w:rsid w:val="129F0AAB"/>
    <w:rsid w:val="129F4E02"/>
    <w:rsid w:val="12A15B76"/>
    <w:rsid w:val="12A3059B"/>
    <w:rsid w:val="12A52565"/>
    <w:rsid w:val="12A6008B"/>
    <w:rsid w:val="12A61E39"/>
    <w:rsid w:val="12A644BF"/>
    <w:rsid w:val="12A83E03"/>
    <w:rsid w:val="12AA36D7"/>
    <w:rsid w:val="12AE1FE2"/>
    <w:rsid w:val="12AF0CEE"/>
    <w:rsid w:val="12AF0D0F"/>
    <w:rsid w:val="12B0361D"/>
    <w:rsid w:val="12B15EBF"/>
    <w:rsid w:val="12B37438"/>
    <w:rsid w:val="12B47007"/>
    <w:rsid w:val="12B502CE"/>
    <w:rsid w:val="12B613DB"/>
    <w:rsid w:val="12B952A8"/>
    <w:rsid w:val="12BE53D5"/>
    <w:rsid w:val="12C0114D"/>
    <w:rsid w:val="12C041FA"/>
    <w:rsid w:val="12C335B9"/>
    <w:rsid w:val="12C47AD5"/>
    <w:rsid w:val="12C75BDB"/>
    <w:rsid w:val="12C81DAF"/>
    <w:rsid w:val="12CA3D79"/>
    <w:rsid w:val="12CC24E0"/>
    <w:rsid w:val="12CD386A"/>
    <w:rsid w:val="12CE31AB"/>
    <w:rsid w:val="12CE3D74"/>
    <w:rsid w:val="12CF1390"/>
    <w:rsid w:val="12D138EB"/>
    <w:rsid w:val="12D21D4A"/>
    <w:rsid w:val="12D2305F"/>
    <w:rsid w:val="12D743B4"/>
    <w:rsid w:val="12D90460"/>
    <w:rsid w:val="12DA0557"/>
    <w:rsid w:val="12DB4D5B"/>
    <w:rsid w:val="12DC585B"/>
    <w:rsid w:val="12DF53B9"/>
    <w:rsid w:val="12E0359D"/>
    <w:rsid w:val="12E23CE3"/>
    <w:rsid w:val="12E41216"/>
    <w:rsid w:val="12E624A0"/>
    <w:rsid w:val="12EB3CF0"/>
    <w:rsid w:val="12EE0A5B"/>
    <w:rsid w:val="12F25FF2"/>
    <w:rsid w:val="12F26E2C"/>
    <w:rsid w:val="12F928B1"/>
    <w:rsid w:val="12F96745"/>
    <w:rsid w:val="12FA35D5"/>
    <w:rsid w:val="12FB05D5"/>
    <w:rsid w:val="12FB729D"/>
    <w:rsid w:val="12FC5EFD"/>
    <w:rsid w:val="12FC7DE9"/>
    <w:rsid w:val="12FD2641"/>
    <w:rsid w:val="130152C1"/>
    <w:rsid w:val="130703AF"/>
    <w:rsid w:val="13070B2A"/>
    <w:rsid w:val="13077C3F"/>
    <w:rsid w:val="130F3EB7"/>
    <w:rsid w:val="131267C2"/>
    <w:rsid w:val="13144FF5"/>
    <w:rsid w:val="13166FBF"/>
    <w:rsid w:val="13177308"/>
    <w:rsid w:val="131D034D"/>
    <w:rsid w:val="131E2317"/>
    <w:rsid w:val="131F340C"/>
    <w:rsid w:val="132316DC"/>
    <w:rsid w:val="1324025B"/>
    <w:rsid w:val="1324095D"/>
    <w:rsid w:val="13272006"/>
    <w:rsid w:val="13274D28"/>
    <w:rsid w:val="13285B03"/>
    <w:rsid w:val="132A7D5E"/>
    <w:rsid w:val="133726DD"/>
    <w:rsid w:val="133D71ED"/>
    <w:rsid w:val="134062C8"/>
    <w:rsid w:val="13410312"/>
    <w:rsid w:val="13415265"/>
    <w:rsid w:val="13433B2C"/>
    <w:rsid w:val="13482A06"/>
    <w:rsid w:val="134A310C"/>
    <w:rsid w:val="134E247F"/>
    <w:rsid w:val="134F26D8"/>
    <w:rsid w:val="135273DA"/>
    <w:rsid w:val="13535591"/>
    <w:rsid w:val="13547AE7"/>
    <w:rsid w:val="13560308"/>
    <w:rsid w:val="1356699B"/>
    <w:rsid w:val="13567656"/>
    <w:rsid w:val="135C7229"/>
    <w:rsid w:val="135F0966"/>
    <w:rsid w:val="136114F2"/>
    <w:rsid w:val="1361259D"/>
    <w:rsid w:val="1362032F"/>
    <w:rsid w:val="136341B2"/>
    <w:rsid w:val="13640F25"/>
    <w:rsid w:val="13651CF4"/>
    <w:rsid w:val="136844F9"/>
    <w:rsid w:val="13693E46"/>
    <w:rsid w:val="136A14B7"/>
    <w:rsid w:val="136B15CD"/>
    <w:rsid w:val="136B6FEA"/>
    <w:rsid w:val="136C3083"/>
    <w:rsid w:val="136F2D49"/>
    <w:rsid w:val="136F66CF"/>
    <w:rsid w:val="137006A5"/>
    <w:rsid w:val="13702B73"/>
    <w:rsid w:val="137361BF"/>
    <w:rsid w:val="137659F7"/>
    <w:rsid w:val="137912FC"/>
    <w:rsid w:val="137E4DB5"/>
    <w:rsid w:val="1381624B"/>
    <w:rsid w:val="13845E3D"/>
    <w:rsid w:val="13854144"/>
    <w:rsid w:val="138827C6"/>
    <w:rsid w:val="138875C6"/>
    <w:rsid w:val="138A3509"/>
    <w:rsid w:val="138E06DF"/>
    <w:rsid w:val="138F28CD"/>
    <w:rsid w:val="13914897"/>
    <w:rsid w:val="13922B74"/>
    <w:rsid w:val="13923F34"/>
    <w:rsid w:val="13943BD4"/>
    <w:rsid w:val="13953878"/>
    <w:rsid w:val="139A163B"/>
    <w:rsid w:val="139B53E8"/>
    <w:rsid w:val="13A7230D"/>
    <w:rsid w:val="13AA6294"/>
    <w:rsid w:val="13AE369B"/>
    <w:rsid w:val="13AF1EB7"/>
    <w:rsid w:val="13B57F29"/>
    <w:rsid w:val="13B7723C"/>
    <w:rsid w:val="13B81E24"/>
    <w:rsid w:val="13BA0C00"/>
    <w:rsid w:val="13BA5B9C"/>
    <w:rsid w:val="13BD46AB"/>
    <w:rsid w:val="13BD568C"/>
    <w:rsid w:val="13BF1404"/>
    <w:rsid w:val="13BF213C"/>
    <w:rsid w:val="13C00213"/>
    <w:rsid w:val="13C133CE"/>
    <w:rsid w:val="13C14884"/>
    <w:rsid w:val="13C62793"/>
    <w:rsid w:val="13C724CC"/>
    <w:rsid w:val="13C7475D"/>
    <w:rsid w:val="13C83749"/>
    <w:rsid w:val="13C94272"/>
    <w:rsid w:val="13CA1BEF"/>
    <w:rsid w:val="13CC1AB8"/>
    <w:rsid w:val="13CF1575"/>
    <w:rsid w:val="13CF7BF6"/>
    <w:rsid w:val="13D03443"/>
    <w:rsid w:val="13D359C8"/>
    <w:rsid w:val="13DA041B"/>
    <w:rsid w:val="13DA7FEC"/>
    <w:rsid w:val="13DB3D64"/>
    <w:rsid w:val="13E0137B"/>
    <w:rsid w:val="13E50398"/>
    <w:rsid w:val="13E54E3C"/>
    <w:rsid w:val="13E7095B"/>
    <w:rsid w:val="13EC377E"/>
    <w:rsid w:val="13F17980"/>
    <w:rsid w:val="13F44627"/>
    <w:rsid w:val="13F50AFB"/>
    <w:rsid w:val="13F518D2"/>
    <w:rsid w:val="13F75067"/>
    <w:rsid w:val="13F866C4"/>
    <w:rsid w:val="13FB39E8"/>
    <w:rsid w:val="13FF7A53"/>
    <w:rsid w:val="14047949"/>
    <w:rsid w:val="14060DE1"/>
    <w:rsid w:val="14076B3D"/>
    <w:rsid w:val="140B4512"/>
    <w:rsid w:val="140B4717"/>
    <w:rsid w:val="14132AA1"/>
    <w:rsid w:val="141416C6"/>
    <w:rsid w:val="141A74A2"/>
    <w:rsid w:val="141B482A"/>
    <w:rsid w:val="141C266F"/>
    <w:rsid w:val="141C6857"/>
    <w:rsid w:val="141D25CF"/>
    <w:rsid w:val="141D4035"/>
    <w:rsid w:val="14207DE1"/>
    <w:rsid w:val="14221D1C"/>
    <w:rsid w:val="142676D5"/>
    <w:rsid w:val="14276FAA"/>
    <w:rsid w:val="142C1376"/>
    <w:rsid w:val="143334E8"/>
    <w:rsid w:val="14347816"/>
    <w:rsid w:val="14356179"/>
    <w:rsid w:val="14372D1E"/>
    <w:rsid w:val="143959F5"/>
    <w:rsid w:val="14396C44"/>
    <w:rsid w:val="143C409B"/>
    <w:rsid w:val="14401E8B"/>
    <w:rsid w:val="14431F18"/>
    <w:rsid w:val="14446C6F"/>
    <w:rsid w:val="14457DE1"/>
    <w:rsid w:val="144B2C49"/>
    <w:rsid w:val="145342D3"/>
    <w:rsid w:val="14544BCB"/>
    <w:rsid w:val="145600D9"/>
    <w:rsid w:val="145A2571"/>
    <w:rsid w:val="145A737F"/>
    <w:rsid w:val="145B1EA0"/>
    <w:rsid w:val="145B7C5C"/>
    <w:rsid w:val="145D16EA"/>
    <w:rsid w:val="145D2BEE"/>
    <w:rsid w:val="14603804"/>
    <w:rsid w:val="14607961"/>
    <w:rsid w:val="14681A9C"/>
    <w:rsid w:val="146975C2"/>
    <w:rsid w:val="146F2E2A"/>
    <w:rsid w:val="146F4FD0"/>
    <w:rsid w:val="14773A8D"/>
    <w:rsid w:val="147A17CF"/>
    <w:rsid w:val="148368D6"/>
    <w:rsid w:val="14891DA1"/>
    <w:rsid w:val="148A7812"/>
    <w:rsid w:val="148C5212"/>
    <w:rsid w:val="148F527B"/>
    <w:rsid w:val="14902DA1"/>
    <w:rsid w:val="14927E49"/>
    <w:rsid w:val="14943E0F"/>
    <w:rsid w:val="149503B7"/>
    <w:rsid w:val="14965C48"/>
    <w:rsid w:val="14971B67"/>
    <w:rsid w:val="149A3FDA"/>
    <w:rsid w:val="149E3173"/>
    <w:rsid w:val="149E563F"/>
    <w:rsid w:val="149F5EBF"/>
    <w:rsid w:val="14A31264"/>
    <w:rsid w:val="14A44207"/>
    <w:rsid w:val="14A61BAE"/>
    <w:rsid w:val="14A979BF"/>
    <w:rsid w:val="14AD5701"/>
    <w:rsid w:val="14B1092D"/>
    <w:rsid w:val="14B27E01"/>
    <w:rsid w:val="14B64F9E"/>
    <w:rsid w:val="14BC76F2"/>
    <w:rsid w:val="14BE7911"/>
    <w:rsid w:val="14BF1119"/>
    <w:rsid w:val="14BF1878"/>
    <w:rsid w:val="14BF5434"/>
    <w:rsid w:val="14C105F2"/>
    <w:rsid w:val="14C12F5A"/>
    <w:rsid w:val="14C61FB9"/>
    <w:rsid w:val="14C64794"/>
    <w:rsid w:val="14CB229C"/>
    <w:rsid w:val="14CB3DD9"/>
    <w:rsid w:val="14CE0DA6"/>
    <w:rsid w:val="14CE1A25"/>
    <w:rsid w:val="14CE3BF6"/>
    <w:rsid w:val="14CE6210"/>
    <w:rsid w:val="14D02F00"/>
    <w:rsid w:val="14D0544D"/>
    <w:rsid w:val="14D507B4"/>
    <w:rsid w:val="14DC716F"/>
    <w:rsid w:val="14E87D49"/>
    <w:rsid w:val="14EF0F4F"/>
    <w:rsid w:val="14EF7AC7"/>
    <w:rsid w:val="14F55A68"/>
    <w:rsid w:val="14F96B98"/>
    <w:rsid w:val="14FC0436"/>
    <w:rsid w:val="14FC1ED6"/>
    <w:rsid w:val="14FE77F3"/>
    <w:rsid w:val="15023C9F"/>
    <w:rsid w:val="15036493"/>
    <w:rsid w:val="150A0BD1"/>
    <w:rsid w:val="150D43F1"/>
    <w:rsid w:val="150F0169"/>
    <w:rsid w:val="1517045B"/>
    <w:rsid w:val="15171E3E"/>
    <w:rsid w:val="15177DF7"/>
    <w:rsid w:val="151928D9"/>
    <w:rsid w:val="151E03AD"/>
    <w:rsid w:val="151E3EEE"/>
    <w:rsid w:val="151E4B84"/>
    <w:rsid w:val="15204125"/>
    <w:rsid w:val="15214C50"/>
    <w:rsid w:val="15237771"/>
    <w:rsid w:val="1525173B"/>
    <w:rsid w:val="152A7A45"/>
    <w:rsid w:val="152C0D1B"/>
    <w:rsid w:val="152D6842"/>
    <w:rsid w:val="152F3C74"/>
    <w:rsid w:val="15325C06"/>
    <w:rsid w:val="15363948"/>
    <w:rsid w:val="1537141C"/>
    <w:rsid w:val="1543232E"/>
    <w:rsid w:val="154345CB"/>
    <w:rsid w:val="154459C2"/>
    <w:rsid w:val="15475B55"/>
    <w:rsid w:val="15496C87"/>
    <w:rsid w:val="154A1021"/>
    <w:rsid w:val="154A73F4"/>
    <w:rsid w:val="154F681E"/>
    <w:rsid w:val="1550521B"/>
    <w:rsid w:val="15514D65"/>
    <w:rsid w:val="1554562E"/>
    <w:rsid w:val="15545B7C"/>
    <w:rsid w:val="155572BB"/>
    <w:rsid w:val="155913E5"/>
    <w:rsid w:val="15593193"/>
    <w:rsid w:val="155B4CE9"/>
    <w:rsid w:val="155D71B2"/>
    <w:rsid w:val="155E2E9F"/>
    <w:rsid w:val="155E4C4D"/>
    <w:rsid w:val="155F086C"/>
    <w:rsid w:val="155F6B7B"/>
    <w:rsid w:val="1560113A"/>
    <w:rsid w:val="156764AC"/>
    <w:rsid w:val="15686FB2"/>
    <w:rsid w:val="156E4AA7"/>
    <w:rsid w:val="15704562"/>
    <w:rsid w:val="15714980"/>
    <w:rsid w:val="15756CEB"/>
    <w:rsid w:val="157601E9"/>
    <w:rsid w:val="15783F61"/>
    <w:rsid w:val="15785D0F"/>
    <w:rsid w:val="157B57FF"/>
    <w:rsid w:val="157D4BDF"/>
    <w:rsid w:val="157E2109"/>
    <w:rsid w:val="1585042C"/>
    <w:rsid w:val="158521DA"/>
    <w:rsid w:val="15880B26"/>
    <w:rsid w:val="15894AAD"/>
    <w:rsid w:val="15895853"/>
    <w:rsid w:val="15897F1C"/>
    <w:rsid w:val="158C5316"/>
    <w:rsid w:val="158D108E"/>
    <w:rsid w:val="158F12AA"/>
    <w:rsid w:val="159352D7"/>
    <w:rsid w:val="1594241D"/>
    <w:rsid w:val="15945CB1"/>
    <w:rsid w:val="159C19AB"/>
    <w:rsid w:val="159C20FF"/>
    <w:rsid w:val="159D34E4"/>
    <w:rsid w:val="159D7523"/>
    <w:rsid w:val="159E329B"/>
    <w:rsid w:val="159F7D40"/>
    <w:rsid w:val="15A0417C"/>
    <w:rsid w:val="15A174C1"/>
    <w:rsid w:val="15A308B2"/>
    <w:rsid w:val="15A47948"/>
    <w:rsid w:val="15A65896"/>
    <w:rsid w:val="15AE1730"/>
    <w:rsid w:val="15B0615B"/>
    <w:rsid w:val="15B11221"/>
    <w:rsid w:val="15C14B3B"/>
    <w:rsid w:val="15C323DB"/>
    <w:rsid w:val="15C5422D"/>
    <w:rsid w:val="15C612D3"/>
    <w:rsid w:val="15C745A0"/>
    <w:rsid w:val="15C83E5A"/>
    <w:rsid w:val="15CD20F8"/>
    <w:rsid w:val="15CE1DD3"/>
    <w:rsid w:val="15CF16A7"/>
    <w:rsid w:val="15D54F0F"/>
    <w:rsid w:val="15D8055B"/>
    <w:rsid w:val="15D86BF8"/>
    <w:rsid w:val="15DF5D8E"/>
    <w:rsid w:val="15E03118"/>
    <w:rsid w:val="15E122B9"/>
    <w:rsid w:val="15E15911"/>
    <w:rsid w:val="15E343BA"/>
    <w:rsid w:val="15E464B6"/>
    <w:rsid w:val="15E46FC8"/>
    <w:rsid w:val="15E61397"/>
    <w:rsid w:val="15E61BE7"/>
    <w:rsid w:val="15E942D1"/>
    <w:rsid w:val="15EE5FD1"/>
    <w:rsid w:val="15F132FE"/>
    <w:rsid w:val="15F32DEF"/>
    <w:rsid w:val="15F8366E"/>
    <w:rsid w:val="15F97D4A"/>
    <w:rsid w:val="15FD7FC2"/>
    <w:rsid w:val="15FE7F52"/>
    <w:rsid w:val="15FF01DE"/>
    <w:rsid w:val="16007AB2"/>
    <w:rsid w:val="16013F56"/>
    <w:rsid w:val="16014900"/>
    <w:rsid w:val="160457F4"/>
    <w:rsid w:val="16066CA6"/>
    <w:rsid w:val="16075E1B"/>
    <w:rsid w:val="16077093"/>
    <w:rsid w:val="16094BB9"/>
    <w:rsid w:val="160A4F1B"/>
    <w:rsid w:val="160B0931"/>
    <w:rsid w:val="160C46A9"/>
    <w:rsid w:val="160D7033"/>
    <w:rsid w:val="160E0421"/>
    <w:rsid w:val="16112265"/>
    <w:rsid w:val="161552E4"/>
    <w:rsid w:val="16157A01"/>
    <w:rsid w:val="161672D6"/>
    <w:rsid w:val="16177C04"/>
    <w:rsid w:val="161E10F2"/>
    <w:rsid w:val="16244FCF"/>
    <w:rsid w:val="16247C45"/>
    <w:rsid w:val="1628375A"/>
    <w:rsid w:val="162A3CFF"/>
    <w:rsid w:val="162E5D48"/>
    <w:rsid w:val="162E6E46"/>
    <w:rsid w:val="16300397"/>
    <w:rsid w:val="1635073F"/>
    <w:rsid w:val="16373E6F"/>
    <w:rsid w:val="16382382"/>
    <w:rsid w:val="163836F0"/>
    <w:rsid w:val="163A1216"/>
    <w:rsid w:val="163A6417"/>
    <w:rsid w:val="163D2AB4"/>
    <w:rsid w:val="16443E43"/>
    <w:rsid w:val="16461969"/>
    <w:rsid w:val="16467BBB"/>
    <w:rsid w:val="16470429"/>
    <w:rsid w:val="16492046"/>
    <w:rsid w:val="164E6403"/>
    <w:rsid w:val="16503C6D"/>
    <w:rsid w:val="1651030E"/>
    <w:rsid w:val="165417A1"/>
    <w:rsid w:val="16550B47"/>
    <w:rsid w:val="16567411"/>
    <w:rsid w:val="16572EB0"/>
    <w:rsid w:val="16585B40"/>
    <w:rsid w:val="165878EE"/>
    <w:rsid w:val="1659474D"/>
    <w:rsid w:val="165A3666"/>
    <w:rsid w:val="165C31D8"/>
    <w:rsid w:val="16614D6C"/>
    <w:rsid w:val="166362E5"/>
    <w:rsid w:val="16726C02"/>
    <w:rsid w:val="16733692"/>
    <w:rsid w:val="167504A0"/>
    <w:rsid w:val="167546E0"/>
    <w:rsid w:val="167A5AB7"/>
    <w:rsid w:val="167A73B7"/>
    <w:rsid w:val="167E5D91"/>
    <w:rsid w:val="167E793C"/>
    <w:rsid w:val="16810BF3"/>
    <w:rsid w:val="168356FE"/>
    <w:rsid w:val="16853CD8"/>
    <w:rsid w:val="16855BB8"/>
    <w:rsid w:val="1687740C"/>
    <w:rsid w:val="16895E62"/>
    <w:rsid w:val="168B0C70"/>
    <w:rsid w:val="1691275F"/>
    <w:rsid w:val="169662B2"/>
    <w:rsid w:val="169A7F07"/>
    <w:rsid w:val="169F7602"/>
    <w:rsid w:val="169F7B22"/>
    <w:rsid w:val="16A1573D"/>
    <w:rsid w:val="16A25150"/>
    <w:rsid w:val="16A62408"/>
    <w:rsid w:val="16A711C4"/>
    <w:rsid w:val="16AD7321"/>
    <w:rsid w:val="16AE1553"/>
    <w:rsid w:val="16AE1A74"/>
    <w:rsid w:val="16B74615"/>
    <w:rsid w:val="16B87D69"/>
    <w:rsid w:val="16BE66CC"/>
    <w:rsid w:val="16BF171B"/>
    <w:rsid w:val="16BF6872"/>
    <w:rsid w:val="16C712D5"/>
    <w:rsid w:val="16CA189C"/>
    <w:rsid w:val="16CC5760"/>
    <w:rsid w:val="16CD532E"/>
    <w:rsid w:val="16CE18B6"/>
    <w:rsid w:val="16D01B7A"/>
    <w:rsid w:val="16D46470"/>
    <w:rsid w:val="16D67EFE"/>
    <w:rsid w:val="16D729CD"/>
    <w:rsid w:val="16D821B2"/>
    <w:rsid w:val="16D90A2F"/>
    <w:rsid w:val="16DA00F3"/>
    <w:rsid w:val="16DB5D81"/>
    <w:rsid w:val="16DB7867"/>
    <w:rsid w:val="16E10188"/>
    <w:rsid w:val="16EC44CE"/>
    <w:rsid w:val="16EF50BC"/>
    <w:rsid w:val="16F023F5"/>
    <w:rsid w:val="16F43541"/>
    <w:rsid w:val="16F47617"/>
    <w:rsid w:val="16F655CE"/>
    <w:rsid w:val="16F7466B"/>
    <w:rsid w:val="16F7485F"/>
    <w:rsid w:val="16F74D42"/>
    <w:rsid w:val="16F83F95"/>
    <w:rsid w:val="16F92E7F"/>
    <w:rsid w:val="16F969DB"/>
    <w:rsid w:val="170174C7"/>
    <w:rsid w:val="17022C76"/>
    <w:rsid w:val="170358E5"/>
    <w:rsid w:val="17055412"/>
    <w:rsid w:val="1706559C"/>
    <w:rsid w:val="17066C93"/>
    <w:rsid w:val="170A508C"/>
    <w:rsid w:val="170D06D9"/>
    <w:rsid w:val="1710008E"/>
    <w:rsid w:val="171001C9"/>
    <w:rsid w:val="171E4694"/>
    <w:rsid w:val="17240FF7"/>
    <w:rsid w:val="17251F3E"/>
    <w:rsid w:val="17253C74"/>
    <w:rsid w:val="172719F5"/>
    <w:rsid w:val="17275A8A"/>
    <w:rsid w:val="17276B03"/>
    <w:rsid w:val="17283764"/>
    <w:rsid w:val="17290A30"/>
    <w:rsid w:val="172A4DE7"/>
    <w:rsid w:val="172B05AF"/>
    <w:rsid w:val="172B1F95"/>
    <w:rsid w:val="173043C7"/>
    <w:rsid w:val="17325D54"/>
    <w:rsid w:val="173323DE"/>
    <w:rsid w:val="1734210B"/>
    <w:rsid w:val="173E6AE4"/>
    <w:rsid w:val="1740215A"/>
    <w:rsid w:val="1740291A"/>
    <w:rsid w:val="17432B43"/>
    <w:rsid w:val="17463BEB"/>
    <w:rsid w:val="17472662"/>
    <w:rsid w:val="174A659D"/>
    <w:rsid w:val="174E374F"/>
    <w:rsid w:val="175207E1"/>
    <w:rsid w:val="17521698"/>
    <w:rsid w:val="175224D1"/>
    <w:rsid w:val="175400B6"/>
    <w:rsid w:val="17592A64"/>
    <w:rsid w:val="175A06EE"/>
    <w:rsid w:val="175A3CEF"/>
    <w:rsid w:val="175B1444"/>
    <w:rsid w:val="175C56A1"/>
    <w:rsid w:val="175F3964"/>
    <w:rsid w:val="175F4EAB"/>
    <w:rsid w:val="17620FFD"/>
    <w:rsid w:val="1763479D"/>
    <w:rsid w:val="17673BC8"/>
    <w:rsid w:val="17683B61"/>
    <w:rsid w:val="176B7B12"/>
    <w:rsid w:val="176C0F1B"/>
    <w:rsid w:val="17715A5A"/>
    <w:rsid w:val="17726EEA"/>
    <w:rsid w:val="17730FAC"/>
    <w:rsid w:val="177C760C"/>
    <w:rsid w:val="177F1734"/>
    <w:rsid w:val="17800EAB"/>
    <w:rsid w:val="178118FD"/>
    <w:rsid w:val="17832749"/>
    <w:rsid w:val="1785299A"/>
    <w:rsid w:val="17880A68"/>
    <w:rsid w:val="178E5FE8"/>
    <w:rsid w:val="178F374A"/>
    <w:rsid w:val="17906B72"/>
    <w:rsid w:val="17930DF4"/>
    <w:rsid w:val="17936304"/>
    <w:rsid w:val="17936E30"/>
    <w:rsid w:val="17943A62"/>
    <w:rsid w:val="179734D1"/>
    <w:rsid w:val="17A11CB7"/>
    <w:rsid w:val="17A96653"/>
    <w:rsid w:val="17AC7EF2"/>
    <w:rsid w:val="17B33746"/>
    <w:rsid w:val="17B65DF4"/>
    <w:rsid w:val="17C25E4A"/>
    <w:rsid w:val="17C3523B"/>
    <w:rsid w:val="17C35253"/>
    <w:rsid w:val="17CA31B8"/>
    <w:rsid w:val="17D3547E"/>
    <w:rsid w:val="17D45C0F"/>
    <w:rsid w:val="17D47490"/>
    <w:rsid w:val="17D66AA5"/>
    <w:rsid w:val="17DA4289"/>
    <w:rsid w:val="17DB4333"/>
    <w:rsid w:val="17DE7423"/>
    <w:rsid w:val="17DF2C4E"/>
    <w:rsid w:val="17E017CB"/>
    <w:rsid w:val="17E72CD8"/>
    <w:rsid w:val="17EC5678"/>
    <w:rsid w:val="17EC7880"/>
    <w:rsid w:val="17EF5A6B"/>
    <w:rsid w:val="17F03436"/>
    <w:rsid w:val="17F04282"/>
    <w:rsid w:val="17F23AAF"/>
    <w:rsid w:val="17F32385"/>
    <w:rsid w:val="17F6161B"/>
    <w:rsid w:val="17F64052"/>
    <w:rsid w:val="17F94208"/>
    <w:rsid w:val="17FA6EAF"/>
    <w:rsid w:val="18062254"/>
    <w:rsid w:val="180672E2"/>
    <w:rsid w:val="18072C85"/>
    <w:rsid w:val="18075128"/>
    <w:rsid w:val="18075575"/>
    <w:rsid w:val="180C0990"/>
    <w:rsid w:val="18131D1F"/>
    <w:rsid w:val="181653D3"/>
    <w:rsid w:val="181708F6"/>
    <w:rsid w:val="18193E16"/>
    <w:rsid w:val="181B6E25"/>
    <w:rsid w:val="181C294C"/>
    <w:rsid w:val="1821268E"/>
    <w:rsid w:val="18213CFC"/>
    <w:rsid w:val="18230052"/>
    <w:rsid w:val="18251831"/>
    <w:rsid w:val="1829415E"/>
    <w:rsid w:val="182B350C"/>
    <w:rsid w:val="182B52BA"/>
    <w:rsid w:val="182D2D80"/>
    <w:rsid w:val="182D71BE"/>
    <w:rsid w:val="182E0907"/>
    <w:rsid w:val="18301ACB"/>
    <w:rsid w:val="183305F6"/>
    <w:rsid w:val="183549D8"/>
    <w:rsid w:val="18376E10"/>
    <w:rsid w:val="183810FB"/>
    <w:rsid w:val="18391149"/>
    <w:rsid w:val="183A374F"/>
    <w:rsid w:val="183B1A6E"/>
    <w:rsid w:val="183D0B4A"/>
    <w:rsid w:val="183F2B14"/>
    <w:rsid w:val="183F48C2"/>
    <w:rsid w:val="183F7BC1"/>
    <w:rsid w:val="184243B2"/>
    <w:rsid w:val="18433F46"/>
    <w:rsid w:val="1844012A"/>
    <w:rsid w:val="18461F74"/>
    <w:rsid w:val="184E2EA9"/>
    <w:rsid w:val="185232C7"/>
    <w:rsid w:val="185407CD"/>
    <w:rsid w:val="18551235"/>
    <w:rsid w:val="18584A67"/>
    <w:rsid w:val="185A16FC"/>
    <w:rsid w:val="186131B1"/>
    <w:rsid w:val="186445ED"/>
    <w:rsid w:val="18663E03"/>
    <w:rsid w:val="18664544"/>
    <w:rsid w:val="186662F2"/>
    <w:rsid w:val="186715DB"/>
    <w:rsid w:val="186802BC"/>
    <w:rsid w:val="18681BCE"/>
    <w:rsid w:val="18694468"/>
    <w:rsid w:val="187063BF"/>
    <w:rsid w:val="18736C61"/>
    <w:rsid w:val="18772D73"/>
    <w:rsid w:val="18792859"/>
    <w:rsid w:val="187A3B4C"/>
    <w:rsid w:val="187D363C"/>
    <w:rsid w:val="187D387C"/>
    <w:rsid w:val="187F73B4"/>
    <w:rsid w:val="188302B0"/>
    <w:rsid w:val="188656A9"/>
    <w:rsid w:val="18876E25"/>
    <w:rsid w:val="18890233"/>
    <w:rsid w:val="188D7D23"/>
    <w:rsid w:val="188E5849"/>
    <w:rsid w:val="188E6525"/>
    <w:rsid w:val="1890336F"/>
    <w:rsid w:val="1894645E"/>
    <w:rsid w:val="18961AAC"/>
    <w:rsid w:val="18972B56"/>
    <w:rsid w:val="189866C8"/>
    <w:rsid w:val="189D1CF8"/>
    <w:rsid w:val="189E7194"/>
    <w:rsid w:val="189E7349"/>
    <w:rsid w:val="189F1804"/>
    <w:rsid w:val="18A31059"/>
    <w:rsid w:val="18A706B9"/>
    <w:rsid w:val="18A71368"/>
    <w:rsid w:val="18A77A47"/>
    <w:rsid w:val="18A90A50"/>
    <w:rsid w:val="18A92683"/>
    <w:rsid w:val="18AA2CE2"/>
    <w:rsid w:val="18B040D7"/>
    <w:rsid w:val="18B3705E"/>
    <w:rsid w:val="18B62F28"/>
    <w:rsid w:val="18B708FC"/>
    <w:rsid w:val="18B84674"/>
    <w:rsid w:val="18B9593C"/>
    <w:rsid w:val="18BA03EC"/>
    <w:rsid w:val="18BB7CEF"/>
    <w:rsid w:val="18BC4164"/>
    <w:rsid w:val="18BD7EDC"/>
    <w:rsid w:val="18C1177B"/>
    <w:rsid w:val="18C11CA9"/>
    <w:rsid w:val="18C666A6"/>
    <w:rsid w:val="18C66D91"/>
    <w:rsid w:val="18C82B09"/>
    <w:rsid w:val="18C965C0"/>
    <w:rsid w:val="18CD0120"/>
    <w:rsid w:val="18D203E7"/>
    <w:rsid w:val="18D54962"/>
    <w:rsid w:val="18D57013"/>
    <w:rsid w:val="18D8035B"/>
    <w:rsid w:val="18D92F68"/>
    <w:rsid w:val="18DD62F0"/>
    <w:rsid w:val="18E24C39"/>
    <w:rsid w:val="18E5190D"/>
    <w:rsid w:val="18E57AB1"/>
    <w:rsid w:val="18E720F7"/>
    <w:rsid w:val="18E72CEE"/>
    <w:rsid w:val="18E831AB"/>
    <w:rsid w:val="18E90CD1"/>
    <w:rsid w:val="18EF6E07"/>
    <w:rsid w:val="18F2565D"/>
    <w:rsid w:val="18F86417"/>
    <w:rsid w:val="18F97167"/>
    <w:rsid w:val="18FE27B3"/>
    <w:rsid w:val="18FF22A3"/>
    <w:rsid w:val="19006747"/>
    <w:rsid w:val="19013719"/>
    <w:rsid w:val="190301C9"/>
    <w:rsid w:val="19032A4A"/>
    <w:rsid w:val="19033B41"/>
    <w:rsid w:val="19062EC0"/>
    <w:rsid w:val="19072A6A"/>
    <w:rsid w:val="19095749"/>
    <w:rsid w:val="190C77B0"/>
    <w:rsid w:val="190F5F83"/>
    <w:rsid w:val="190F698A"/>
    <w:rsid w:val="19102702"/>
    <w:rsid w:val="1912021B"/>
    <w:rsid w:val="191355B2"/>
    <w:rsid w:val="19140EF5"/>
    <w:rsid w:val="19143FA0"/>
    <w:rsid w:val="19170BE4"/>
    <w:rsid w:val="191B532F"/>
    <w:rsid w:val="191C723B"/>
    <w:rsid w:val="191E02D6"/>
    <w:rsid w:val="191E6BCD"/>
    <w:rsid w:val="191F64A1"/>
    <w:rsid w:val="1920632E"/>
    <w:rsid w:val="19215B05"/>
    <w:rsid w:val="19250182"/>
    <w:rsid w:val="192835A8"/>
    <w:rsid w:val="192A317D"/>
    <w:rsid w:val="192C6E07"/>
    <w:rsid w:val="192E0C57"/>
    <w:rsid w:val="192F2B88"/>
    <w:rsid w:val="193208CA"/>
    <w:rsid w:val="193463F1"/>
    <w:rsid w:val="19355440"/>
    <w:rsid w:val="19375EE1"/>
    <w:rsid w:val="19385D8B"/>
    <w:rsid w:val="19393A07"/>
    <w:rsid w:val="1940130A"/>
    <w:rsid w:val="19404D95"/>
    <w:rsid w:val="194146CA"/>
    <w:rsid w:val="1945415A"/>
    <w:rsid w:val="194859F8"/>
    <w:rsid w:val="194973D4"/>
    <w:rsid w:val="194A1770"/>
    <w:rsid w:val="194B1027"/>
    <w:rsid w:val="19507FB1"/>
    <w:rsid w:val="1956758C"/>
    <w:rsid w:val="195933F3"/>
    <w:rsid w:val="195D42D9"/>
    <w:rsid w:val="195E16BF"/>
    <w:rsid w:val="195E521C"/>
    <w:rsid w:val="195F08E7"/>
    <w:rsid w:val="19630A84"/>
    <w:rsid w:val="196752D7"/>
    <w:rsid w:val="196B0D46"/>
    <w:rsid w:val="196B2D39"/>
    <w:rsid w:val="196D7B1F"/>
    <w:rsid w:val="196E457D"/>
    <w:rsid w:val="19776D67"/>
    <w:rsid w:val="19791440"/>
    <w:rsid w:val="197C6DD6"/>
    <w:rsid w:val="198002FE"/>
    <w:rsid w:val="198033E4"/>
    <w:rsid w:val="19834C82"/>
    <w:rsid w:val="198527A8"/>
    <w:rsid w:val="19856F01"/>
    <w:rsid w:val="198663FD"/>
    <w:rsid w:val="19866520"/>
    <w:rsid w:val="198D5B01"/>
    <w:rsid w:val="198E3AFB"/>
    <w:rsid w:val="198F6239"/>
    <w:rsid w:val="198F6FC9"/>
    <w:rsid w:val="1990114D"/>
    <w:rsid w:val="19914F2C"/>
    <w:rsid w:val="19940109"/>
    <w:rsid w:val="19946E8F"/>
    <w:rsid w:val="1997790E"/>
    <w:rsid w:val="19986F06"/>
    <w:rsid w:val="199944A6"/>
    <w:rsid w:val="199B0A06"/>
    <w:rsid w:val="19A05834"/>
    <w:rsid w:val="19A228E7"/>
    <w:rsid w:val="19A5109C"/>
    <w:rsid w:val="19A669C5"/>
    <w:rsid w:val="19A67A47"/>
    <w:rsid w:val="19A86E47"/>
    <w:rsid w:val="19AA220F"/>
    <w:rsid w:val="19AE61A3"/>
    <w:rsid w:val="19B405DD"/>
    <w:rsid w:val="19B479F3"/>
    <w:rsid w:val="19B7207D"/>
    <w:rsid w:val="19B94B48"/>
    <w:rsid w:val="19BB441C"/>
    <w:rsid w:val="19C01A32"/>
    <w:rsid w:val="19C84D8B"/>
    <w:rsid w:val="19CB3F48"/>
    <w:rsid w:val="19CC6629"/>
    <w:rsid w:val="19CE3C50"/>
    <w:rsid w:val="19CF7EC7"/>
    <w:rsid w:val="19D21766"/>
    <w:rsid w:val="19D56851"/>
    <w:rsid w:val="19D6648A"/>
    <w:rsid w:val="19DB4ABE"/>
    <w:rsid w:val="19DE0B7B"/>
    <w:rsid w:val="19DE1A34"/>
    <w:rsid w:val="19E23FC0"/>
    <w:rsid w:val="19E42208"/>
    <w:rsid w:val="19E82D37"/>
    <w:rsid w:val="19E97B7F"/>
    <w:rsid w:val="19EA4D01"/>
    <w:rsid w:val="19EE4158"/>
    <w:rsid w:val="19EE47F1"/>
    <w:rsid w:val="19F43AAB"/>
    <w:rsid w:val="19F468A9"/>
    <w:rsid w:val="19F8741E"/>
    <w:rsid w:val="1A036BAC"/>
    <w:rsid w:val="1A040C6C"/>
    <w:rsid w:val="1A051B3B"/>
    <w:rsid w:val="1A0538E9"/>
    <w:rsid w:val="1A070AF8"/>
    <w:rsid w:val="1A084B70"/>
    <w:rsid w:val="1A09162B"/>
    <w:rsid w:val="1A091DC2"/>
    <w:rsid w:val="1A0945A7"/>
    <w:rsid w:val="1A0A36DD"/>
    <w:rsid w:val="1A0A7151"/>
    <w:rsid w:val="1A0C4C78"/>
    <w:rsid w:val="1A0D44C9"/>
    <w:rsid w:val="1A0E3D8D"/>
    <w:rsid w:val="1A1024F5"/>
    <w:rsid w:val="1A1324AA"/>
    <w:rsid w:val="1A1520AE"/>
    <w:rsid w:val="1A163D48"/>
    <w:rsid w:val="1A176D0F"/>
    <w:rsid w:val="1A18186E"/>
    <w:rsid w:val="1A19311C"/>
    <w:rsid w:val="1A1A0AF6"/>
    <w:rsid w:val="1A1E04F8"/>
    <w:rsid w:val="1A1F0E4F"/>
    <w:rsid w:val="1A225332"/>
    <w:rsid w:val="1A235948"/>
    <w:rsid w:val="1A2521DD"/>
    <w:rsid w:val="1A2B127A"/>
    <w:rsid w:val="1A2B7C80"/>
    <w:rsid w:val="1A2C356C"/>
    <w:rsid w:val="1A2C6C3F"/>
    <w:rsid w:val="1A2E1092"/>
    <w:rsid w:val="1A332204"/>
    <w:rsid w:val="1A3674DF"/>
    <w:rsid w:val="1A367F46"/>
    <w:rsid w:val="1A371F1D"/>
    <w:rsid w:val="1A3B555D"/>
    <w:rsid w:val="1A3D267B"/>
    <w:rsid w:val="1A3F329F"/>
    <w:rsid w:val="1A444995"/>
    <w:rsid w:val="1A450189"/>
    <w:rsid w:val="1A465B48"/>
    <w:rsid w:val="1A47414E"/>
    <w:rsid w:val="1A475CB0"/>
    <w:rsid w:val="1A497C7A"/>
    <w:rsid w:val="1A4E34E2"/>
    <w:rsid w:val="1A4E703E"/>
    <w:rsid w:val="1A515E3D"/>
    <w:rsid w:val="1A525767"/>
    <w:rsid w:val="1A554870"/>
    <w:rsid w:val="1A5B5BFF"/>
    <w:rsid w:val="1A5D1977"/>
    <w:rsid w:val="1A613431"/>
    <w:rsid w:val="1A620D3B"/>
    <w:rsid w:val="1A6212A3"/>
    <w:rsid w:val="1A626F8D"/>
    <w:rsid w:val="1A637E8D"/>
    <w:rsid w:val="1A6525DA"/>
    <w:rsid w:val="1A652915"/>
    <w:rsid w:val="1A674F10"/>
    <w:rsid w:val="1A6920CA"/>
    <w:rsid w:val="1A6A0EBB"/>
    <w:rsid w:val="1A6E148E"/>
    <w:rsid w:val="1A6E5932"/>
    <w:rsid w:val="1A6F204B"/>
    <w:rsid w:val="1A791C26"/>
    <w:rsid w:val="1A7B12E8"/>
    <w:rsid w:val="1A7D2A17"/>
    <w:rsid w:val="1A7F2C14"/>
    <w:rsid w:val="1A7F47B4"/>
    <w:rsid w:val="1A815666"/>
    <w:rsid w:val="1A830FA4"/>
    <w:rsid w:val="1A8324EC"/>
    <w:rsid w:val="1A83441B"/>
    <w:rsid w:val="1A885C21"/>
    <w:rsid w:val="1A89451A"/>
    <w:rsid w:val="1A8A2811"/>
    <w:rsid w:val="1A8C400A"/>
    <w:rsid w:val="1A8C5DB8"/>
    <w:rsid w:val="1A8D705C"/>
    <w:rsid w:val="1A962E09"/>
    <w:rsid w:val="1A977089"/>
    <w:rsid w:val="1A9A2283"/>
    <w:rsid w:val="1A9C023A"/>
    <w:rsid w:val="1AA01341"/>
    <w:rsid w:val="1AA749A0"/>
    <w:rsid w:val="1AA93212"/>
    <w:rsid w:val="1AAE5D2F"/>
    <w:rsid w:val="1AAE6CE1"/>
    <w:rsid w:val="1AB06C2F"/>
    <w:rsid w:val="1AB1121F"/>
    <w:rsid w:val="1AB33345"/>
    <w:rsid w:val="1AB53561"/>
    <w:rsid w:val="1AB75D5B"/>
    <w:rsid w:val="1ABC044C"/>
    <w:rsid w:val="1ABD41C4"/>
    <w:rsid w:val="1AC21287"/>
    <w:rsid w:val="1AC217DA"/>
    <w:rsid w:val="1AC252C2"/>
    <w:rsid w:val="1AD0039B"/>
    <w:rsid w:val="1AD02149"/>
    <w:rsid w:val="1AD11A1D"/>
    <w:rsid w:val="1ADC6613"/>
    <w:rsid w:val="1ADF413A"/>
    <w:rsid w:val="1AE16104"/>
    <w:rsid w:val="1AE17EB2"/>
    <w:rsid w:val="1AE6371B"/>
    <w:rsid w:val="1AE84396"/>
    <w:rsid w:val="1AE857D0"/>
    <w:rsid w:val="1AEB35C0"/>
    <w:rsid w:val="1AEC24C5"/>
    <w:rsid w:val="1AEF32D8"/>
    <w:rsid w:val="1AF076EF"/>
    <w:rsid w:val="1AF44089"/>
    <w:rsid w:val="1AF53561"/>
    <w:rsid w:val="1AF92D67"/>
    <w:rsid w:val="1AFC2F3E"/>
    <w:rsid w:val="1B0167A6"/>
    <w:rsid w:val="1B083691"/>
    <w:rsid w:val="1B09565B"/>
    <w:rsid w:val="1B0B3181"/>
    <w:rsid w:val="1B0D6EF9"/>
    <w:rsid w:val="1B0E2C71"/>
    <w:rsid w:val="1B0F1D66"/>
    <w:rsid w:val="1B113931"/>
    <w:rsid w:val="1B1262BE"/>
    <w:rsid w:val="1B140333"/>
    <w:rsid w:val="1B1418BE"/>
    <w:rsid w:val="1B1647D4"/>
    <w:rsid w:val="1B1D07A3"/>
    <w:rsid w:val="1B213295"/>
    <w:rsid w:val="1B223ABF"/>
    <w:rsid w:val="1B223D48"/>
    <w:rsid w:val="1B227D6C"/>
    <w:rsid w:val="1B2349D2"/>
    <w:rsid w:val="1B235571"/>
    <w:rsid w:val="1B23671D"/>
    <w:rsid w:val="1B291D85"/>
    <w:rsid w:val="1B293607"/>
    <w:rsid w:val="1B2D1349"/>
    <w:rsid w:val="1B32119D"/>
    <w:rsid w:val="1B346A90"/>
    <w:rsid w:val="1B3471B4"/>
    <w:rsid w:val="1B347FEC"/>
    <w:rsid w:val="1B3721C8"/>
    <w:rsid w:val="1B38255B"/>
    <w:rsid w:val="1B3933E3"/>
    <w:rsid w:val="1B3A34BE"/>
    <w:rsid w:val="1B3A62FE"/>
    <w:rsid w:val="1B3B1CB8"/>
    <w:rsid w:val="1B3C158C"/>
    <w:rsid w:val="1B3C77DE"/>
    <w:rsid w:val="1B3C79A3"/>
    <w:rsid w:val="1B3E5305"/>
    <w:rsid w:val="1B4255E6"/>
    <w:rsid w:val="1B446693"/>
    <w:rsid w:val="1B462549"/>
    <w:rsid w:val="1B464CF2"/>
    <w:rsid w:val="1B4666C2"/>
    <w:rsid w:val="1B481CDF"/>
    <w:rsid w:val="1B492AE8"/>
    <w:rsid w:val="1B4D19EC"/>
    <w:rsid w:val="1B4F12C0"/>
    <w:rsid w:val="1B4F7512"/>
    <w:rsid w:val="1B513EE4"/>
    <w:rsid w:val="1B516A8C"/>
    <w:rsid w:val="1B523459"/>
    <w:rsid w:val="1B5348A1"/>
    <w:rsid w:val="1B554FF5"/>
    <w:rsid w:val="1B582117"/>
    <w:rsid w:val="1B593DD4"/>
    <w:rsid w:val="1B5A1A13"/>
    <w:rsid w:val="1B5F527B"/>
    <w:rsid w:val="1B603727"/>
    <w:rsid w:val="1B62610C"/>
    <w:rsid w:val="1B6367BF"/>
    <w:rsid w:val="1B6604FD"/>
    <w:rsid w:val="1B670870"/>
    <w:rsid w:val="1B6805D3"/>
    <w:rsid w:val="1B682381"/>
    <w:rsid w:val="1B6C2F8B"/>
    <w:rsid w:val="1B6E4F06"/>
    <w:rsid w:val="1B712D1F"/>
    <w:rsid w:val="1B725A83"/>
    <w:rsid w:val="1B7316E9"/>
    <w:rsid w:val="1B7475D1"/>
    <w:rsid w:val="1B75356E"/>
    <w:rsid w:val="1B754A9E"/>
    <w:rsid w:val="1B755865"/>
    <w:rsid w:val="1B79458F"/>
    <w:rsid w:val="1B797C45"/>
    <w:rsid w:val="1B7E3953"/>
    <w:rsid w:val="1B7E3CFD"/>
    <w:rsid w:val="1B844B90"/>
    <w:rsid w:val="1B851185"/>
    <w:rsid w:val="1B86423A"/>
    <w:rsid w:val="1B870E3F"/>
    <w:rsid w:val="1B8D1DE8"/>
    <w:rsid w:val="1B8D3B96"/>
    <w:rsid w:val="1B966EEF"/>
    <w:rsid w:val="1B970EB9"/>
    <w:rsid w:val="1B99078D"/>
    <w:rsid w:val="1BA11A37"/>
    <w:rsid w:val="1BA54AB0"/>
    <w:rsid w:val="1BA86C22"/>
    <w:rsid w:val="1BAA7F40"/>
    <w:rsid w:val="1BB03AF6"/>
    <w:rsid w:val="1BB2644B"/>
    <w:rsid w:val="1BB47078"/>
    <w:rsid w:val="1BB6133F"/>
    <w:rsid w:val="1BB67591"/>
    <w:rsid w:val="1BBA0AE0"/>
    <w:rsid w:val="1BBD091F"/>
    <w:rsid w:val="1BBE7284"/>
    <w:rsid w:val="1BBF007F"/>
    <w:rsid w:val="1BC37DA4"/>
    <w:rsid w:val="1BCA4DEA"/>
    <w:rsid w:val="1BCC1DC6"/>
    <w:rsid w:val="1BCE61E2"/>
    <w:rsid w:val="1BCF563A"/>
    <w:rsid w:val="1BD17AB9"/>
    <w:rsid w:val="1BD33CD1"/>
    <w:rsid w:val="1BD572A5"/>
    <w:rsid w:val="1BD74733"/>
    <w:rsid w:val="1BDB4585"/>
    <w:rsid w:val="1BDD4B1E"/>
    <w:rsid w:val="1BDE43F2"/>
    <w:rsid w:val="1BE834C2"/>
    <w:rsid w:val="1BEA6F14"/>
    <w:rsid w:val="1BEE4949"/>
    <w:rsid w:val="1BF05A90"/>
    <w:rsid w:val="1BF27683"/>
    <w:rsid w:val="1BF9747E"/>
    <w:rsid w:val="1BF974E3"/>
    <w:rsid w:val="1BFA1C6D"/>
    <w:rsid w:val="1BFC2ACA"/>
    <w:rsid w:val="1BFD0D1C"/>
    <w:rsid w:val="1BFF3271"/>
    <w:rsid w:val="1C026332"/>
    <w:rsid w:val="1C055E22"/>
    <w:rsid w:val="1C0D35EA"/>
    <w:rsid w:val="1C0E2C3A"/>
    <w:rsid w:val="1C0F6BFD"/>
    <w:rsid w:val="1C116575"/>
    <w:rsid w:val="1C147642"/>
    <w:rsid w:val="1C163B8C"/>
    <w:rsid w:val="1C1A0EF7"/>
    <w:rsid w:val="1C1A18BC"/>
    <w:rsid w:val="1C1B73F4"/>
    <w:rsid w:val="1C1C2AA1"/>
    <w:rsid w:val="1C201C50"/>
    <w:rsid w:val="1C2144CF"/>
    <w:rsid w:val="1C2204C9"/>
    <w:rsid w:val="1C2277C9"/>
    <w:rsid w:val="1C2362A8"/>
    <w:rsid w:val="1C295FB5"/>
    <w:rsid w:val="1C2E71CD"/>
    <w:rsid w:val="1C2F4C4D"/>
    <w:rsid w:val="1C3000C6"/>
    <w:rsid w:val="1C302402"/>
    <w:rsid w:val="1C3225B1"/>
    <w:rsid w:val="1C362480"/>
    <w:rsid w:val="1C36422E"/>
    <w:rsid w:val="1C3D4C6C"/>
    <w:rsid w:val="1C3D55BC"/>
    <w:rsid w:val="1C3D736A"/>
    <w:rsid w:val="1C3E1334"/>
    <w:rsid w:val="1C400DC6"/>
    <w:rsid w:val="1C404D4C"/>
    <w:rsid w:val="1C421623"/>
    <w:rsid w:val="1C494BBD"/>
    <w:rsid w:val="1C4B6BE5"/>
    <w:rsid w:val="1C4C1CA3"/>
    <w:rsid w:val="1C505592"/>
    <w:rsid w:val="1C50575C"/>
    <w:rsid w:val="1C56042C"/>
    <w:rsid w:val="1C5722DB"/>
    <w:rsid w:val="1C5823F6"/>
    <w:rsid w:val="1C5926AA"/>
    <w:rsid w:val="1C5D7821"/>
    <w:rsid w:val="1C5E47EB"/>
    <w:rsid w:val="1C60040A"/>
    <w:rsid w:val="1C60574F"/>
    <w:rsid w:val="1C64757C"/>
    <w:rsid w:val="1C64779E"/>
    <w:rsid w:val="1C651DCF"/>
    <w:rsid w:val="1C6963B1"/>
    <w:rsid w:val="1C6C5EA1"/>
    <w:rsid w:val="1C7100CD"/>
    <w:rsid w:val="1C715266"/>
    <w:rsid w:val="1C746A72"/>
    <w:rsid w:val="1C755A82"/>
    <w:rsid w:val="1C76287C"/>
    <w:rsid w:val="1C781915"/>
    <w:rsid w:val="1C784EA5"/>
    <w:rsid w:val="1C7B4336"/>
    <w:rsid w:val="1C7B5167"/>
    <w:rsid w:val="1C7D00AF"/>
    <w:rsid w:val="1C7D1E5D"/>
    <w:rsid w:val="1C7E047E"/>
    <w:rsid w:val="1C7F3E27"/>
    <w:rsid w:val="1C817B9F"/>
    <w:rsid w:val="1C84143D"/>
    <w:rsid w:val="1C846D1F"/>
    <w:rsid w:val="1C866334"/>
    <w:rsid w:val="1C8B617A"/>
    <w:rsid w:val="1C8D64CA"/>
    <w:rsid w:val="1C8E241A"/>
    <w:rsid w:val="1C8F393E"/>
    <w:rsid w:val="1C907DE2"/>
    <w:rsid w:val="1C914041"/>
    <w:rsid w:val="1C930EB9"/>
    <w:rsid w:val="1C955F9D"/>
    <w:rsid w:val="1C9727F7"/>
    <w:rsid w:val="1C980A44"/>
    <w:rsid w:val="1C9D7C4F"/>
    <w:rsid w:val="1C9F475A"/>
    <w:rsid w:val="1CA51997"/>
    <w:rsid w:val="1CA613B3"/>
    <w:rsid w:val="1CA63842"/>
    <w:rsid w:val="1CA643DD"/>
    <w:rsid w:val="1CA97689"/>
    <w:rsid w:val="1CAB4C1C"/>
    <w:rsid w:val="1CAB5325"/>
    <w:rsid w:val="1CB02232"/>
    <w:rsid w:val="1CB03FE0"/>
    <w:rsid w:val="1CB06EFD"/>
    <w:rsid w:val="1CB3587E"/>
    <w:rsid w:val="1CB735C0"/>
    <w:rsid w:val="1CB938E0"/>
    <w:rsid w:val="1CBD4EE2"/>
    <w:rsid w:val="1CBE1DF2"/>
    <w:rsid w:val="1CC050EC"/>
    <w:rsid w:val="1CC22144"/>
    <w:rsid w:val="1CC33C3C"/>
    <w:rsid w:val="1CC35867"/>
    <w:rsid w:val="1CC57360"/>
    <w:rsid w:val="1CCB7770"/>
    <w:rsid w:val="1CD221A8"/>
    <w:rsid w:val="1CD22F7D"/>
    <w:rsid w:val="1CD7427E"/>
    <w:rsid w:val="1CD83537"/>
    <w:rsid w:val="1CD852E5"/>
    <w:rsid w:val="1CE06507"/>
    <w:rsid w:val="1CE5179F"/>
    <w:rsid w:val="1CE57D5A"/>
    <w:rsid w:val="1CE66B61"/>
    <w:rsid w:val="1CE912A0"/>
    <w:rsid w:val="1CE974F2"/>
    <w:rsid w:val="1CEB5018"/>
    <w:rsid w:val="1CEF43E3"/>
    <w:rsid w:val="1CF0262F"/>
    <w:rsid w:val="1CF10155"/>
    <w:rsid w:val="1CF85987"/>
    <w:rsid w:val="1CFC2D19"/>
    <w:rsid w:val="1CFC5477"/>
    <w:rsid w:val="1D001020"/>
    <w:rsid w:val="1D04432C"/>
    <w:rsid w:val="1D0600A4"/>
    <w:rsid w:val="1D075E4C"/>
    <w:rsid w:val="1D0936F0"/>
    <w:rsid w:val="1D0B7468"/>
    <w:rsid w:val="1D0E0D07"/>
    <w:rsid w:val="1D10139C"/>
    <w:rsid w:val="1D114C9E"/>
    <w:rsid w:val="1D181F30"/>
    <w:rsid w:val="1D183309"/>
    <w:rsid w:val="1D1C447F"/>
    <w:rsid w:val="1D1C5EE0"/>
    <w:rsid w:val="1D1C78C7"/>
    <w:rsid w:val="1D2422D8"/>
    <w:rsid w:val="1D243A64"/>
    <w:rsid w:val="1D272852"/>
    <w:rsid w:val="1D2A162B"/>
    <w:rsid w:val="1D2D10AF"/>
    <w:rsid w:val="1D2F1828"/>
    <w:rsid w:val="1D302D06"/>
    <w:rsid w:val="1D320E99"/>
    <w:rsid w:val="1D3369BF"/>
    <w:rsid w:val="1D350989"/>
    <w:rsid w:val="1D35576D"/>
    <w:rsid w:val="1D372560"/>
    <w:rsid w:val="1D3C5E39"/>
    <w:rsid w:val="1D410B51"/>
    <w:rsid w:val="1D430F6E"/>
    <w:rsid w:val="1D463BFE"/>
    <w:rsid w:val="1D4810DF"/>
    <w:rsid w:val="1D4862D1"/>
    <w:rsid w:val="1D495521"/>
    <w:rsid w:val="1D4A67C5"/>
    <w:rsid w:val="1D4A7489"/>
    <w:rsid w:val="1D4D182F"/>
    <w:rsid w:val="1D4E57B1"/>
    <w:rsid w:val="1D510BDD"/>
    <w:rsid w:val="1D556936"/>
    <w:rsid w:val="1D596426"/>
    <w:rsid w:val="1D5C1A72"/>
    <w:rsid w:val="1D5F77B4"/>
    <w:rsid w:val="1D6112F9"/>
    <w:rsid w:val="1D61177E"/>
    <w:rsid w:val="1D624555"/>
    <w:rsid w:val="1D632B53"/>
    <w:rsid w:val="1D632D08"/>
    <w:rsid w:val="1D632E00"/>
    <w:rsid w:val="1D6372A4"/>
    <w:rsid w:val="1D6772BF"/>
    <w:rsid w:val="1D691539"/>
    <w:rsid w:val="1D6D2039"/>
    <w:rsid w:val="1D6D43E9"/>
    <w:rsid w:val="1D6E17A5"/>
    <w:rsid w:val="1D6E4636"/>
    <w:rsid w:val="1D6F3E9B"/>
    <w:rsid w:val="1D7019C1"/>
    <w:rsid w:val="1D706448"/>
    <w:rsid w:val="1D716C32"/>
    <w:rsid w:val="1D717880"/>
    <w:rsid w:val="1D724583"/>
    <w:rsid w:val="1D73025B"/>
    <w:rsid w:val="1D7B495A"/>
    <w:rsid w:val="1D7B4B4D"/>
    <w:rsid w:val="1D7B65A1"/>
    <w:rsid w:val="1D7D21A1"/>
    <w:rsid w:val="1D8109AC"/>
    <w:rsid w:val="1D8316F5"/>
    <w:rsid w:val="1D835251"/>
    <w:rsid w:val="1D84721B"/>
    <w:rsid w:val="1D8534F7"/>
    <w:rsid w:val="1D880AB9"/>
    <w:rsid w:val="1D8A271F"/>
    <w:rsid w:val="1D8B736A"/>
    <w:rsid w:val="1D8E3BF5"/>
    <w:rsid w:val="1D8E59F2"/>
    <w:rsid w:val="1D93464F"/>
    <w:rsid w:val="1D937791"/>
    <w:rsid w:val="1D94103D"/>
    <w:rsid w:val="1D9456B0"/>
    <w:rsid w:val="1D9B2895"/>
    <w:rsid w:val="1D9E02DC"/>
    <w:rsid w:val="1DA23161"/>
    <w:rsid w:val="1DA57754"/>
    <w:rsid w:val="1DA578BD"/>
    <w:rsid w:val="1DA82F09"/>
    <w:rsid w:val="1DA96BCA"/>
    <w:rsid w:val="1DAB70EE"/>
    <w:rsid w:val="1DAD70E6"/>
    <w:rsid w:val="1DB16262"/>
    <w:rsid w:val="1DB24B73"/>
    <w:rsid w:val="1DB7139E"/>
    <w:rsid w:val="1DBA49EB"/>
    <w:rsid w:val="1DBB07B3"/>
    <w:rsid w:val="1DBB1E88"/>
    <w:rsid w:val="1DC064A5"/>
    <w:rsid w:val="1DC141EC"/>
    <w:rsid w:val="1DC57B63"/>
    <w:rsid w:val="1DC90AF5"/>
    <w:rsid w:val="1DCD471E"/>
    <w:rsid w:val="1DCF7939"/>
    <w:rsid w:val="1DD179F3"/>
    <w:rsid w:val="1DD2199D"/>
    <w:rsid w:val="1DD9572C"/>
    <w:rsid w:val="1DDB38CA"/>
    <w:rsid w:val="1DDE2DCF"/>
    <w:rsid w:val="1DE176D6"/>
    <w:rsid w:val="1DE64F71"/>
    <w:rsid w:val="1DEA1F43"/>
    <w:rsid w:val="1DEC54EC"/>
    <w:rsid w:val="1DEF0B38"/>
    <w:rsid w:val="1DF04AA7"/>
    <w:rsid w:val="1DF0665E"/>
    <w:rsid w:val="1DF21E8E"/>
    <w:rsid w:val="1DF443A0"/>
    <w:rsid w:val="1DF60A19"/>
    <w:rsid w:val="1DF61EC7"/>
    <w:rsid w:val="1DF75C3F"/>
    <w:rsid w:val="1DFB74DD"/>
    <w:rsid w:val="1DFD18B8"/>
    <w:rsid w:val="1E0166A6"/>
    <w:rsid w:val="1E0433AB"/>
    <w:rsid w:val="1E0A28DE"/>
    <w:rsid w:val="1E0D7210"/>
    <w:rsid w:val="1E0E41C0"/>
    <w:rsid w:val="1E116D00"/>
    <w:rsid w:val="1E122A78"/>
    <w:rsid w:val="1E124827"/>
    <w:rsid w:val="1E171E3D"/>
    <w:rsid w:val="1E18008F"/>
    <w:rsid w:val="1E1F501B"/>
    <w:rsid w:val="1E1F7A71"/>
    <w:rsid w:val="1E26755E"/>
    <w:rsid w:val="1E2D3705"/>
    <w:rsid w:val="1E302101"/>
    <w:rsid w:val="1E360515"/>
    <w:rsid w:val="1E37428D"/>
    <w:rsid w:val="1E392895"/>
    <w:rsid w:val="1E3B67A6"/>
    <w:rsid w:val="1E440795"/>
    <w:rsid w:val="1E46433B"/>
    <w:rsid w:val="1E465812"/>
    <w:rsid w:val="1E491EB0"/>
    <w:rsid w:val="1E4B06F4"/>
    <w:rsid w:val="1E4C1AE7"/>
    <w:rsid w:val="1E4C35E8"/>
    <w:rsid w:val="1E4C7792"/>
    <w:rsid w:val="1E4D747A"/>
    <w:rsid w:val="1E4E079B"/>
    <w:rsid w:val="1E4E3AB1"/>
    <w:rsid w:val="1E4F7829"/>
    <w:rsid w:val="1E504776"/>
    <w:rsid w:val="1E506F72"/>
    <w:rsid w:val="1E5305ED"/>
    <w:rsid w:val="1E5740C6"/>
    <w:rsid w:val="1E605592"/>
    <w:rsid w:val="1E6257AE"/>
    <w:rsid w:val="1E625F66"/>
    <w:rsid w:val="1E6432D4"/>
    <w:rsid w:val="1E6501F4"/>
    <w:rsid w:val="1E696B3C"/>
    <w:rsid w:val="1E6C4F36"/>
    <w:rsid w:val="1E6D2C45"/>
    <w:rsid w:val="1E6E3A4C"/>
    <w:rsid w:val="1E6F015B"/>
    <w:rsid w:val="1E721A1F"/>
    <w:rsid w:val="1E730C3D"/>
    <w:rsid w:val="1E761F0C"/>
    <w:rsid w:val="1E766B63"/>
    <w:rsid w:val="1E766E25"/>
    <w:rsid w:val="1E780D78"/>
    <w:rsid w:val="1E7B061E"/>
    <w:rsid w:val="1E7B17A7"/>
    <w:rsid w:val="1E7C1D5B"/>
    <w:rsid w:val="1E7D45CD"/>
    <w:rsid w:val="1E7F009A"/>
    <w:rsid w:val="1E8079E2"/>
    <w:rsid w:val="1E827BFE"/>
    <w:rsid w:val="1E8460CD"/>
    <w:rsid w:val="1E867935"/>
    <w:rsid w:val="1E8C5499"/>
    <w:rsid w:val="1E8F1C6A"/>
    <w:rsid w:val="1E953136"/>
    <w:rsid w:val="1E9811D0"/>
    <w:rsid w:val="1E9B69E5"/>
    <w:rsid w:val="1E9D2597"/>
    <w:rsid w:val="1E9F255E"/>
    <w:rsid w:val="1EA26876"/>
    <w:rsid w:val="1EA26D96"/>
    <w:rsid w:val="1EA35913"/>
    <w:rsid w:val="1EA731C1"/>
    <w:rsid w:val="1EA85CA2"/>
    <w:rsid w:val="1EA96F39"/>
    <w:rsid w:val="1EAA2CB1"/>
    <w:rsid w:val="1EAA4A5F"/>
    <w:rsid w:val="1EAE6C60"/>
    <w:rsid w:val="1EAF2B4E"/>
    <w:rsid w:val="1EB317B6"/>
    <w:rsid w:val="1EB31B66"/>
    <w:rsid w:val="1EB85C2F"/>
    <w:rsid w:val="1EBA1146"/>
    <w:rsid w:val="1EBF0EDC"/>
    <w:rsid w:val="1EC11CD6"/>
    <w:rsid w:val="1EC12041"/>
    <w:rsid w:val="1EC3040C"/>
    <w:rsid w:val="1EC44A63"/>
    <w:rsid w:val="1EC51899"/>
    <w:rsid w:val="1EC65D3D"/>
    <w:rsid w:val="1EC92D05"/>
    <w:rsid w:val="1ECA5539"/>
    <w:rsid w:val="1ECD288F"/>
    <w:rsid w:val="1ECD4154"/>
    <w:rsid w:val="1ED2071A"/>
    <w:rsid w:val="1ED65EDA"/>
    <w:rsid w:val="1ED73102"/>
    <w:rsid w:val="1EDB183D"/>
    <w:rsid w:val="1EDB254B"/>
    <w:rsid w:val="1EDC02C9"/>
    <w:rsid w:val="1EDF295B"/>
    <w:rsid w:val="1EE00481"/>
    <w:rsid w:val="1EE73AE8"/>
    <w:rsid w:val="1EE965F2"/>
    <w:rsid w:val="1EEC1623"/>
    <w:rsid w:val="1EEC608F"/>
    <w:rsid w:val="1EED3AD9"/>
    <w:rsid w:val="1EF1268E"/>
    <w:rsid w:val="1EFA3C38"/>
    <w:rsid w:val="1EFB3CFD"/>
    <w:rsid w:val="1EFD67DD"/>
    <w:rsid w:val="1F0423C1"/>
    <w:rsid w:val="1F0711FD"/>
    <w:rsid w:val="1F071EB1"/>
    <w:rsid w:val="1F095831"/>
    <w:rsid w:val="1F0A3F2F"/>
    <w:rsid w:val="1F122D30"/>
    <w:rsid w:val="1F127F3C"/>
    <w:rsid w:val="1F176598"/>
    <w:rsid w:val="1F185CE8"/>
    <w:rsid w:val="1F185E6D"/>
    <w:rsid w:val="1F1C3BAF"/>
    <w:rsid w:val="1F1F71FB"/>
    <w:rsid w:val="1F2043D3"/>
    <w:rsid w:val="1F2206B2"/>
    <w:rsid w:val="1F2243C6"/>
    <w:rsid w:val="1F2667DB"/>
    <w:rsid w:val="1F2B48C1"/>
    <w:rsid w:val="1F2C2346"/>
    <w:rsid w:val="1F313C87"/>
    <w:rsid w:val="1F353D1C"/>
    <w:rsid w:val="1F361B1D"/>
    <w:rsid w:val="1F38650F"/>
    <w:rsid w:val="1F3C1B5B"/>
    <w:rsid w:val="1F3C7DAD"/>
    <w:rsid w:val="1F437144"/>
    <w:rsid w:val="1F4416ED"/>
    <w:rsid w:val="1F47337D"/>
    <w:rsid w:val="1F4849A4"/>
    <w:rsid w:val="1F4B48B0"/>
    <w:rsid w:val="1F4E188E"/>
    <w:rsid w:val="1F515D31"/>
    <w:rsid w:val="1F5350F7"/>
    <w:rsid w:val="1F5844BB"/>
    <w:rsid w:val="1F5A6485"/>
    <w:rsid w:val="1F5D7D23"/>
    <w:rsid w:val="1F5F4E35"/>
    <w:rsid w:val="1F623366"/>
    <w:rsid w:val="1F6410B2"/>
    <w:rsid w:val="1F645955"/>
    <w:rsid w:val="1F6E53CE"/>
    <w:rsid w:val="1F6E7612"/>
    <w:rsid w:val="1F70574E"/>
    <w:rsid w:val="1F707A57"/>
    <w:rsid w:val="1F75506D"/>
    <w:rsid w:val="1F780145"/>
    <w:rsid w:val="1F782D27"/>
    <w:rsid w:val="1F7844F3"/>
    <w:rsid w:val="1F78690B"/>
    <w:rsid w:val="1F7A6F14"/>
    <w:rsid w:val="1F7C349D"/>
    <w:rsid w:val="1F7D07B7"/>
    <w:rsid w:val="1F7E7F2B"/>
    <w:rsid w:val="1F7F413E"/>
    <w:rsid w:val="1F817B8B"/>
    <w:rsid w:val="1F8654CC"/>
    <w:rsid w:val="1F89012D"/>
    <w:rsid w:val="1F8A2A58"/>
    <w:rsid w:val="1F8A6DC0"/>
    <w:rsid w:val="1F8B1B0A"/>
    <w:rsid w:val="1F8E612F"/>
    <w:rsid w:val="1F8F412D"/>
    <w:rsid w:val="1F987826"/>
    <w:rsid w:val="1F9A0AA8"/>
    <w:rsid w:val="1F9F033C"/>
    <w:rsid w:val="1FA07098"/>
    <w:rsid w:val="1FA12306"/>
    <w:rsid w:val="1FA22915"/>
    <w:rsid w:val="1FA30DD9"/>
    <w:rsid w:val="1FA34505"/>
    <w:rsid w:val="1FA45952"/>
    <w:rsid w:val="1FA811E2"/>
    <w:rsid w:val="1FA910D9"/>
    <w:rsid w:val="1FAA3BB8"/>
    <w:rsid w:val="1FAA6ACB"/>
    <w:rsid w:val="1FAC1102"/>
    <w:rsid w:val="1FAD0CAB"/>
    <w:rsid w:val="1FAF58BA"/>
    <w:rsid w:val="1FB212F0"/>
    <w:rsid w:val="1FB21E1D"/>
    <w:rsid w:val="1FB45B95"/>
    <w:rsid w:val="1FB72505"/>
    <w:rsid w:val="1FB85780"/>
    <w:rsid w:val="1FBB64FE"/>
    <w:rsid w:val="1FBC4A4A"/>
    <w:rsid w:val="1FBD191B"/>
    <w:rsid w:val="1FBE1E68"/>
    <w:rsid w:val="1FBF42F0"/>
    <w:rsid w:val="1FC23CA6"/>
    <w:rsid w:val="1FC34680"/>
    <w:rsid w:val="1FC43480"/>
    <w:rsid w:val="1FC60E64"/>
    <w:rsid w:val="1FC63C3B"/>
    <w:rsid w:val="1FC81641"/>
    <w:rsid w:val="1FCA53B9"/>
    <w:rsid w:val="1FCF1074"/>
    <w:rsid w:val="1FCF11BD"/>
    <w:rsid w:val="1FCF454F"/>
    <w:rsid w:val="1FCF6E73"/>
    <w:rsid w:val="1FD224BF"/>
    <w:rsid w:val="1FD2426D"/>
    <w:rsid w:val="1FD3182D"/>
    <w:rsid w:val="1FD37C06"/>
    <w:rsid w:val="1FD37F71"/>
    <w:rsid w:val="1FD443D0"/>
    <w:rsid w:val="1FD44CFB"/>
    <w:rsid w:val="1FD56418"/>
    <w:rsid w:val="1FD60425"/>
    <w:rsid w:val="1FD6376A"/>
    <w:rsid w:val="1FD91AA0"/>
    <w:rsid w:val="1FDA1374"/>
    <w:rsid w:val="1FDA4F80"/>
    <w:rsid w:val="1FDC6E9A"/>
    <w:rsid w:val="1FDD6513"/>
    <w:rsid w:val="1FDE50C0"/>
    <w:rsid w:val="1FDE70B6"/>
    <w:rsid w:val="1FDF3B9A"/>
    <w:rsid w:val="1FE02E2E"/>
    <w:rsid w:val="1FE30229"/>
    <w:rsid w:val="1FE83A91"/>
    <w:rsid w:val="1FEB6D18"/>
    <w:rsid w:val="1FEE6323"/>
    <w:rsid w:val="1FF93EF0"/>
    <w:rsid w:val="1FFD0626"/>
    <w:rsid w:val="1FFE5062"/>
    <w:rsid w:val="20032679"/>
    <w:rsid w:val="20056D34"/>
    <w:rsid w:val="200A1C59"/>
    <w:rsid w:val="200A3E71"/>
    <w:rsid w:val="200D12EE"/>
    <w:rsid w:val="200D3ECA"/>
    <w:rsid w:val="200D799B"/>
    <w:rsid w:val="200E191F"/>
    <w:rsid w:val="201041BF"/>
    <w:rsid w:val="201059D3"/>
    <w:rsid w:val="20126D60"/>
    <w:rsid w:val="201725C8"/>
    <w:rsid w:val="20186AD4"/>
    <w:rsid w:val="201C45A5"/>
    <w:rsid w:val="202055FF"/>
    <w:rsid w:val="20213D83"/>
    <w:rsid w:val="20234AC9"/>
    <w:rsid w:val="20250841"/>
    <w:rsid w:val="20270A5D"/>
    <w:rsid w:val="202A5D88"/>
    <w:rsid w:val="202B1BD0"/>
    <w:rsid w:val="202B7490"/>
    <w:rsid w:val="202F1015"/>
    <w:rsid w:val="202F16C0"/>
    <w:rsid w:val="203411E0"/>
    <w:rsid w:val="203942EC"/>
    <w:rsid w:val="203C3DDD"/>
    <w:rsid w:val="203C7518"/>
    <w:rsid w:val="20422D68"/>
    <w:rsid w:val="204363AB"/>
    <w:rsid w:val="204607B7"/>
    <w:rsid w:val="204A7D65"/>
    <w:rsid w:val="204F1D62"/>
    <w:rsid w:val="20515ADA"/>
    <w:rsid w:val="20543FF2"/>
    <w:rsid w:val="20546C12"/>
    <w:rsid w:val="20560B41"/>
    <w:rsid w:val="20564E9E"/>
    <w:rsid w:val="2057365A"/>
    <w:rsid w:val="2059673D"/>
    <w:rsid w:val="205B0707"/>
    <w:rsid w:val="205B0781"/>
    <w:rsid w:val="205B427C"/>
    <w:rsid w:val="205B7B79"/>
    <w:rsid w:val="205C4E1A"/>
    <w:rsid w:val="205D622D"/>
    <w:rsid w:val="205E01F7"/>
    <w:rsid w:val="205E08CC"/>
    <w:rsid w:val="20643044"/>
    <w:rsid w:val="206724B7"/>
    <w:rsid w:val="206A1A74"/>
    <w:rsid w:val="206A5728"/>
    <w:rsid w:val="206A6B9C"/>
    <w:rsid w:val="206D21E8"/>
    <w:rsid w:val="2074045F"/>
    <w:rsid w:val="207417C9"/>
    <w:rsid w:val="207517EB"/>
    <w:rsid w:val="20757BD3"/>
    <w:rsid w:val="20790B8D"/>
    <w:rsid w:val="207D242B"/>
    <w:rsid w:val="2080016D"/>
    <w:rsid w:val="20823EE5"/>
    <w:rsid w:val="20831A0C"/>
    <w:rsid w:val="208D61FC"/>
    <w:rsid w:val="20907343"/>
    <w:rsid w:val="20922D73"/>
    <w:rsid w:val="20941FD8"/>
    <w:rsid w:val="20943C19"/>
    <w:rsid w:val="209440A5"/>
    <w:rsid w:val="20983709"/>
    <w:rsid w:val="209B0B03"/>
    <w:rsid w:val="209E4D89"/>
    <w:rsid w:val="209F5EE6"/>
    <w:rsid w:val="20A15D31"/>
    <w:rsid w:val="20A200E4"/>
    <w:rsid w:val="20A3138F"/>
    <w:rsid w:val="20A52531"/>
    <w:rsid w:val="20AA343C"/>
    <w:rsid w:val="20AF2801"/>
    <w:rsid w:val="20B35E4D"/>
    <w:rsid w:val="20B6365F"/>
    <w:rsid w:val="20B8603C"/>
    <w:rsid w:val="20BC06E0"/>
    <w:rsid w:val="20BC5287"/>
    <w:rsid w:val="20C232B3"/>
    <w:rsid w:val="20C24910"/>
    <w:rsid w:val="20C36E63"/>
    <w:rsid w:val="20C4005A"/>
    <w:rsid w:val="20C444FE"/>
    <w:rsid w:val="20C462AC"/>
    <w:rsid w:val="20CB2320"/>
    <w:rsid w:val="20CD22D9"/>
    <w:rsid w:val="20CF2503"/>
    <w:rsid w:val="20D500B9"/>
    <w:rsid w:val="20D64DCD"/>
    <w:rsid w:val="20D81D57"/>
    <w:rsid w:val="20DA5ACF"/>
    <w:rsid w:val="20DB793B"/>
    <w:rsid w:val="20DC0E61"/>
    <w:rsid w:val="20E34258"/>
    <w:rsid w:val="20E406FC"/>
    <w:rsid w:val="20E54C5C"/>
    <w:rsid w:val="20E7310B"/>
    <w:rsid w:val="20E80E3E"/>
    <w:rsid w:val="20E90B8D"/>
    <w:rsid w:val="20F12E0D"/>
    <w:rsid w:val="20F546B7"/>
    <w:rsid w:val="20F74607"/>
    <w:rsid w:val="20FD17BE"/>
    <w:rsid w:val="20FD279C"/>
    <w:rsid w:val="20FF1092"/>
    <w:rsid w:val="20FF72E4"/>
    <w:rsid w:val="21020B82"/>
    <w:rsid w:val="21023C85"/>
    <w:rsid w:val="210466A8"/>
    <w:rsid w:val="21093CBF"/>
    <w:rsid w:val="210A5FD9"/>
    <w:rsid w:val="210C16C7"/>
    <w:rsid w:val="210E7527"/>
    <w:rsid w:val="210F3320"/>
    <w:rsid w:val="21106544"/>
    <w:rsid w:val="211612EB"/>
    <w:rsid w:val="21163F3A"/>
    <w:rsid w:val="211650E6"/>
    <w:rsid w:val="211712A5"/>
    <w:rsid w:val="211D2ED8"/>
    <w:rsid w:val="211F2F47"/>
    <w:rsid w:val="211F7986"/>
    <w:rsid w:val="21233D21"/>
    <w:rsid w:val="21234242"/>
    <w:rsid w:val="2123526F"/>
    <w:rsid w:val="212524E4"/>
    <w:rsid w:val="21254CE9"/>
    <w:rsid w:val="21280C9E"/>
    <w:rsid w:val="212A3F06"/>
    <w:rsid w:val="212B632B"/>
    <w:rsid w:val="21317133"/>
    <w:rsid w:val="213175AD"/>
    <w:rsid w:val="21326626"/>
    <w:rsid w:val="213276BA"/>
    <w:rsid w:val="21365523"/>
    <w:rsid w:val="21366A7E"/>
    <w:rsid w:val="21370624"/>
    <w:rsid w:val="21380A48"/>
    <w:rsid w:val="21396E8B"/>
    <w:rsid w:val="214178FD"/>
    <w:rsid w:val="2144364C"/>
    <w:rsid w:val="214611D6"/>
    <w:rsid w:val="21471BB1"/>
    <w:rsid w:val="21486EDD"/>
    <w:rsid w:val="21494A03"/>
    <w:rsid w:val="214B4553"/>
    <w:rsid w:val="215009B0"/>
    <w:rsid w:val="21522CCD"/>
    <w:rsid w:val="215240CB"/>
    <w:rsid w:val="21543588"/>
    <w:rsid w:val="21563CAC"/>
    <w:rsid w:val="215A451A"/>
    <w:rsid w:val="215A54C1"/>
    <w:rsid w:val="215A6C10"/>
    <w:rsid w:val="215E2E47"/>
    <w:rsid w:val="21625939"/>
    <w:rsid w:val="21645E0A"/>
    <w:rsid w:val="21676C37"/>
    <w:rsid w:val="216917F7"/>
    <w:rsid w:val="216C0868"/>
    <w:rsid w:val="216D6919"/>
    <w:rsid w:val="216E62AB"/>
    <w:rsid w:val="21741606"/>
    <w:rsid w:val="21753704"/>
    <w:rsid w:val="21761ACC"/>
    <w:rsid w:val="217934DB"/>
    <w:rsid w:val="217961F5"/>
    <w:rsid w:val="217C0935"/>
    <w:rsid w:val="2180419A"/>
    <w:rsid w:val="2180579B"/>
    <w:rsid w:val="21855BBA"/>
    <w:rsid w:val="21862C6D"/>
    <w:rsid w:val="218745C3"/>
    <w:rsid w:val="21893052"/>
    <w:rsid w:val="21893C3E"/>
    <w:rsid w:val="218D3D3E"/>
    <w:rsid w:val="218E2416"/>
    <w:rsid w:val="218F11BD"/>
    <w:rsid w:val="218F3D3D"/>
    <w:rsid w:val="219026D1"/>
    <w:rsid w:val="219269E0"/>
    <w:rsid w:val="219306D3"/>
    <w:rsid w:val="21933ED0"/>
    <w:rsid w:val="21957C48"/>
    <w:rsid w:val="219B4444"/>
    <w:rsid w:val="219F2875"/>
    <w:rsid w:val="21A01935"/>
    <w:rsid w:val="21A13937"/>
    <w:rsid w:val="21A41C3A"/>
    <w:rsid w:val="21A424DE"/>
    <w:rsid w:val="21A56FE5"/>
    <w:rsid w:val="21AB746C"/>
    <w:rsid w:val="21AD4952"/>
    <w:rsid w:val="21AE3E3A"/>
    <w:rsid w:val="21B07388"/>
    <w:rsid w:val="21B70421"/>
    <w:rsid w:val="21B8529F"/>
    <w:rsid w:val="21BA4C33"/>
    <w:rsid w:val="21BB0A2F"/>
    <w:rsid w:val="21BB7296"/>
    <w:rsid w:val="21BE0F4D"/>
    <w:rsid w:val="21BF6A73"/>
    <w:rsid w:val="21BF72DD"/>
    <w:rsid w:val="21C10E49"/>
    <w:rsid w:val="21C4164F"/>
    <w:rsid w:val="21C422DC"/>
    <w:rsid w:val="21C66054"/>
    <w:rsid w:val="21C83B7A"/>
    <w:rsid w:val="21CE3F73"/>
    <w:rsid w:val="21CE446B"/>
    <w:rsid w:val="21D2742D"/>
    <w:rsid w:val="21DB1D8E"/>
    <w:rsid w:val="21DB44E3"/>
    <w:rsid w:val="21DB4742"/>
    <w:rsid w:val="21DF35AE"/>
    <w:rsid w:val="21E02801"/>
    <w:rsid w:val="21E0295D"/>
    <w:rsid w:val="21E10E5D"/>
    <w:rsid w:val="21E1137E"/>
    <w:rsid w:val="21E800D1"/>
    <w:rsid w:val="21EA3FCB"/>
    <w:rsid w:val="21EA5DD8"/>
    <w:rsid w:val="21EC0DB5"/>
    <w:rsid w:val="21ED1793"/>
    <w:rsid w:val="21ED6A33"/>
    <w:rsid w:val="21EE14A6"/>
    <w:rsid w:val="21EF7359"/>
    <w:rsid w:val="21F46788"/>
    <w:rsid w:val="21F72ED0"/>
    <w:rsid w:val="21FA7AAB"/>
    <w:rsid w:val="21FB57DD"/>
    <w:rsid w:val="220175E3"/>
    <w:rsid w:val="22056B7C"/>
    <w:rsid w:val="220628F4"/>
    <w:rsid w:val="22066531"/>
    <w:rsid w:val="220770D0"/>
    <w:rsid w:val="220939AB"/>
    <w:rsid w:val="22094FFD"/>
    <w:rsid w:val="221008D5"/>
    <w:rsid w:val="22123047"/>
    <w:rsid w:val="22143A35"/>
    <w:rsid w:val="22145B61"/>
    <w:rsid w:val="22160D89"/>
    <w:rsid w:val="22162B37"/>
    <w:rsid w:val="221676C6"/>
    <w:rsid w:val="2217065D"/>
    <w:rsid w:val="22172BBE"/>
    <w:rsid w:val="2219503C"/>
    <w:rsid w:val="221C21DB"/>
    <w:rsid w:val="22201AA4"/>
    <w:rsid w:val="2223045B"/>
    <w:rsid w:val="22250B98"/>
    <w:rsid w:val="22280ABD"/>
    <w:rsid w:val="2228635C"/>
    <w:rsid w:val="222D60D3"/>
    <w:rsid w:val="222F223B"/>
    <w:rsid w:val="222F62DB"/>
    <w:rsid w:val="22355F97"/>
    <w:rsid w:val="22364E11"/>
    <w:rsid w:val="223A41F0"/>
    <w:rsid w:val="223B07F0"/>
    <w:rsid w:val="223B259E"/>
    <w:rsid w:val="224156DA"/>
    <w:rsid w:val="224537FE"/>
    <w:rsid w:val="224623B3"/>
    <w:rsid w:val="2246693F"/>
    <w:rsid w:val="22487082"/>
    <w:rsid w:val="22490B1F"/>
    <w:rsid w:val="224B0307"/>
    <w:rsid w:val="224D22D1"/>
    <w:rsid w:val="224F6054"/>
    <w:rsid w:val="224F7DF7"/>
    <w:rsid w:val="225002F2"/>
    <w:rsid w:val="22531398"/>
    <w:rsid w:val="22544E1C"/>
    <w:rsid w:val="22561186"/>
    <w:rsid w:val="22563050"/>
    <w:rsid w:val="22572B2A"/>
    <w:rsid w:val="225A0C09"/>
    <w:rsid w:val="225C42C2"/>
    <w:rsid w:val="225D37B5"/>
    <w:rsid w:val="226513C9"/>
    <w:rsid w:val="226A2E83"/>
    <w:rsid w:val="226B0A0C"/>
    <w:rsid w:val="226E2973"/>
    <w:rsid w:val="22700284"/>
    <w:rsid w:val="22712221"/>
    <w:rsid w:val="2272087D"/>
    <w:rsid w:val="22721D38"/>
    <w:rsid w:val="2274213B"/>
    <w:rsid w:val="2278245D"/>
    <w:rsid w:val="227B4222"/>
    <w:rsid w:val="22803731"/>
    <w:rsid w:val="22812984"/>
    <w:rsid w:val="2282185D"/>
    <w:rsid w:val="22853819"/>
    <w:rsid w:val="22857CBD"/>
    <w:rsid w:val="22876054"/>
    <w:rsid w:val="228A10D4"/>
    <w:rsid w:val="228B1DC1"/>
    <w:rsid w:val="228B5377"/>
    <w:rsid w:val="228D0920"/>
    <w:rsid w:val="228D1E28"/>
    <w:rsid w:val="22921D14"/>
    <w:rsid w:val="22947F00"/>
    <w:rsid w:val="22967FAA"/>
    <w:rsid w:val="229A37FF"/>
    <w:rsid w:val="229B128E"/>
    <w:rsid w:val="22A00653"/>
    <w:rsid w:val="22A04AF7"/>
    <w:rsid w:val="22A1558C"/>
    <w:rsid w:val="22A16AEF"/>
    <w:rsid w:val="22A25B06"/>
    <w:rsid w:val="22A740A9"/>
    <w:rsid w:val="22A95CE2"/>
    <w:rsid w:val="22AC06A2"/>
    <w:rsid w:val="22AC524A"/>
    <w:rsid w:val="22AC686C"/>
    <w:rsid w:val="22AD0808"/>
    <w:rsid w:val="22AF25C1"/>
    <w:rsid w:val="22B02FC7"/>
    <w:rsid w:val="22B10AB2"/>
    <w:rsid w:val="22B67A9D"/>
    <w:rsid w:val="22B67E76"/>
    <w:rsid w:val="22B70195"/>
    <w:rsid w:val="22C02AA3"/>
    <w:rsid w:val="22C41F87"/>
    <w:rsid w:val="22C425AD"/>
    <w:rsid w:val="22C70C2F"/>
    <w:rsid w:val="22C95DFC"/>
    <w:rsid w:val="22CE5187"/>
    <w:rsid w:val="22CE51C0"/>
    <w:rsid w:val="22CE54FD"/>
    <w:rsid w:val="22D622C7"/>
    <w:rsid w:val="22D64888"/>
    <w:rsid w:val="22D72A30"/>
    <w:rsid w:val="22DA60FF"/>
    <w:rsid w:val="22DA7E19"/>
    <w:rsid w:val="22DB63C9"/>
    <w:rsid w:val="22DD18A7"/>
    <w:rsid w:val="22E24891"/>
    <w:rsid w:val="22E26EBD"/>
    <w:rsid w:val="22E2773C"/>
    <w:rsid w:val="22E54E3C"/>
    <w:rsid w:val="22E7312D"/>
    <w:rsid w:val="22E759A1"/>
    <w:rsid w:val="22E87A3C"/>
    <w:rsid w:val="22EA5D72"/>
    <w:rsid w:val="22EC7098"/>
    <w:rsid w:val="22EE7610"/>
    <w:rsid w:val="22F12417"/>
    <w:rsid w:val="22F56BF1"/>
    <w:rsid w:val="22F57088"/>
    <w:rsid w:val="22FA65EF"/>
    <w:rsid w:val="22FD7853"/>
    <w:rsid w:val="22FF35CB"/>
    <w:rsid w:val="23004451"/>
    <w:rsid w:val="23007343"/>
    <w:rsid w:val="230617B4"/>
    <w:rsid w:val="230706D2"/>
    <w:rsid w:val="2309444A"/>
    <w:rsid w:val="230B6414"/>
    <w:rsid w:val="230C2E93"/>
    <w:rsid w:val="230E1A60"/>
    <w:rsid w:val="231045D3"/>
    <w:rsid w:val="23122559"/>
    <w:rsid w:val="231437A8"/>
    <w:rsid w:val="23156929"/>
    <w:rsid w:val="23164DB9"/>
    <w:rsid w:val="231828DF"/>
    <w:rsid w:val="231D1CA3"/>
    <w:rsid w:val="231E6D42"/>
    <w:rsid w:val="23204D36"/>
    <w:rsid w:val="232059B9"/>
    <w:rsid w:val="232A5278"/>
    <w:rsid w:val="232B0864"/>
    <w:rsid w:val="23305B59"/>
    <w:rsid w:val="23305E7B"/>
    <w:rsid w:val="233139A1"/>
    <w:rsid w:val="233314C7"/>
    <w:rsid w:val="23333275"/>
    <w:rsid w:val="23377209"/>
    <w:rsid w:val="23387465"/>
    <w:rsid w:val="233A3244"/>
    <w:rsid w:val="233C481F"/>
    <w:rsid w:val="233D0A90"/>
    <w:rsid w:val="233E17D0"/>
    <w:rsid w:val="23454AB8"/>
    <w:rsid w:val="2346744C"/>
    <w:rsid w:val="2347257A"/>
    <w:rsid w:val="23490CEA"/>
    <w:rsid w:val="234C0869"/>
    <w:rsid w:val="234D2E95"/>
    <w:rsid w:val="2351194D"/>
    <w:rsid w:val="23543F51"/>
    <w:rsid w:val="235B27CC"/>
    <w:rsid w:val="23614286"/>
    <w:rsid w:val="2368163D"/>
    <w:rsid w:val="236A4F7F"/>
    <w:rsid w:val="236B5495"/>
    <w:rsid w:val="236C6787"/>
    <w:rsid w:val="236D16F9"/>
    <w:rsid w:val="236E2B89"/>
    <w:rsid w:val="236E69A3"/>
    <w:rsid w:val="23700025"/>
    <w:rsid w:val="237415CC"/>
    <w:rsid w:val="2375407F"/>
    <w:rsid w:val="237A0EA4"/>
    <w:rsid w:val="237A33CF"/>
    <w:rsid w:val="237B7B91"/>
    <w:rsid w:val="237D2742"/>
    <w:rsid w:val="237E0A00"/>
    <w:rsid w:val="23833182"/>
    <w:rsid w:val="238B23D8"/>
    <w:rsid w:val="238D507B"/>
    <w:rsid w:val="238E494F"/>
    <w:rsid w:val="239042DF"/>
    <w:rsid w:val="23912418"/>
    <w:rsid w:val="239301B8"/>
    <w:rsid w:val="23930788"/>
    <w:rsid w:val="23955CDE"/>
    <w:rsid w:val="23962FBE"/>
    <w:rsid w:val="23976BA3"/>
    <w:rsid w:val="2398195C"/>
    <w:rsid w:val="23983A20"/>
    <w:rsid w:val="23992749"/>
    <w:rsid w:val="239F090A"/>
    <w:rsid w:val="239F4DAE"/>
    <w:rsid w:val="239F55C5"/>
    <w:rsid w:val="23A14683"/>
    <w:rsid w:val="23A34D10"/>
    <w:rsid w:val="23A423C5"/>
    <w:rsid w:val="23A52A48"/>
    <w:rsid w:val="23A57F77"/>
    <w:rsid w:val="23A93537"/>
    <w:rsid w:val="23AA169B"/>
    <w:rsid w:val="23AA508F"/>
    <w:rsid w:val="23AD3845"/>
    <w:rsid w:val="23B0363D"/>
    <w:rsid w:val="23BD5235"/>
    <w:rsid w:val="23C12F77"/>
    <w:rsid w:val="23C3377E"/>
    <w:rsid w:val="23C6233B"/>
    <w:rsid w:val="23C7127F"/>
    <w:rsid w:val="23CD2307"/>
    <w:rsid w:val="23D031BA"/>
    <w:rsid w:val="23D13FED"/>
    <w:rsid w:val="23D208E0"/>
    <w:rsid w:val="23D5432C"/>
    <w:rsid w:val="23D81F29"/>
    <w:rsid w:val="23DC4E4F"/>
    <w:rsid w:val="23DD1CD2"/>
    <w:rsid w:val="23E12553"/>
    <w:rsid w:val="23E46C65"/>
    <w:rsid w:val="23E822B1"/>
    <w:rsid w:val="23EB7CF9"/>
    <w:rsid w:val="23EC3D11"/>
    <w:rsid w:val="23EE2F4C"/>
    <w:rsid w:val="23F073B8"/>
    <w:rsid w:val="23F30C56"/>
    <w:rsid w:val="23F6274F"/>
    <w:rsid w:val="23F6609A"/>
    <w:rsid w:val="23F84985"/>
    <w:rsid w:val="23FC0568"/>
    <w:rsid w:val="23FC7B0B"/>
    <w:rsid w:val="240107DF"/>
    <w:rsid w:val="24056520"/>
    <w:rsid w:val="2406444A"/>
    <w:rsid w:val="24077A99"/>
    <w:rsid w:val="240819AC"/>
    <w:rsid w:val="24082954"/>
    <w:rsid w:val="24082FAE"/>
    <w:rsid w:val="24092228"/>
    <w:rsid w:val="240A3D9B"/>
    <w:rsid w:val="240C69F5"/>
    <w:rsid w:val="240C7194"/>
    <w:rsid w:val="24104883"/>
    <w:rsid w:val="24111746"/>
    <w:rsid w:val="24156E1F"/>
    <w:rsid w:val="24166017"/>
    <w:rsid w:val="24171269"/>
    <w:rsid w:val="2418536D"/>
    <w:rsid w:val="241906BD"/>
    <w:rsid w:val="24194A6A"/>
    <w:rsid w:val="241D11AC"/>
    <w:rsid w:val="24254611"/>
    <w:rsid w:val="24254631"/>
    <w:rsid w:val="2427002B"/>
    <w:rsid w:val="24277076"/>
    <w:rsid w:val="242833E7"/>
    <w:rsid w:val="242B1D92"/>
    <w:rsid w:val="242E481E"/>
    <w:rsid w:val="24357594"/>
    <w:rsid w:val="24376D95"/>
    <w:rsid w:val="243A1B1F"/>
    <w:rsid w:val="243A7458"/>
    <w:rsid w:val="243F3E9B"/>
    <w:rsid w:val="243F5C4A"/>
    <w:rsid w:val="24412260"/>
    <w:rsid w:val="24431BDE"/>
    <w:rsid w:val="24480FA2"/>
    <w:rsid w:val="24483A89"/>
    <w:rsid w:val="24494071"/>
    <w:rsid w:val="244B6DB4"/>
    <w:rsid w:val="244C13EC"/>
    <w:rsid w:val="24521E21"/>
    <w:rsid w:val="24530E84"/>
    <w:rsid w:val="24540840"/>
    <w:rsid w:val="245423B4"/>
    <w:rsid w:val="24545B99"/>
    <w:rsid w:val="24562D0D"/>
    <w:rsid w:val="245F6759"/>
    <w:rsid w:val="246062EC"/>
    <w:rsid w:val="24627762"/>
    <w:rsid w:val="24636FF4"/>
    <w:rsid w:val="2466102F"/>
    <w:rsid w:val="246658A8"/>
    <w:rsid w:val="246851A0"/>
    <w:rsid w:val="246F2BD8"/>
    <w:rsid w:val="24704055"/>
    <w:rsid w:val="24741D97"/>
    <w:rsid w:val="24742B1F"/>
    <w:rsid w:val="2477127B"/>
    <w:rsid w:val="247753E3"/>
    <w:rsid w:val="247B03E6"/>
    <w:rsid w:val="247B3883"/>
    <w:rsid w:val="247C6455"/>
    <w:rsid w:val="24803BF9"/>
    <w:rsid w:val="248845B3"/>
    <w:rsid w:val="248C1A8E"/>
    <w:rsid w:val="248D10AB"/>
    <w:rsid w:val="248D64E1"/>
    <w:rsid w:val="24901D28"/>
    <w:rsid w:val="249146F7"/>
    <w:rsid w:val="249266C1"/>
    <w:rsid w:val="249715B5"/>
    <w:rsid w:val="249935AC"/>
    <w:rsid w:val="249A1A58"/>
    <w:rsid w:val="249A1C21"/>
    <w:rsid w:val="249C61C9"/>
    <w:rsid w:val="249E51A6"/>
    <w:rsid w:val="24A1364C"/>
    <w:rsid w:val="24A76E7A"/>
    <w:rsid w:val="24AC0D88"/>
    <w:rsid w:val="24AE4BCF"/>
    <w:rsid w:val="24AE52A6"/>
    <w:rsid w:val="24AF2DCF"/>
    <w:rsid w:val="24B0799F"/>
    <w:rsid w:val="24B13E75"/>
    <w:rsid w:val="24B16B47"/>
    <w:rsid w:val="24B25722"/>
    <w:rsid w:val="24B65409"/>
    <w:rsid w:val="24B85758"/>
    <w:rsid w:val="24B959FC"/>
    <w:rsid w:val="24BD373E"/>
    <w:rsid w:val="24BE3012"/>
    <w:rsid w:val="24BF043F"/>
    <w:rsid w:val="24C26FA6"/>
    <w:rsid w:val="24C32F10"/>
    <w:rsid w:val="24C3687B"/>
    <w:rsid w:val="24C534EE"/>
    <w:rsid w:val="24C5740B"/>
    <w:rsid w:val="24C860F1"/>
    <w:rsid w:val="24C95F53"/>
    <w:rsid w:val="24CB2565"/>
    <w:rsid w:val="24CE259C"/>
    <w:rsid w:val="24CE34DB"/>
    <w:rsid w:val="24D11DC3"/>
    <w:rsid w:val="24D345D7"/>
    <w:rsid w:val="24D605DF"/>
    <w:rsid w:val="24D629A0"/>
    <w:rsid w:val="24D8259E"/>
    <w:rsid w:val="24DA4A4B"/>
    <w:rsid w:val="24DB5972"/>
    <w:rsid w:val="24E2057E"/>
    <w:rsid w:val="24E34EEF"/>
    <w:rsid w:val="24E448AE"/>
    <w:rsid w:val="24E46C1F"/>
    <w:rsid w:val="24E74595"/>
    <w:rsid w:val="24E9480D"/>
    <w:rsid w:val="24F27517"/>
    <w:rsid w:val="24F95E65"/>
    <w:rsid w:val="24FA29B1"/>
    <w:rsid w:val="24FE5B05"/>
    <w:rsid w:val="25022F57"/>
    <w:rsid w:val="25026FCD"/>
    <w:rsid w:val="25034FD5"/>
    <w:rsid w:val="25047C49"/>
    <w:rsid w:val="2505707F"/>
    <w:rsid w:val="25093EC8"/>
    <w:rsid w:val="250B0F1D"/>
    <w:rsid w:val="250C6474"/>
    <w:rsid w:val="250F38DA"/>
    <w:rsid w:val="25166EE7"/>
    <w:rsid w:val="251671A6"/>
    <w:rsid w:val="25237270"/>
    <w:rsid w:val="2524216A"/>
    <w:rsid w:val="2524556B"/>
    <w:rsid w:val="252A06A8"/>
    <w:rsid w:val="252B4B4C"/>
    <w:rsid w:val="252D7C9D"/>
    <w:rsid w:val="252E6DC3"/>
    <w:rsid w:val="252F7AFA"/>
    <w:rsid w:val="25331C52"/>
    <w:rsid w:val="25333A00"/>
    <w:rsid w:val="2533755C"/>
    <w:rsid w:val="253432D4"/>
    <w:rsid w:val="2536704D"/>
    <w:rsid w:val="25390394"/>
    <w:rsid w:val="253C0302"/>
    <w:rsid w:val="253C6BA7"/>
    <w:rsid w:val="25401C79"/>
    <w:rsid w:val="254042AE"/>
    <w:rsid w:val="254128E9"/>
    <w:rsid w:val="25423C43"/>
    <w:rsid w:val="2547252A"/>
    <w:rsid w:val="2548091A"/>
    <w:rsid w:val="25486290"/>
    <w:rsid w:val="25494107"/>
    <w:rsid w:val="25496D80"/>
    <w:rsid w:val="254A2AF8"/>
    <w:rsid w:val="254E4396"/>
    <w:rsid w:val="25505BF5"/>
    <w:rsid w:val="25516BE7"/>
    <w:rsid w:val="25535E50"/>
    <w:rsid w:val="25537BFE"/>
    <w:rsid w:val="25561F18"/>
    <w:rsid w:val="2557364F"/>
    <w:rsid w:val="25592B49"/>
    <w:rsid w:val="255D282B"/>
    <w:rsid w:val="255D2E63"/>
    <w:rsid w:val="255E7CE1"/>
    <w:rsid w:val="256242E5"/>
    <w:rsid w:val="25665B84"/>
    <w:rsid w:val="25672D36"/>
    <w:rsid w:val="256838D4"/>
    <w:rsid w:val="25683A99"/>
    <w:rsid w:val="256849C3"/>
    <w:rsid w:val="256A4F48"/>
    <w:rsid w:val="256B13EC"/>
    <w:rsid w:val="257009B9"/>
    <w:rsid w:val="2570755D"/>
    <w:rsid w:val="25755DC7"/>
    <w:rsid w:val="25777E8D"/>
    <w:rsid w:val="25783B09"/>
    <w:rsid w:val="257864D0"/>
    <w:rsid w:val="257A33DD"/>
    <w:rsid w:val="2580476C"/>
    <w:rsid w:val="2580651A"/>
    <w:rsid w:val="258157FF"/>
    <w:rsid w:val="25835540"/>
    <w:rsid w:val="25861D82"/>
    <w:rsid w:val="25867FD4"/>
    <w:rsid w:val="258826B1"/>
    <w:rsid w:val="25897AC4"/>
    <w:rsid w:val="258E6E89"/>
    <w:rsid w:val="259326F1"/>
    <w:rsid w:val="25951FC5"/>
    <w:rsid w:val="25965D3D"/>
    <w:rsid w:val="25994B0F"/>
    <w:rsid w:val="259A4FE0"/>
    <w:rsid w:val="259F2E44"/>
    <w:rsid w:val="25A33C5F"/>
    <w:rsid w:val="25A4663F"/>
    <w:rsid w:val="25A641D2"/>
    <w:rsid w:val="25A718F0"/>
    <w:rsid w:val="25AA2166"/>
    <w:rsid w:val="25AD37B3"/>
    <w:rsid w:val="25AE12D9"/>
    <w:rsid w:val="25AF7A72"/>
    <w:rsid w:val="25BA5ED0"/>
    <w:rsid w:val="25BA797A"/>
    <w:rsid w:val="25BC0EAB"/>
    <w:rsid w:val="25BC18EC"/>
    <w:rsid w:val="25BC39F6"/>
    <w:rsid w:val="25C407B9"/>
    <w:rsid w:val="25C4747C"/>
    <w:rsid w:val="25CC175F"/>
    <w:rsid w:val="25CC6A1F"/>
    <w:rsid w:val="25CE54D7"/>
    <w:rsid w:val="25D16D75"/>
    <w:rsid w:val="25D54AB7"/>
    <w:rsid w:val="25D85F35"/>
    <w:rsid w:val="25DA20CE"/>
    <w:rsid w:val="25DB5F88"/>
    <w:rsid w:val="25DB7E88"/>
    <w:rsid w:val="25DC036B"/>
    <w:rsid w:val="25DE0132"/>
    <w:rsid w:val="25DE3A9F"/>
    <w:rsid w:val="25DF754C"/>
    <w:rsid w:val="25E35426"/>
    <w:rsid w:val="25E46AA9"/>
    <w:rsid w:val="25E57259"/>
    <w:rsid w:val="25E66CC5"/>
    <w:rsid w:val="25EB42DB"/>
    <w:rsid w:val="25EB6089"/>
    <w:rsid w:val="25EF6D72"/>
    <w:rsid w:val="25F0544D"/>
    <w:rsid w:val="25F062CF"/>
    <w:rsid w:val="25F20923"/>
    <w:rsid w:val="25F34F3E"/>
    <w:rsid w:val="25F41C17"/>
    <w:rsid w:val="25F42E5C"/>
    <w:rsid w:val="25F70468"/>
    <w:rsid w:val="25F73B8D"/>
    <w:rsid w:val="25F82554"/>
    <w:rsid w:val="25F91FC1"/>
    <w:rsid w:val="25F95EEC"/>
    <w:rsid w:val="25F9772D"/>
    <w:rsid w:val="25FD13A3"/>
    <w:rsid w:val="25FF2CBA"/>
    <w:rsid w:val="2604714B"/>
    <w:rsid w:val="26063582"/>
    <w:rsid w:val="2607719D"/>
    <w:rsid w:val="26084AA1"/>
    <w:rsid w:val="260E1D77"/>
    <w:rsid w:val="2610789E"/>
    <w:rsid w:val="261206FC"/>
    <w:rsid w:val="26121868"/>
    <w:rsid w:val="261455E0"/>
    <w:rsid w:val="26146435"/>
    <w:rsid w:val="26154EB4"/>
    <w:rsid w:val="261A4BC0"/>
    <w:rsid w:val="261A6F67"/>
    <w:rsid w:val="261E1534"/>
    <w:rsid w:val="261F4FA8"/>
    <w:rsid w:val="26220521"/>
    <w:rsid w:val="26250192"/>
    <w:rsid w:val="2625676F"/>
    <w:rsid w:val="2626084E"/>
    <w:rsid w:val="26282E39"/>
    <w:rsid w:val="26320A21"/>
    <w:rsid w:val="2632688F"/>
    <w:rsid w:val="26342666"/>
    <w:rsid w:val="26363369"/>
    <w:rsid w:val="263D67D5"/>
    <w:rsid w:val="263E265D"/>
    <w:rsid w:val="264834DB"/>
    <w:rsid w:val="264D0840"/>
    <w:rsid w:val="264D6D44"/>
    <w:rsid w:val="264E7968"/>
    <w:rsid w:val="265022D2"/>
    <w:rsid w:val="265231DC"/>
    <w:rsid w:val="26527EB6"/>
    <w:rsid w:val="26575474"/>
    <w:rsid w:val="26575A80"/>
    <w:rsid w:val="265B5CF5"/>
    <w:rsid w:val="265E0B0C"/>
    <w:rsid w:val="265F1667"/>
    <w:rsid w:val="265F5E1D"/>
    <w:rsid w:val="266073AE"/>
    <w:rsid w:val="266462D5"/>
    <w:rsid w:val="26655E3B"/>
    <w:rsid w:val="26663D28"/>
    <w:rsid w:val="26684F39"/>
    <w:rsid w:val="266B7E43"/>
    <w:rsid w:val="266D2F42"/>
    <w:rsid w:val="266D3BDD"/>
    <w:rsid w:val="2672621E"/>
    <w:rsid w:val="267267AA"/>
    <w:rsid w:val="26744000"/>
    <w:rsid w:val="267A11BB"/>
    <w:rsid w:val="267B565F"/>
    <w:rsid w:val="267C3185"/>
    <w:rsid w:val="267E0CAB"/>
    <w:rsid w:val="267F0510"/>
    <w:rsid w:val="2685203A"/>
    <w:rsid w:val="268B5768"/>
    <w:rsid w:val="26906C30"/>
    <w:rsid w:val="26913F4C"/>
    <w:rsid w:val="26953B28"/>
    <w:rsid w:val="269710EB"/>
    <w:rsid w:val="26971D6D"/>
    <w:rsid w:val="269A12F5"/>
    <w:rsid w:val="269E0E78"/>
    <w:rsid w:val="26A06E73"/>
    <w:rsid w:val="26A411A7"/>
    <w:rsid w:val="26A73F90"/>
    <w:rsid w:val="26A85D28"/>
    <w:rsid w:val="26A94D1C"/>
    <w:rsid w:val="26AB2519"/>
    <w:rsid w:val="26B2270B"/>
    <w:rsid w:val="26B3512E"/>
    <w:rsid w:val="26BB623B"/>
    <w:rsid w:val="26BE05EC"/>
    <w:rsid w:val="26BE0CB9"/>
    <w:rsid w:val="26BE554B"/>
    <w:rsid w:val="26C11752"/>
    <w:rsid w:val="26C22C59"/>
    <w:rsid w:val="26C366B2"/>
    <w:rsid w:val="26C54B2C"/>
    <w:rsid w:val="26C636E1"/>
    <w:rsid w:val="26C863CA"/>
    <w:rsid w:val="26CA0394"/>
    <w:rsid w:val="26CB1A16"/>
    <w:rsid w:val="26CD1C32"/>
    <w:rsid w:val="26D13A82"/>
    <w:rsid w:val="26D802BD"/>
    <w:rsid w:val="26D96400"/>
    <w:rsid w:val="26DB070F"/>
    <w:rsid w:val="26E812B6"/>
    <w:rsid w:val="26EA4414"/>
    <w:rsid w:val="26EB4440"/>
    <w:rsid w:val="26ED1D1A"/>
    <w:rsid w:val="26EE1644"/>
    <w:rsid w:val="26EF4D2A"/>
    <w:rsid w:val="26F71843"/>
    <w:rsid w:val="26FC7E22"/>
    <w:rsid w:val="26FE1DEC"/>
    <w:rsid w:val="26FF15DA"/>
    <w:rsid w:val="26FF3517"/>
    <w:rsid w:val="27007912"/>
    <w:rsid w:val="27034AF3"/>
    <w:rsid w:val="27051412"/>
    <w:rsid w:val="27055676"/>
    <w:rsid w:val="27076EF2"/>
    <w:rsid w:val="27090EBD"/>
    <w:rsid w:val="270D623B"/>
    <w:rsid w:val="270F5DA7"/>
    <w:rsid w:val="27111B1F"/>
    <w:rsid w:val="27112C4A"/>
    <w:rsid w:val="2711570C"/>
    <w:rsid w:val="27133AE9"/>
    <w:rsid w:val="27165388"/>
    <w:rsid w:val="27196C26"/>
    <w:rsid w:val="27197DC8"/>
    <w:rsid w:val="271A0C1D"/>
    <w:rsid w:val="271C5921"/>
    <w:rsid w:val="271D1C2A"/>
    <w:rsid w:val="271D4F1E"/>
    <w:rsid w:val="27223D2C"/>
    <w:rsid w:val="27257379"/>
    <w:rsid w:val="27271343"/>
    <w:rsid w:val="27292135"/>
    <w:rsid w:val="272A498F"/>
    <w:rsid w:val="272B78AF"/>
    <w:rsid w:val="272C57DB"/>
    <w:rsid w:val="272E0923"/>
    <w:rsid w:val="2732544D"/>
    <w:rsid w:val="27365509"/>
    <w:rsid w:val="27383B65"/>
    <w:rsid w:val="273D4A27"/>
    <w:rsid w:val="273E043A"/>
    <w:rsid w:val="273E668C"/>
    <w:rsid w:val="274041B2"/>
    <w:rsid w:val="27421CD9"/>
    <w:rsid w:val="2742617D"/>
    <w:rsid w:val="27434B49"/>
    <w:rsid w:val="274522A6"/>
    <w:rsid w:val="27457A1B"/>
    <w:rsid w:val="27473793"/>
    <w:rsid w:val="27492A43"/>
    <w:rsid w:val="274A0618"/>
    <w:rsid w:val="274A3283"/>
    <w:rsid w:val="274A4F1A"/>
    <w:rsid w:val="274C6FFB"/>
    <w:rsid w:val="274F2647"/>
    <w:rsid w:val="27515689"/>
    <w:rsid w:val="2753038A"/>
    <w:rsid w:val="275639D6"/>
    <w:rsid w:val="27567236"/>
    <w:rsid w:val="27567904"/>
    <w:rsid w:val="275B2C28"/>
    <w:rsid w:val="275F22FC"/>
    <w:rsid w:val="27642878"/>
    <w:rsid w:val="27652E81"/>
    <w:rsid w:val="2767173F"/>
    <w:rsid w:val="27675BE3"/>
    <w:rsid w:val="27693C4E"/>
    <w:rsid w:val="27725924"/>
    <w:rsid w:val="27734588"/>
    <w:rsid w:val="27736336"/>
    <w:rsid w:val="277470FB"/>
    <w:rsid w:val="27767BD4"/>
    <w:rsid w:val="277964B2"/>
    <w:rsid w:val="277C2603"/>
    <w:rsid w:val="277D0F63"/>
    <w:rsid w:val="277F117F"/>
    <w:rsid w:val="277F4CDB"/>
    <w:rsid w:val="2781410A"/>
    <w:rsid w:val="27814EF7"/>
    <w:rsid w:val="278247CB"/>
    <w:rsid w:val="27833C58"/>
    <w:rsid w:val="278C0DFA"/>
    <w:rsid w:val="278E13C2"/>
    <w:rsid w:val="279664C8"/>
    <w:rsid w:val="279767CB"/>
    <w:rsid w:val="27994ABA"/>
    <w:rsid w:val="279B0AE3"/>
    <w:rsid w:val="279C601E"/>
    <w:rsid w:val="279D6828"/>
    <w:rsid w:val="279E4159"/>
    <w:rsid w:val="279F2EAD"/>
    <w:rsid w:val="279F3771"/>
    <w:rsid w:val="27A02EA3"/>
    <w:rsid w:val="27A0780E"/>
    <w:rsid w:val="27A30B3F"/>
    <w:rsid w:val="27A32121"/>
    <w:rsid w:val="27A57C91"/>
    <w:rsid w:val="27A6670B"/>
    <w:rsid w:val="27A71092"/>
    <w:rsid w:val="27A9434A"/>
    <w:rsid w:val="27AC0801"/>
    <w:rsid w:val="27AC5CEC"/>
    <w:rsid w:val="27AE3812"/>
    <w:rsid w:val="27AF1DCD"/>
    <w:rsid w:val="27B1409D"/>
    <w:rsid w:val="27B8643F"/>
    <w:rsid w:val="27B95213"/>
    <w:rsid w:val="27B97EBF"/>
    <w:rsid w:val="27BB1A8B"/>
    <w:rsid w:val="27BD201A"/>
    <w:rsid w:val="27BF7730"/>
    <w:rsid w:val="27C76682"/>
    <w:rsid w:val="27D029BA"/>
    <w:rsid w:val="27D03788"/>
    <w:rsid w:val="27D226CF"/>
    <w:rsid w:val="27D85841"/>
    <w:rsid w:val="27D86AE1"/>
    <w:rsid w:val="27D87590"/>
    <w:rsid w:val="27DB7216"/>
    <w:rsid w:val="27DF1C1D"/>
    <w:rsid w:val="27E64D5A"/>
    <w:rsid w:val="27EB411E"/>
    <w:rsid w:val="27EC7E96"/>
    <w:rsid w:val="27F0056F"/>
    <w:rsid w:val="27F6079C"/>
    <w:rsid w:val="27F60D40"/>
    <w:rsid w:val="27F702BD"/>
    <w:rsid w:val="27F84A8D"/>
    <w:rsid w:val="27F9344F"/>
    <w:rsid w:val="27FF2A28"/>
    <w:rsid w:val="27FF7BCA"/>
    <w:rsid w:val="28004F4F"/>
    <w:rsid w:val="28035FB0"/>
    <w:rsid w:val="28041684"/>
    <w:rsid w:val="280671AA"/>
    <w:rsid w:val="280876DC"/>
    <w:rsid w:val="28090A48"/>
    <w:rsid w:val="28094EEC"/>
    <w:rsid w:val="280B44BC"/>
    <w:rsid w:val="280B4AF3"/>
    <w:rsid w:val="280E101D"/>
    <w:rsid w:val="280E2503"/>
    <w:rsid w:val="280E3D0D"/>
    <w:rsid w:val="28164F13"/>
    <w:rsid w:val="28176278"/>
    <w:rsid w:val="28186EDD"/>
    <w:rsid w:val="281D1523"/>
    <w:rsid w:val="281D2A9D"/>
    <w:rsid w:val="281E3789"/>
    <w:rsid w:val="282011E6"/>
    <w:rsid w:val="28212236"/>
    <w:rsid w:val="28215D92"/>
    <w:rsid w:val="2826784C"/>
    <w:rsid w:val="28285372"/>
    <w:rsid w:val="282B4E63"/>
    <w:rsid w:val="282F4953"/>
    <w:rsid w:val="282F674E"/>
    <w:rsid w:val="283006CB"/>
    <w:rsid w:val="28341F69"/>
    <w:rsid w:val="283425F5"/>
    <w:rsid w:val="28377F6C"/>
    <w:rsid w:val="28392DDD"/>
    <w:rsid w:val="283A0FC1"/>
    <w:rsid w:val="283A6E54"/>
    <w:rsid w:val="283C7943"/>
    <w:rsid w:val="283F26BC"/>
    <w:rsid w:val="28441A80"/>
    <w:rsid w:val="28442C99"/>
    <w:rsid w:val="284446D0"/>
    <w:rsid w:val="28445F24"/>
    <w:rsid w:val="2849353B"/>
    <w:rsid w:val="284B1061"/>
    <w:rsid w:val="284C00F1"/>
    <w:rsid w:val="284D0068"/>
    <w:rsid w:val="284E2A66"/>
    <w:rsid w:val="285919D0"/>
    <w:rsid w:val="285C501C"/>
    <w:rsid w:val="286456C1"/>
    <w:rsid w:val="28681918"/>
    <w:rsid w:val="2868600E"/>
    <w:rsid w:val="286A4165"/>
    <w:rsid w:val="286B525F"/>
    <w:rsid w:val="286F62E7"/>
    <w:rsid w:val="28702875"/>
    <w:rsid w:val="287135E9"/>
    <w:rsid w:val="28760480"/>
    <w:rsid w:val="287700A8"/>
    <w:rsid w:val="28771E56"/>
    <w:rsid w:val="28787773"/>
    <w:rsid w:val="28796231"/>
    <w:rsid w:val="287C121A"/>
    <w:rsid w:val="287C4701"/>
    <w:rsid w:val="287E31E4"/>
    <w:rsid w:val="28812CD5"/>
    <w:rsid w:val="28816F4D"/>
    <w:rsid w:val="28824FDC"/>
    <w:rsid w:val="28861B45"/>
    <w:rsid w:val="28892AD5"/>
    <w:rsid w:val="288B5901"/>
    <w:rsid w:val="288F53F1"/>
    <w:rsid w:val="2890116A"/>
    <w:rsid w:val="289514AA"/>
    <w:rsid w:val="28972098"/>
    <w:rsid w:val="2897327F"/>
    <w:rsid w:val="28987FC1"/>
    <w:rsid w:val="289B0849"/>
    <w:rsid w:val="289B46C4"/>
    <w:rsid w:val="289D68FB"/>
    <w:rsid w:val="289D7E88"/>
    <w:rsid w:val="289E73E3"/>
    <w:rsid w:val="28A864B3"/>
    <w:rsid w:val="28A916E6"/>
    <w:rsid w:val="28AA5307"/>
    <w:rsid w:val="28B02089"/>
    <w:rsid w:val="28B03E82"/>
    <w:rsid w:val="28B22E8E"/>
    <w:rsid w:val="28B24AEB"/>
    <w:rsid w:val="28BF44FB"/>
    <w:rsid w:val="28C033E3"/>
    <w:rsid w:val="28C24F56"/>
    <w:rsid w:val="28C27A85"/>
    <w:rsid w:val="28C5426E"/>
    <w:rsid w:val="28C66939"/>
    <w:rsid w:val="28C7664B"/>
    <w:rsid w:val="28C771CB"/>
    <w:rsid w:val="28C878C3"/>
    <w:rsid w:val="28C9004D"/>
    <w:rsid w:val="28C9029D"/>
    <w:rsid w:val="28CF1C92"/>
    <w:rsid w:val="28CF57EE"/>
    <w:rsid w:val="28D703B4"/>
    <w:rsid w:val="28D84447"/>
    <w:rsid w:val="28D9041B"/>
    <w:rsid w:val="28DB0637"/>
    <w:rsid w:val="28DF0E2E"/>
    <w:rsid w:val="28E034A1"/>
    <w:rsid w:val="28E72AD0"/>
    <w:rsid w:val="28E76FDC"/>
    <w:rsid w:val="28E85647"/>
    <w:rsid w:val="28ED01ED"/>
    <w:rsid w:val="28F0650C"/>
    <w:rsid w:val="29001E4B"/>
    <w:rsid w:val="29055B14"/>
    <w:rsid w:val="29080D00"/>
    <w:rsid w:val="29111B4B"/>
    <w:rsid w:val="29115E06"/>
    <w:rsid w:val="291329E3"/>
    <w:rsid w:val="291458F7"/>
    <w:rsid w:val="291676D7"/>
    <w:rsid w:val="291853E7"/>
    <w:rsid w:val="29191ED0"/>
    <w:rsid w:val="291C3071"/>
    <w:rsid w:val="291E22D1"/>
    <w:rsid w:val="2920429C"/>
    <w:rsid w:val="292E6AB2"/>
    <w:rsid w:val="292F0D40"/>
    <w:rsid w:val="29332221"/>
    <w:rsid w:val="29347971"/>
    <w:rsid w:val="29366DC2"/>
    <w:rsid w:val="293711C1"/>
    <w:rsid w:val="29395AF8"/>
    <w:rsid w:val="293B2E83"/>
    <w:rsid w:val="293E4055"/>
    <w:rsid w:val="2940061F"/>
    <w:rsid w:val="29410C88"/>
    <w:rsid w:val="2941173D"/>
    <w:rsid w:val="29417655"/>
    <w:rsid w:val="29466554"/>
    <w:rsid w:val="294A468E"/>
    <w:rsid w:val="294A4A35"/>
    <w:rsid w:val="294D3917"/>
    <w:rsid w:val="294E0E09"/>
    <w:rsid w:val="295757E3"/>
    <w:rsid w:val="295A6A67"/>
    <w:rsid w:val="295D104C"/>
    <w:rsid w:val="295D729E"/>
    <w:rsid w:val="295E0363"/>
    <w:rsid w:val="295E6CE7"/>
    <w:rsid w:val="29600B3C"/>
    <w:rsid w:val="29641FB0"/>
    <w:rsid w:val="2964687E"/>
    <w:rsid w:val="296F7B26"/>
    <w:rsid w:val="29747FCA"/>
    <w:rsid w:val="29763EBB"/>
    <w:rsid w:val="29764285"/>
    <w:rsid w:val="29766983"/>
    <w:rsid w:val="297B5976"/>
    <w:rsid w:val="297E1385"/>
    <w:rsid w:val="29846879"/>
    <w:rsid w:val="298567F4"/>
    <w:rsid w:val="29883BEF"/>
    <w:rsid w:val="298A5BB9"/>
    <w:rsid w:val="298A64BF"/>
    <w:rsid w:val="298B7238"/>
    <w:rsid w:val="298C3588"/>
    <w:rsid w:val="298C60EC"/>
    <w:rsid w:val="298E7457"/>
    <w:rsid w:val="299802D6"/>
    <w:rsid w:val="299A404E"/>
    <w:rsid w:val="29A0718A"/>
    <w:rsid w:val="29A175F2"/>
    <w:rsid w:val="29A22F02"/>
    <w:rsid w:val="29A924E3"/>
    <w:rsid w:val="29A94D9A"/>
    <w:rsid w:val="29A978FB"/>
    <w:rsid w:val="29AC5B2F"/>
    <w:rsid w:val="29B33362"/>
    <w:rsid w:val="29B36EBE"/>
    <w:rsid w:val="29B72D20"/>
    <w:rsid w:val="29B76509"/>
    <w:rsid w:val="29B87B25"/>
    <w:rsid w:val="29BD1B32"/>
    <w:rsid w:val="29BE4BA0"/>
    <w:rsid w:val="29C25353"/>
    <w:rsid w:val="29C275A9"/>
    <w:rsid w:val="29C410CB"/>
    <w:rsid w:val="29C43203"/>
    <w:rsid w:val="29C61F7D"/>
    <w:rsid w:val="29C63095"/>
    <w:rsid w:val="29C7407A"/>
    <w:rsid w:val="29C86E9D"/>
    <w:rsid w:val="29CC0A45"/>
    <w:rsid w:val="29CC68C8"/>
    <w:rsid w:val="29CF1830"/>
    <w:rsid w:val="29CF7236"/>
    <w:rsid w:val="29D2229C"/>
    <w:rsid w:val="29D40D77"/>
    <w:rsid w:val="29D55379"/>
    <w:rsid w:val="29D60DFE"/>
    <w:rsid w:val="29D67F39"/>
    <w:rsid w:val="29D86924"/>
    <w:rsid w:val="29DA6B40"/>
    <w:rsid w:val="29DB4666"/>
    <w:rsid w:val="29DC3FE3"/>
    <w:rsid w:val="29E03A2B"/>
    <w:rsid w:val="29E3170A"/>
    <w:rsid w:val="29E4351B"/>
    <w:rsid w:val="29E804D0"/>
    <w:rsid w:val="29EB2AFB"/>
    <w:rsid w:val="29F1409D"/>
    <w:rsid w:val="29F143E1"/>
    <w:rsid w:val="29F23E8A"/>
    <w:rsid w:val="29F32E8B"/>
    <w:rsid w:val="29F55728"/>
    <w:rsid w:val="29F574D6"/>
    <w:rsid w:val="29F80D74"/>
    <w:rsid w:val="29F95074"/>
    <w:rsid w:val="29FB0865"/>
    <w:rsid w:val="29FD282F"/>
    <w:rsid w:val="29FD708E"/>
    <w:rsid w:val="29FE4E85"/>
    <w:rsid w:val="2A0120C5"/>
    <w:rsid w:val="2A027E45"/>
    <w:rsid w:val="2A0566C6"/>
    <w:rsid w:val="2A077B63"/>
    <w:rsid w:val="2A0B6CFA"/>
    <w:rsid w:val="2A0B7489"/>
    <w:rsid w:val="2A0C2A72"/>
    <w:rsid w:val="2A0C4820"/>
    <w:rsid w:val="2A121944"/>
    <w:rsid w:val="2A1439E1"/>
    <w:rsid w:val="2A15245B"/>
    <w:rsid w:val="2A1B001C"/>
    <w:rsid w:val="2A1B2868"/>
    <w:rsid w:val="2A1C442B"/>
    <w:rsid w:val="2A1E2702"/>
    <w:rsid w:val="2A200C92"/>
    <w:rsid w:val="2A204F8D"/>
    <w:rsid w:val="2A24600D"/>
    <w:rsid w:val="2A256A1A"/>
    <w:rsid w:val="2A273408"/>
    <w:rsid w:val="2A2814FD"/>
    <w:rsid w:val="2A2B5CA6"/>
    <w:rsid w:val="2A2D4EC2"/>
    <w:rsid w:val="2A32072A"/>
    <w:rsid w:val="2A3428C6"/>
    <w:rsid w:val="2A3A313B"/>
    <w:rsid w:val="2A3A75DF"/>
    <w:rsid w:val="2A3B737F"/>
    <w:rsid w:val="2A3C2BD7"/>
    <w:rsid w:val="2A4147FF"/>
    <w:rsid w:val="2A4346E5"/>
    <w:rsid w:val="2A454D38"/>
    <w:rsid w:val="2A473337"/>
    <w:rsid w:val="2A486BB9"/>
    <w:rsid w:val="2A4B5348"/>
    <w:rsid w:val="2A4D6B91"/>
    <w:rsid w:val="2A4E01C3"/>
    <w:rsid w:val="2A5437BB"/>
    <w:rsid w:val="2A5A4D81"/>
    <w:rsid w:val="2A5C3B9F"/>
    <w:rsid w:val="2A5C7555"/>
    <w:rsid w:val="2A5F2835"/>
    <w:rsid w:val="2A5F601C"/>
    <w:rsid w:val="2A61691A"/>
    <w:rsid w:val="2A691AEB"/>
    <w:rsid w:val="2A6F54DA"/>
    <w:rsid w:val="2A6F64B5"/>
    <w:rsid w:val="2A7021FA"/>
    <w:rsid w:val="2A731D21"/>
    <w:rsid w:val="2A73664D"/>
    <w:rsid w:val="2A77613D"/>
    <w:rsid w:val="2A776455"/>
    <w:rsid w:val="2A7E31D1"/>
    <w:rsid w:val="2A835B6A"/>
    <w:rsid w:val="2A8B2706"/>
    <w:rsid w:val="2A8B7E3A"/>
    <w:rsid w:val="2A915858"/>
    <w:rsid w:val="2A922F77"/>
    <w:rsid w:val="2A93421F"/>
    <w:rsid w:val="2A940289"/>
    <w:rsid w:val="2A97058D"/>
    <w:rsid w:val="2A9860B3"/>
    <w:rsid w:val="2AA14D24"/>
    <w:rsid w:val="2AA16613"/>
    <w:rsid w:val="2AA169FC"/>
    <w:rsid w:val="2AA1765E"/>
    <w:rsid w:val="2AA5336D"/>
    <w:rsid w:val="2AAB5BF3"/>
    <w:rsid w:val="2AAF3B29"/>
    <w:rsid w:val="2AB02C1C"/>
    <w:rsid w:val="2AB47391"/>
    <w:rsid w:val="2AB5288A"/>
    <w:rsid w:val="2AB574A9"/>
    <w:rsid w:val="2AB70C30"/>
    <w:rsid w:val="2AB85928"/>
    <w:rsid w:val="2ABA312E"/>
    <w:rsid w:val="2ABD33EE"/>
    <w:rsid w:val="2ABD4ACF"/>
    <w:rsid w:val="2ABE0808"/>
    <w:rsid w:val="2AC1560A"/>
    <w:rsid w:val="2AC421C4"/>
    <w:rsid w:val="2ACC686A"/>
    <w:rsid w:val="2ACD691C"/>
    <w:rsid w:val="2AD0640E"/>
    <w:rsid w:val="2AD07517"/>
    <w:rsid w:val="2AD30322"/>
    <w:rsid w:val="2AD61783"/>
    <w:rsid w:val="2AD74E2E"/>
    <w:rsid w:val="2ADA13B2"/>
    <w:rsid w:val="2ADB491E"/>
    <w:rsid w:val="2AE05D4E"/>
    <w:rsid w:val="2AE05DA2"/>
    <w:rsid w:val="2AE128D7"/>
    <w:rsid w:val="2AE16228"/>
    <w:rsid w:val="2AE205B7"/>
    <w:rsid w:val="2AE23476"/>
    <w:rsid w:val="2AE62256"/>
    <w:rsid w:val="2AEB08D9"/>
    <w:rsid w:val="2AED63FF"/>
    <w:rsid w:val="2AF477D1"/>
    <w:rsid w:val="2AF66BF8"/>
    <w:rsid w:val="2AF67954"/>
    <w:rsid w:val="2AFA28CA"/>
    <w:rsid w:val="2AFC349E"/>
    <w:rsid w:val="2AFD73C3"/>
    <w:rsid w:val="2B043E08"/>
    <w:rsid w:val="2B083239"/>
    <w:rsid w:val="2B084472"/>
    <w:rsid w:val="2B0E36C7"/>
    <w:rsid w:val="2B0F0A0E"/>
    <w:rsid w:val="2B110340"/>
    <w:rsid w:val="2B116592"/>
    <w:rsid w:val="2B151F0D"/>
    <w:rsid w:val="2B177920"/>
    <w:rsid w:val="2B180837"/>
    <w:rsid w:val="2B1A3EE9"/>
    <w:rsid w:val="2B1A4D1A"/>
    <w:rsid w:val="2B1C10A4"/>
    <w:rsid w:val="2B1C4F36"/>
    <w:rsid w:val="2B1D5D17"/>
    <w:rsid w:val="2B1E0CAF"/>
    <w:rsid w:val="2B222B51"/>
    <w:rsid w:val="2B263AAA"/>
    <w:rsid w:val="2B2B6F28"/>
    <w:rsid w:val="2B2B76AD"/>
    <w:rsid w:val="2B2C2B97"/>
    <w:rsid w:val="2B30453E"/>
    <w:rsid w:val="2B31381E"/>
    <w:rsid w:val="2B326266"/>
    <w:rsid w:val="2B365FF8"/>
    <w:rsid w:val="2B391645"/>
    <w:rsid w:val="2B3C2EE3"/>
    <w:rsid w:val="2B4008AA"/>
    <w:rsid w:val="2B433F34"/>
    <w:rsid w:val="2B44333F"/>
    <w:rsid w:val="2B491443"/>
    <w:rsid w:val="2B4A399E"/>
    <w:rsid w:val="2B4C1430"/>
    <w:rsid w:val="2B4D33EA"/>
    <w:rsid w:val="2B4D50F0"/>
    <w:rsid w:val="2B512E32"/>
    <w:rsid w:val="2B5446D0"/>
    <w:rsid w:val="2B546E8B"/>
    <w:rsid w:val="2B551C57"/>
    <w:rsid w:val="2B5632CC"/>
    <w:rsid w:val="2B571049"/>
    <w:rsid w:val="2B595BE1"/>
    <w:rsid w:val="2B595CC9"/>
    <w:rsid w:val="2B5C6960"/>
    <w:rsid w:val="2B5D5E3B"/>
    <w:rsid w:val="2B5D60D4"/>
    <w:rsid w:val="2B5F2947"/>
    <w:rsid w:val="2B5F72E9"/>
    <w:rsid w:val="2B621401"/>
    <w:rsid w:val="2B6301B8"/>
    <w:rsid w:val="2B6324E4"/>
    <w:rsid w:val="2B6366C1"/>
    <w:rsid w:val="2B7408CF"/>
    <w:rsid w:val="2B783975"/>
    <w:rsid w:val="2B79546F"/>
    <w:rsid w:val="2B7B3C10"/>
    <w:rsid w:val="2B807273"/>
    <w:rsid w:val="2B826AC2"/>
    <w:rsid w:val="2B831F57"/>
    <w:rsid w:val="2B876305"/>
    <w:rsid w:val="2B88437A"/>
    <w:rsid w:val="2B89651D"/>
    <w:rsid w:val="2B97636B"/>
    <w:rsid w:val="2B98280F"/>
    <w:rsid w:val="2B9854B2"/>
    <w:rsid w:val="2B9B27DC"/>
    <w:rsid w:val="2B9B31ED"/>
    <w:rsid w:val="2B9B396C"/>
    <w:rsid w:val="2B9D29BE"/>
    <w:rsid w:val="2B9F3D2E"/>
    <w:rsid w:val="2BA13C59"/>
    <w:rsid w:val="2BA2368E"/>
    <w:rsid w:val="2BA529DB"/>
    <w:rsid w:val="2BA707AB"/>
    <w:rsid w:val="2BA80658"/>
    <w:rsid w:val="2BA90BCC"/>
    <w:rsid w:val="2BAA0794"/>
    <w:rsid w:val="2BAA42F0"/>
    <w:rsid w:val="2BAD061A"/>
    <w:rsid w:val="2BAF236C"/>
    <w:rsid w:val="2BB11E5C"/>
    <w:rsid w:val="2BB422E4"/>
    <w:rsid w:val="2BB618B1"/>
    <w:rsid w:val="2BC05AC5"/>
    <w:rsid w:val="2BC12AF5"/>
    <w:rsid w:val="2BC25ADE"/>
    <w:rsid w:val="2BC27109"/>
    <w:rsid w:val="2BC272BF"/>
    <w:rsid w:val="2BC33129"/>
    <w:rsid w:val="2BC43604"/>
    <w:rsid w:val="2BC44A9D"/>
    <w:rsid w:val="2BC730F4"/>
    <w:rsid w:val="2BC97BA4"/>
    <w:rsid w:val="2BCA0508"/>
    <w:rsid w:val="2BCA6741"/>
    <w:rsid w:val="2BCE4483"/>
    <w:rsid w:val="2BCF1FA9"/>
    <w:rsid w:val="2BD14E56"/>
    <w:rsid w:val="2BD17ACF"/>
    <w:rsid w:val="2BD575BF"/>
    <w:rsid w:val="2BD9534F"/>
    <w:rsid w:val="2BDA2241"/>
    <w:rsid w:val="2BDA4BD6"/>
    <w:rsid w:val="2BDB1B26"/>
    <w:rsid w:val="2BDC3DAA"/>
    <w:rsid w:val="2BE07F79"/>
    <w:rsid w:val="2BE13809"/>
    <w:rsid w:val="2BE23A8A"/>
    <w:rsid w:val="2BE271C7"/>
    <w:rsid w:val="2BE3698A"/>
    <w:rsid w:val="2BE47802"/>
    <w:rsid w:val="2BE55033"/>
    <w:rsid w:val="2BE60B4A"/>
    <w:rsid w:val="2BE772F2"/>
    <w:rsid w:val="2BE94E19"/>
    <w:rsid w:val="2BEC4909"/>
    <w:rsid w:val="2BF23A18"/>
    <w:rsid w:val="2BF27B34"/>
    <w:rsid w:val="2BF35C97"/>
    <w:rsid w:val="2BF735DB"/>
    <w:rsid w:val="2BF8461C"/>
    <w:rsid w:val="2BFD1D55"/>
    <w:rsid w:val="2C027C88"/>
    <w:rsid w:val="2C071743"/>
    <w:rsid w:val="2C090247"/>
    <w:rsid w:val="2C0974B7"/>
    <w:rsid w:val="2C0B0751"/>
    <w:rsid w:val="2C0C6063"/>
    <w:rsid w:val="2C0C6D59"/>
    <w:rsid w:val="2C0D0D9F"/>
    <w:rsid w:val="2C136339"/>
    <w:rsid w:val="2C13702B"/>
    <w:rsid w:val="2C144B2E"/>
    <w:rsid w:val="2C180A61"/>
    <w:rsid w:val="2C1C3440"/>
    <w:rsid w:val="2C1D4D4D"/>
    <w:rsid w:val="2C1F3ED3"/>
    <w:rsid w:val="2C2063A3"/>
    <w:rsid w:val="2C2205D4"/>
    <w:rsid w:val="2C230B15"/>
    <w:rsid w:val="2C2324FE"/>
    <w:rsid w:val="2C293467"/>
    <w:rsid w:val="2C29790B"/>
    <w:rsid w:val="2C2A0C18"/>
    <w:rsid w:val="2C3116AB"/>
    <w:rsid w:val="2C3232B0"/>
    <w:rsid w:val="2C324B03"/>
    <w:rsid w:val="2C3342E6"/>
    <w:rsid w:val="2C34040A"/>
    <w:rsid w:val="2C340A8E"/>
    <w:rsid w:val="2C370DC2"/>
    <w:rsid w:val="2C3806EC"/>
    <w:rsid w:val="2C3A5674"/>
    <w:rsid w:val="2C3B319A"/>
    <w:rsid w:val="2C41519A"/>
    <w:rsid w:val="2C420BEB"/>
    <w:rsid w:val="2C425D39"/>
    <w:rsid w:val="2C436713"/>
    <w:rsid w:val="2C4446B7"/>
    <w:rsid w:val="2C470E41"/>
    <w:rsid w:val="2C4A7F23"/>
    <w:rsid w:val="2C4D184B"/>
    <w:rsid w:val="2C4D500B"/>
    <w:rsid w:val="2C532DA0"/>
    <w:rsid w:val="2C534988"/>
    <w:rsid w:val="2C545A11"/>
    <w:rsid w:val="2C555F81"/>
    <w:rsid w:val="2C58124F"/>
    <w:rsid w:val="2C5876CC"/>
    <w:rsid w:val="2C5A1872"/>
    <w:rsid w:val="2C5A79A9"/>
    <w:rsid w:val="2C5C00E5"/>
    <w:rsid w:val="2C5D3ACF"/>
    <w:rsid w:val="2C5F12FB"/>
    <w:rsid w:val="2C640943"/>
    <w:rsid w:val="2C652D9C"/>
    <w:rsid w:val="2C682649"/>
    <w:rsid w:val="2C6B7F24"/>
    <w:rsid w:val="2C6C77F8"/>
    <w:rsid w:val="2C6D1A70"/>
    <w:rsid w:val="2C6E3570"/>
    <w:rsid w:val="2C6E3E3C"/>
    <w:rsid w:val="2C701096"/>
    <w:rsid w:val="2C736ED4"/>
    <w:rsid w:val="2C756B14"/>
    <w:rsid w:val="2C771D6E"/>
    <w:rsid w:val="2C773FFC"/>
    <w:rsid w:val="2C79077C"/>
    <w:rsid w:val="2C797809"/>
    <w:rsid w:val="2C7A3CC3"/>
    <w:rsid w:val="2C7A5B1E"/>
    <w:rsid w:val="2C7C109E"/>
    <w:rsid w:val="2C7C1263"/>
    <w:rsid w:val="2C7C3EDF"/>
    <w:rsid w:val="2C7C5C8D"/>
    <w:rsid w:val="2C7E7C57"/>
    <w:rsid w:val="2C81312E"/>
    <w:rsid w:val="2C830311"/>
    <w:rsid w:val="2C8965FC"/>
    <w:rsid w:val="2C8B2374"/>
    <w:rsid w:val="2C8F0B62"/>
    <w:rsid w:val="2C903974"/>
    <w:rsid w:val="2C931228"/>
    <w:rsid w:val="2C932FD6"/>
    <w:rsid w:val="2C953A72"/>
    <w:rsid w:val="2C965629"/>
    <w:rsid w:val="2C974875"/>
    <w:rsid w:val="2C9800D7"/>
    <w:rsid w:val="2C9805ED"/>
    <w:rsid w:val="2C994A91"/>
    <w:rsid w:val="2C9B7ADD"/>
    <w:rsid w:val="2CA13945"/>
    <w:rsid w:val="2CA266E8"/>
    <w:rsid w:val="2CA3146B"/>
    <w:rsid w:val="2CA45FF2"/>
    <w:rsid w:val="2CA60F5C"/>
    <w:rsid w:val="2CAB4269"/>
    <w:rsid w:val="2CAD1495"/>
    <w:rsid w:val="2CAE22E6"/>
    <w:rsid w:val="2CB14AFD"/>
    <w:rsid w:val="2CB2345D"/>
    <w:rsid w:val="2CB659B5"/>
    <w:rsid w:val="2CB87690"/>
    <w:rsid w:val="2CBA4F42"/>
    <w:rsid w:val="2CBC252D"/>
    <w:rsid w:val="2CBE0AEE"/>
    <w:rsid w:val="2CC54753"/>
    <w:rsid w:val="2CC67354"/>
    <w:rsid w:val="2CC74E19"/>
    <w:rsid w:val="2CC80ED2"/>
    <w:rsid w:val="2CC87124"/>
    <w:rsid w:val="2CCD3F5D"/>
    <w:rsid w:val="2CD63D6C"/>
    <w:rsid w:val="2CD653B4"/>
    <w:rsid w:val="2CD95C3E"/>
    <w:rsid w:val="2CDA29B3"/>
    <w:rsid w:val="2CDA6E57"/>
    <w:rsid w:val="2CDA78D7"/>
    <w:rsid w:val="2CDB64D3"/>
    <w:rsid w:val="2CDD05EA"/>
    <w:rsid w:val="2CDE24A4"/>
    <w:rsid w:val="2CE1070A"/>
    <w:rsid w:val="2CE23608"/>
    <w:rsid w:val="2CE47435"/>
    <w:rsid w:val="2CE55951"/>
    <w:rsid w:val="2CE675AA"/>
    <w:rsid w:val="2CE81D10"/>
    <w:rsid w:val="2CE83322"/>
    <w:rsid w:val="2CE834A3"/>
    <w:rsid w:val="2CE875BE"/>
    <w:rsid w:val="2CED32DF"/>
    <w:rsid w:val="2CF120D3"/>
    <w:rsid w:val="2CF20C00"/>
    <w:rsid w:val="2CF33A75"/>
    <w:rsid w:val="2CF51ED1"/>
    <w:rsid w:val="2CF577ED"/>
    <w:rsid w:val="2CF9430F"/>
    <w:rsid w:val="2CF9484C"/>
    <w:rsid w:val="2CFC2D64"/>
    <w:rsid w:val="2CFF7696"/>
    <w:rsid w:val="2D007FAB"/>
    <w:rsid w:val="2D03015C"/>
    <w:rsid w:val="2D030A47"/>
    <w:rsid w:val="2D0619FA"/>
    <w:rsid w:val="2D085772"/>
    <w:rsid w:val="2D0D0FDB"/>
    <w:rsid w:val="2D0F6B01"/>
    <w:rsid w:val="2D1024FA"/>
    <w:rsid w:val="2D145EC5"/>
    <w:rsid w:val="2D173C07"/>
    <w:rsid w:val="2D1A2BEB"/>
    <w:rsid w:val="2D1C4D7A"/>
    <w:rsid w:val="2D1E7710"/>
    <w:rsid w:val="2D22599D"/>
    <w:rsid w:val="2D254B1A"/>
    <w:rsid w:val="2D2809E1"/>
    <w:rsid w:val="2D297497"/>
    <w:rsid w:val="2D2A393B"/>
    <w:rsid w:val="2D2E0F8B"/>
    <w:rsid w:val="2D30282F"/>
    <w:rsid w:val="2D312E49"/>
    <w:rsid w:val="2D324702"/>
    <w:rsid w:val="2D35408E"/>
    <w:rsid w:val="2D3B08EF"/>
    <w:rsid w:val="2D3B4727"/>
    <w:rsid w:val="2D4312E4"/>
    <w:rsid w:val="2D4367AA"/>
    <w:rsid w:val="2D450775"/>
    <w:rsid w:val="2D4A5D90"/>
    <w:rsid w:val="2D4B565F"/>
    <w:rsid w:val="2D4F33A1"/>
    <w:rsid w:val="2D524FED"/>
    <w:rsid w:val="2D526117"/>
    <w:rsid w:val="2D56639F"/>
    <w:rsid w:val="2D596DF1"/>
    <w:rsid w:val="2D59735B"/>
    <w:rsid w:val="2D5E11CB"/>
    <w:rsid w:val="2D5E5392"/>
    <w:rsid w:val="2D620403"/>
    <w:rsid w:val="2D6329A9"/>
    <w:rsid w:val="2D64281A"/>
    <w:rsid w:val="2D67693D"/>
    <w:rsid w:val="2D677088"/>
    <w:rsid w:val="2D6917E1"/>
    <w:rsid w:val="2D6C1689"/>
    <w:rsid w:val="2D6C671F"/>
    <w:rsid w:val="2D6F134E"/>
    <w:rsid w:val="2D7025FF"/>
    <w:rsid w:val="2D7050C6"/>
    <w:rsid w:val="2D710576"/>
    <w:rsid w:val="2D760125"/>
    <w:rsid w:val="2D76092E"/>
    <w:rsid w:val="2D7626DC"/>
    <w:rsid w:val="2D7B2AB8"/>
    <w:rsid w:val="2D7B4415"/>
    <w:rsid w:val="2D815245"/>
    <w:rsid w:val="2D853B36"/>
    <w:rsid w:val="2D88240F"/>
    <w:rsid w:val="2D915768"/>
    <w:rsid w:val="2D917516"/>
    <w:rsid w:val="2D933910"/>
    <w:rsid w:val="2D957A25"/>
    <w:rsid w:val="2D962D7E"/>
    <w:rsid w:val="2D9708A4"/>
    <w:rsid w:val="2D990204"/>
    <w:rsid w:val="2D990AC0"/>
    <w:rsid w:val="2D9A356B"/>
    <w:rsid w:val="2D9B0395"/>
    <w:rsid w:val="2D9B4D20"/>
    <w:rsid w:val="2D9F5341"/>
    <w:rsid w:val="2DA03BFD"/>
    <w:rsid w:val="2DA14D55"/>
    <w:rsid w:val="2DA32DF9"/>
    <w:rsid w:val="2DA37249"/>
    <w:rsid w:val="2DA67BE9"/>
    <w:rsid w:val="2DA82AB1"/>
    <w:rsid w:val="2DAC0A59"/>
    <w:rsid w:val="2DAD1E76"/>
    <w:rsid w:val="2DB03710"/>
    <w:rsid w:val="2DB560A6"/>
    <w:rsid w:val="2DB81A56"/>
    <w:rsid w:val="2DBC554E"/>
    <w:rsid w:val="2DC862E5"/>
    <w:rsid w:val="2DC86CB0"/>
    <w:rsid w:val="2DC95120"/>
    <w:rsid w:val="2DCC054E"/>
    <w:rsid w:val="2DD11CBA"/>
    <w:rsid w:val="2DD138B2"/>
    <w:rsid w:val="2DD218DC"/>
    <w:rsid w:val="2DD24266"/>
    <w:rsid w:val="2DD41893"/>
    <w:rsid w:val="2DD92C6B"/>
    <w:rsid w:val="2DD94C15"/>
    <w:rsid w:val="2DDD6BFF"/>
    <w:rsid w:val="2DDE64D3"/>
    <w:rsid w:val="2DDE77D5"/>
    <w:rsid w:val="2DE0474B"/>
    <w:rsid w:val="2DE20E37"/>
    <w:rsid w:val="2DE25FC3"/>
    <w:rsid w:val="2DE35CC7"/>
    <w:rsid w:val="2DE52846"/>
    <w:rsid w:val="2DE60025"/>
    <w:rsid w:val="2DE92FC9"/>
    <w:rsid w:val="2DEC3A64"/>
    <w:rsid w:val="2DF13843"/>
    <w:rsid w:val="2DF33D2D"/>
    <w:rsid w:val="2DF96876"/>
    <w:rsid w:val="2DFD716F"/>
    <w:rsid w:val="2E0B7AD8"/>
    <w:rsid w:val="2E0D205F"/>
    <w:rsid w:val="2E110657"/>
    <w:rsid w:val="2E1343CF"/>
    <w:rsid w:val="2E13617D"/>
    <w:rsid w:val="2E141EF5"/>
    <w:rsid w:val="2E1667C1"/>
    <w:rsid w:val="2E17533E"/>
    <w:rsid w:val="2E175AFD"/>
    <w:rsid w:val="2E206AEC"/>
    <w:rsid w:val="2E220AB6"/>
    <w:rsid w:val="2E237FE8"/>
    <w:rsid w:val="2E262354"/>
    <w:rsid w:val="2E292B45"/>
    <w:rsid w:val="2E2E2FB7"/>
    <w:rsid w:val="2E2F74D2"/>
    <w:rsid w:val="2E356016"/>
    <w:rsid w:val="2E3B3926"/>
    <w:rsid w:val="2E421606"/>
    <w:rsid w:val="2E45279D"/>
    <w:rsid w:val="2E4C3153"/>
    <w:rsid w:val="2E4C5B33"/>
    <w:rsid w:val="2E4E18AB"/>
    <w:rsid w:val="2E5136A3"/>
    <w:rsid w:val="2E516CA5"/>
    <w:rsid w:val="2E527838"/>
    <w:rsid w:val="2E547E26"/>
    <w:rsid w:val="2E56250D"/>
    <w:rsid w:val="2E5736DA"/>
    <w:rsid w:val="2E5834DA"/>
    <w:rsid w:val="2E5A3DAC"/>
    <w:rsid w:val="2E5E6989"/>
    <w:rsid w:val="2E5F1724"/>
    <w:rsid w:val="2E6001D2"/>
    <w:rsid w:val="2E6414B0"/>
    <w:rsid w:val="2E6609A2"/>
    <w:rsid w:val="2E685818"/>
    <w:rsid w:val="2E6B420B"/>
    <w:rsid w:val="2E6B51B5"/>
    <w:rsid w:val="2E6C07ED"/>
    <w:rsid w:val="2E6D0276"/>
    <w:rsid w:val="2E6D1BC6"/>
    <w:rsid w:val="2E6F2713"/>
    <w:rsid w:val="2E725599"/>
    <w:rsid w:val="2E750BE6"/>
    <w:rsid w:val="2E7C6F6A"/>
    <w:rsid w:val="2E7F5038"/>
    <w:rsid w:val="2E7F65AD"/>
    <w:rsid w:val="2E811E70"/>
    <w:rsid w:val="2E821554"/>
    <w:rsid w:val="2E85094C"/>
    <w:rsid w:val="2E852E2B"/>
    <w:rsid w:val="2E881DE8"/>
    <w:rsid w:val="2E8929A8"/>
    <w:rsid w:val="2E8A1747"/>
    <w:rsid w:val="2E8A3DE3"/>
    <w:rsid w:val="2E8A6293"/>
    <w:rsid w:val="2E8B07E5"/>
    <w:rsid w:val="2E8F7609"/>
    <w:rsid w:val="2E900048"/>
    <w:rsid w:val="2E9322B2"/>
    <w:rsid w:val="2E953036"/>
    <w:rsid w:val="2E9A4AF0"/>
    <w:rsid w:val="2E9A689E"/>
    <w:rsid w:val="2E9F3EB4"/>
    <w:rsid w:val="2EA94167"/>
    <w:rsid w:val="2EA94D33"/>
    <w:rsid w:val="2EAA1167"/>
    <w:rsid w:val="2EAF4022"/>
    <w:rsid w:val="2EB54D07"/>
    <w:rsid w:val="2EB7701A"/>
    <w:rsid w:val="2EB8293D"/>
    <w:rsid w:val="2EB92876"/>
    <w:rsid w:val="2EBA484A"/>
    <w:rsid w:val="2EBC2976"/>
    <w:rsid w:val="2EBC4D0A"/>
    <w:rsid w:val="2EBF4E83"/>
    <w:rsid w:val="2EC05B23"/>
    <w:rsid w:val="2ECD27D0"/>
    <w:rsid w:val="2ECE0ACF"/>
    <w:rsid w:val="2ED0112F"/>
    <w:rsid w:val="2ED17FB6"/>
    <w:rsid w:val="2ED344F5"/>
    <w:rsid w:val="2ED578D6"/>
    <w:rsid w:val="2EDA0AB6"/>
    <w:rsid w:val="2EDB351F"/>
    <w:rsid w:val="2EDB7876"/>
    <w:rsid w:val="2EDE49DD"/>
    <w:rsid w:val="2EE144CD"/>
    <w:rsid w:val="2EE3595C"/>
    <w:rsid w:val="2EE44E0D"/>
    <w:rsid w:val="2EE64AC3"/>
    <w:rsid w:val="2EE72187"/>
    <w:rsid w:val="2EE77602"/>
    <w:rsid w:val="2EE87609"/>
    <w:rsid w:val="2EED4C20"/>
    <w:rsid w:val="2EEE3B61"/>
    <w:rsid w:val="2EF34A74"/>
    <w:rsid w:val="2EF44200"/>
    <w:rsid w:val="2EF52DE8"/>
    <w:rsid w:val="2EF64601"/>
    <w:rsid w:val="2EFC11BB"/>
    <w:rsid w:val="2EFF3AD7"/>
    <w:rsid w:val="2F0106CB"/>
    <w:rsid w:val="2F03277B"/>
    <w:rsid w:val="2F0361F1"/>
    <w:rsid w:val="2F05640D"/>
    <w:rsid w:val="2F081A5A"/>
    <w:rsid w:val="2F083808"/>
    <w:rsid w:val="2F0957D2"/>
    <w:rsid w:val="2F0977FE"/>
    <w:rsid w:val="2F1011C2"/>
    <w:rsid w:val="2F140E2D"/>
    <w:rsid w:val="2F192EFF"/>
    <w:rsid w:val="2F193C67"/>
    <w:rsid w:val="2F195A15"/>
    <w:rsid w:val="2F1F6537"/>
    <w:rsid w:val="2F1F6B07"/>
    <w:rsid w:val="2F205519"/>
    <w:rsid w:val="2F241835"/>
    <w:rsid w:val="2F2B1BEC"/>
    <w:rsid w:val="2F2C7EC0"/>
    <w:rsid w:val="2F2D71FD"/>
    <w:rsid w:val="2F302D5E"/>
    <w:rsid w:val="2F326AD7"/>
    <w:rsid w:val="2F3558B9"/>
    <w:rsid w:val="2F3842D0"/>
    <w:rsid w:val="2F386B68"/>
    <w:rsid w:val="2F395375"/>
    <w:rsid w:val="2F397447"/>
    <w:rsid w:val="2F3A3BDD"/>
    <w:rsid w:val="2F3D4A49"/>
    <w:rsid w:val="2F3D4C2F"/>
    <w:rsid w:val="2F3E191F"/>
    <w:rsid w:val="2F405247"/>
    <w:rsid w:val="2F4131DD"/>
    <w:rsid w:val="2F424D59"/>
    <w:rsid w:val="2F462582"/>
    <w:rsid w:val="2F466846"/>
    <w:rsid w:val="2F48454C"/>
    <w:rsid w:val="2F495E42"/>
    <w:rsid w:val="2F4C28B1"/>
    <w:rsid w:val="2F4F4B8D"/>
    <w:rsid w:val="2F4F7689"/>
    <w:rsid w:val="2F5051AF"/>
    <w:rsid w:val="2F505567"/>
    <w:rsid w:val="2F571261"/>
    <w:rsid w:val="2F571F05"/>
    <w:rsid w:val="2F57653D"/>
    <w:rsid w:val="2F5957BC"/>
    <w:rsid w:val="2F5A57D5"/>
    <w:rsid w:val="2F5A7DDB"/>
    <w:rsid w:val="2F5D19C6"/>
    <w:rsid w:val="2F642A08"/>
    <w:rsid w:val="2F650C5A"/>
    <w:rsid w:val="2F653689"/>
    <w:rsid w:val="2F6B3D97"/>
    <w:rsid w:val="2F6B5144"/>
    <w:rsid w:val="2F6F5ECE"/>
    <w:rsid w:val="2F6F6212"/>
    <w:rsid w:val="2F6F7D2B"/>
    <w:rsid w:val="2F713779"/>
    <w:rsid w:val="2F722656"/>
    <w:rsid w:val="2F735CB0"/>
    <w:rsid w:val="2F737636"/>
    <w:rsid w:val="2F7B2905"/>
    <w:rsid w:val="2F7F4281"/>
    <w:rsid w:val="2F82274A"/>
    <w:rsid w:val="2F846AE9"/>
    <w:rsid w:val="2F8F3F5D"/>
    <w:rsid w:val="2F911A4F"/>
    <w:rsid w:val="2F920DA6"/>
    <w:rsid w:val="2F925314"/>
    <w:rsid w:val="2F936A4E"/>
    <w:rsid w:val="2F950E14"/>
    <w:rsid w:val="2F967065"/>
    <w:rsid w:val="2F984DE7"/>
    <w:rsid w:val="2F9A2F12"/>
    <w:rsid w:val="2F9B467C"/>
    <w:rsid w:val="2F9D7DA3"/>
    <w:rsid w:val="2F9F1779"/>
    <w:rsid w:val="2F9F19D0"/>
    <w:rsid w:val="2FA03AA3"/>
    <w:rsid w:val="2FA21EAE"/>
    <w:rsid w:val="2FA31782"/>
    <w:rsid w:val="2FA45349"/>
    <w:rsid w:val="2FA84FEB"/>
    <w:rsid w:val="2FAC28B4"/>
    <w:rsid w:val="2FAC6889"/>
    <w:rsid w:val="2FAE1221"/>
    <w:rsid w:val="2FAF59F5"/>
    <w:rsid w:val="2FB120F1"/>
    <w:rsid w:val="2FB319F6"/>
    <w:rsid w:val="2FB36835"/>
    <w:rsid w:val="2FB71DF4"/>
    <w:rsid w:val="2FB7234B"/>
    <w:rsid w:val="2FB7412A"/>
    <w:rsid w:val="2FB863DB"/>
    <w:rsid w:val="2FB910AD"/>
    <w:rsid w:val="2FBC45F2"/>
    <w:rsid w:val="2FBD0532"/>
    <w:rsid w:val="2FBD1134"/>
    <w:rsid w:val="2FBE3799"/>
    <w:rsid w:val="2FBE65BC"/>
    <w:rsid w:val="2FC01B2A"/>
    <w:rsid w:val="2FC040E2"/>
    <w:rsid w:val="2FC16254"/>
    <w:rsid w:val="2FC21558"/>
    <w:rsid w:val="2FCA419D"/>
    <w:rsid w:val="2FCC0CD9"/>
    <w:rsid w:val="2FCE2B17"/>
    <w:rsid w:val="2FCF07C9"/>
    <w:rsid w:val="2FD03ECC"/>
    <w:rsid w:val="2FD64DAD"/>
    <w:rsid w:val="2FD858D0"/>
    <w:rsid w:val="2FD95F39"/>
    <w:rsid w:val="2FDA518C"/>
    <w:rsid w:val="2FDA54F7"/>
    <w:rsid w:val="2FDB05B0"/>
    <w:rsid w:val="2FDB716E"/>
    <w:rsid w:val="2FDE75CA"/>
    <w:rsid w:val="2FE10526"/>
    <w:rsid w:val="2FE55AF2"/>
    <w:rsid w:val="2FE57FED"/>
    <w:rsid w:val="2FE62AFD"/>
    <w:rsid w:val="2FE73D65"/>
    <w:rsid w:val="2FE853E7"/>
    <w:rsid w:val="2FE86E5C"/>
    <w:rsid w:val="2FEA5603"/>
    <w:rsid w:val="2FEE570F"/>
    <w:rsid w:val="2FF1085B"/>
    <w:rsid w:val="2FF344B8"/>
    <w:rsid w:val="2FF44CCB"/>
    <w:rsid w:val="2FFD7A3C"/>
    <w:rsid w:val="30000983"/>
    <w:rsid w:val="30004A5E"/>
    <w:rsid w:val="300A101F"/>
    <w:rsid w:val="300B636C"/>
    <w:rsid w:val="30111942"/>
    <w:rsid w:val="30134B5A"/>
    <w:rsid w:val="30137CF7"/>
    <w:rsid w:val="3014442E"/>
    <w:rsid w:val="301461DC"/>
    <w:rsid w:val="30147100"/>
    <w:rsid w:val="301663F8"/>
    <w:rsid w:val="3016797D"/>
    <w:rsid w:val="30177C18"/>
    <w:rsid w:val="301937F3"/>
    <w:rsid w:val="301D1535"/>
    <w:rsid w:val="301F34FF"/>
    <w:rsid w:val="302402A4"/>
    <w:rsid w:val="30280028"/>
    <w:rsid w:val="302A4792"/>
    <w:rsid w:val="302A4894"/>
    <w:rsid w:val="302B680E"/>
    <w:rsid w:val="302C2DEC"/>
    <w:rsid w:val="3032136F"/>
    <w:rsid w:val="30322561"/>
    <w:rsid w:val="303625F7"/>
    <w:rsid w:val="3038011D"/>
    <w:rsid w:val="303C2E9C"/>
    <w:rsid w:val="303E5C42"/>
    <w:rsid w:val="30401064"/>
    <w:rsid w:val="304271ED"/>
    <w:rsid w:val="304345DA"/>
    <w:rsid w:val="3044101E"/>
    <w:rsid w:val="3046665D"/>
    <w:rsid w:val="30494873"/>
    <w:rsid w:val="304C28DE"/>
    <w:rsid w:val="304D53B0"/>
    <w:rsid w:val="304E0B54"/>
    <w:rsid w:val="30504DBB"/>
    <w:rsid w:val="30513797"/>
    <w:rsid w:val="30514181"/>
    <w:rsid w:val="30517B54"/>
    <w:rsid w:val="305732CD"/>
    <w:rsid w:val="30580361"/>
    <w:rsid w:val="305B02AF"/>
    <w:rsid w:val="305B0B82"/>
    <w:rsid w:val="305E5DBC"/>
    <w:rsid w:val="30605B53"/>
    <w:rsid w:val="30612AD1"/>
    <w:rsid w:val="306252E1"/>
    <w:rsid w:val="30627C73"/>
    <w:rsid w:val="306759C0"/>
    <w:rsid w:val="30697F7D"/>
    <w:rsid w:val="306B57A3"/>
    <w:rsid w:val="306D3728"/>
    <w:rsid w:val="306D73A3"/>
    <w:rsid w:val="306E12DE"/>
    <w:rsid w:val="306F78B6"/>
    <w:rsid w:val="30707817"/>
    <w:rsid w:val="30717D4F"/>
    <w:rsid w:val="307234C4"/>
    <w:rsid w:val="30760C45"/>
    <w:rsid w:val="30780320"/>
    <w:rsid w:val="30793568"/>
    <w:rsid w:val="307A753E"/>
    <w:rsid w:val="30812429"/>
    <w:rsid w:val="3082703A"/>
    <w:rsid w:val="30890978"/>
    <w:rsid w:val="30892A85"/>
    <w:rsid w:val="308C0D28"/>
    <w:rsid w:val="308E05F7"/>
    <w:rsid w:val="309374E3"/>
    <w:rsid w:val="30973638"/>
    <w:rsid w:val="3098505F"/>
    <w:rsid w:val="309C68FD"/>
    <w:rsid w:val="309F63EE"/>
    <w:rsid w:val="30A046BE"/>
    <w:rsid w:val="30A04985"/>
    <w:rsid w:val="30A064A6"/>
    <w:rsid w:val="30A35A73"/>
    <w:rsid w:val="30A371F3"/>
    <w:rsid w:val="30A5056A"/>
    <w:rsid w:val="30A532D8"/>
    <w:rsid w:val="30A851C7"/>
    <w:rsid w:val="30A9741F"/>
    <w:rsid w:val="30A97A76"/>
    <w:rsid w:val="30AB6B41"/>
    <w:rsid w:val="30AC22EC"/>
    <w:rsid w:val="30B4039B"/>
    <w:rsid w:val="30B75BA1"/>
    <w:rsid w:val="30B9756B"/>
    <w:rsid w:val="30BF6B3C"/>
    <w:rsid w:val="30C176CE"/>
    <w:rsid w:val="30C45585"/>
    <w:rsid w:val="30C45E54"/>
    <w:rsid w:val="30C47C02"/>
    <w:rsid w:val="30C56A28"/>
    <w:rsid w:val="30CC6AB7"/>
    <w:rsid w:val="30D46239"/>
    <w:rsid w:val="30D541D4"/>
    <w:rsid w:val="30DA11D4"/>
    <w:rsid w:val="30E65DCB"/>
    <w:rsid w:val="30EB518F"/>
    <w:rsid w:val="30EF6528"/>
    <w:rsid w:val="30F027A5"/>
    <w:rsid w:val="30F04DDC"/>
    <w:rsid w:val="30F51C2B"/>
    <w:rsid w:val="30F62D1F"/>
    <w:rsid w:val="30F725A5"/>
    <w:rsid w:val="30F73B34"/>
    <w:rsid w:val="30F90DF5"/>
    <w:rsid w:val="30FA1876"/>
    <w:rsid w:val="30FB3D19"/>
    <w:rsid w:val="30FC4781"/>
    <w:rsid w:val="30FC739C"/>
    <w:rsid w:val="30FF50DE"/>
    <w:rsid w:val="310149B3"/>
    <w:rsid w:val="3102072B"/>
    <w:rsid w:val="310209E6"/>
    <w:rsid w:val="310E70CF"/>
    <w:rsid w:val="310E7AA7"/>
    <w:rsid w:val="310F6825"/>
    <w:rsid w:val="3112005B"/>
    <w:rsid w:val="311464AB"/>
    <w:rsid w:val="31181CFC"/>
    <w:rsid w:val="31186683"/>
    <w:rsid w:val="311A1F18"/>
    <w:rsid w:val="312132A7"/>
    <w:rsid w:val="31263E28"/>
    <w:rsid w:val="312863E3"/>
    <w:rsid w:val="31295CB7"/>
    <w:rsid w:val="313034EA"/>
    <w:rsid w:val="3131732D"/>
    <w:rsid w:val="31321010"/>
    <w:rsid w:val="31334FE7"/>
    <w:rsid w:val="31342FDA"/>
    <w:rsid w:val="313642C7"/>
    <w:rsid w:val="31367DE0"/>
    <w:rsid w:val="31384310"/>
    <w:rsid w:val="3139195D"/>
    <w:rsid w:val="313B156A"/>
    <w:rsid w:val="31437889"/>
    <w:rsid w:val="31446006"/>
    <w:rsid w:val="314A653C"/>
    <w:rsid w:val="314B0324"/>
    <w:rsid w:val="314D3ADD"/>
    <w:rsid w:val="314D3ECF"/>
    <w:rsid w:val="314F3970"/>
    <w:rsid w:val="315326A5"/>
    <w:rsid w:val="31545EF3"/>
    <w:rsid w:val="31567680"/>
    <w:rsid w:val="315A0567"/>
    <w:rsid w:val="315C42DF"/>
    <w:rsid w:val="315D04A6"/>
    <w:rsid w:val="315F16D9"/>
    <w:rsid w:val="31624F2A"/>
    <w:rsid w:val="31644F41"/>
    <w:rsid w:val="31650DD6"/>
    <w:rsid w:val="316B55D3"/>
    <w:rsid w:val="316B62D0"/>
    <w:rsid w:val="316D3DF6"/>
    <w:rsid w:val="316F550D"/>
    <w:rsid w:val="316F5DC0"/>
    <w:rsid w:val="31701B38"/>
    <w:rsid w:val="317260CE"/>
    <w:rsid w:val="3173653E"/>
    <w:rsid w:val="31761F52"/>
    <w:rsid w:val="31776F9A"/>
    <w:rsid w:val="317B6181"/>
    <w:rsid w:val="317F1D7B"/>
    <w:rsid w:val="317F5CC9"/>
    <w:rsid w:val="31802D07"/>
    <w:rsid w:val="31815AF3"/>
    <w:rsid w:val="3183186B"/>
    <w:rsid w:val="3186310A"/>
    <w:rsid w:val="31903294"/>
    <w:rsid w:val="31921AAF"/>
    <w:rsid w:val="3195334D"/>
    <w:rsid w:val="31963F01"/>
    <w:rsid w:val="31975317"/>
    <w:rsid w:val="319D4E24"/>
    <w:rsid w:val="319E66A5"/>
    <w:rsid w:val="31A30E4F"/>
    <w:rsid w:val="31A311D4"/>
    <w:rsid w:val="31A32F06"/>
    <w:rsid w:val="31A4447F"/>
    <w:rsid w:val="31A571A3"/>
    <w:rsid w:val="31A812D2"/>
    <w:rsid w:val="31A87524"/>
    <w:rsid w:val="31AA504A"/>
    <w:rsid w:val="31AF0C54"/>
    <w:rsid w:val="31B1462B"/>
    <w:rsid w:val="31B163D9"/>
    <w:rsid w:val="31B37D14"/>
    <w:rsid w:val="31B41A25"/>
    <w:rsid w:val="31B81DFD"/>
    <w:rsid w:val="31B84983"/>
    <w:rsid w:val="31BC0ADE"/>
    <w:rsid w:val="31BC4D7D"/>
    <w:rsid w:val="31BC6B40"/>
    <w:rsid w:val="31C41D60"/>
    <w:rsid w:val="31C47DCD"/>
    <w:rsid w:val="31C75BFC"/>
    <w:rsid w:val="31C86413"/>
    <w:rsid w:val="31CA56EC"/>
    <w:rsid w:val="31D226F5"/>
    <w:rsid w:val="31D73965"/>
    <w:rsid w:val="31D76878"/>
    <w:rsid w:val="31D9180D"/>
    <w:rsid w:val="31DA35B5"/>
    <w:rsid w:val="31DA576F"/>
    <w:rsid w:val="31DD1F3B"/>
    <w:rsid w:val="31DE17F1"/>
    <w:rsid w:val="31DE4CF4"/>
    <w:rsid w:val="31DF175D"/>
    <w:rsid w:val="31E1153A"/>
    <w:rsid w:val="31E247E4"/>
    <w:rsid w:val="31E27428"/>
    <w:rsid w:val="31E3230A"/>
    <w:rsid w:val="31E37AFE"/>
    <w:rsid w:val="31E53BD8"/>
    <w:rsid w:val="31EB31CE"/>
    <w:rsid w:val="31EC5663"/>
    <w:rsid w:val="31ED3189"/>
    <w:rsid w:val="31EF3498"/>
    <w:rsid w:val="31F12201"/>
    <w:rsid w:val="31F27F05"/>
    <w:rsid w:val="31F43832"/>
    <w:rsid w:val="31F5295D"/>
    <w:rsid w:val="31F6028F"/>
    <w:rsid w:val="31F86732"/>
    <w:rsid w:val="31F9633E"/>
    <w:rsid w:val="31FE64F3"/>
    <w:rsid w:val="31FF66E4"/>
    <w:rsid w:val="320003DB"/>
    <w:rsid w:val="3202598B"/>
    <w:rsid w:val="32047575"/>
    <w:rsid w:val="3206424D"/>
    <w:rsid w:val="320769C1"/>
    <w:rsid w:val="32081D71"/>
    <w:rsid w:val="320A3D3B"/>
    <w:rsid w:val="320E1ED6"/>
    <w:rsid w:val="320F76DA"/>
    <w:rsid w:val="32130E41"/>
    <w:rsid w:val="32142AFE"/>
    <w:rsid w:val="32144986"/>
    <w:rsid w:val="32184AEF"/>
    <w:rsid w:val="32185013"/>
    <w:rsid w:val="321A26C3"/>
    <w:rsid w:val="321D3A6E"/>
    <w:rsid w:val="321F203B"/>
    <w:rsid w:val="32204DF4"/>
    <w:rsid w:val="322070BA"/>
    <w:rsid w:val="32220E91"/>
    <w:rsid w:val="32223817"/>
    <w:rsid w:val="32230959"/>
    <w:rsid w:val="322620F6"/>
    <w:rsid w:val="32274509"/>
    <w:rsid w:val="322841C1"/>
    <w:rsid w:val="32285B6C"/>
    <w:rsid w:val="322A0A77"/>
    <w:rsid w:val="32343DCB"/>
    <w:rsid w:val="323A2BEF"/>
    <w:rsid w:val="323B3EF4"/>
    <w:rsid w:val="3244724D"/>
    <w:rsid w:val="324509E2"/>
    <w:rsid w:val="32450CF4"/>
    <w:rsid w:val="324523C1"/>
    <w:rsid w:val="32470AEB"/>
    <w:rsid w:val="3247677B"/>
    <w:rsid w:val="3248666C"/>
    <w:rsid w:val="32491521"/>
    <w:rsid w:val="324A0061"/>
    <w:rsid w:val="324B1B2D"/>
    <w:rsid w:val="324B1B69"/>
    <w:rsid w:val="324C037B"/>
    <w:rsid w:val="324D01C5"/>
    <w:rsid w:val="3251096A"/>
    <w:rsid w:val="3253259F"/>
    <w:rsid w:val="3256637E"/>
    <w:rsid w:val="32586854"/>
    <w:rsid w:val="325A081E"/>
    <w:rsid w:val="325A33E4"/>
    <w:rsid w:val="325A6665"/>
    <w:rsid w:val="325A68AB"/>
    <w:rsid w:val="325C0F3F"/>
    <w:rsid w:val="325F5E35"/>
    <w:rsid w:val="3265253D"/>
    <w:rsid w:val="32685F2C"/>
    <w:rsid w:val="32695377"/>
    <w:rsid w:val="32695BC1"/>
    <w:rsid w:val="326E42CA"/>
    <w:rsid w:val="326F0625"/>
    <w:rsid w:val="326F1F29"/>
    <w:rsid w:val="32723F14"/>
    <w:rsid w:val="3273368E"/>
    <w:rsid w:val="327411B4"/>
    <w:rsid w:val="3279103B"/>
    <w:rsid w:val="32794A1C"/>
    <w:rsid w:val="32872F23"/>
    <w:rsid w:val="32875432"/>
    <w:rsid w:val="32892EB1"/>
    <w:rsid w:val="3289460C"/>
    <w:rsid w:val="328B5B85"/>
    <w:rsid w:val="328C4750"/>
    <w:rsid w:val="32910F3D"/>
    <w:rsid w:val="32934927"/>
    <w:rsid w:val="32937120"/>
    <w:rsid w:val="32944A6A"/>
    <w:rsid w:val="32954240"/>
    <w:rsid w:val="32976A07"/>
    <w:rsid w:val="329B2BE5"/>
    <w:rsid w:val="329C029F"/>
    <w:rsid w:val="32A2020C"/>
    <w:rsid w:val="32A2203A"/>
    <w:rsid w:val="32A74A94"/>
    <w:rsid w:val="32A777DC"/>
    <w:rsid w:val="32A77ADA"/>
    <w:rsid w:val="32AC2CDB"/>
    <w:rsid w:val="32B06690"/>
    <w:rsid w:val="32B06E0D"/>
    <w:rsid w:val="32B21354"/>
    <w:rsid w:val="32B3062C"/>
    <w:rsid w:val="32B332E4"/>
    <w:rsid w:val="32B367D2"/>
    <w:rsid w:val="32BB6DE3"/>
    <w:rsid w:val="32BE2CD7"/>
    <w:rsid w:val="32C0264B"/>
    <w:rsid w:val="32C16E26"/>
    <w:rsid w:val="32C56864"/>
    <w:rsid w:val="32C71A61"/>
    <w:rsid w:val="32C8504E"/>
    <w:rsid w:val="32C91500"/>
    <w:rsid w:val="32C957E1"/>
    <w:rsid w:val="32D0288E"/>
    <w:rsid w:val="32D14858"/>
    <w:rsid w:val="32D17803"/>
    <w:rsid w:val="32D31612"/>
    <w:rsid w:val="32D56359"/>
    <w:rsid w:val="32DA370D"/>
    <w:rsid w:val="32DF1373"/>
    <w:rsid w:val="32E13265"/>
    <w:rsid w:val="32E26A66"/>
    <w:rsid w:val="32E453A0"/>
    <w:rsid w:val="32E7392A"/>
    <w:rsid w:val="32E75E2A"/>
    <w:rsid w:val="32E93CE2"/>
    <w:rsid w:val="32EB3B6C"/>
    <w:rsid w:val="32EF7012"/>
    <w:rsid w:val="32F44E2C"/>
    <w:rsid w:val="32F45E0E"/>
    <w:rsid w:val="32F522F5"/>
    <w:rsid w:val="32F80197"/>
    <w:rsid w:val="32FB0D84"/>
    <w:rsid w:val="32FB6F5A"/>
    <w:rsid w:val="32FD32EB"/>
    <w:rsid w:val="32FD564D"/>
    <w:rsid w:val="32FE25B0"/>
    <w:rsid w:val="32FF4F22"/>
    <w:rsid w:val="33014DEF"/>
    <w:rsid w:val="3302598D"/>
    <w:rsid w:val="33026648"/>
    <w:rsid w:val="330A3751"/>
    <w:rsid w:val="330B38C7"/>
    <w:rsid w:val="330D3302"/>
    <w:rsid w:val="33122EA7"/>
    <w:rsid w:val="3312312D"/>
    <w:rsid w:val="33162D96"/>
    <w:rsid w:val="331653A7"/>
    <w:rsid w:val="3318356E"/>
    <w:rsid w:val="33195511"/>
    <w:rsid w:val="331B019D"/>
    <w:rsid w:val="33222D0C"/>
    <w:rsid w:val="33264BA4"/>
    <w:rsid w:val="33274383"/>
    <w:rsid w:val="33280739"/>
    <w:rsid w:val="33294694"/>
    <w:rsid w:val="332A5A6E"/>
    <w:rsid w:val="332D19FB"/>
    <w:rsid w:val="332D37BF"/>
    <w:rsid w:val="332F1577"/>
    <w:rsid w:val="333170A5"/>
    <w:rsid w:val="333914B5"/>
    <w:rsid w:val="33393108"/>
    <w:rsid w:val="333944C9"/>
    <w:rsid w:val="334017F2"/>
    <w:rsid w:val="3341104F"/>
    <w:rsid w:val="33415B8B"/>
    <w:rsid w:val="33435756"/>
    <w:rsid w:val="334E70C6"/>
    <w:rsid w:val="334F40FB"/>
    <w:rsid w:val="3350450F"/>
    <w:rsid w:val="3350577D"/>
    <w:rsid w:val="33507336"/>
    <w:rsid w:val="335177EC"/>
    <w:rsid w:val="33520A10"/>
    <w:rsid w:val="33525384"/>
    <w:rsid w:val="33525999"/>
    <w:rsid w:val="3353526D"/>
    <w:rsid w:val="33586D62"/>
    <w:rsid w:val="335A0B89"/>
    <w:rsid w:val="335C05C6"/>
    <w:rsid w:val="336456CD"/>
    <w:rsid w:val="3367705C"/>
    <w:rsid w:val="33684523"/>
    <w:rsid w:val="336D4581"/>
    <w:rsid w:val="33716D16"/>
    <w:rsid w:val="33745910"/>
    <w:rsid w:val="3376747A"/>
    <w:rsid w:val="337E678E"/>
    <w:rsid w:val="33813B89"/>
    <w:rsid w:val="338418CB"/>
    <w:rsid w:val="33856CD3"/>
    <w:rsid w:val="33890C8F"/>
    <w:rsid w:val="338A7DDD"/>
    <w:rsid w:val="338B2782"/>
    <w:rsid w:val="338E6AEE"/>
    <w:rsid w:val="33973471"/>
    <w:rsid w:val="33977850"/>
    <w:rsid w:val="33983521"/>
    <w:rsid w:val="33984010"/>
    <w:rsid w:val="33A04957"/>
    <w:rsid w:val="33A34C0C"/>
    <w:rsid w:val="33A37FA3"/>
    <w:rsid w:val="33A45EF6"/>
    <w:rsid w:val="33A559E7"/>
    <w:rsid w:val="33AB6E58"/>
    <w:rsid w:val="33B640C1"/>
    <w:rsid w:val="33B7308A"/>
    <w:rsid w:val="33B73A4E"/>
    <w:rsid w:val="33B9418C"/>
    <w:rsid w:val="33C009E3"/>
    <w:rsid w:val="33C12110"/>
    <w:rsid w:val="33C15F55"/>
    <w:rsid w:val="33C1667B"/>
    <w:rsid w:val="33C65509"/>
    <w:rsid w:val="33CB1008"/>
    <w:rsid w:val="33CE7CB4"/>
    <w:rsid w:val="33D068B6"/>
    <w:rsid w:val="33D24B3F"/>
    <w:rsid w:val="33D508EE"/>
    <w:rsid w:val="33D5788D"/>
    <w:rsid w:val="33DC00FA"/>
    <w:rsid w:val="33DF6B01"/>
    <w:rsid w:val="33E12879"/>
    <w:rsid w:val="33E22E17"/>
    <w:rsid w:val="33E234ED"/>
    <w:rsid w:val="33E32A95"/>
    <w:rsid w:val="33E5575E"/>
    <w:rsid w:val="33E56366"/>
    <w:rsid w:val="33E83C08"/>
    <w:rsid w:val="33E9096B"/>
    <w:rsid w:val="33EA03B1"/>
    <w:rsid w:val="33EB55A0"/>
    <w:rsid w:val="33EC3069"/>
    <w:rsid w:val="33EF143A"/>
    <w:rsid w:val="33F077A7"/>
    <w:rsid w:val="33F26834"/>
    <w:rsid w:val="33F46B2D"/>
    <w:rsid w:val="33F713B7"/>
    <w:rsid w:val="33F94B2A"/>
    <w:rsid w:val="33F95E15"/>
    <w:rsid w:val="33FA18C0"/>
    <w:rsid w:val="33FB7DDF"/>
    <w:rsid w:val="33FF032A"/>
    <w:rsid w:val="340118A2"/>
    <w:rsid w:val="340160C2"/>
    <w:rsid w:val="34016560"/>
    <w:rsid w:val="34032EB3"/>
    <w:rsid w:val="340547BA"/>
    <w:rsid w:val="34081665"/>
    <w:rsid w:val="34083ADF"/>
    <w:rsid w:val="340909FE"/>
    <w:rsid w:val="340A3271"/>
    <w:rsid w:val="340A728E"/>
    <w:rsid w:val="340C02FC"/>
    <w:rsid w:val="340C3402"/>
    <w:rsid w:val="340D4053"/>
    <w:rsid w:val="340E1496"/>
    <w:rsid w:val="341113B0"/>
    <w:rsid w:val="34150DD0"/>
    <w:rsid w:val="34174A98"/>
    <w:rsid w:val="341A36D8"/>
    <w:rsid w:val="341D56D4"/>
    <w:rsid w:val="341E2488"/>
    <w:rsid w:val="341E3ACD"/>
    <w:rsid w:val="341F38EE"/>
    <w:rsid w:val="341F4A8C"/>
    <w:rsid w:val="3423438A"/>
    <w:rsid w:val="342509B8"/>
    <w:rsid w:val="34286628"/>
    <w:rsid w:val="342D0C70"/>
    <w:rsid w:val="342D6FC7"/>
    <w:rsid w:val="342F664D"/>
    <w:rsid w:val="34313801"/>
    <w:rsid w:val="343636E3"/>
    <w:rsid w:val="3439166F"/>
    <w:rsid w:val="34394463"/>
    <w:rsid w:val="343B01DB"/>
    <w:rsid w:val="343B642D"/>
    <w:rsid w:val="343B77AA"/>
    <w:rsid w:val="343C3F54"/>
    <w:rsid w:val="34403A44"/>
    <w:rsid w:val="344352E2"/>
    <w:rsid w:val="34462DB5"/>
    <w:rsid w:val="34480B4A"/>
    <w:rsid w:val="34496CE9"/>
    <w:rsid w:val="344E12E7"/>
    <w:rsid w:val="344F3C87"/>
    <w:rsid w:val="34521B73"/>
    <w:rsid w:val="34577D55"/>
    <w:rsid w:val="34583ED8"/>
    <w:rsid w:val="345854D5"/>
    <w:rsid w:val="345C4D01"/>
    <w:rsid w:val="345E6D3E"/>
    <w:rsid w:val="345E7193"/>
    <w:rsid w:val="3463198D"/>
    <w:rsid w:val="34637732"/>
    <w:rsid w:val="3464057A"/>
    <w:rsid w:val="34650059"/>
    <w:rsid w:val="346516FC"/>
    <w:rsid w:val="34654C9E"/>
    <w:rsid w:val="346672AD"/>
    <w:rsid w:val="34680FAB"/>
    <w:rsid w:val="346A7B0C"/>
    <w:rsid w:val="346F4329"/>
    <w:rsid w:val="34775E1C"/>
    <w:rsid w:val="34783090"/>
    <w:rsid w:val="3478372D"/>
    <w:rsid w:val="347B0F20"/>
    <w:rsid w:val="348240B1"/>
    <w:rsid w:val="34847DD4"/>
    <w:rsid w:val="348576A9"/>
    <w:rsid w:val="34873898"/>
    <w:rsid w:val="348C6C89"/>
    <w:rsid w:val="349160B7"/>
    <w:rsid w:val="34983880"/>
    <w:rsid w:val="34A17F8C"/>
    <w:rsid w:val="34A522D6"/>
    <w:rsid w:val="34AC4B3E"/>
    <w:rsid w:val="34AC7ED5"/>
    <w:rsid w:val="34AE4E51"/>
    <w:rsid w:val="34AF4725"/>
    <w:rsid w:val="34B00BC9"/>
    <w:rsid w:val="34B166F0"/>
    <w:rsid w:val="34B32468"/>
    <w:rsid w:val="34B41D3C"/>
    <w:rsid w:val="34B57061"/>
    <w:rsid w:val="34B66963"/>
    <w:rsid w:val="34B8000E"/>
    <w:rsid w:val="34BA052A"/>
    <w:rsid w:val="34BB6546"/>
    <w:rsid w:val="34BD7989"/>
    <w:rsid w:val="34C957E7"/>
    <w:rsid w:val="34CA0B0B"/>
    <w:rsid w:val="34CE72A2"/>
    <w:rsid w:val="34D523DE"/>
    <w:rsid w:val="34D62B03"/>
    <w:rsid w:val="34D85CE0"/>
    <w:rsid w:val="34DA428E"/>
    <w:rsid w:val="34DA537A"/>
    <w:rsid w:val="34DD1293"/>
    <w:rsid w:val="34DF0332"/>
    <w:rsid w:val="34E24AFB"/>
    <w:rsid w:val="34E56399"/>
    <w:rsid w:val="34E6283D"/>
    <w:rsid w:val="34E848BA"/>
    <w:rsid w:val="34E93E19"/>
    <w:rsid w:val="34EB57A0"/>
    <w:rsid w:val="34ED1251"/>
    <w:rsid w:val="34EE4F90"/>
    <w:rsid w:val="34F211E2"/>
    <w:rsid w:val="34F765F6"/>
    <w:rsid w:val="34FA0097"/>
    <w:rsid w:val="34FC025D"/>
    <w:rsid w:val="35026B8E"/>
    <w:rsid w:val="35050DD3"/>
    <w:rsid w:val="35051A73"/>
    <w:rsid w:val="35056364"/>
    <w:rsid w:val="350A5DD5"/>
    <w:rsid w:val="350B22A4"/>
    <w:rsid w:val="350C1963"/>
    <w:rsid w:val="350C6BEB"/>
    <w:rsid w:val="35154937"/>
    <w:rsid w:val="351A24E7"/>
    <w:rsid w:val="351D1FD7"/>
    <w:rsid w:val="352769B2"/>
    <w:rsid w:val="352E5F92"/>
    <w:rsid w:val="353103B5"/>
    <w:rsid w:val="353653C2"/>
    <w:rsid w:val="35373099"/>
    <w:rsid w:val="353C406C"/>
    <w:rsid w:val="353E45D5"/>
    <w:rsid w:val="354077AE"/>
    <w:rsid w:val="35470E02"/>
    <w:rsid w:val="35475446"/>
    <w:rsid w:val="354D466A"/>
    <w:rsid w:val="3550136A"/>
    <w:rsid w:val="355076B8"/>
    <w:rsid w:val="35531555"/>
    <w:rsid w:val="35567B0E"/>
    <w:rsid w:val="35584DBD"/>
    <w:rsid w:val="355B0222"/>
    <w:rsid w:val="355C48AD"/>
    <w:rsid w:val="355F7EFA"/>
    <w:rsid w:val="35625BE4"/>
    <w:rsid w:val="35645510"/>
    <w:rsid w:val="35655D2C"/>
    <w:rsid w:val="356727CA"/>
    <w:rsid w:val="356B13C7"/>
    <w:rsid w:val="356C2617"/>
    <w:rsid w:val="35746AF4"/>
    <w:rsid w:val="35760FBE"/>
    <w:rsid w:val="35780FBB"/>
    <w:rsid w:val="357A3683"/>
    <w:rsid w:val="357C4E30"/>
    <w:rsid w:val="35824CBB"/>
    <w:rsid w:val="35847960"/>
    <w:rsid w:val="3586192A"/>
    <w:rsid w:val="358655FF"/>
    <w:rsid w:val="358B6F41"/>
    <w:rsid w:val="358E07DF"/>
    <w:rsid w:val="35927E5B"/>
    <w:rsid w:val="3595159F"/>
    <w:rsid w:val="35986C99"/>
    <w:rsid w:val="359B3588"/>
    <w:rsid w:val="359C6CB5"/>
    <w:rsid w:val="35A150CE"/>
    <w:rsid w:val="35A16764"/>
    <w:rsid w:val="35A232E9"/>
    <w:rsid w:val="35A3146B"/>
    <w:rsid w:val="35A32F65"/>
    <w:rsid w:val="35A4293C"/>
    <w:rsid w:val="35A61FCC"/>
    <w:rsid w:val="35A715CC"/>
    <w:rsid w:val="35AA33FE"/>
    <w:rsid w:val="35AB1391"/>
    <w:rsid w:val="35AB313F"/>
    <w:rsid w:val="35AC1E6F"/>
    <w:rsid w:val="35AE0515"/>
    <w:rsid w:val="35B04A3C"/>
    <w:rsid w:val="35B2000C"/>
    <w:rsid w:val="35B22A17"/>
    <w:rsid w:val="35B5220F"/>
    <w:rsid w:val="35BE10C4"/>
    <w:rsid w:val="35BE652B"/>
    <w:rsid w:val="35BE7497"/>
    <w:rsid w:val="35C636FF"/>
    <w:rsid w:val="35C6441D"/>
    <w:rsid w:val="35D05E29"/>
    <w:rsid w:val="35D1164F"/>
    <w:rsid w:val="35D5640E"/>
    <w:rsid w:val="35DA5322"/>
    <w:rsid w:val="35E5121D"/>
    <w:rsid w:val="35E548A3"/>
    <w:rsid w:val="35E7745C"/>
    <w:rsid w:val="35EB0151"/>
    <w:rsid w:val="35EB3E83"/>
    <w:rsid w:val="35ED756B"/>
    <w:rsid w:val="35F165B8"/>
    <w:rsid w:val="35F57F4E"/>
    <w:rsid w:val="35F72FB4"/>
    <w:rsid w:val="35F920FC"/>
    <w:rsid w:val="35FB2318"/>
    <w:rsid w:val="35FE5964"/>
    <w:rsid w:val="35FE75F8"/>
    <w:rsid w:val="36000239"/>
    <w:rsid w:val="36062A6B"/>
    <w:rsid w:val="36070CBD"/>
    <w:rsid w:val="36093152"/>
    <w:rsid w:val="360B0081"/>
    <w:rsid w:val="360B56B7"/>
    <w:rsid w:val="360D1B6A"/>
    <w:rsid w:val="360F1920"/>
    <w:rsid w:val="36103C8A"/>
    <w:rsid w:val="3612057F"/>
    <w:rsid w:val="36121410"/>
    <w:rsid w:val="3613628A"/>
    <w:rsid w:val="36160F00"/>
    <w:rsid w:val="36193799"/>
    <w:rsid w:val="361A2073"/>
    <w:rsid w:val="361A306B"/>
    <w:rsid w:val="361A4FF4"/>
    <w:rsid w:val="36213401"/>
    <w:rsid w:val="362178A5"/>
    <w:rsid w:val="36251143"/>
    <w:rsid w:val="36264C5C"/>
    <w:rsid w:val="36294AF0"/>
    <w:rsid w:val="36296275"/>
    <w:rsid w:val="36297785"/>
    <w:rsid w:val="362C08A6"/>
    <w:rsid w:val="362C24D2"/>
    <w:rsid w:val="362D1DA6"/>
    <w:rsid w:val="362F3D70"/>
    <w:rsid w:val="36315865"/>
    <w:rsid w:val="363323F5"/>
    <w:rsid w:val="3636283A"/>
    <w:rsid w:val="363B44C3"/>
    <w:rsid w:val="363C648D"/>
    <w:rsid w:val="363F0858"/>
    <w:rsid w:val="36421CF5"/>
    <w:rsid w:val="36453D49"/>
    <w:rsid w:val="36496DE4"/>
    <w:rsid w:val="364B707C"/>
    <w:rsid w:val="364E2474"/>
    <w:rsid w:val="36555259"/>
    <w:rsid w:val="365634BC"/>
    <w:rsid w:val="36563E78"/>
    <w:rsid w:val="365657A0"/>
    <w:rsid w:val="36575075"/>
    <w:rsid w:val="36581519"/>
    <w:rsid w:val="36592B9B"/>
    <w:rsid w:val="365A5EF7"/>
    <w:rsid w:val="365B761C"/>
    <w:rsid w:val="36600561"/>
    <w:rsid w:val="36607151"/>
    <w:rsid w:val="366476CB"/>
    <w:rsid w:val="366652B8"/>
    <w:rsid w:val="36690DEE"/>
    <w:rsid w:val="366C6D72"/>
    <w:rsid w:val="366D47D4"/>
    <w:rsid w:val="366F23BE"/>
    <w:rsid w:val="366F7223"/>
    <w:rsid w:val="367034A4"/>
    <w:rsid w:val="367040D8"/>
    <w:rsid w:val="3670428D"/>
    <w:rsid w:val="367125DA"/>
    <w:rsid w:val="3671332B"/>
    <w:rsid w:val="36743E39"/>
    <w:rsid w:val="367573BE"/>
    <w:rsid w:val="36767BF1"/>
    <w:rsid w:val="36781CEB"/>
    <w:rsid w:val="3679631B"/>
    <w:rsid w:val="3679745E"/>
    <w:rsid w:val="367D0F7F"/>
    <w:rsid w:val="367F061C"/>
    <w:rsid w:val="367F32BF"/>
    <w:rsid w:val="367F72BB"/>
    <w:rsid w:val="36801FC3"/>
    <w:rsid w:val="368E076E"/>
    <w:rsid w:val="36925E08"/>
    <w:rsid w:val="369342FF"/>
    <w:rsid w:val="36963DEF"/>
    <w:rsid w:val="36975FF1"/>
    <w:rsid w:val="36981915"/>
    <w:rsid w:val="369938DF"/>
    <w:rsid w:val="369C2757"/>
    <w:rsid w:val="369D2936"/>
    <w:rsid w:val="369D4B1D"/>
    <w:rsid w:val="369D598D"/>
    <w:rsid w:val="369E3ED1"/>
    <w:rsid w:val="36A02291"/>
    <w:rsid w:val="36A05164"/>
    <w:rsid w:val="36A24542"/>
    <w:rsid w:val="36A4650C"/>
    <w:rsid w:val="36A656A2"/>
    <w:rsid w:val="36AB3FD2"/>
    <w:rsid w:val="36AD2EE7"/>
    <w:rsid w:val="36AE3044"/>
    <w:rsid w:val="36AE634F"/>
    <w:rsid w:val="36B10C29"/>
    <w:rsid w:val="36B13AD8"/>
    <w:rsid w:val="36B2364A"/>
    <w:rsid w:val="36B25C82"/>
    <w:rsid w:val="36B42800"/>
    <w:rsid w:val="36B67FED"/>
    <w:rsid w:val="36B7281E"/>
    <w:rsid w:val="36BA60D8"/>
    <w:rsid w:val="36BA6BD1"/>
    <w:rsid w:val="36BB001C"/>
    <w:rsid w:val="36BB5604"/>
    <w:rsid w:val="36BC40FA"/>
    <w:rsid w:val="36BE6EA2"/>
    <w:rsid w:val="36BF6696"/>
    <w:rsid w:val="36C35E11"/>
    <w:rsid w:val="36C649BC"/>
    <w:rsid w:val="36C9154E"/>
    <w:rsid w:val="36CC7811"/>
    <w:rsid w:val="36CD0C1D"/>
    <w:rsid w:val="36CE6DDA"/>
    <w:rsid w:val="36D13079"/>
    <w:rsid w:val="36D3462E"/>
    <w:rsid w:val="36D466C5"/>
    <w:rsid w:val="36D81DC5"/>
    <w:rsid w:val="36D977AF"/>
    <w:rsid w:val="36DA6667"/>
    <w:rsid w:val="36DB5CA6"/>
    <w:rsid w:val="36DC4D62"/>
    <w:rsid w:val="36DD1A1E"/>
    <w:rsid w:val="36DF1909"/>
    <w:rsid w:val="36DF5796"/>
    <w:rsid w:val="36E11623"/>
    <w:rsid w:val="36E27034"/>
    <w:rsid w:val="36E4421A"/>
    <w:rsid w:val="36E508D2"/>
    <w:rsid w:val="36E716F9"/>
    <w:rsid w:val="36E7289C"/>
    <w:rsid w:val="36F01AF3"/>
    <w:rsid w:val="36F31241"/>
    <w:rsid w:val="36F54FF8"/>
    <w:rsid w:val="36F80606"/>
    <w:rsid w:val="36F86858"/>
    <w:rsid w:val="3700570C"/>
    <w:rsid w:val="37077DAA"/>
    <w:rsid w:val="370C2303"/>
    <w:rsid w:val="371051BC"/>
    <w:rsid w:val="37144761"/>
    <w:rsid w:val="371511B8"/>
    <w:rsid w:val="3716667A"/>
    <w:rsid w:val="3718735B"/>
    <w:rsid w:val="371A5ECD"/>
    <w:rsid w:val="371B42F4"/>
    <w:rsid w:val="371F3DE4"/>
    <w:rsid w:val="371F4BBF"/>
    <w:rsid w:val="372066CC"/>
    <w:rsid w:val="37226B12"/>
    <w:rsid w:val="372458F2"/>
    <w:rsid w:val="37271C97"/>
    <w:rsid w:val="372811A5"/>
    <w:rsid w:val="3729466D"/>
    <w:rsid w:val="372E04CB"/>
    <w:rsid w:val="37305FF2"/>
    <w:rsid w:val="37307DA0"/>
    <w:rsid w:val="37337890"/>
    <w:rsid w:val="3736112E"/>
    <w:rsid w:val="37375E56"/>
    <w:rsid w:val="373A6E70"/>
    <w:rsid w:val="373B3283"/>
    <w:rsid w:val="373D6984"/>
    <w:rsid w:val="37411FAD"/>
    <w:rsid w:val="374455F9"/>
    <w:rsid w:val="374750E9"/>
    <w:rsid w:val="3749758F"/>
    <w:rsid w:val="374A6261"/>
    <w:rsid w:val="374C5617"/>
    <w:rsid w:val="374D23E2"/>
    <w:rsid w:val="375126E3"/>
    <w:rsid w:val="37537D63"/>
    <w:rsid w:val="37557806"/>
    <w:rsid w:val="3756643B"/>
    <w:rsid w:val="375717D0"/>
    <w:rsid w:val="375720DA"/>
    <w:rsid w:val="37585548"/>
    <w:rsid w:val="375A306E"/>
    <w:rsid w:val="375B3C7B"/>
    <w:rsid w:val="375D490D"/>
    <w:rsid w:val="37604DCD"/>
    <w:rsid w:val="376143FD"/>
    <w:rsid w:val="37625E00"/>
    <w:rsid w:val="37672D3B"/>
    <w:rsid w:val="376822D6"/>
    <w:rsid w:val="376F634F"/>
    <w:rsid w:val="3772660A"/>
    <w:rsid w:val="37727B07"/>
    <w:rsid w:val="37735EDE"/>
    <w:rsid w:val="37751C56"/>
    <w:rsid w:val="3775311F"/>
    <w:rsid w:val="37765EA7"/>
    <w:rsid w:val="37772DE8"/>
    <w:rsid w:val="37775226"/>
    <w:rsid w:val="37783580"/>
    <w:rsid w:val="377912FB"/>
    <w:rsid w:val="377A101B"/>
    <w:rsid w:val="377E4337"/>
    <w:rsid w:val="378400EB"/>
    <w:rsid w:val="37846305"/>
    <w:rsid w:val="3785702B"/>
    <w:rsid w:val="37887BDC"/>
    <w:rsid w:val="37904E5A"/>
    <w:rsid w:val="379130D9"/>
    <w:rsid w:val="37932094"/>
    <w:rsid w:val="37953F74"/>
    <w:rsid w:val="37977E1F"/>
    <w:rsid w:val="37991DE9"/>
    <w:rsid w:val="379A6DDD"/>
    <w:rsid w:val="37A566A5"/>
    <w:rsid w:val="37B00EE0"/>
    <w:rsid w:val="37B33894"/>
    <w:rsid w:val="37B5130F"/>
    <w:rsid w:val="37B81B43"/>
    <w:rsid w:val="37B873AB"/>
    <w:rsid w:val="37B95FE7"/>
    <w:rsid w:val="37BA3B0D"/>
    <w:rsid w:val="37BD5C39"/>
    <w:rsid w:val="37C0180A"/>
    <w:rsid w:val="37C077B1"/>
    <w:rsid w:val="37C25CC6"/>
    <w:rsid w:val="37C624B2"/>
    <w:rsid w:val="37C702A9"/>
    <w:rsid w:val="37C85FF9"/>
    <w:rsid w:val="37C93EB1"/>
    <w:rsid w:val="37C9609E"/>
    <w:rsid w:val="37D045BF"/>
    <w:rsid w:val="37D26C74"/>
    <w:rsid w:val="37D35B12"/>
    <w:rsid w:val="37D41C80"/>
    <w:rsid w:val="37D64D82"/>
    <w:rsid w:val="37D72911"/>
    <w:rsid w:val="37D74D24"/>
    <w:rsid w:val="37D80686"/>
    <w:rsid w:val="37DB4E60"/>
    <w:rsid w:val="37DF3574"/>
    <w:rsid w:val="37E34E12"/>
    <w:rsid w:val="37E8067A"/>
    <w:rsid w:val="37EB2D52"/>
    <w:rsid w:val="37EE3373"/>
    <w:rsid w:val="37F05781"/>
    <w:rsid w:val="37F449A7"/>
    <w:rsid w:val="37FA5F1E"/>
    <w:rsid w:val="380332CE"/>
    <w:rsid w:val="38037262"/>
    <w:rsid w:val="3807501A"/>
    <w:rsid w:val="38082ACA"/>
    <w:rsid w:val="38083D4D"/>
    <w:rsid w:val="38091BCB"/>
    <w:rsid w:val="380D237D"/>
    <w:rsid w:val="380F3590"/>
    <w:rsid w:val="381157C4"/>
    <w:rsid w:val="381551E7"/>
    <w:rsid w:val="381C26EF"/>
    <w:rsid w:val="381E22EE"/>
    <w:rsid w:val="38212BEC"/>
    <w:rsid w:val="38233460"/>
    <w:rsid w:val="38250593"/>
    <w:rsid w:val="38286CC9"/>
    <w:rsid w:val="382A2451"/>
    <w:rsid w:val="382B019D"/>
    <w:rsid w:val="382D2531"/>
    <w:rsid w:val="382F43FF"/>
    <w:rsid w:val="3830249B"/>
    <w:rsid w:val="38303DCF"/>
    <w:rsid w:val="38327B47"/>
    <w:rsid w:val="38364F11"/>
    <w:rsid w:val="38390ED6"/>
    <w:rsid w:val="384004B6"/>
    <w:rsid w:val="384635F3"/>
    <w:rsid w:val="38481D7A"/>
    <w:rsid w:val="384B0C09"/>
    <w:rsid w:val="384B44A9"/>
    <w:rsid w:val="384D2542"/>
    <w:rsid w:val="384F340C"/>
    <w:rsid w:val="384F4255"/>
    <w:rsid w:val="385201EA"/>
    <w:rsid w:val="3854184B"/>
    <w:rsid w:val="38543F62"/>
    <w:rsid w:val="38551189"/>
    <w:rsid w:val="385950D4"/>
    <w:rsid w:val="385F394D"/>
    <w:rsid w:val="3862042D"/>
    <w:rsid w:val="386F2B4A"/>
    <w:rsid w:val="387243E8"/>
    <w:rsid w:val="38726D40"/>
    <w:rsid w:val="3874040C"/>
    <w:rsid w:val="387502B4"/>
    <w:rsid w:val="38772BC0"/>
    <w:rsid w:val="387737AC"/>
    <w:rsid w:val="387D5D44"/>
    <w:rsid w:val="3881462B"/>
    <w:rsid w:val="38832151"/>
    <w:rsid w:val="388560F7"/>
    <w:rsid w:val="388611A7"/>
    <w:rsid w:val="38872DC6"/>
    <w:rsid w:val="388A1731"/>
    <w:rsid w:val="388C54AA"/>
    <w:rsid w:val="388E7474"/>
    <w:rsid w:val="3890151C"/>
    <w:rsid w:val="38910F96"/>
    <w:rsid w:val="38912AC0"/>
    <w:rsid w:val="38922426"/>
    <w:rsid w:val="38936601"/>
    <w:rsid w:val="3894610C"/>
    <w:rsid w:val="389A2BBC"/>
    <w:rsid w:val="389B749B"/>
    <w:rsid w:val="389E280E"/>
    <w:rsid w:val="389E51DD"/>
    <w:rsid w:val="38A10829"/>
    <w:rsid w:val="38A345A1"/>
    <w:rsid w:val="38A57AE5"/>
    <w:rsid w:val="38A6778B"/>
    <w:rsid w:val="38AC2314"/>
    <w:rsid w:val="38AD5420"/>
    <w:rsid w:val="38AF44FF"/>
    <w:rsid w:val="38B20439"/>
    <w:rsid w:val="38B77CE5"/>
    <w:rsid w:val="38B844F1"/>
    <w:rsid w:val="38BB10D8"/>
    <w:rsid w:val="38BE500F"/>
    <w:rsid w:val="38C139A8"/>
    <w:rsid w:val="38C45D96"/>
    <w:rsid w:val="38C52A81"/>
    <w:rsid w:val="38C56C0D"/>
    <w:rsid w:val="38CE5AC2"/>
    <w:rsid w:val="38CF0F38"/>
    <w:rsid w:val="38D404B5"/>
    <w:rsid w:val="38D429AD"/>
    <w:rsid w:val="38D440A8"/>
    <w:rsid w:val="38D56E32"/>
    <w:rsid w:val="38D57D6A"/>
    <w:rsid w:val="38D679DA"/>
    <w:rsid w:val="38DA6126"/>
    <w:rsid w:val="38DD7AB3"/>
    <w:rsid w:val="38E075A3"/>
    <w:rsid w:val="38E15F1D"/>
    <w:rsid w:val="38E219C5"/>
    <w:rsid w:val="38E23DE0"/>
    <w:rsid w:val="38E250CA"/>
    <w:rsid w:val="38E25653"/>
    <w:rsid w:val="38E25B30"/>
    <w:rsid w:val="38E507FA"/>
    <w:rsid w:val="38E6798D"/>
    <w:rsid w:val="38EA0422"/>
    <w:rsid w:val="38EA21D0"/>
    <w:rsid w:val="38ED3A6E"/>
    <w:rsid w:val="38ED53D2"/>
    <w:rsid w:val="38F117B0"/>
    <w:rsid w:val="38F207D6"/>
    <w:rsid w:val="38F6071E"/>
    <w:rsid w:val="38F6326A"/>
    <w:rsid w:val="38F632D5"/>
    <w:rsid w:val="38F80D91"/>
    <w:rsid w:val="38F82B3F"/>
    <w:rsid w:val="38FA3EAE"/>
    <w:rsid w:val="38FB43DD"/>
    <w:rsid w:val="38FE5796"/>
    <w:rsid w:val="38FE5C7B"/>
    <w:rsid w:val="39002727"/>
    <w:rsid w:val="39013EF6"/>
    <w:rsid w:val="39042103"/>
    <w:rsid w:val="3905700A"/>
    <w:rsid w:val="39065229"/>
    <w:rsid w:val="390D6DC9"/>
    <w:rsid w:val="390E0D37"/>
    <w:rsid w:val="390E4F3A"/>
    <w:rsid w:val="390F1C37"/>
    <w:rsid w:val="390F6C68"/>
    <w:rsid w:val="39101234"/>
    <w:rsid w:val="391137C9"/>
    <w:rsid w:val="39113C01"/>
    <w:rsid w:val="3911775D"/>
    <w:rsid w:val="3913791C"/>
    <w:rsid w:val="391A0D07"/>
    <w:rsid w:val="391A2AB5"/>
    <w:rsid w:val="391A7E0C"/>
    <w:rsid w:val="391B682D"/>
    <w:rsid w:val="391D25A6"/>
    <w:rsid w:val="391D7F6D"/>
    <w:rsid w:val="39203E44"/>
    <w:rsid w:val="3921693D"/>
    <w:rsid w:val="39224713"/>
    <w:rsid w:val="39227BBC"/>
    <w:rsid w:val="39260406"/>
    <w:rsid w:val="39267B82"/>
    <w:rsid w:val="392B222A"/>
    <w:rsid w:val="392B2900"/>
    <w:rsid w:val="392B2D30"/>
    <w:rsid w:val="393252F4"/>
    <w:rsid w:val="39365415"/>
    <w:rsid w:val="39367615"/>
    <w:rsid w:val="393A469C"/>
    <w:rsid w:val="393A4F06"/>
    <w:rsid w:val="393A6763"/>
    <w:rsid w:val="393D67A4"/>
    <w:rsid w:val="394335D7"/>
    <w:rsid w:val="39451F51"/>
    <w:rsid w:val="39461AFC"/>
    <w:rsid w:val="39466615"/>
    <w:rsid w:val="39470BAF"/>
    <w:rsid w:val="39477622"/>
    <w:rsid w:val="39496281"/>
    <w:rsid w:val="394A33E6"/>
    <w:rsid w:val="394D6F17"/>
    <w:rsid w:val="394E23CD"/>
    <w:rsid w:val="394F25F9"/>
    <w:rsid w:val="39521233"/>
    <w:rsid w:val="39565AB7"/>
    <w:rsid w:val="39587E67"/>
    <w:rsid w:val="395F496C"/>
    <w:rsid w:val="396162E0"/>
    <w:rsid w:val="396226AE"/>
    <w:rsid w:val="39653FE8"/>
    <w:rsid w:val="396629B0"/>
    <w:rsid w:val="396B5955"/>
    <w:rsid w:val="396C52DB"/>
    <w:rsid w:val="396D7564"/>
    <w:rsid w:val="396E1053"/>
    <w:rsid w:val="3971644D"/>
    <w:rsid w:val="39716BF7"/>
    <w:rsid w:val="39754190"/>
    <w:rsid w:val="397622BB"/>
    <w:rsid w:val="39787331"/>
    <w:rsid w:val="397A3032"/>
    <w:rsid w:val="398048E2"/>
    <w:rsid w:val="3982065B"/>
    <w:rsid w:val="39826A01"/>
    <w:rsid w:val="39873EC3"/>
    <w:rsid w:val="398914A4"/>
    <w:rsid w:val="398C26F0"/>
    <w:rsid w:val="398E34A3"/>
    <w:rsid w:val="39902D77"/>
    <w:rsid w:val="399129D3"/>
    <w:rsid w:val="39925C75"/>
    <w:rsid w:val="39953421"/>
    <w:rsid w:val="399A1E48"/>
    <w:rsid w:val="39A01BE0"/>
    <w:rsid w:val="39A20CFD"/>
    <w:rsid w:val="39A54027"/>
    <w:rsid w:val="39AD3929"/>
    <w:rsid w:val="39AE1450"/>
    <w:rsid w:val="39B13996"/>
    <w:rsid w:val="39B24474"/>
    <w:rsid w:val="39B53C0B"/>
    <w:rsid w:val="39B91991"/>
    <w:rsid w:val="39BA4298"/>
    <w:rsid w:val="39BC591B"/>
    <w:rsid w:val="39BD14C6"/>
    <w:rsid w:val="39BF365D"/>
    <w:rsid w:val="39BF540B"/>
    <w:rsid w:val="39C576F9"/>
    <w:rsid w:val="39C72511"/>
    <w:rsid w:val="39CC3D77"/>
    <w:rsid w:val="39CE564E"/>
    <w:rsid w:val="39CF6DF4"/>
    <w:rsid w:val="39D37108"/>
    <w:rsid w:val="39D8304E"/>
    <w:rsid w:val="39D96898"/>
    <w:rsid w:val="39DD3AE3"/>
    <w:rsid w:val="39E35257"/>
    <w:rsid w:val="39E642B8"/>
    <w:rsid w:val="39E71596"/>
    <w:rsid w:val="39E92488"/>
    <w:rsid w:val="39EA5676"/>
    <w:rsid w:val="39F012A4"/>
    <w:rsid w:val="39F054BC"/>
    <w:rsid w:val="39F216A1"/>
    <w:rsid w:val="39F30EC3"/>
    <w:rsid w:val="39F350B4"/>
    <w:rsid w:val="39F6309F"/>
    <w:rsid w:val="39F63BBE"/>
    <w:rsid w:val="39F87910"/>
    <w:rsid w:val="39F931BB"/>
    <w:rsid w:val="39F94DCB"/>
    <w:rsid w:val="39FC21BB"/>
    <w:rsid w:val="39FD5F33"/>
    <w:rsid w:val="3A013C75"/>
    <w:rsid w:val="3A05384F"/>
    <w:rsid w:val="3A057016"/>
    <w:rsid w:val="3A06671B"/>
    <w:rsid w:val="3A070042"/>
    <w:rsid w:val="3A0821EA"/>
    <w:rsid w:val="3A0A0D9F"/>
    <w:rsid w:val="3A175247"/>
    <w:rsid w:val="3A176E32"/>
    <w:rsid w:val="3A18450B"/>
    <w:rsid w:val="3A1A5385"/>
    <w:rsid w:val="3A1B223D"/>
    <w:rsid w:val="3A1F30CD"/>
    <w:rsid w:val="3A22028A"/>
    <w:rsid w:val="3A23599A"/>
    <w:rsid w:val="3A241712"/>
    <w:rsid w:val="3A2636DC"/>
    <w:rsid w:val="3A287A8D"/>
    <w:rsid w:val="3A293A55"/>
    <w:rsid w:val="3A296D28"/>
    <w:rsid w:val="3A2B484E"/>
    <w:rsid w:val="3A2B6F44"/>
    <w:rsid w:val="3A2D4A6A"/>
    <w:rsid w:val="3A3011F6"/>
    <w:rsid w:val="3A325BDD"/>
    <w:rsid w:val="3A347416"/>
    <w:rsid w:val="3A3556CD"/>
    <w:rsid w:val="3A396C04"/>
    <w:rsid w:val="3A3B7187"/>
    <w:rsid w:val="3A3F1290"/>
    <w:rsid w:val="3A410516"/>
    <w:rsid w:val="3A42253E"/>
    <w:rsid w:val="3A4903B1"/>
    <w:rsid w:val="3A4A73CA"/>
    <w:rsid w:val="3A5036B9"/>
    <w:rsid w:val="3A5215D7"/>
    <w:rsid w:val="3A5220B5"/>
    <w:rsid w:val="3A565DAA"/>
    <w:rsid w:val="3A59760D"/>
    <w:rsid w:val="3A5B704B"/>
    <w:rsid w:val="3A5C3E46"/>
    <w:rsid w:val="3A5E69D2"/>
    <w:rsid w:val="3A5F7A7B"/>
    <w:rsid w:val="3A60099C"/>
    <w:rsid w:val="3A614359"/>
    <w:rsid w:val="3A6363E4"/>
    <w:rsid w:val="3A6417D3"/>
    <w:rsid w:val="3A680772"/>
    <w:rsid w:val="3A6A0B07"/>
    <w:rsid w:val="3A6B10EF"/>
    <w:rsid w:val="3A6E3D80"/>
    <w:rsid w:val="3A704957"/>
    <w:rsid w:val="3A730406"/>
    <w:rsid w:val="3A751F6D"/>
    <w:rsid w:val="3A7750E3"/>
    <w:rsid w:val="3A7A7B33"/>
    <w:rsid w:val="3A7C6384"/>
    <w:rsid w:val="3A7E52C6"/>
    <w:rsid w:val="3A801C24"/>
    <w:rsid w:val="3A836257"/>
    <w:rsid w:val="3A836438"/>
    <w:rsid w:val="3A856654"/>
    <w:rsid w:val="3A8735DD"/>
    <w:rsid w:val="3A8A2ECB"/>
    <w:rsid w:val="3A8C750A"/>
    <w:rsid w:val="3A8D2BD6"/>
    <w:rsid w:val="3A92642B"/>
    <w:rsid w:val="3A971EE4"/>
    <w:rsid w:val="3A986086"/>
    <w:rsid w:val="3A9C74FA"/>
    <w:rsid w:val="3AA0523C"/>
    <w:rsid w:val="3AA12D62"/>
    <w:rsid w:val="3AA765CB"/>
    <w:rsid w:val="3AAB598F"/>
    <w:rsid w:val="3AAF21A5"/>
    <w:rsid w:val="3AB111F7"/>
    <w:rsid w:val="3AB26D1E"/>
    <w:rsid w:val="3ABB0191"/>
    <w:rsid w:val="3ABB750F"/>
    <w:rsid w:val="3ABC20A5"/>
    <w:rsid w:val="3ABE6841"/>
    <w:rsid w:val="3AC3717D"/>
    <w:rsid w:val="3AC61F85"/>
    <w:rsid w:val="3AC6749A"/>
    <w:rsid w:val="3AC76819"/>
    <w:rsid w:val="3ACA050B"/>
    <w:rsid w:val="3AD06540"/>
    <w:rsid w:val="3AD1189A"/>
    <w:rsid w:val="3AD351A5"/>
    <w:rsid w:val="3AD45DA4"/>
    <w:rsid w:val="3AD76784"/>
    <w:rsid w:val="3ADB2718"/>
    <w:rsid w:val="3ADD023E"/>
    <w:rsid w:val="3ADD1F23"/>
    <w:rsid w:val="3AE01ADD"/>
    <w:rsid w:val="3AE10D81"/>
    <w:rsid w:val="3AE407A8"/>
    <w:rsid w:val="3AE55345"/>
    <w:rsid w:val="3AE8273F"/>
    <w:rsid w:val="3AEC0481"/>
    <w:rsid w:val="3AEF19A1"/>
    <w:rsid w:val="3AF12BFC"/>
    <w:rsid w:val="3AF1337E"/>
    <w:rsid w:val="3AF47336"/>
    <w:rsid w:val="3AF52E35"/>
    <w:rsid w:val="3AF67A8F"/>
    <w:rsid w:val="3AF70469"/>
    <w:rsid w:val="3AF85078"/>
    <w:rsid w:val="3AFA0DF0"/>
    <w:rsid w:val="3AFA1C99"/>
    <w:rsid w:val="3AFB06C4"/>
    <w:rsid w:val="3AFD3C5D"/>
    <w:rsid w:val="3AFE115B"/>
    <w:rsid w:val="3B030B0F"/>
    <w:rsid w:val="3B033D64"/>
    <w:rsid w:val="3B0532F1"/>
    <w:rsid w:val="3B07350D"/>
    <w:rsid w:val="3B077069"/>
    <w:rsid w:val="3B077EC3"/>
    <w:rsid w:val="3B0C07E9"/>
    <w:rsid w:val="3B0E30F1"/>
    <w:rsid w:val="3B145BD7"/>
    <w:rsid w:val="3B167C0B"/>
    <w:rsid w:val="3B184ABC"/>
    <w:rsid w:val="3B191EE5"/>
    <w:rsid w:val="3B1B48C3"/>
    <w:rsid w:val="3B1C037F"/>
    <w:rsid w:val="3B1D688D"/>
    <w:rsid w:val="3B1F0857"/>
    <w:rsid w:val="3B1F2605"/>
    <w:rsid w:val="3B255DF4"/>
    <w:rsid w:val="3B27466B"/>
    <w:rsid w:val="3B280A67"/>
    <w:rsid w:val="3B2C4D22"/>
    <w:rsid w:val="3B2E19DC"/>
    <w:rsid w:val="3B2F148B"/>
    <w:rsid w:val="3B3230D5"/>
    <w:rsid w:val="3B331C0C"/>
    <w:rsid w:val="3B334302"/>
    <w:rsid w:val="3B363A0C"/>
    <w:rsid w:val="3B375866"/>
    <w:rsid w:val="3B384C6F"/>
    <w:rsid w:val="3B3E47CB"/>
    <w:rsid w:val="3B401368"/>
    <w:rsid w:val="3B4210C5"/>
    <w:rsid w:val="3B424545"/>
    <w:rsid w:val="3B497682"/>
    <w:rsid w:val="3B4D6BB0"/>
    <w:rsid w:val="3B4E53E3"/>
    <w:rsid w:val="3B5572F7"/>
    <w:rsid w:val="3B563B4D"/>
    <w:rsid w:val="3B5718E8"/>
    <w:rsid w:val="3B5B5699"/>
    <w:rsid w:val="3B5C5CED"/>
    <w:rsid w:val="3B602C1D"/>
    <w:rsid w:val="3B637FD8"/>
    <w:rsid w:val="3B6838CC"/>
    <w:rsid w:val="3B695073"/>
    <w:rsid w:val="3B6C1CC2"/>
    <w:rsid w:val="3B7907A1"/>
    <w:rsid w:val="3B7B1C49"/>
    <w:rsid w:val="3B823106"/>
    <w:rsid w:val="3B862684"/>
    <w:rsid w:val="3B8A2AFF"/>
    <w:rsid w:val="3B8A58BC"/>
    <w:rsid w:val="3B8C41E4"/>
    <w:rsid w:val="3B8D4B00"/>
    <w:rsid w:val="3B9308FD"/>
    <w:rsid w:val="3B954FF7"/>
    <w:rsid w:val="3B98562E"/>
    <w:rsid w:val="3B9876ED"/>
    <w:rsid w:val="3B9A1C8B"/>
    <w:rsid w:val="3B9E2418"/>
    <w:rsid w:val="3B9F3746"/>
    <w:rsid w:val="3BAA1400"/>
    <w:rsid w:val="3BAB3ECE"/>
    <w:rsid w:val="3BAB468E"/>
    <w:rsid w:val="3BAC7C11"/>
    <w:rsid w:val="3BB32D4D"/>
    <w:rsid w:val="3BB55DAC"/>
    <w:rsid w:val="3BB80364"/>
    <w:rsid w:val="3BB865B6"/>
    <w:rsid w:val="3BBB2302"/>
    <w:rsid w:val="3BBC53B2"/>
    <w:rsid w:val="3BBC6FFB"/>
    <w:rsid w:val="3BC25779"/>
    <w:rsid w:val="3BC27F05"/>
    <w:rsid w:val="3BC37F01"/>
    <w:rsid w:val="3BC44F5A"/>
    <w:rsid w:val="3BC5072A"/>
    <w:rsid w:val="3BC72CAC"/>
    <w:rsid w:val="3BC84D65"/>
    <w:rsid w:val="3BC91009"/>
    <w:rsid w:val="3BCD02B3"/>
    <w:rsid w:val="3BCD33F8"/>
    <w:rsid w:val="3BCD768A"/>
    <w:rsid w:val="3BCE0EA9"/>
    <w:rsid w:val="3BCE7B87"/>
    <w:rsid w:val="3BD04E97"/>
    <w:rsid w:val="3BD056AD"/>
    <w:rsid w:val="3BD41ACC"/>
    <w:rsid w:val="3BD72EE0"/>
    <w:rsid w:val="3BD827B4"/>
    <w:rsid w:val="3BDA652C"/>
    <w:rsid w:val="3BDD3486"/>
    <w:rsid w:val="3BDD426E"/>
    <w:rsid w:val="3BE012EB"/>
    <w:rsid w:val="3BE03287"/>
    <w:rsid w:val="3BE2746B"/>
    <w:rsid w:val="3BE473AB"/>
    <w:rsid w:val="3BE92C13"/>
    <w:rsid w:val="3BEE1FD7"/>
    <w:rsid w:val="3BEE647B"/>
    <w:rsid w:val="3BF13876"/>
    <w:rsid w:val="3BF15228"/>
    <w:rsid w:val="3BF20CEE"/>
    <w:rsid w:val="3BF34FA6"/>
    <w:rsid w:val="3BF75230"/>
    <w:rsid w:val="3BF75D8E"/>
    <w:rsid w:val="3BFA6AD7"/>
    <w:rsid w:val="3BFE66BE"/>
    <w:rsid w:val="3C040947"/>
    <w:rsid w:val="3C090BBF"/>
    <w:rsid w:val="3C0A2960"/>
    <w:rsid w:val="3C0B4937"/>
    <w:rsid w:val="3C0C415E"/>
    <w:rsid w:val="3C0E030A"/>
    <w:rsid w:val="3C0E1D80"/>
    <w:rsid w:val="3C0E2679"/>
    <w:rsid w:val="3C12185C"/>
    <w:rsid w:val="3C147949"/>
    <w:rsid w:val="3C1A7270"/>
    <w:rsid w:val="3C1D4329"/>
    <w:rsid w:val="3C29454B"/>
    <w:rsid w:val="3C2B3E5C"/>
    <w:rsid w:val="3C2C088D"/>
    <w:rsid w:val="3C2E51A3"/>
    <w:rsid w:val="3C2E5C5A"/>
    <w:rsid w:val="3C300842"/>
    <w:rsid w:val="3C3176E4"/>
    <w:rsid w:val="3C331E01"/>
    <w:rsid w:val="3C3E4D0D"/>
    <w:rsid w:val="3C461E13"/>
    <w:rsid w:val="3C4758CA"/>
    <w:rsid w:val="3C4936B2"/>
    <w:rsid w:val="3C4A2F0A"/>
    <w:rsid w:val="3C4A3275"/>
    <w:rsid w:val="3C4A529E"/>
    <w:rsid w:val="3C4B567C"/>
    <w:rsid w:val="3C4B6E1C"/>
    <w:rsid w:val="3C4D6CFE"/>
    <w:rsid w:val="3C502C92"/>
    <w:rsid w:val="3C5502A8"/>
    <w:rsid w:val="3C574678"/>
    <w:rsid w:val="3C591A4E"/>
    <w:rsid w:val="3C5A58BF"/>
    <w:rsid w:val="3C5B258D"/>
    <w:rsid w:val="3C5B7DA1"/>
    <w:rsid w:val="3C5C5193"/>
    <w:rsid w:val="3C60536C"/>
    <w:rsid w:val="3C6216E7"/>
    <w:rsid w:val="3C636521"/>
    <w:rsid w:val="3C641104"/>
    <w:rsid w:val="3C695929"/>
    <w:rsid w:val="3C6D53AC"/>
    <w:rsid w:val="3C700C3E"/>
    <w:rsid w:val="3C74072E"/>
    <w:rsid w:val="3C761FCB"/>
    <w:rsid w:val="3C775FAC"/>
    <w:rsid w:val="3C7802BC"/>
    <w:rsid w:val="3C7B3B11"/>
    <w:rsid w:val="3C7D26E2"/>
    <w:rsid w:val="3C7E0650"/>
    <w:rsid w:val="3C862210"/>
    <w:rsid w:val="3C8666B4"/>
    <w:rsid w:val="3C8A1D00"/>
    <w:rsid w:val="3C8C1F1C"/>
    <w:rsid w:val="3C8F292E"/>
    <w:rsid w:val="3C925A15"/>
    <w:rsid w:val="3C937C2D"/>
    <w:rsid w:val="3C940DD1"/>
    <w:rsid w:val="3C9E57AB"/>
    <w:rsid w:val="3C9F3565"/>
    <w:rsid w:val="3CA07775"/>
    <w:rsid w:val="3CA31014"/>
    <w:rsid w:val="3CA35DC5"/>
    <w:rsid w:val="3CA52FDE"/>
    <w:rsid w:val="3CA54D8C"/>
    <w:rsid w:val="3CA6247A"/>
    <w:rsid w:val="3CA628B2"/>
    <w:rsid w:val="3CA826B7"/>
    <w:rsid w:val="3CAC3E29"/>
    <w:rsid w:val="3CB43221"/>
    <w:rsid w:val="3CB440B7"/>
    <w:rsid w:val="3CB61B58"/>
    <w:rsid w:val="3CB65233"/>
    <w:rsid w:val="3CB8031B"/>
    <w:rsid w:val="3CBB635D"/>
    <w:rsid w:val="3CC048A7"/>
    <w:rsid w:val="3CC316B6"/>
    <w:rsid w:val="3CC35212"/>
    <w:rsid w:val="3CC85246"/>
    <w:rsid w:val="3CCA2A44"/>
    <w:rsid w:val="3CCA4030"/>
    <w:rsid w:val="3CCD2CF9"/>
    <w:rsid w:val="3CCD6C33"/>
    <w:rsid w:val="3CD236AA"/>
    <w:rsid w:val="3CD411CD"/>
    <w:rsid w:val="3CD72A6B"/>
    <w:rsid w:val="3CD76F0F"/>
    <w:rsid w:val="3CDA46D0"/>
    <w:rsid w:val="3CDB50AA"/>
    <w:rsid w:val="3CDC62D4"/>
    <w:rsid w:val="3CDE0024"/>
    <w:rsid w:val="3CDE204C"/>
    <w:rsid w:val="3CDF4B1B"/>
    <w:rsid w:val="3CE12430"/>
    <w:rsid w:val="3CE21B3C"/>
    <w:rsid w:val="3CE27D8E"/>
    <w:rsid w:val="3CE504A9"/>
    <w:rsid w:val="3CED04E1"/>
    <w:rsid w:val="3CED2111"/>
    <w:rsid w:val="3CED228F"/>
    <w:rsid w:val="3CF07925"/>
    <w:rsid w:val="3CF274BE"/>
    <w:rsid w:val="3CFD6976"/>
    <w:rsid w:val="3D004FE5"/>
    <w:rsid w:val="3D0B76ED"/>
    <w:rsid w:val="3D0C4E0B"/>
    <w:rsid w:val="3D0D40C6"/>
    <w:rsid w:val="3D0F2E1A"/>
    <w:rsid w:val="3D1141CF"/>
    <w:rsid w:val="3D125759"/>
    <w:rsid w:val="3D144CA7"/>
    <w:rsid w:val="3D1C4922"/>
    <w:rsid w:val="3D1D0DC6"/>
    <w:rsid w:val="3D1F71F5"/>
    <w:rsid w:val="3D211F38"/>
    <w:rsid w:val="3D2563F4"/>
    <w:rsid w:val="3D26409F"/>
    <w:rsid w:val="3D264254"/>
    <w:rsid w:val="3D26514E"/>
    <w:rsid w:val="3D2739F3"/>
    <w:rsid w:val="3D2757A1"/>
    <w:rsid w:val="3D3103CE"/>
    <w:rsid w:val="3D314871"/>
    <w:rsid w:val="3D31661F"/>
    <w:rsid w:val="3D355BDF"/>
    <w:rsid w:val="3D360408"/>
    <w:rsid w:val="3D3636F5"/>
    <w:rsid w:val="3D3833E6"/>
    <w:rsid w:val="3D3A18B6"/>
    <w:rsid w:val="3D3A1978"/>
    <w:rsid w:val="3D4113DC"/>
    <w:rsid w:val="3D421FBB"/>
    <w:rsid w:val="3D45031D"/>
    <w:rsid w:val="3D54197E"/>
    <w:rsid w:val="3D5626A5"/>
    <w:rsid w:val="3D5B18EE"/>
    <w:rsid w:val="3D5B2145"/>
    <w:rsid w:val="3D5B369C"/>
    <w:rsid w:val="3D5B5231"/>
    <w:rsid w:val="3D5B57C2"/>
    <w:rsid w:val="3D657CFC"/>
    <w:rsid w:val="3D672041"/>
    <w:rsid w:val="3D673163"/>
    <w:rsid w:val="3D673DEF"/>
    <w:rsid w:val="3D695DB9"/>
    <w:rsid w:val="3D6A143E"/>
    <w:rsid w:val="3D6E1622"/>
    <w:rsid w:val="3D6F7148"/>
    <w:rsid w:val="3D6F727E"/>
    <w:rsid w:val="3D714C6E"/>
    <w:rsid w:val="3D7172C5"/>
    <w:rsid w:val="3D7661B9"/>
    <w:rsid w:val="3D766728"/>
    <w:rsid w:val="3D7A1A73"/>
    <w:rsid w:val="3D7A47DC"/>
    <w:rsid w:val="3D7B2612"/>
    <w:rsid w:val="3D7D28F7"/>
    <w:rsid w:val="3D7E738B"/>
    <w:rsid w:val="3D803103"/>
    <w:rsid w:val="3D8175A7"/>
    <w:rsid w:val="3D823D88"/>
    <w:rsid w:val="3D8449A1"/>
    <w:rsid w:val="3D8801F9"/>
    <w:rsid w:val="3D8A789F"/>
    <w:rsid w:val="3D8C4172"/>
    <w:rsid w:val="3D8E75CE"/>
    <w:rsid w:val="3D932E36"/>
    <w:rsid w:val="3D9370E5"/>
    <w:rsid w:val="3D95035C"/>
    <w:rsid w:val="3D980813"/>
    <w:rsid w:val="3D9A76FB"/>
    <w:rsid w:val="3D9C0D3E"/>
    <w:rsid w:val="3DA07301"/>
    <w:rsid w:val="3DA15B1D"/>
    <w:rsid w:val="3DA23079"/>
    <w:rsid w:val="3DA2751D"/>
    <w:rsid w:val="3DA54918"/>
    <w:rsid w:val="3DA7560D"/>
    <w:rsid w:val="3DAE3F82"/>
    <w:rsid w:val="3DB64D77"/>
    <w:rsid w:val="3DB6568D"/>
    <w:rsid w:val="3DB932C0"/>
    <w:rsid w:val="3DB966DC"/>
    <w:rsid w:val="3DBA0EE7"/>
    <w:rsid w:val="3DBD7EB3"/>
    <w:rsid w:val="3DBF00CF"/>
    <w:rsid w:val="3DC061FF"/>
    <w:rsid w:val="3DC2371B"/>
    <w:rsid w:val="3DC456E6"/>
    <w:rsid w:val="3DC47E16"/>
    <w:rsid w:val="3DC529C6"/>
    <w:rsid w:val="3DC65BC5"/>
    <w:rsid w:val="3DCA4932"/>
    <w:rsid w:val="3DCC00F6"/>
    <w:rsid w:val="3DCE0608"/>
    <w:rsid w:val="3DCF187A"/>
    <w:rsid w:val="3DD00B62"/>
    <w:rsid w:val="3DD31485"/>
    <w:rsid w:val="3DD31D46"/>
    <w:rsid w:val="3DD32C78"/>
    <w:rsid w:val="3DD33422"/>
    <w:rsid w:val="3DD60F75"/>
    <w:rsid w:val="3DD731A1"/>
    <w:rsid w:val="3DDA61CD"/>
    <w:rsid w:val="3DDB2975"/>
    <w:rsid w:val="3DE16AFF"/>
    <w:rsid w:val="3DE2684F"/>
    <w:rsid w:val="3DE47EA4"/>
    <w:rsid w:val="3DE6565C"/>
    <w:rsid w:val="3DE74CB8"/>
    <w:rsid w:val="3DE84774"/>
    <w:rsid w:val="3DE9514C"/>
    <w:rsid w:val="3DEC564C"/>
    <w:rsid w:val="3DEE4511"/>
    <w:rsid w:val="3DF5589F"/>
    <w:rsid w:val="3DF72564"/>
    <w:rsid w:val="3E0029FB"/>
    <w:rsid w:val="3E014244"/>
    <w:rsid w:val="3E016A21"/>
    <w:rsid w:val="3E0755D2"/>
    <w:rsid w:val="3E0B6E71"/>
    <w:rsid w:val="3E111FAD"/>
    <w:rsid w:val="3E115BEF"/>
    <w:rsid w:val="3E1C5380"/>
    <w:rsid w:val="3E1C72D0"/>
    <w:rsid w:val="3E1D1ACD"/>
    <w:rsid w:val="3E1D3826"/>
    <w:rsid w:val="3E1E0D84"/>
    <w:rsid w:val="3E1E1376"/>
    <w:rsid w:val="3E235B81"/>
    <w:rsid w:val="3E285C74"/>
    <w:rsid w:val="3E293002"/>
    <w:rsid w:val="3E2A7486"/>
    <w:rsid w:val="3E2B70F8"/>
    <w:rsid w:val="3E2C1F99"/>
    <w:rsid w:val="3E2D45E9"/>
    <w:rsid w:val="3E330175"/>
    <w:rsid w:val="3E344FF6"/>
    <w:rsid w:val="3E3548CD"/>
    <w:rsid w:val="3E3A7756"/>
    <w:rsid w:val="3E3C527C"/>
    <w:rsid w:val="3E432B77"/>
    <w:rsid w:val="3E44668D"/>
    <w:rsid w:val="3E47428B"/>
    <w:rsid w:val="3E4A322E"/>
    <w:rsid w:val="3E4B3711"/>
    <w:rsid w:val="3E4F2AC6"/>
    <w:rsid w:val="3E546A69"/>
    <w:rsid w:val="3E5527E2"/>
    <w:rsid w:val="3E560A62"/>
    <w:rsid w:val="3E570BA9"/>
    <w:rsid w:val="3E587BDC"/>
    <w:rsid w:val="3E5B7C3B"/>
    <w:rsid w:val="3E5D72A1"/>
    <w:rsid w:val="3E5F036D"/>
    <w:rsid w:val="3E5F26AC"/>
    <w:rsid w:val="3E5F30A3"/>
    <w:rsid w:val="3E611FA5"/>
    <w:rsid w:val="3E680921"/>
    <w:rsid w:val="3E68381C"/>
    <w:rsid w:val="3E6B5B61"/>
    <w:rsid w:val="3E6B71AF"/>
    <w:rsid w:val="3E6D18D9"/>
    <w:rsid w:val="3E6D498B"/>
    <w:rsid w:val="3E6D4B50"/>
    <w:rsid w:val="3E6E11AD"/>
    <w:rsid w:val="3E6F439C"/>
    <w:rsid w:val="3E703177"/>
    <w:rsid w:val="3E717642"/>
    <w:rsid w:val="3E720C9E"/>
    <w:rsid w:val="3E740419"/>
    <w:rsid w:val="3E751487"/>
    <w:rsid w:val="3E7569E0"/>
    <w:rsid w:val="3E762126"/>
    <w:rsid w:val="3E774506"/>
    <w:rsid w:val="3E7A3FF6"/>
    <w:rsid w:val="3E7B70C5"/>
    <w:rsid w:val="3E833C93"/>
    <w:rsid w:val="3E8711B3"/>
    <w:rsid w:val="3E88226F"/>
    <w:rsid w:val="3E8A701C"/>
    <w:rsid w:val="3E8B6203"/>
    <w:rsid w:val="3E8D3D29"/>
    <w:rsid w:val="3E8D5AD7"/>
    <w:rsid w:val="3E8E2F10"/>
    <w:rsid w:val="3E8E4B07"/>
    <w:rsid w:val="3E903AC5"/>
    <w:rsid w:val="3E907376"/>
    <w:rsid w:val="3E922AC6"/>
    <w:rsid w:val="3E942411"/>
    <w:rsid w:val="3E9522E6"/>
    <w:rsid w:val="3E990920"/>
    <w:rsid w:val="3E99447C"/>
    <w:rsid w:val="3E9A01F4"/>
    <w:rsid w:val="3E9C1829"/>
    <w:rsid w:val="3EA6303D"/>
    <w:rsid w:val="3EAA48DB"/>
    <w:rsid w:val="3EAE5A4E"/>
    <w:rsid w:val="3EAF2D25"/>
    <w:rsid w:val="3EB2553E"/>
    <w:rsid w:val="3EB412B6"/>
    <w:rsid w:val="3EB44211"/>
    <w:rsid w:val="3EB466AD"/>
    <w:rsid w:val="3EB53D70"/>
    <w:rsid w:val="3EB61525"/>
    <w:rsid w:val="3EB6234C"/>
    <w:rsid w:val="3EB93C07"/>
    <w:rsid w:val="3EBA3B27"/>
    <w:rsid w:val="3EBC01CF"/>
    <w:rsid w:val="3EBC460F"/>
    <w:rsid w:val="3EBE557F"/>
    <w:rsid w:val="3EBF1B6B"/>
    <w:rsid w:val="3EBF7C5B"/>
    <w:rsid w:val="3EC2365C"/>
    <w:rsid w:val="3ECF4A76"/>
    <w:rsid w:val="3ECF5067"/>
    <w:rsid w:val="3ED2385D"/>
    <w:rsid w:val="3ED6167F"/>
    <w:rsid w:val="3ED633E0"/>
    <w:rsid w:val="3ED751FD"/>
    <w:rsid w:val="3ED82DBD"/>
    <w:rsid w:val="3EDA5F2B"/>
    <w:rsid w:val="3EDC5C43"/>
    <w:rsid w:val="3EDE4585"/>
    <w:rsid w:val="3EE002FD"/>
    <w:rsid w:val="3EE2716D"/>
    <w:rsid w:val="3EE33949"/>
    <w:rsid w:val="3EE55BC4"/>
    <w:rsid w:val="3EE56742"/>
    <w:rsid w:val="3EE61ACA"/>
    <w:rsid w:val="3EE84C99"/>
    <w:rsid w:val="3EEA117C"/>
    <w:rsid w:val="3EEC4EF4"/>
    <w:rsid w:val="3EED47C8"/>
    <w:rsid w:val="3EED517F"/>
    <w:rsid w:val="3EEF0540"/>
    <w:rsid w:val="3EEF22EE"/>
    <w:rsid w:val="3EF06066"/>
    <w:rsid w:val="3EF31044"/>
    <w:rsid w:val="3EF36235"/>
    <w:rsid w:val="3EF618CF"/>
    <w:rsid w:val="3EF67B21"/>
    <w:rsid w:val="3EFC4A0B"/>
    <w:rsid w:val="3EFE0783"/>
    <w:rsid w:val="3F03223E"/>
    <w:rsid w:val="3F051B12"/>
    <w:rsid w:val="3F0634CE"/>
    <w:rsid w:val="3F081602"/>
    <w:rsid w:val="3F0D09C6"/>
    <w:rsid w:val="3F0D4E6A"/>
    <w:rsid w:val="3F13427B"/>
    <w:rsid w:val="3F1717B3"/>
    <w:rsid w:val="3F177DD2"/>
    <w:rsid w:val="3F1B1335"/>
    <w:rsid w:val="3F1D2D88"/>
    <w:rsid w:val="3F1E2BD3"/>
    <w:rsid w:val="3F201D47"/>
    <w:rsid w:val="3F2047FD"/>
    <w:rsid w:val="3F206783"/>
    <w:rsid w:val="3F2118A3"/>
    <w:rsid w:val="3F21637D"/>
    <w:rsid w:val="3F275F2C"/>
    <w:rsid w:val="3F277CDA"/>
    <w:rsid w:val="3F28500D"/>
    <w:rsid w:val="3F2902D7"/>
    <w:rsid w:val="3F2A1772"/>
    <w:rsid w:val="3F35219A"/>
    <w:rsid w:val="3F3628EB"/>
    <w:rsid w:val="3F36616F"/>
    <w:rsid w:val="3F367F1D"/>
    <w:rsid w:val="3F381EE7"/>
    <w:rsid w:val="3F3D1797"/>
    <w:rsid w:val="3F3D74FE"/>
    <w:rsid w:val="3F3E5DD6"/>
    <w:rsid w:val="3F4023D9"/>
    <w:rsid w:val="3F406FEE"/>
    <w:rsid w:val="3F407AB1"/>
    <w:rsid w:val="3F4343E8"/>
    <w:rsid w:val="3F481423"/>
    <w:rsid w:val="3F485F47"/>
    <w:rsid w:val="3F4F0FDF"/>
    <w:rsid w:val="3F517DEA"/>
    <w:rsid w:val="3F5465F5"/>
    <w:rsid w:val="3F585F31"/>
    <w:rsid w:val="3F610607"/>
    <w:rsid w:val="3F6228F0"/>
    <w:rsid w:val="3F625E80"/>
    <w:rsid w:val="3F632CDC"/>
    <w:rsid w:val="3F6A2AD3"/>
    <w:rsid w:val="3F6B7328"/>
    <w:rsid w:val="3F6F51DD"/>
    <w:rsid w:val="3F6F55A5"/>
    <w:rsid w:val="3F7020EC"/>
    <w:rsid w:val="3F763AE5"/>
    <w:rsid w:val="3F764319"/>
    <w:rsid w:val="3F79526A"/>
    <w:rsid w:val="3F7B402E"/>
    <w:rsid w:val="3F7B6278"/>
    <w:rsid w:val="3F7D3D9E"/>
    <w:rsid w:val="3F7E650B"/>
    <w:rsid w:val="3F836EDA"/>
    <w:rsid w:val="3F842885"/>
    <w:rsid w:val="3F8C3C4F"/>
    <w:rsid w:val="3F8E6D49"/>
    <w:rsid w:val="3F93475A"/>
    <w:rsid w:val="3F93536F"/>
    <w:rsid w:val="3F987CCF"/>
    <w:rsid w:val="3F9904AC"/>
    <w:rsid w:val="3F9A3D24"/>
    <w:rsid w:val="3F9B4224"/>
    <w:rsid w:val="3F9B5FD2"/>
    <w:rsid w:val="3FA330D9"/>
    <w:rsid w:val="3FA41114"/>
    <w:rsid w:val="3FA4132B"/>
    <w:rsid w:val="3FAA26B9"/>
    <w:rsid w:val="3FAE32AC"/>
    <w:rsid w:val="3FAF427A"/>
    <w:rsid w:val="3FB452E6"/>
    <w:rsid w:val="3FBD063E"/>
    <w:rsid w:val="3FBF25A6"/>
    <w:rsid w:val="3FBF73DF"/>
    <w:rsid w:val="3FC1012F"/>
    <w:rsid w:val="3FC27A03"/>
    <w:rsid w:val="3FC36715"/>
    <w:rsid w:val="3FC74BAC"/>
    <w:rsid w:val="3FC76DC7"/>
    <w:rsid w:val="3FC86F5B"/>
    <w:rsid w:val="3FC92B3F"/>
    <w:rsid w:val="3FD2528E"/>
    <w:rsid w:val="3FD57736"/>
    <w:rsid w:val="3FDF05B5"/>
    <w:rsid w:val="3FE24949"/>
    <w:rsid w:val="3FE52ACA"/>
    <w:rsid w:val="3FE67B95"/>
    <w:rsid w:val="3FE727C0"/>
    <w:rsid w:val="3FE94F8F"/>
    <w:rsid w:val="3FED477F"/>
    <w:rsid w:val="3FEE6DB3"/>
    <w:rsid w:val="3FF13FC9"/>
    <w:rsid w:val="3FF1653A"/>
    <w:rsid w:val="3FF4201E"/>
    <w:rsid w:val="3FF50DFE"/>
    <w:rsid w:val="3FF54D36"/>
    <w:rsid w:val="3FF658FE"/>
    <w:rsid w:val="3FF81676"/>
    <w:rsid w:val="3FF85715"/>
    <w:rsid w:val="3FFE7F58"/>
    <w:rsid w:val="40005ECF"/>
    <w:rsid w:val="4004001B"/>
    <w:rsid w:val="40052EA0"/>
    <w:rsid w:val="400A3CB1"/>
    <w:rsid w:val="400A4A04"/>
    <w:rsid w:val="400B75FC"/>
    <w:rsid w:val="400C0C7E"/>
    <w:rsid w:val="400D6D71"/>
    <w:rsid w:val="400E46BD"/>
    <w:rsid w:val="40177ED8"/>
    <w:rsid w:val="40183AC7"/>
    <w:rsid w:val="401A15ED"/>
    <w:rsid w:val="401B3262"/>
    <w:rsid w:val="401E7BD6"/>
    <w:rsid w:val="401F33CD"/>
    <w:rsid w:val="401F50BF"/>
    <w:rsid w:val="40250618"/>
    <w:rsid w:val="40295CD4"/>
    <w:rsid w:val="402B5626"/>
    <w:rsid w:val="40316936"/>
    <w:rsid w:val="40354679"/>
    <w:rsid w:val="40364AE1"/>
    <w:rsid w:val="403703F1"/>
    <w:rsid w:val="403B187A"/>
    <w:rsid w:val="403B6FBE"/>
    <w:rsid w:val="403C1634"/>
    <w:rsid w:val="403F2E01"/>
    <w:rsid w:val="403F5EFB"/>
    <w:rsid w:val="404156D6"/>
    <w:rsid w:val="40416B7A"/>
    <w:rsid w:val="404228F2"/>
    <w:rsid w:val="40457DC4"/>
    <w:rsid w:val="40464190"/>
    <w:rsid w:val="4047249C"/>
    <w:rsid w:val="40477F08"/>
    <w:rsid w:val="40481929"/>
    <w:rsid w:val="404A33D6"/>
    <w:rsid w:val="404C62D1"/>
    <w:rsid w:val="404D4A1B"/>
    <w:rsid w:val="404E573A"/>
    <w:rsid w:val="4050500F"/>
    <w:rsid w:val="40580325"/>
    <w:rsid w:val="405A40DF"/>
    <w:rsid w:val="406211E2"/>
    <w:rsid w:val="40622AED"/>
    <w:rsid w:val="40624D42"/>
    <w:rsid w:val="40644897"/>
    <w:rsid w:val="406571D2"/>
    <w:rsid w:val="40685DF0"/>
    <w:rsid w:val="406B62D4"/>
    <w:rsid w:val="406C796F"/>
    <w:rsid w:val="40703E40"/>
    <w:rsid w:val="407041AB"/>
    <w:rsid w:val="40720BA9"/>
    <w:rsid w:val="40727D40"/>
    <w:rsid w:val="4077259B"/>
    <w:rsid w:val="40781025"/>
    <w:rsid w:val="408178BE"/>
    <w:rsid w:val="40830B20"/>
    <w:rsid w:val="408829FA"/>
    <w:rsid w:val="40890521"/>
    <w:rsid w:val="40896772"/>
    <w:rsid w:val="408C2C0C"/>
    <w:rsid w:val="408E324B"/>
    <w:rsid w:val="408F7457"/>
    <w:rsid w:val="40945D00"/>
    <w:rsid w:val="409658FE"/>
    <w:rsid w:val="40980764"/>
    <w:rsid w:val="409879D6"/>
    <w:rsid w:val="409B6DA4"/>
    <w:rsid w:val="40AE7C65"/>
    <w:rsid w:val="40B13A14"/>
    <w:rsid w:val="40B25CC9"/>
    <w:rsid w:val="40B85EC1"/>
    <w:rsid w:val="40BC6B48"/>
    <w:rsid w:val="40C15F0C"/>
    <w:rsid w:val="40C66AA6"/>
    <w:rsid w:val="40D07EFD"/>
    <w:rsid w:val="40D11A9D"/>
    <w:rsid w:val="40D2179B"/>
    <w:rsid w:val="40D45C40"/>
    <w:rsid w:val="40D66D73"/>
    <w:rsid w:val="40D735C1"/>
    <w:rsid w:val="40DA6FCE"/>
    <w:rsid w:val="40DB6278"/>
    <w:rsid w:val="40DD6F18"/>
    <w:rsid w:val="40DE6ABE"/>
    <w:rsid w:val="40E165AE"/>
    <w:rsid w:val="40E65423"/>
    <w:rsid w:val="40E85247"/>
    <w:rsid w:val="40ED0535"/>
    <w:rsid w:val="40EF667B"/>
    <w:rsid w:val="40F21CC0"/>
    <w:rsid w:val="40F279CF"/>
    <w:rsid w:val="40F7498D"/>
    <w:rsid w:val="40FD49D1"/>
    <w:rsid w:val="40FE2CBD"/>
    <w:rsid w:val="41001A84"/>
    <w:rsid w:val="41031E02"/>
    <w:rsid w:val="410377E7"/>
    <w:rsid w:val="41083B3B"/>
    <w:rsid w:val="410B53D9"/>
    <w:rsid w:val="410C0082"/>
    <w:rsid w:val="410C362B"/>
    <w:rsid w:val="410E2956"/>
    <w:rsid w:val="41120F79"/>
    <w:rsid w:val="41123C58"/>
    <w:rsid w:val="41123E0D"/>
    <w:rsid w:val="411249BA"/>
    <w:rsid w:val="4113768A"/>
    <w:rsid w:val="41197BC0"/>
    <w:rsid w:val="411C0175"/>
    <w:rsid w:val="411C61E6"/>
    <w:rsid w:val="411C75E7"/>
    <w:rsid w:val="411F6AF6"/>
    <w:rsid w:val="41214BFD"/>
    <w:rsid w:val="4123582F"/>
    <w:rsid w:val="4124398E"/>
    <w:rsid w:val="41263FC1"/>
    <w:rsid w:val="41275AA6"/>
    <w:rsid w:val="41285F8B"/>
    <w:rsid w:val="412C72F0"/>
    <w:rsid w:val="412D5942"/>
    <w:rsid w:val="412D5946"/>
    <w:rsid w:val="41322966"/>
    <w:rsid w:val="41325697"/>
    <w:rsid w:val="413336D4"/>
    <w:rsid w:val="4134048C"/>
    <w:rsid w:val="41345B54"/>
    <w:rsid w:val="413466DE"/>
    <w:rsid w:val="41354385"/>
    <w:rsid w:val="4139722F"/>
    <w:rsid w:val="413A1690"/>
    <w:rsid w:val="413B181B"/>
    <w:rsid w:val="413F1DCE"/>
    <w:rsid w:val="41433130"/>
    <w:rsid w:val="41436921"/>
    <w:rsid w:val="4144043A"/>
    <w:rsid w:val="414464D6"/>
    <w:rsid w:val="414601C0"/>
    <w:rsid w:val="41466412"/>
    <w:rsid w:val="414A57BE"/>
    <w:rsid w:val="414E2E20"/>
    <w:rsid w:val="414F04FD"/>
    <w:rsid w:val="414F176A"/>
    <w:rsid w:val="41566655"/>
    <w:rsid w:val="41591610"/>
    <w:rsid w:val="415A3663"/>
    <w:rsid w:val="415E375B"/>
    <w:rsid w:val="41605725"/>
    <w:rsid w:val="41625FCF"/>
    <w:rsid w:val="41662610"/>
    <w:rsid w:val="416629EA"/>
    <w:rsid w:val="416679D3"/>
    <w:rsid w:val="416D4B5E"/>
    <w:rsid w:val="4176022B"/>
    <w:rsid w:val="41760AA5"/>
    <w:rsid w:val="41774B95"/>
    <w:rsid w:val="417920A2"/>
    <w:rsid w:val="417B60BB"/>
    <w:rsid w:val="41864551"/>
    <w:rsid w:val="418A33A3"/>
    <w:rsid w:val="418F7DB9"/>
    <w:rsid w:val="41903339"/>
    <w:rsid w:val="419158DF"/>
    <w:rsid w:val="419248B1"/>
    <w:rsid w:val="41961147"/>
    <w:rsid w:val="41970A1B"/>
    <w:rsid w:val="41984EBF"/>
    <w:rsid w:val="41991125"/>
    <w:rsid w:val="419A3D6D"/>
    <w:rsid w:val="419B2F7F"/>
    <w:rsid w:val="419D4ED4"/>
    <w:rsid w:val="41A129EF"/>
    <w:rsid w:val="41A2189A"/>
    <w:rsid w:val="41A2540E"/>
    <w:rsid w:val="41A263F5"/>
    <w:rsid w:val="41A27AEC"/>
    <w:rsid w:val="41A95A33"/>
    <w:rsid w:val="41AE7F1F"/>
    <w:rsid w:val="41B33AA7"/>
    <w:rsid w:val="41BA3087"/>
    <w:rsid w:val="41BB0BAE"/>
    <w:rsid w:val="41BE41FA"/>
    <w:rsid w:val="41BF5E34"/>
    <w:rsid w:val="41C17BF0"/>
    <w:rsid w:val="41C20D4E"/>
    <w:rsid w:val="41C32C44"/>
    <w:rsid w:val="41CC4B94"/>
    <w:rsid w:val="41CF2582"/>
    <w:rsid w:val="41D103D1"/>
    <w:rsid w:val="41D13F2D"/>
    <w:rsid w:val="41D25660"/>
    <w:rsid w:val="41D35EF7"/>
    <w:rsid w:val="41D7355A"/>
    <w:rsid w:val="41D7554B"/>
    <w:rsid w:val="41D8350E"/>
    <w:rsid w:val="41D83760"/>
    <w:rsid w:val="41D94C7C"/>
    <w:rsid w:val="41DC209A"/>
    <w:rsid w:val="41E3261F"/>
    <w:rsid w:val="41E55237"/>
    <w:rsid w:val="41EC6FB9"/>
    <w:rsid w:val="41EF2605"/>
    <w:rsid w:val="41F0614C"/>
    <w:rsid w:val="41F36599"/>
    <w:rsid w:val="41F540C0"/>
    <w:rsid w:val="41F74CE8"/>
    <w:rsid w:val="41FE30EF"/>
    <w:rsid w:val="42000C56"/>
    <w:rsid w:val="42005999"/>
    <w:rsid w:val="42072E21"/>
    <w:rsid w:val="42084379"/>
    <w:rsid w:val="42095260"/>
    <w:rsid w:val="42116A20"/>
    <w:rsid w:val="421313D4"/>
    <w:rsid w:val="42165DE4"/>
    <w:rsid w:val="421767B3"/>
    <w:rsid w:val="421C7C8E"/>
    <w:rsid w:val="42202600"/>
    <w:rsid w:val="4221632B"/>
    <w:rsid w:val="422164EF"/>
    <w:rsid w:val="422229DB"/>
    <w:rsid w:val="422357F5"/>
    <w:rsid w:val="42252096"/>
    <w:rsid w:val="42253E56"/>
    <w:rsid w:val="42254279"/>
    <w:rsid w:val="42290E73"/>
    <w:rsid w:val="422C0DC4"/>
    <w:rsid w:val="422E7EC6"/>
    <w:rsid w:val="42311903"/>
    <w:rsid w:val="42324BF0"/>
    <w:rsid w:val="42324DA6"/>
    <w:rsid w:val="423341F6"/>
    <w:rsid w:val="42376BDF"/>
    <w:rsid w:val="423A41C8"/>
    <w:rsid w:val="423B16D9"/>
    <w:rsid w:val="423E0BFD"/>
    <w:rsid w:val="423F17DF"/>
    <w:rsid w:val="42417305"/>
    <w:rsid w:val="42417CBC"/>
    <w:rsid w:val="42424E2B"/>
    <w:rsid w:val="42426BD9"/>
    <w:rsid w:val="42472441"/>
    <w:rsid w:val="424B3CDF"/>
    <w:rsid w:val="424B467E"/>
    <w:rsid w:val="424D3EFC"/>
    <w:rsid w:val="424E057B"/>
    <w:rsid w:val="425061E3"/>
    <w:rsid w:val="4251169C"/>
    <w:rsid w:val="42530DE6"/>
    <w:rsid w:val="42532B36"/>
    <w:rsid w:val="4258437E"/>
    <w:rsid w:val="425D7EB7"/>
    <w:rsid w:val="425E3A32"/>
    <w:rsid w:val="425F44B8"/>
    <w:rsid w:val="426254CD"/>
    <w:rsid w:val="42640ACD"/>
    <w:rsid w:val="42650575"/>
    <w:rsid w:val="4269060A"/>
    <w:rsid w:val="426B3BA2"/>
    <w:rsid w:val="42742392"/>
    <w:rsid w:val="42764575"/>
    <w:rsid w:val="42770F78"/>
    <w:rsid w:val="427A320B"/>
    <w:rsid w:val="42804C4C"/>
    <w:rsid w:val="42822A8D"/>
    <w:rsid w:val="428357C6"/>
    <w:rsid w:val="428365DA"/>
    <w:rsid w:val="42876CE2"/>
    <w:rsid w:val="42897D09"/>
    <w:rsid w:val="428A2851"/>
    <w:rsid w:val="428D254A"/>
    <w:rsid w:val="42927B60"/>
    <w:rsid w:val="429C0D35"/>
    <w:rsid w:val="42A258CA"/>
    <w:rsid w:val="42A74725"/>
    <w:rsid w:val="42A83EAC"/>
    <w:rsid w:val="42A86289"/>
    <w:rsid w:val="42A8653E"/>
    <w:rsid w:val="42A925FC"/>
    <w:rsid w:val="42A96C58"/>
    <w:rsid w:val="42AB0C22"/>
    <w:rsid w:val="42AD499A"/>
    <w:rsid w:val="42AD6748"/>
    <w:rsid w:val="42B04A1B"/>
    <w:rsid w:val="42B36DE9"/>
    <w:rsid w:val="42B4799A"/>
    <w:rsid w:val="42B70645"/>
    <w:rsid w:val="42B74155"/>
    <w:rsid w:val="42B85A83"/>
    <w:rsid w:val="42B9342F"/>
    <w:rsid w:val="42BA0E65"/>
    <w:rsid w:val="42BA70B7"/>
    <w:rsid w:val="42BD3E4D"/>
    <w:rsid w:val="42C41CE4"/>
    <w:rsid w:val="42C56F2E"/>
    <w:rsid w:val="42C64D60"/>
    <w:rsid w:val="42C65A5C"/>
    <w:rsid w:val="42C83582"/>
    <w:rsid w:val="42CA554C"/>
    <w:rsid w:val="42CC5406"/>
    <w:rsid w:val="42D27F5D"/>
    <w:rsid w:val="42D33CD5"/>
    <w:rsid w:val="42D474E2"/>
    <w:rsid w:val="42DA1507"/>
    <w:rsid w:val="42DA4535"/>
    <w:rsid w:val="42DB6632"/>
    <w:rsid w:val="42DF5664"/>
    <w:rsid w:val="42ED4D97"/>
    <w:rsid w:val="42F1200D"/>
    <w:rsid w:val="42F500EF"/>
    <w:rsid w:val="42F51E9D"/>
    <w:rsid w:val="42FC6B92"/>
    <w:rsid w:val="42FE50C5"/>
    <w:rsid w:val="43040332"/>
    <w:rsid w:val="43075564"/>
    <w:rsid w:val="43075A97"/>
    <w:rsid w:val="4308657E"/>
    <w:rsid w:val="43086CB8"/>
    <w:rsid w:val="430D7208"/>
    <w:rsid w:val="430F7AB6"/>
    <w:rsid w:val="43140A2D"/>
    <w:rsid w:val="43145F27"/>
    <w:rsid w:val="431B5DA8"/>
    <w:rsid w:val="431F05DB"/>
    <w:rsid w:val="432218BF"/>
    <w:rsid w:val="43244357"/>
    <w:rsid w:val="43244531"/>
    <w:rsid w:val="43271CFD"/>
    <w:rsid w:val="432946E3"/>
    <w:rsid w:val="432B7169"/>
    <w:rsid w:val="432F3C4E"/>
    <w:rsid w:val="433150C6"/>
    <w:rsid w:val="43317379"/>
    <w:rsid w:val="43362BE2"/>
    <w:rsid w:val="43364990"/>
    <w:rsid w:val="4338236B"/>
    <w:rsid w:val="4339622E"/>
    <w:rsid w:val="43397FDC"/>
    <w:rsid w:val="433C6E2B"/>
    <w:rsid w:val="433D0241"/>
    <w:rsid w:val="433D0FE9"/>
    <w:rsid w:val="433F136A"/>
    <w:rsid w:val="43416B84"/>
    <w:rsid w:val="43470E11"/>
    <w:rsid w:val="434A594E"/>
    <w:rsid w:val="434B2807"/>
    <w:rsid w:val="434D6247"/>
    <w:rsid w:val="434F671B"/>
    <w:rsid w:val="43506CF9"/>
    <w:rsid w:val="43533A7B"/>
    <w:rsid w:val="435624D6"/>
    <w:rsid w:val="43566DE0"/>
    <w:rsid w:val="43566EFA"/>
    <w:rsid w:val="43571729"/>
    <w:rsid w:val="43574906"/>
    <w:rsid w:val="435A7F52"/>
    <w:rsid w:val="43617C59"/>
    <w:rsid w:val="4364501E"/>
    <w:rsid w:val="436722D1"/>
    <w:rsid w:val="436878BA"/>
    <w:rsid w:val="43696F7C"/>
    <w:rsid w:val="43697533"/>
    <w:rsid w:val="436F39FE"/>
    <w:rsid w:val="4371440C"/>
    <w:rsid w:val="43727E24"/>
    <w:rsid w:val="437679CC"/>
    <w:rsid w:val="437B05F4"/>
    <w:rsid w:val="437F1C00"/>
    <w:rsid w:val="438356FB"/>
    <w:rsid w:val="43855569"/>
    <w:rsid w:val="438E5F1A"/>
    <w:rsid w:val="438F22F2"/>
    <w:rsid w:val="438F571B"/>
    <w:rsid w:val="43900543"/>
    <w:rsid w:val="43900783"/>
    <w:rsid w:val="43902A34"/>
    <w:rsid w:val="43947644"/>
    <w:rsid w:val="43951781"/>
    <w:rsid w:val="439671DC"/>
    <w:rsid w:val="439E0787"/>
    <w:rsid w:val="43A35D9D"/>
    <w:rsid w:val="43A63197"/>
    <w:rsid w:val="43A85162"/>
    <w:rsid w:val="43AA2C88"/>
    <w:rsid w:val="43AA7E93"/>
    <w:rsid w:val="43AB6AF1"/>
    <w:rsid w:val="43B34232"/>
    <w:rsid w:val="43B7148B"/>
    <w:rsid w:val="43B7159B"/>
    <w:rsid w:val="43BB14AC"/>
    <w:rsid w:val="43BB4E95"/>
    <w:rsid w:val="43BF2BD7"/>
    <w:rsid w:val="43C261B1"/>
    <w:rsid w:val="43C401ED"/>
    <w:rsid w:val="43C51E84"/>
    <w:rsid w:val="43C645A9"/>
    <w:rsid w:val="43CA157C"/>
    <w:rsid w:val="43CA7067"/>
    <w:rsid w:val="43D27A55"/>
    <w:rsid w:val="43D34AD5"/>
    <w:rsid w:val="43D441A9"/>
    <w:rsid w:val="43D76E13"/>
    <w:rsid w:val="43D80310"/>
    <w:rsid w:val="43DE5FDB"/>
    <w:rsid w:val="43E17924"/>
    <w:rsid w:val="43E443EC"/>
    <w:rsid w:val="43E71F26"/>
    <w:rsid w:val="43E81443"/>
    <w:rsid w:val="43E97C54"/>
    <w:rsid w:val="43EA37DE"/>
    <w:rsid w:val="43EF3567"/>
    <w:rsid w:val="43F02CAE"/>
    <w:rsid w:val="43F31768"/>
    <w:rsid w:val="43F33806"/>
    <w:rsid w:val="43F403A7"/>
    <w:rsid w:val="43F87E97"/>
    <w:rsid w:val="43F959BD"/>
    <w:rsid w:val="44044A8E"/>
    <w:rsid w:val="44085815"/>
    <w:rsid w:val="440F51E1"/>
    <w:rsid w:val="441B1DD7"/>
    <w:rsid w:val="441B2C89"/>
    <w:rsid w:val="441B3B85"/>
    <w:rsid w:val="441D78FE"/>
    <w:rsid w:val="441F577B"/>
    <w:rsid w:val="4421378E"/>
    <w:rsid w:val="442200BB"/>
    <w:rsid w:val="44231FA6"/>
    <w:rsid w:val="442671C8"/>
    <w:rsid w:val="442944F4"/>
    <w:rsid w:val="442B1BAA"/>
    <w:rsid w:val="442C5D93"/>
    <w:rsid w:val="442E5667"/>
    <w:rsid w:val="44307631"/>
    <w:rsid w:val="44332843"/>
    <w:rsid w:val="44376845"/>
    <w:rsid w:val="44384737"/>
    <w:rsid w:val="443864E5"/>
    <w:rsid w:val="44387F8A"/>
    <w:rsid w:val="443A04B0"/>
    <w:rsid w:val="44440F87"/>
    <w:rsid w:val="44441786"/>
    <w:rsid w:val="44452667"/>
    <w:rsid w:val="444655B7"/>
    <w:rsid w:val="44492038"/>
    <w:rsid w:val="444E3F5B"/>
    <w:rsid w:val="44501A81"/>
    <w:rsid w:val="4450382F"/>
    <w:rsid w:val="44562E10"/>
    <w:rsid w:val="44581EC4"/>
    <w:rsid w:val="445D39F9"/>
    <w:rsid w:val="44613F43"/>
    <w:rsid w:val="44634558"/>
    <w:rsid w:val="44636911"/>
    <w:rsid w:val="4465003C"/>
    <w:rsid w:val="44674BCC"/>
    <w:rsid w:val="44676DCB"/>
    <w:rsid w:val="446A72EE"/>
    <w:rsid w:val="446E4DF2"/>
    <w:rsid w:val="44730AB5"/>
    <w:rsid w:val="447332F0"/>
    <w:rsid w:val="44753296"/>
    <w:rsid w:val="4476157F"/>
    <w:rsid w:val="4476700E"/>
    <w:rsid w:val="447907FE"/>
    <w:rsid w:val="44790D1E"/>
    <w:rsid w:val="447A0492"/>
    <w:rsid w:val="447D214A"/>
    <w:rsid w:val="44802EE5"/>
    <w:rsid w:val="448A0E85"/>
    <w:rsid w:val="448D32C8"/>
    <w:rsid w:val="44937783"/>
    <w:rsid w:val="4497145E"/>
    <w:rsid w:val="449B0EB7"/>
    <w:rsid w:val="44A31EE2"/>
    <w:rsid w:val="44A45929"/>
    <w:rsid w:val="44A75419"/>
    <w:rsid w:val="44A8366B"/>
    <w:rsid w:val="44A967F6"/>
    <w:rsid w:val="44AC133A"/>
    <w:rsid w:val="44AC595F"/>
    <w:rsid w:val="44AE67A8"/>
    <w:rsid w:val="44B00772"/>
    <w:rsid w:val="44B10046"/>
    <w:rsid w:val="44B15043"/>
    <w:rsid w:val="44B26298"/>
    <w:rsid w:val="44B6565C"/>
    <w:rsid w:val="44B65857"/>
    <w:rsid w:val="44B67A77"/>
    <w:rsid w:val="44B738AE"/>
    <w:rsid w:val="44B7553B"/>
    <w:rsid w:val="44B85878"/>
    <w:rsid w:val="44BC7116"/>
    <w:rsid w:val="44BE6747"/>
    <w:rsid w:val="44C1472D"/>
    <w:rsid w:val="44C15265"/>
    <w:rsid w:val="44C33916"/>
    <w:rsid w:val="44C47B2E"/>
    <w:rsid w:val="44CB1108"/>
    <w:rsid w:val="44CD5C33"/>
    <w:rsid w:val="44CE0BF8"/>
    <w:rsid w:val="44D073C1"/>
    <w:rsid w:val="44D22496"/>
    <w:rsid w:val="44D51F86"/>
    <w:rsid w:val="44D53D34"/>
    <w:rsid w:val="44D672CD"/>
    <w:rsid w:val="44D7213A"/>
    <w:rsid w:val="44D73F50"/>
    <w:rsid w:val="44D85BF2"/>
    <w:rsid w:val="44DF0DF1"/>
    <w:rsid w:val="44E0053D"/>
    <w:rsid w:val="44E1092B"/>
    <w:rsid w:val="44E16B7D"/>
    <w:rsid w:val="44E623E5"/>
    <w:rsid w:val="44E65F41"/>
    <w:rsid w:val="44E67AF8"/>
    <w:rsid w:val="44E818A0"/>
    <w:rsid w:val="44E82E6F"/>
    <w:rsid w:val="44E87F0C"/>
    <w:rsid w:val="44E945DF"/>
    <w:rsid w:val="44EB17AA"/>
    <w:rsid w:val="44F07163"/>
    <w:rsid w:val="44F206DC"/>
    <w:rsid w:val="44F71EFD"/>
    <w:rsid w:val="44FA379B"/>
    <w:rsid w:val="44FB1C4C"/>
    <w:rsid w:val="44FC39B7"/>
    <w:rsid w:val="450369D7"/>
    <w:rsid w:val="45036AF3"/>
    <w:rsid w:val="45055092"/>
    <w:rsid w:val="45067F4C"/>
    <w:rsid w:val="45080078"/>
    <w:rsid w:val="4508235C"/>
    <w:rsid w:val="4508410A"/>
    <w:rsid w:val="45085EB8"/>
    <w:rsid w:val="45091C30"/>
    <w:rsid w:val="450A2511"/>
    <w:rsid w:val="450C6D9A"/>
    <w:rsid w:val="450D1720"/>
    <w:rsid w:val="45101210"/>
    <w:rsid w:val="451019E3"/>
    <w:rsid w:val="45113212"/>
    <w:rsid w:val="45135F9D"/>
    <w:rsid w:val="45156C80"/>
    <w:rsid w:val="451707F1"/>
    <w:rsid w:val="45184A81"/>
    <w:rsid w:val="451A3E3D"/>
    <w:rsid w:val="45252F0E"/>
    <w:rsid w:val="45264590"/>
    <w:rsid w:val="45294080"/>
    <w:rsid w:val="453273D9"/>
    <w:rsid w:val="453333A9"/>
    <w:rsid w:val="45360EF3"/>
    <w:rsid w:val="453A344A"/>
    <w:rsid w:val="45401AF6"/>
    <w:rsid w:val="454139C7"/>
    <w:rsid w:val="4541761C"/>
    <w:rsid w:val="45442347"/>
    <w:rsid w:val="4546413B"/>
    <w:rsid w:val="45474DAF"/>
    <w:rsid w:val="45480308"/>
    <w:rsid w:val="454C192C"/>
    <w:rsid w:val="45521829"/>
    <w:rsid w:val="455235D7"/>
    <w:rsid w:val="4552513B"/>
    <w:rsid w:val="45563952"/>
    <w:rsid w:val="45565313"/>
    <w:rsid w:val="455B692F"/>
    <w:rsid w:val="455C6204"/>
    <w:rsid w:val="455E1F7C"/>
    <w:rsid w:val="45613CFB"/>
    <w:rsid w:val="45634BB1"/>
    <w:rsid w:val="456357E4"/>
    <w:rsid w:val="45637592"/>
    <w:rsid w:val="45667082"/>
    <w:rsid w:val="45667FA9"/>
    <w:rsid w:val="4568104C"/>
    <w:rsid w:val="456A7A73"/>
    <w:rsid w:val="456B6447"/>
    <w:rsid w:val="456D1C3D"/>
    <w:rsid w:val="456F406E"/>
    <w:rsid w:val="45717CFB"/>
    <w:rsid w:val="45795008"/>
    <w:rsid w:val="45796B99"/>
    <w:rsid w:val="457A3438"/>
    <w:rsid w:val="457A7B12"/>
    <w:rsid w:val="457E261E"/>
    <w:rsid w:val="457F2C83"/>
    <w:rsid w:val="458138DD"/>
    <w:rsid w:val="458336CE"/>
    <w:rsid w:val="45837C34"/>
    <w:rsid w:val="45876384"/>
    <w:rsid w:val="4588090E"/>
    <w:rsid w:val="4588524B"/>
    <w:rsid w:val="45885BCA"/>
    <w:rsid w:val="45886BCF"/>
    <w:rsid w:val="458A21AF"/>
    <w:rsid w:val="458A5784"/>
    <w:rsid w:val="458D2861"/>
    <w:rsid w:val="458D5981"/>
    <w:rsid w:val="458D63FC"/>
    <w:rsid w:val="458E44FE"/>
    <w:rsid w:val="45903DA3"/>
    <w:rsid w:val="45921C25"/>
    <w:rsid w:val="45961716"/>
    <w:rsid w:val="45967968"/>
    <w:rsid w:val="4597723C"/>
    <w:rsid w:val="459D3E18"/>
    <w:rsid w:val="45A63FE7"/>
    <w:rsid w:val="45A64DC3"/>
    <w:rsid w:val="45A675E2"/>
    <w:rsid w:val="45A73113"/>
    <w:rsid w:val="45A858ED"/>
    <w:rsid w:val="45AA6F6F"/>
    <w:rsid w:val="45AF4585"/>
    <w:rsid w:val="45B316DE"/>
    <w:rsid w:val="45B538BC"/>
    <w:rsid w:val="45B933A3"/>
    <w:rsid w:val="45C05FFA"/>
    <w:rsid w:val="45C2075D"/>
    <w:rsid w:val="45C269AF"/>
    <w:rsid w:val="45C54E28"/>
    <w:rsid w:val="45C801A6"/>
    <w:rsid w:val="45C855CA"/>
    <w:rsid w:val="45C862F3"/>
    <w:rsid w:val="45C95632"/>
    <w:rsid w:val="45CA5863"/>
    <w:rsid w:val="45CD0EAF"/>
    <w:rsid w:val="45CE5353"/>
    <w:rsid w:val="45D05E9B"/>
    <w:rsid w:val="45D17464"/>
    <w:rsid w:val="45D77981"/>
    <w:rsid w:val="45D91C8F"/>
    <w:rsid w:val="45DE4E6B"/>
    <w:rsid w:val="45E17142"/>
    <w:rsid w:val="45E42DDE"/>
    <w:rsid w:val="45E529EA"/>
    <w:rsid w:val="45E63B4F"/>
    <w:rsid w:val="45EC7588"/>
    <w:rsid w:val="45F07355"/>
    <w:rsid w:val="45F15A5E"/>
    <w:rsid w:val="45F3102E"/>
    <w:rsid w:val="45F3589E"/>
    <w:rsid w:val="45F35B6A"/>
    <w:rsid w:val="45F428E0"/>
    <w:rsid w:val="45F5362F"/>
    <w:rsid w:val="45F71FF0"/>
    <w:rsid w:val="45FA30D0"/>
    <w:rsid w:val="45FB3C6E"/>
    <w:rsid w:val="45FF0712"/>
    <w:rsid w:val="46027B5A"/>
    <w:rsid w:val="46032B23"/>
    <w:rsid w:val="460A3136"/>
    <w:rsid w:val="460A5C60"/>
    <w:rsid w:val="460C053E"/>
    <w:rsid w:val="460E39A2"/>
    <w:rsid w:val="460F2A0E"/>
    <w:rsid w:val="461101FB"/>
    <w:rsid w:val="46113D93"/>
    <w:rsid w:val="461145B6"/>
    <w:rsid w:val="46127979"/>
    <w:rsid w:val="46142BC8"/>
    <w:rsid w:val="46176F3D"/>
    <w:rsid w:val="461C1430"/>
    <w:rsid w:val="461D5993"/>
    <w:rsid w:val="461D645C"/>
    <w:rsid w:val="461E0EC6"/>
    <w:rsid w:val="461E5035"/>
    <w:rsid w:val="462024ED"/>
    <w:rsid w:val="4622044A"/>
    <w:rsid w:val="46285140"/>
    <w:rsid w:val="46333408"/>
    <w:rsid w:val="46397CA2"/>
    <w:rsid w:val="463A37C2"/>
    <w:rsid w:val="463D6035"/>
    <w:rsid w:val="463F1DAD"/>
    <w:rsid w:val="46470C62"/>
    <w:rsid w:val="46496788"/>
    <w:rsid w:val="464B2C73"/>
    <w:rsid w:val="464C1EC6"/>
    <w:rsid w:val="464E0242"/>
    <w:rsid w:val="46501488"/>
    <w:rsid w:val="4650172C"/>
    <w:rsid w:val="4650789C"/>
    <w:rsid w:val="4651388E"/>
    <w:rsid w:val="465810C1"/>
    <w:rsid w:val="46590ACE"/>
    <w:rsid w:val="465A0995"/>
    <w:rsid w:val="46604DF8"/>
    <w:rsid w:val="46625A9C"/>
    <w:rsid w:val="466510E8"/>
    <w:rsid w:val="46694F98"/>
    <w:rsid w:val="4669643F"/>
    <w:rsid w:val="466A4950"/>
    <w:rsid w:val="466C691A"/>
    <w:rsid w:val="466D7A8A"/>
    <w:rsid w:val="4670640B"/>
    <w:rsid w:val="46713F31"/>
    <w:rsid w:val="46720ACF"/>
    <w:rsid w:val="46722966"/>
    <w:rsid w:val="467252C0"/>
    <w:rsid w:val="46733805"/>
    <w:rsid w:val="46744858"/>
    <w:rsid w:val="467632F5"/>
    <w:rsid w:val="46771813"/>
    <w:rsid w:val="467E6B57"/>
    <w:rsid w:val="467F23F8"/>
    <w:rsid w:val="468138BF"/>
    <w:rsid w:val="46853BD3"/>
    <w:rsid w:val="46861DC9"/>
    <w:rsid w:val="46863764"/>
    <w:rsid w:val="468D151A"/>
    <w:rsid w:val="469206A0"/>
    <w:rsid w:val="4693261B"/>
    <w:rsid w:val="46933EA7"/>
    <w:rsid w:val="4698326B"/>
    <w:rsid w:val="469B0FAE"/>
    <w:rsid w:val="469B1418"/>
    <w:rsid w:val="469C7200"/>
    <w:rsid w:val="469F0A9E"/>
    <w:rsid w:val="46A13D98"/>
    <w:rsid w:val="46A236CA"/>
    <w:rsid w:val="46A41C10"/>
    <w:rsid w:val="46A434DB"/>
    <w:rsid w:val="46A53DB6"/>
    <w:rsid w:val="46A71700"/>
    <w:rsid w:val="46A737D4"/>
    <w:rsid w:val="46A75BA4"/>
    <w:rsid w:val="46AF4534"/>
    <w:rsid w:val="46B03E5E"/>
    <w:rsid w:val="46B06807"/>
    <w:rsid w:val="46B16A25"/>
    <w:rsid w:val="46B300A5"/>
    <w:rsid w:val="46B60FA8"/>
    <w:rsid w:val="46B6571B"/>
    <w:rsid w:val="46B671EB"/>
    <w:rsid w:val="46B70BF7"/>
    <w:rsid w:val="46BA1434"/>
    <w:rsid w:val="46BC35D9"/>
    <w:rsid w:val="46C1102A"/>
    <w:rsid w:val="46C41A21"/>
    <w:rsid w:val="46CB1C3E"/>
    <w:rsid w:val="46CD6437"/>
    <w:rsid w:val="46CE1383"/>
    <w:rsid w:val="46CF613A"/>
    <w:rsid w:val="46D02A05"/>
    <w:rsid w:val="46D725B4"/>
    <w:rsid w:val="46D945EF"/>
    <w:rsid w:val="46DE2AC4"/>
    <w:rsid w:val="46E01E15"/>
    <w:rsid w:val="46E46CF4"/>
    <w:rsid w:val="46E537C9"/>
    <w:rsid w:val="46EC38EB"/>
    <w:rsid w:val="46ED2407"/>
    <w:rsid w:val="46F106CB"/>
    <w:rsid w:val="46F56910"/>
    <w:rsid w:val="46F661E4"/>
    <w:rsid w:val="46FA611B"/>
    <w:rsid w:val="46FC0A6C"/>
    <w:rsid w:val="46FF2AAA"/>
    <w:rsid w:val="47002A7F"/>
    <w:rsid w:val="47034CA6"/>
    <w:rsid w:val="470366E9"/>
    <w:rsid w:val="47046B53"/>
    <w:rsid w:val="4707219F"/>
    <w:rsid w:val="470E59CC"/>
    <w:rsid w:val="471051AE"/>
    <w:rsid w:val="4713741A"/>
    <w:rsid w:val="47153174"/>
    <w:rsid w:val="47154451"/>
    <w:rsid w:val="471A45C8"/>
    <w:rsid w:val="471A6376"/>
    <w:rsid w:val="471A7BF2"/>
    <w:rsid w:val="471B6C85"/>
    <w:rsid w:val="471E10ED"/>
    <w:rsid w:val="471E1E95"/>
    <w:rsid w:val="471E2059"/>
    <w:rsid w:val="471E4FF6"/>
    <w:rsid w:val="47230722"/>
    <w:rsid w:val="47233C17"/>
    <w:rsid w:val="472461ED"/>
    <w:rsid w:val="472471F5"/>
    <w:rsid w:val="47256BC5"/>
    <w:rsid w:val="472649FE"/>
    <w:rsid w:val="47266AC9"/>
    <w:rsid w:val="472701DB"/>
    <w:rsid w:val="47370E73"/>
    <w:rsid w:val="473C62ED"/>
    <w:rsid w:val="473E652E"/>
    <w:rsid w:val="47411B55"/>
    <w:rsid w:val="47411C59"/>
    <w:rsid w:val="47412FF1"/>
    <w:rsid w:val="47422765"/>
    <w:rsid w:val="474B4782"/>
    <w:rsid w:val="474B5EAC"/>
    <w:rsid w:val="47507FEA"/>
    <w:rsid w:val="47513C75"/>
    <w:rsid w:val="47525C51"/>
    <w:rsid w:val="47536798"/>
    <w:rsid w:val="47555600"/>
    <w:rsid w:val="475A0483"/>
    <w:rsid w:val="475A6890"/>
    <w:rsid w:val="475F1FDB"/>
    <w:rsid w:val="47613FA5"/>
    <w:rsid w:val="47666BD1"/>
    <w:rsid w:val="47675524"/>
    <w:rsid w:val="47682BEB"/>
    <w:rsid w:val="476E0042"/>
    <w:rsid w:val="476F2A40"/>
    <w:rsid w:val="47727D15"/>
    <w:rsid w:val="47741800"/>
    <w:rsid w:val="4775307B"/>
    <w:rsid w:val="47767A51"/>
    <w:rsid w:val="47777325"/>
    <w:rsid w:val="478A3279"/>
    <w:rsid w:val="478A34FC"/>
    <w:rsid w:val="478A6996"/>
    <w:rsid w:val="478B37AB"/>
    <w:rsid w:val="478D4D9A"/>
    <w:rsid w:val="479003E6"/>
    <w:rsid w:val="47915049"/>
    <w:rsid w:val="47964688"/>
    <w:rsid w:val="47996CB5"/>
    <w:rsid w:val="479C4FDD"/>
    <w:rsid w:val="479F50AC"/>
    <w:rsid w:val="47A00BB3"/>
    <w:rsid w:val="47A06854"/>
    <w:rsid w:val="47A311D0"/>
    <w:rsid w:val="47A3636C"/>
    <w:rsid w:val="47A6175D"/>
    <w:rsid w:val="47A6371A"/>
    <w:rsid w:val="47A7239C"/>
    <w:rsid w:val="47A83982"/>
    <w:rsid w:val="47A878A3"/>
    <w:rsid w:val="47AB5CCD"/>
    <w:rsid w:val="47AC3472"/>
    <w:rsid w:val="47AF4D11"/>
    <w:rsid w:val="47B24801"/>
    <w:rsid w:val="47B265AF"/>
    <w:rsid w:val="47B47B3D"/>
    <w:rsid w:val="47B57547"/>
    <w:rsid w:val="47B65B13"/>
    <w:rsid w:val="47BC567F"/>
    <w:rsid w:val="47C167F2"/>
    <w:rsid w:val="47C47D13"/>
    <w:rsid w:val="47C54534"/>
    <w:rsid w:val="47C6205A"/>
    <w:rsid w:val="47C85DD2"/>
    <w:rsid w:val="47CA38F8"/>
    <w:rsid w:val="47CC4581"/>
    <w:rsid w:val="47D44F36"/>
    <w:rsid w:val="47D53876"/>
    <w:rsid w:val="47D74267"/>
    <w:rsid w:val="47DB78B4"/>
    <w:rsid w:val="47E744AA"/>
    <w:rsid w:val="47EC4AEF"/>
    <w:rsid w:val="47F00E85"/>
    <w:rsid w:val="47F170D7"/>
    <w:rsid w:val="47F210A1"/>
    <w:rsid w:val="47F23F2B"/>
    <w:rsid w:val="47F44E19"/>
    <w:rsid w:val="47F616F3"/>
    <w:rsid w:val="47F91B54"/>
    <w:rsid w:val="47FB5B50"/>
    <w:rsid w:val="47FC5418"/>
    <w:rsid w:val="47FD3CCE"/>
    <w:rsid w:val="480155F8"/>
    <w:rsid w:val="48090F94"/>
    <w:rsid w:val="480A0199"/>
    <w:rsid w:val="480D7C89"/>
    <w:rsid w:val="480E2AC1"/>
    <w:rsid w:val="481132D5"/>
    <w:rsid w:val="48117779"/>
    <w:rsid w:val="481A32B8"/>
    <w:rsid w:val="481B3E57"/>
    <w:rsid w:val="481C1C7A"/>
    <w:rsid w:val="481E1E96"/>
    <w:rsid w:val="481F5F10"/>
    <w:rsid w:val="482101D7"/>
    <w:rsid w:val="48223734"/>
    <w:rsid w:val="48264136"/>
    <w:rsid w:val="48270D4B"/>
    <w:rsid w:val="48274C8F"/>
    <w:rsid w:val="482876B1"/>
    <w:rsid w:val="482B7945"/>
    <w:rsid w:val="482C1D4B"/>
    <w:rsid w:val="482F19AD"/>
    <w:rsid w:val="48360CC5"/>
    <w:rsid w:val="48361EBC"/>
    <w:rsid w:val="483671E0"/>
    <w:rsid w:val="48396CD0"/>
    <w:rsid w:val="483D231C"/>
    <w:rsid w:val="48441767"/>
    <w:rsid w:val="484418FD"/>
    <w:rsid w:val="48484577"/>
    <w:rsid w:val="484A4A39"/>
    <w:rsid w:val="484A67E7"/>
    <w:rsid w:val="484C234A"/>
    <w:rsid w:val="48507547"/>
    <w:rsid w:val="48512886"/>
    <w:rsid w:val="48547E19"/>
    <w:rsid w:val="48561630"/>
    <w:rsid w:val="485633DE"/>
    <w:rsid w:val="4856518C"/>
    <w:rsid w:val="485760B8"/>
    <w:rsid w:val="48581EDB"/>
    <w:rsid w:val="48583D83"/>
    <w:rsid w:val="485B09F4"/>
    <w:rsid w:val="485B5786"/>
    <w:rsid w:val="485B718B"/>
    <w:rsid w:val="485E033F"/>
    <w:rsid w:val="486024AF"/>
    <w:rsid w:val="48605769"/>
    <w:rsid w:val="48630B93"/>
    <w:rsid w:val="48652132"/>
    <w:rsid w:val="4866004B"/>
    <w:rsid w:val="486633BA"/>
    <w:rsid w:val="486C5AE2"/>
    <w:rsid w:val="486F26F2"/>
    <w:rsid w:val="487230E1"/>
    <w:rsid w:val="48724537"/>
    <w:rsid w:val="48735D3E"/>
    <w:rsid w:val="48741AB6"/>
    <w:rsid w:val="48742EFF"/>
    <w:rsid w:val="48757D08"/>
    <w:rsid w:val="487D60DE"/>
    <w:rsid w:val="48802209"/>
    <w:rsid w:val="48810A0D"/>
    <w:rsid w:val="48825526"/>
    <w:rsid w:val="488327AC"/>
    <w:rsid w:val="48857A46"/>
    <w:rsid w:val="48861C35"/>
    <w:rsid w:val="488C32A4"/>
    <w:rsid w:val="488E0DCA"/>
    <w:rsid w:val="488E2B78"/>
    <w:rsid w:val="48945CB4"/>
    <w:rsid w:val="48961607"/>
    <w:rsid w:val="48965ED0"/>
    <w:rsid w:val="48981C49"/>
    <w:rsid w:val="48990EDF"/>
    <w:rsid w:val="489B076C"/>
    <w:rsid w:val="489F2696"/>
    <w:rsid w:val="48A1571F"/>
    <w:rsid w:val="48A203D1"/>
    <w:rsid w:val="48A237EC"/>
    <w:rsid w:val="48A40F65"/>
    <w:rsid w:val="48A4239B"/>
    <w:rsid w:val="48A476D4"/>
    <w:rsid w:val="48A57EC2"/>
    <w:rsid w:val="48A95C04"/>
    <w:rsid w:val="48AC6340"/>
    <w:rsid w:val="48AE03C2"/>
    <w:rsid w:val="48AE321A"/>
    <w:rsid w:val="48AE65BB"/>
    <w:rsid w:val="48B06F92"/>
    <w:rsid w:val="48B14AB8"/>
    <w:rsid w:val="48B3438D"/>
    <w:rsid w:val="48B56357"/>
    <w:rsid w:val="48B87E46"/>
    <w:rsid w:val="48BC2937"/>
    <w:rsid w:val="48BD520B"/>
    <w:rsid w:val="48BE69C7"/>
    <w:rsid w:val="48BF4674"/>
    <w:rsid w:val="48C14140"/>
    <w:rsid w:val="48C26CC5"/>
    <w:rsid w:val="48C742DC"/>
    <w:rsid w:val="48C77E38"/>
    <w:rsid w:val="48CC2F24"/>
    <w:rsid w:val="48CE5550"/>
    <w:rsid w:val="48CF0740"/>
    <w:rsid w:val="48D013E2"/>
    <w:rsid w:val="48D569F9"/>
    <w:rsid w:val="48DA6F06"/>
    <w:rsid w:val="48DA7B6B"/>
    <w:rsid w:val="48DE348E"/>
    <w:rsid w:val="48DE48B2"/>
    <w:rsid w:val="48E44E8E"/>
    <w:rsid w:val="48E94F23"/>
    <w:rsid w:val="48EE0EFD"/>
    <w:rsid w:val="48EE1869"/>
    <w:rsid w:val="48F34B8E"/>
    <w:rsid w:val="48F350D1"/>
    <w:rsid w:val="48F5045F"/>
    <w:rsid w:val="48F71986"/>
    <w:rsid w:val="48F75E01"/>
    <w:rsid w:val="48F77056"/>
    <w:rsid w:val="48F826E7"/>
    <w:rsid w:val="4901159C"/>
    <w:rsid w:val="49043881"/>
    <w:rsid w:val="49045711"/>
    <w:rsid w:val="49080B7C"/>
    <w:rsid w:val="49090450"/>
    <w:rsid w:val="49094D84"/>
    <w:rsid w:val="490B41C9"/>
    <w:rsid w:val="490C1CEF"/>
    <w:rsid w:val="4914486F"/>
    <w:rsid w:val="491603F6"/>
    <w:rsid w:val="49170DBF"/>
    <w:rsid w:val="49177011"/>
    <w:rsid w:val="491A265E"/>
    <w:rsid w:val="491D1FF9"/>
    <w:rsid w:val="491F7018"/>
    <w:rsid w:val="491F7C74"/>
    <w:rsid w:val="492114BE"/>
    <w:rsid w:val="49235D7F"/>
    <w:rsid w:val="49267254"/>
    <w:rsid w:val="492822E2"/>
    <w:rsid w:val="49282FCC"/>
    <w:rsid w:val="492876D1"/>
    <w:rsid w:val="492A385B"/>
    <w:rsid w:val="492C413F"/>
    <w:rsid w:val="492E0B35"/>
    <w:rsid w:val="49301E81"/>
    <w:rsid w:val="493059DD"/>
    <w:rsid w:val="49315AE0"/>
    <w:rsid w:val="49331857"/>
    <w:rsid w:val="49331971"/>
    <w:rsid w:val="493556E9"/>
    <w:rsid w:val="49396F88"/>
    <w:rsid w:val="493F0316"/>
    <w:rsid w:val="49431385"/>
    <w:rsid w:val="49441489"/>
    <w:rsid w:val="49465201"/>
    <w:rsid w:val="494871CB"/>
    <w:rsid w:val="494B0A69"/>
    <w:rsid w:val="494B240B"/>
    <w:rsid w:val="4958393F"/>
    <w:rsid w:val="49595D88"/>
    <w:rsid w:val="495C7CDB"/>
    <w:rsid w:val="495D0B90"/>
    <w:rsid w:val="495E079C"/>
    <w:rsid w:val="495E69EE"/>
    <w:rsid w:val="495E76CE"/>
    <w:rsid w:val="495F4514"/>
    <w:rsid w:val="495F7B86"/>
    <w:rsid w:val="49606747"/>
    <w:rsid w:val="4961203A"/>
    <w:rsid w:val="496220FD"/>
    <w:rsid w:val="4963478E"/>
    <w:rsid w:val="496438D9"/>
    <w:rsid w:val="496569FC"/>
    <w:rsid w:val="496833C9"/>
    <w:rsid w:val="496D09DF"/>
    <w:rsid w:val="496D0C0D"/>
    <w:rsid w:val="496E4757"/>
    <w:rsid w:val="49707298"/>
    <w:rsid w:val="49784278"/>
    <w:rsid w:val="49785C10"/>
    <w:rsid w:val="497A5B7B"/>
    <w:rsid w:val="4981448B"/>
    <w:rsid w:val="498434BD"/>
    <w:rsid w:val="4984543A"/>
    <w:rsid w:val="49845D29"/>
    <w:rsid w:val="498E6BA8"/>
    <w:rsid w:val="49935F6C"/>
    <w:rsid w:val="499441BE"/>
    <w:rsid w:val="49952D80"/>
    <w:rsid w:val="49956188"/>
    <w:rsid w:val="49961986"/>
    <w:rsid w:val="49973BDF"/>
    <w:rsid w:val="4997557C"/>
    <w:rsid w:val="499A379E"/>
    <w:rsid w:val="499E6DEB"/>
    <w:rsid w:val="499F2B63"/>
    <w:rsid w:val="49A01F26"/>
    <w:rsid w:val="49A14B2D"/>
    <w:rsid w:val="49A2403D"/>
    <w:rsid w:val="49A53F24"/>
    <w:rsid w:val="49A77509"/>
    <w:rsid w:val="49A95790"/>
    <w:rsid w:val="49AB59AC"/>
    <w:rsid w:val="49AD7B9F"/>
    <w:rsid w:val="49AF724A"/>
    <w:rsid w:val="49B02CBC"/>
    <w:rsid w:val="49B04D70"/>
    <w:rsid w:val="49B06B1E"/>
    <w:rsid w:val="49B16106"/>
    <w:rsid w:val="49B27B2C"/>
    <w:rsid w:val="49B41887"/>
    <w:rsid w:val="49B54C1B"/>
    <w:rsid w:val="49B706D0"/>
    <w:rsid w:val="49BD3460"/>
    <w:rsid w:val="49C5081B"/>
    <w:rsid w:val="49C83E68"/>
    <w:rsid w:val="49C936B5"/>
    <w:rsid w:val="49D24CE6"/>
    <w:rsid w:val="49D55940"/>
    <w:rsid w:val="49E16097"/>
    <w:rsid w:val="49E2487A"/>
    <w:rsid w:val="49E40558"/>
    <w:rsid w:val="49E656E9"/>
    <w:rsid w:val="49E71C16"/>
    <w:rsid w:val="49E8450A"/>
    <w:rsid w:val="49EA64D4"/>
    <w:rsid w:val="49EB5DA8"/>
    <w:rsid w:val="49EB7B56"/>
    <w:rsid w:val="49ED4BE8"/>
    <w:rsid w:val="49EE7713"/>
    <w:rsid w:val="49F47A9B"/>
    <w:rsid w:val="49F754CA"/>
    <w:rsid w:val="49F871E7"/>
    <w:rsid w:val="49FD14AF"/>
    <w:rsid w:val="49FD6207"/>
    <w:rsid w:val="49FE4A23"/>
    <w:rsid w:val="4A001853"/>
    <w:rsid w:val="4A002568"/>
    <w:rsid w:val="4A05330E"/>
    <w:rsid w:val="4A056E6A"/>
    <w:rsid w:val="4A057ACA"/>
    <w:rsid w:val="4A06378E"/>
    <w:rsid w:val="4A070E34"/>
    <w:rsid w:val="4A080708"/>
    <w:rsid w:val="4A0A248B"/>
    <w:rsid w:val="4A0B1011"/>
    <w:rsid w:val="4A0B18A6"/>
    <w:rsid w:val="4A0B3629"/>
    <w:rsid w:val="4A0E57F1"/>
    <w:rsid w:val="4A1029EC"/>
    <w:rsid w:val="4A1452FF"/>
    <w:rsid w:val="4A1C701D"/>
    <w:rsid w:val="4A233794"/>
    <w:rsid w:val="4A2714D2"/>
    <w:rsid w:val="4A306FA8"/>
    <w:rsid w:val="4A343BE2"/>
    <w:rsid w:val="4A35072B"/>
    <w:rsid w:val="4A394D65"/>
    <w:rsid w:val="4A3B6D2F"/>
    <w:rsid w:val="4A3C0846"/>
    <w:rsid w:val="4A3D4D1C"/>
    <w:rsid w:val="4A3D76EC"/>
    <w:rsid w:val="4A407EA2"/>
    <w:rsid w:val="4A440551"/>
    <w:rsid w:val="4A492690"/>
    <w:rsid w:val="4A4D62D6"/>
    <w:rsid w:val="4A51180D"/>
    <w:rsid w:val="4A523E3B"/>
    <w:rsid w:val="4A552E56"/>
    <w:rsid w:val="4A556B50"/>
    <w:rsid w:val="4A5676C5"/>
    <w:rsid w:val="4A574864"/>
    <w:rsid w:val="4A5751EC"/>
    <w:rsid w:val="4A58168F"/>
    <w:rsid w:val="4A5F69CD"/>
    <w:rsid w:val="4A621E0D"/>
    <w:rsid w:val="4A630EAB"/>
    <w:rsid w:val="4A633B90"/>
    <w:rsid w:val="4A642911"/>
    <w:rsid w:val="4A6D535D"/>
    <w:rsid w:val="4A6E0EB3"/>
    <w:rsid w:val="4A702D6F"/>
    <w:rsid w:val="4A7101BF"/>
    <w:rsid w:val="4A7162AD"/>
    <w:rsid w:val="4A721F23"/>
    <w:rsid w:val="4A761B16"/>
    <w:rsid w:val="4A7638C4"/>
    <w:rsid w:val="4A77763C"/>
    <w:rsid w:val="4A781D1E"/>
    <w:rsid w:val="4A7933B4"/>
    <w:rsid w:val="4A795E74"/>
    <w:rsid w:val="4A7B6861"/>
    <w:rsid w:val="4A7E09F7"/>
    <w:rsid w:val="4A7F1869"/>
    <w:rsid w:val="4A881849"/>
    <w:rsid w:val="4A8B4028"/>
    <w:rsid w:val="4A8E3303"/>
    <w:rsid w:val="4A8F3747"/>
    <w:rsid w:val="4A917B2E"/>
    <w:rsid w:val="4A966ED7"/>
    <w:rsid w:val="4A9A4CB2"/>
    <w:rsid w:val="4A9B77CE"/>
    <w:rsid w:val="4A9C34F6"/>
    <w:rsid w:val="4A9D3A15"/>
    <w:rsid w:val="4A9F3E06"/>
    <w:rsid w:val="4A9F72BE"/>
    <w:rsid w:val="4AA06B93"/>
    <w:rsid w:val="4AA26355"/>
    <w:rsid w:val="4AA448D5"/>
    <w:rsid w:val="4AA50CB3"/>
    <w:rsid w:val="4AA74E0C"/>
    <w:rsid w:val="4AA85A47"/>
    <w:rsid w:val="4AAB3032"/>
    <w:rsid w:val="4AAB4494"/>
    <w:rsid w:val="4AAE4B75"/>
    <w:rsid w:val="4AB12B4E"/>
    <w:rsid w:val="4AB4263E"/>
    <w:rsid w:val="4AB6167A"/>
    <w:rsid w:val="4AB8212E"/>
    <w:rsid w:val="4ABA1E08"/>
    <w:rsid w:val="4ABA6E77"/>
    <w:rsid w:val="4ABD14F2"/>
    <w:rsid w:val="4ABF151C"/>
    <w:rsid w:val="4AC5077F"/>
    <w:rsid w:val="4AC761A9"/>
    <w:rsid w:val="4AC8224B"/>
    <w:rsid w:val="4ACE01A4"/>
    <w:rsid w:val="4ACE3700"/>
    <w:rsid w:val="4AD309EB"/>
    <w:rsid w:val="4AD54A8E"/>
    <w:rsid w:val="4AD92B34"/>
    <w:rsid w:val="4ADD1A9D"/>
    <w:rsid w:val="4ADF3B5F"/>
    <w:rsid w:val="4AE16784"/>
    <w:rsid w:val="4AE65D82"/>
    <w:rsid w:val="4AEA4585"/>
    <w:rsid w:val="4AEE55F3"/>
    <w:rsid w:val="4AEE728D"/>
    <w:rsid w:val="4AF018C8"/>
    <w:rsid w:val="4AF12176"/>
    <w:rsid w:val="4AF3638B"/>
    <w:rsid w:val="4AF60EA8"/>
    <w:rsid w:val="4AF8588C"/>
    <w:rsid w:val="4AF869CF"/>
    <w:rsid w:val="4AF953DC"/>
    <w:rsid w:val="4AFD3FE5"/>
    <w:rsid w:val="4AFF7D5D"/>
    <w:rsid w:val="4B0215FB"/>
    <w:rsid w:val="4B02784D"/>
    <w:rsid w:val="4B0435C5"/>
    <w:rsid w:val="4B067779"/>
    <w:rsid w:val="4B0E31C2"/>
    <w:rsid w:val="4B0E7F30"/>
    <w:rsid w:val="4B120B9C"/>
    <w:rsid w:val="4B1325C4"/>
    <w:rsid w:val="4B1702B6"/>
    <w:rsid w:val="4B1A4B97"/>
    <w:rsid w:val="4B1B12D4"/>
    <w:rsid w:val="4B1B26BD"/>
    <w:rsid w:val="4B1C63FA"/>
    <w:rsid w:val="4B1D6435"/>
    <w:rsid w:val="4B1F0D5C"/>
    <w:rsid w:val="4B2652EA"/>
    <w:rsid w:val="4B2D7116"/>
    <w:rsid w:val="4B2E283F"/>
    <w:rsid w:val="4B2F5A81"/>
    <w:rsid w:val="4B314808"/>
    <w:rsid w:val="4B3307BD"/>
    <w:rsid w:val="4B373E4F"/>
    <w:rsid w:val="4B3774F7"/>
    <w:rsid w:val="4B3A0D95"/>
    <w:rsid w:val="4B3C5387"/>
    <w:rsid w:val="4B40491C"/>
    <w:rsid w:val="4B475260"/>
    <w:rsid w:val="4B493CD4"/>
    <w:rsid w:val="4B4B11F4"/>
    <w:rsid w:val="4B4B5FFB"/>
    <w:rsid w:val="4B4B6AFE"/>
    <w:rsid w:val="4B4C2876"/>
    <w:rsid w:val="4B4C600B"/>
    <w:rsid w:val="4B4E4840"/>
    <w:rsid w:val="4B531E57"/>
    <w:rsid w:val="4B57248F"/>
    <w:rsid w:val="4B594B8D"/>
    <w:rsid w:val="4B5C1243"/>
    <w:rsid w:val="4B5C133C"/>
    <w:rsid w:val="4B5C6F5D"/>
    <w:rsid w:val="4B5D4A84"/>
    <w:rsid w:val="4B5F07FC"/>
    <w:rsid w:val="4B6202EC"/>
    <w:rsid w:val="4B635E4C"/>
    <w:rsid w:val="4B656F3F"/>
    <w:rsid w:val="4B662015"/>
    <w:rsid w:val="4B6A1CE2"/>
    <w:rsid w:val="4B6B0F4E"/>
    <w:rsid w:val="4B6E2E78"/>
    <w:rsid w:val="4B72052F"/>
    <w:rsid w:val="4B727F94"/>
    <w:rsid w:val="4B7A73E4"/>
    <w:rsid w:val="4B7B7ABD"/>
    <w:rsid w:val="4B7C0EE1"/>
    <w:rsid w:val="4B7C13AE"/>
    <w:rsid w:val="4B7D370D"/>
    <w:rsid w:val="4B7E64CC"/>
    <w:rsid w:val="4B80775D"/>
    <w:rsid w:val="4B813CEC"/>
    <w:rsid w:val="4B814C16"/>
    <w:rsid w:val="4B816F53"/>
    <w:rsid w:val="4B86222C"/>
    <w:rsid w:val="4B8F5DA7"/>
    <w:rsid w:val="4B942912"/>
    <w:rsid w:val="4B944128"/>
    <w:rsid w:val="4B9530C4"/>
    <w:rsid w:val="4B9A2CEA"/>
    <w:rsid w:val="4B9B7403"/>
    <w:rsid w:val="4B9D5F03"/>
    <w:rsid w:val="4B9F509C"/>
    <w:rsid w:val="4BA22AF7"/>
    <w:rsid w:val="4BA31DF8"/>
    <w:rsid w:val="4BA45F7F"/>
    <w:rsid w:val="4BA47D7B"/>
    <w:rsid w:val="4BA57E8B"/>
    <w:rsid w:val="4BAF1783"/>
    <w:rsid w:val="4BAF784C"/>
    <w:rsid w:val="4BB26449"/>
    <w:rsid w:val="4BB328F5"/>
    <w:rsid w:val="4BB84560"/>
    <w:rsid w:val="4BB87CDB"/>
    <w:rsid w:val="4BBA0155"/>
    <w:rsid w:val="4BBA3C84"/>
    <w:rsid w:val="4BBD44FC"/>
    <w:rsid w:val="4BBF19D3"/>
    <w:rsid w:val="4BBF7C5C"/>
    <w:rsid w:val="4BC23E1F"/>
    <w:rsid w:val="4BC44B03"/>
    <w:rsid w:val="4BC57951"/>
    <w:rsid w:val="4BC67795"/>
    <w:rsid w:val="4BC71CA7"/>
    <w:rsid w:val="4BCB40E3"/>
    <w:rsid w:val="4BCC5671"/>
    <w:rsid w:val="4BCD427D"/>
    <w:rsid w:val="4BCD6EF2"/>
    <w:rsid w:val="4BCD7E5B"/>
    <w:rsid w:val="4BD22500"/>
    <w:rsid w:val="4BD366EC"/>
    <w:rsid w:val="4BD623FF"/>
    <w:rsid w:val="4BD9235C"/>
    <w:rsid w:val="4BDB773A"/>
    <w:rsid w:val="4BDC1E4C"/>
    <w:rsid w:val="4BDC3BFA"/>
    <w:rsid w:val="4BDD550A"/>
    <w:rsid w:val="4BDE3E16"/>
    <w:rsid w:val="4BDF193C"/>
    <w:rsid w:val="4BE07B8E"/>
    <w:rsid w:val="4BE331DB"/>
    <w:rsid w:val="4BE34981"/>
    <w:rsid w:val="4BE43BF5"/>
    <w:rsid w:val="4BE73BDE"/>
    <w:rsid w:val="4BE807F1"/>
    <w:rsid w:val="4BED3696"/>
    <w:rsid w:val="4BEE0910"/>
    <w:rsid w:val="4BEF7586"/>
    <w:rsid w:val="4BF16DF0"/>
    <w:rsid w:val="4BF2341E"/>
    <w:rsid w:val="4BF275D6"/>
    <w:rsid w:val="4BF33D4C"/>
    <w:rsid w:val="4BF519DD"/>
    <w:rsid w:val="4BF90C50"/>
    <w:rsid w:val="4BF94693"/>
    <w:rsid w:val="4BF947AC"/>
    <w:rsid w:val="4BFD121E"/>
    <w:rsid w:val="4BFD388B"/>
    <w:rsid w:val="4BFE6267"/>
    <w:rsid w:val="4C0835E1"/>
    <w:rsid w:val="4C0D54B0"/>
    <w:rsid w:val="4C101AF6"/>
    <w:rsid w:val="4C110813"/>
    <w:rsid w:val="4C1213DC"/>
    <w:rsid w:val="4C146A9D"/>
    <w:rsid w:val="4C196BFC"/>
    <w:rsid w:val="4C1A6D24"/>
    <w:rsid w:val="4C1A7FB7"/>
    <w:rsid w:val="4C1B2975"/>
    <w:rsid w:val="4C1C049B"/>
    <w:rsid w:val="4C215AB1"/>
    <w:rsid w:val="4C222CC4"/>
    <w:rsid w:val="4C2323E3"/>
    <w:rsid w:val="4C26756B"/>
    <w:rsid w:val="4C2D2900"/>
    <w:rsid w:val="4C2F6420"/>
    <w:rsid w:val="4C3264A0"/>
    <w:rsid w:val="4C343A36"/>
    <w:rsid w:val="4C3B583D"/>
    <w:rsid w:val="4C3E5CAD"/>
    <w:rsid w:val="4C4579F1"/>
    <w:rsid w:val="4C4A5008"/>
    <w:rsid w:val="4C4F1702"/>
    <w:rsid w:val="4C4F6AC2"/>
    <w:rsid w:val="4C5244BF"/>
    <w:rsid w:val="4C547C35"/>
    <w:rsid w:val="4C567E51"/>
    <w:rsid w:val="4C5B2063"/>
    <w:rsid w:val="4C5B7215"/>
    <w:rsid w:val="4C5C5BEE"/>
    <w:rsid w:val="4C5D11DF"/>
    <w:rsid w:val="4C5D5CF6"/>
    <w:rsid w:val="4C5E3D85"/>
    <w:rsid w:val="4C612351"/>
    <w:rsid w:val="4C6164AB"/>
    <w:rsid w:val="4C6448F0"/>
    <w:rsid w:val="4C650094"/>
    <w:rsid w:val="4C6562E6"/>
    <w:rsid w:val="4C673E0C"/>
    <w:rsid w:val="4C6C1422"/>
    <w:rsid w:val="4C6C5B06"/>
    <w:rsid w:val="4C6D56DD"/>
    <w:rsid w:val="4C6F22E2"/>
    <w:rsid w:val="4C740884"/>
    <w:rsid w:val="4C757E0B"/>
    <w:rsid w:val="4C79261D"/>
    <w:rsid w:val="4C8449BE"/>
    <w:rsid w:val="4C871DB8"/>
    <w:rsid w:val="4C873C01"/>
    <w:rsid w:val="4C874E75"/>
    <w:rsid w:val="4C891FD4"/>
    <w:rsid w:val="4C8A7AFA"/>
    <w:rsid w:val="4C8B224F"/>
    <w:rsid w:val="4C8D1398"/>
    <w:rsid w:val="4C8D6530"/>
    <w:rsid w:val="4C8F32D7"/>
    <w:rsid w:val="4C9044C7"/>
    <w:rsid w:val="4C92600E"/>
    <w:rsid w:val="4C985108"/>
    <w:rsid w:val="4CA02E7A"/>
    <w:rsid w:val="4CA02FE5"/>
    <w:rsid w:val="4CA23096"/>
    <w:rsid w:val="4CA41E94"/>
    <w:rsid w:val="4CA64A8D"/>
    <w:rsid w:val="4CAB764B"/>
    <w:rsid w:val="4CAC7C0B"/>
    <w:rsid w:val="4CB038E4"/>
    <w:rsid w:val="4CB132D9"/>
    <w:rsid w:val="4CB2143B"/>
    <w:rsid w:val="4CB56F38"/>
    <w:rsid w:val="4CB61830"/>
    <w:rsid w:val="4CB83E99"/>
    <w:rsid w:val="4CB9218D"/>
    <w:rsid w:val="4CBD57DA"/>
    <w:rsid w:val="4CC0735A"/>
    <w:rsid w:val="4CC44C05"/>
    <w:rsid w:val="4CC57F8B"/>
    <w:rsid w:val="4CC72F10"/>
    <w:rsid w:val="4CD15729"/>
    <w:rsid w:val="4CD44FFC"/>
    <w:rsid w:val="4CDE7F47"/>
    <w:rsid w:val="4CE1674C"/>
    <w:rsid w:val="4CE3088A"/>
    <w:rsid w:val="4CE55FF1"/>
    <w:rsid w:val="4CE76CFB"/>
    <w:rsid w:val="4CE94821"/>
    <w:rsid w:val="4CF0322E"/>
    <w:rsid w:val="4CF17B79"/>
    <w:rsid w:val="4CF3569F"/>
    <w:rsid w:val="4CF50A7A"/>
    <w:rsid w:val="4CF5583A"/>
    <w:rsid w:val="4CF65F33"/>
    <w:rsid w:val="4CF84A64"/>
    <w:rsid w:val="4CF94CB4"/>
    <w:rsid w:val="4CFA0DB7"/>
    <w:rsid w:val="4CFA4C80"/>
    <w:rsid w:val="4CFC484E"/>
    <w:rsid w:val="4CFD651E"/>
    <w:rsid w:val="4CFE5BBD"/>
    <w:rsid w:val="4D007DBC"/>
    <w:rsid w:val="4D0168EF"/>
    <w:rsid w:val="4D0A4797"/>
    <w:rsid w:val="4D0B05B3"/>
    <w:rsid w:val="4D0C075F"/>
    <w:rsid w:val="4D1105A7"/>
    <w:rsid w:val="4D113D78"/>
    <w:rsid w:val="4D140883"/>
    <w:rsid w:val="4D144003"/>
    <w:rsid w:val="4D16313C"/>
    <w:rsid w:val="4D17076E"/>
    <w:rsid w:val="4D177460"/>
    <w:rsid w:val="4D197893"/>
    <w:rsid w:val="4D265AB4"/>
    <w:rsid w:val="4D2770F7"/>
    <w:rsid w:val="4D2951F8"/>
    <w:rsid w:val="4D2F4F07"/>
    <w:rsid w:val="4D322D6F"/>
    <w:rsid w:val="4D333CEE"/>
    <w:rsid w:val="4D340D0A"/>
    <w:rsid w:val="4D350250"/>
    <w:rsid w:val="4D3516F8"/>
    <w:rsid w:val="4D354E86"/>
    <w:rsid w:val="4D361FA8"/>
    <w:rsid w:val="4D3658EE"/>
    <w:rsid w:val="4D382228"/>
    <w:rsid w:val="4D386AA9"/>
    <w:rsid w:val="4D396B4E"/>
    <w:rsid w:val="4D3C046C"/>
    <w:rsid w:val="4D424576"/>
    <w:rsid w:val="4D42778C"/>
    <w:rsid w:val="4D475D3F"/>
    <w:rsid w:val="4D4952BF"/>
    <w:rsid w:val="4D4B54DB"/>
    <w:rsid w:val="4D4B561A"/>
    <w:rsid w:val="4D4C3002"/>
    <w:rsid w:val="4D4C3153"/>
    <w:rsid w:val="4D53613E"/>
    <w:rsid w:val="4D553D98"/>
    <w:rsid w:val="4D571EB3"/>
    <w:rsid w:val="4D571ED4"/>
    <w:rsid w:val="4D5C1497"/>
    <w:rsid w:val="4D5F2D35"/>
    <w:rsid w:val="4D5F5A0E"/>
    <w:rsid w:val="4D610217"/>
    <w:rsid w:val="4D626381"/>
    <w:rsid w:val="4D6408E7"/>
    <w:rsid w:val="4D697710"/>
    <w:rsid w:val="4D6D36A4"/>
    <w:rsid w:val="4D6E11CA"/>
    <w:rsid w:val="4D710D8B"/>
    <w:rsid w:val="4D747043"/>
    <w:rsid w:val="4D786E3D"/>
    <w:rsid w:val="4D7E2762"/>
    <w:rsid w:val="4D8046B5"/>
    <w:rsid w:val="4D806282"/>
    <w:rsid w:val="4D812AEE"/>
    <w:rsid w:val="4D84279B"/>
    <w:rsid w:val="4D862070"/>
    <w:rsid w:val="4D875DE8"/>
    <w:rsid w:val="4D8E6C2B"/>
    <w:rsid w:val="4D8F77C9"/>
    <w:rsid w:val="4D92310A"/>
    <w:rsid w:val="4D93478D"/>
    <w:rsid w:val="4D9A32B2"/>
    <w:rsid w:val="4DA3430D"/>
    <w:rsid w:val="4DAB5F7A"/>
    <w:rsid w:val="4DB278E7"/>
    <w:rsid w:val="4DB35E16"/>
    <w:rsid w:val="4DB37B04"/>
    <w:rsid w:val="4DB52955"/>
    <w:rsid w:val="4DB75DA7"/>
    <w:rsid w:val="4DBC7549"/>
    <w:rsid w:val="4DBE3EFF"/>
    <w:rsid w:val="4DC14ADD"/>
    <w:rsid w:val="4DC25BEF"/>
    <w:rsid w:val="4DC42378"/>
    <w:rsid w:val="4DC8586B"/>
    <w:rsid w:val="4DC86B2C"/>
    <w:rsid w:val="4DCA32CE"/>
    <w:rsid w:val="4DCB4E5A"/>
    <w:rsid w:val="4DCE3A17"/>
    <w:rsid w:val="4DD202C0"/>
    <w:rsid w:val="4DD31AA1"/>
    <w:rsid w:val="4DD5524B"/>
    <w:rsid w:val="4DD76D6F"/>
    <w:rsid w:val="4DD828A2"/>
    <w:rsid w:val="4DD92AE7"/>
    <w:rsid w:val="4DDC4386"/>
    <w:rsid w:val="4DDD3C5A"/>
    <w:rsid w:val="4DE42B2B"/>
    <w:rsid w:val="4DE72856"/>
    <w:rsid w:val="4DE75BA8"/>
    <w:rsid w:val="4DE8173E"/>
    <w:rsid w:val="4DEE1357"/>
    <w:rsid w:val="4DEE6D0F"/>
    <w:rsid w:val="4DF23BA9"/>
    <w:rsid w:val="4DF5539E"/>
    <w:rsid w:val="4DF82FB8"/>
    <w:rsid w:val="4DF94F37"/>
    <w:rsid w:val="4DFC625E"/>
    <w:rsid w:val="4DFC67D6"/>
    <w:rsid w:val="4DFE43F3"/>
    <w:rsid w:val="4E0474A5"/>
    <w:rsid w:val="4E0557BA"/>
    <w:rsid w:val="4E06686F"/>
    <w:rsid w:val="4E083A03"/>
    <w:rsid w:val="4E0A1EFF"/>
    <w:rsid w:val="4E0B54DF"/>
    <w:rsid w:val="4E0C07CA"/>
    <w:rsid w:val="4E0C7695"/>
    <w:rsid w:val="4E0D0668"/>
    <w:rsid w:val="4E11454D"/>
    <w:rsid w:val="4E12486C"/>
    <w:rsid w:val="4E131916"/>
    <w:rsid w:val="4E140C20"/>
    <w:rsid w:val="4E173610"/>
    <w:rsid w:val="4E174E16"/>
    <w:rsid w:val="4E181113"/>
    <w:rsid w:val="4E1B1754"/>
    <w:rsid w:val="4E1E499E"/>
    <w:rsid w:val="4E1F52F5"/>
    <w:rsid w:val="4E1F6CD9"/>
    <w:rsid w:val="4E2125F7"/>
    <w:rsid w:val="4E235B10"/>
    <w:rsid w:val="4E2E0F86"/>
    <w:rsid w:val="4E351802"/>
    <w:rsid w:val="4E357BA5"/>
    <w:rsid w:val="4E3B6CCF"/>
    <w:rsid w:val="4E473EF5"/>
    <w:rsid w:val="4E483F59"/>
    <w:rsid w:val="4E492C2F"/>
    <w:rsid w:val="4E497D56"/>
    <w:rsid w:val="4E4A78AA"/>
    <w:rsid w:val="4E4F71DE"/>
    <w:rsid w:val="4E4F782C"/>
    <w:rsid w:val="4E502893"/>
    <w:rsid w:val="4E5171C9"/>
    <w:rsid w:val="4E54216E"/>
    <w:rsid w:val="4E547E10"/>
    <w:rsid w:val="4E547F03"/>
    <w:rsid w:val="4E5959D6"/>
    <w:rsid w:val="4E597CD0"/>
    <w:rsid w:val="4E5B34FC"/>
    <w:rsid w:val="4E5E2FEC"/>
    <w:rsid w:val="4E604FB7"/>
    <w:rsid w:val="4E69016F"/>
    <w:rsid w:val="4E6D666F"/>
    <w:rsid w:val="4E6E5B4F"/>
    <w:rsid w:val="4E706072"/>
    <w:rsid w:val="4E7068A3"/>
    <w:rsid w:val="4E740A62"/>
    <w:rsid w:val="4E744929"/>
    <w:rsid w:val="4E762ABE"/>
    <w:rsid w:val="4E772229"/>
    <w:rsid w:val="4E796078"/>
    <w:rsid w:val="4E80373E"/>
    <w:rsid w:val="4E811169"/>
    <w:rsid w:val="4E8642F1"/>
    <w:rsid w:val="4E883348"/>
    <w:rsid w:val="4E8C7B5A"/>
    <w:rsid w:val="4E8D38D2"/>
    <w:rsid w:val="4E8F22FA"/>
    <w:rsid w:val="4E90459E"/>
    <w:rsid w:val="4E915170"/>
    <w:rsid w:val="4E922C96"/>
    <w:rsid w:val="4E9407BC"/>
    <w:rsid w:val="4E983AB9"/>
    <w:rsid w:val="4E983EB6"/>
    <w:rsid w:val="4E992277"/>
    <w:rsid w:val="4E9F6D96"/>
    <w:rsid w:val="4EA2112B"/>
    <w:rsid w:val="4EA50C1B"/>
    <w:rsid w:val="4EA57992"/>
    <w:rsid w:val="4EA62018"/>
    <w:rsid w:val="4EA74993"/>
    <w:rsid w:val="4EA9490A"/>
    <w:rsid w:val="4EAB459D"/>
    <w:rsid w:val="4EAF1726"/>
    <w:rsid w:val="4EAF55F6"/>
    <w:rsid w:val="4EB270FD"/>
    <w:rsid w:val="4EB70C58"/>
    <w:rsid w:val="4EBA0473"/>
    <w:rsid w:val="4EBA1B2E"/>
    <w:rsid w:val="4EBA5425"/>
    <w:rsid w:val="4EBE305F"/>
    <w:rsid w:val="4EC05A55"/>
    <w:rsid w:val="4EC156F9"/>
    <w:rsid w:val="4EC2357B"/>
    <w:rsid w:val="4EC45545"/>
    <w:rsid w:val="4EC54E1A"/>
    <w:rsid w:val="4EC56BC8"/>
    <w:rsid w:val="4EC815A0"/>
    <w:rsid w:val="4EC850ED"/>
    <w:rsid w:val="4ECC5CC5"/>
    <w:rsid w:val="4ED0364D"/>
    <w:rsid w:val="4ED20CB0"/>
    <w:rsid w:val="4ED2354B"/>
    <w:rsid w:val="4ED4505D"/>
    <w:rsid w:val="4ED70A9E"/>
    <w:rsid w:val="4ED81F55"/>
    <w:rsid w:val="4ED952B1"/>
    <w:rsid w:val="4EDA1AC9"/>
    <w:rsid w:val="4EDE2348"/>
    <w:rsid w:val="4EDE5EDB"/>
    <w:rsid w:val="4EDE7C89"/>
    <w:rsid w:val="4EE54A46"/>
    <w:rsid w:val="4EE93C23"/>
    <w:rsid w:val="4EEC23A6"/>
    <w:rsid w:val="4EEE25C2"/>
    <w:rsid w:val="4EF37BD9"/>
    <w:rsid w:val="4EF456FF"/>
    <w:rsid w:val="4EF94AC3"/>
    <w:rsid w:val="4F005E52"/>
    <w:rsid w:val="4F016F2F"/>
    <w:rsid w:val="4F073023"/>
    <w:rsid w:val="4F0C2A48"/>
    <w:rsid w:val="4F0C78AF"/>
    <w:rsid w:val="4F0F3D24"/>
    <w:rsid w:val="4F111C86"/>
    <w:rsid w:val="4F123174"/>
    <w:rsid w:val="4F155DA1"/>
    <w:rsid w:val="4F16284A"/>
    <w:rsid w:val="4F1777EB"/>
    <w:rsid w:val="4F19773A"/>
    <w:rsid w:val="4F1A1801"/>
    <w:rsid w:val="4F1D4C56"/>
    <w:rsid w:val="4F1F05ED"/>
    <w:rsid w:val="4F1F277C"/>
    <w:rsid w:val="4F2205E8"/>
    <w:rsid w:val="4F232515"/>
    <w:rsid w:val="4F2411C2"/>
    <w:rsid w:val="4F261597"/>
    <w:rsid w:val="4F275EA2"/>
    <w:rsid w:val="4F2A7373"/>
    <w:rsid w:val="4F2B115B"/>
    <w:rsid w:val="4F2E17C4"/>
    <w:rsid w:val="4F2E35ED"/>
    <w:rsid w:val="4F2F01CE"/>
    <w:rsid w:val="4F325744"/>
    <w:rsid w:val="4F33053C"/>
    <w:rsid w:val="4F330A1E"/>
    <w:rsid w:val="4F363F69"/>
    <w:rsid w:val="4F42290E"/>
    <w:rsid w:val="4F443F90"/>
    <w:rsid w:val="4F473A81"/>
    <w:rsid w:val="4F4768DE"/>
    <w:rsid w:val="4F481DB3"/>
    <w:rsid w:val="4F4B1105"/>
    <w:rsid w:val="4F4C553B"/>
    <w:rsid w:val="4F4F3164"/>
    <w:rsid w:val="4F515BD5"/>
    <w:rsid w:val="4F542EE9"/>
    <w:rsid w:val="4F5435BF"/>
    <w:rsid w:val="4F554A5A"/>
    <w:rsid w:val="4F5776DC"/>
    <w:rsid w:val="4F5C097D"/>
    <w:rsid w:val="4F5C1957"/>
    <w:rsid w:val="4F5F701C"/>
    <w:rsid w:val="4F6051EF"/>
    <w:rsid w:val="4F635BE7"/>
    <w:rsid w:val="4F6572FD"/>
    <w:rsid w:val="4F676F3B"/>
    <w:rsid w:val="4F6C798B"/>
    <w:rsid w:val="4F732AC8"/>
    <w:rsid w:val="4F734876"/>
    <w:rsid w:val="4F736D24"/>
    <w:rsid w:val="4F756840"/>
    <w:rsid w:val="4F7776AB"/>
    <w:rsid w:val="4F7A1943"/>
    <w:rsid w:val="4F815A58"/>
    <w:rsid w:val="4F871DD2"/>
    <w:rsid w:val="4F882826"/>
    <w:rsid w:val="4F8847C5"/>
    <w:rsid w:val="4F8D1B06"/>
    <w:rsid w:val="4F8D589F"/>
    <w:rsid w:val="4F8E75F4"/>
    <w:rsid w:val="4F913007"/>
    <w:rsid w:val="4F914820"/>
    <w:rsid w:val="4F936CC6"/>
    <w:rsid w:val="4F9473F5"/>
    <w:rsid w:val="4F966803"/>
    <w:rsid w:val="4F980780"/>
    <w:rsid w:val="4F9B059D"/>
    <w:rsid w:val="4F9B28C6"/>
    <w:rsid w:val="4F9C763A"/>
    <w:rsid w:val="4FA10DBA"/>
    <w:rsid w:val="4FA22128"/>
    <w:rsid w:val="4FA2515B"/>
    <w:rsid w:val="4FA25BD4"/>
    <w:rsid w:val="4FA47125"/>
    <w:rsid w:val="4FA93B6D"/>
    <w:rsid w:val="4FAA2BC4"/>
    <w:rsid w:val="4FAC7D88"/>
    <w:rsid w:val="4FAF03DD"/>
    <w:rsid w:val="4FB1539E"/>
    <w:rsid w:val="4FB235F0"/>
    <w:rsid w:val="4FB955B7"/>
    <w:rsid w:val="4FBC37F8"/>
    <w:rsid w:val="4FBE01E7"/>
    <w:rsid w:val="4FC0230D"/>
    <w:rsid w:val="4FC11A85"/>
    <w:rsid w:val="4FC652ED"/>
    <w:rsid w:val="4FC861DA"/>
    <w:rsid w:val="4FD03A76"/>
    <w:rsid w:val="4FD35314"/>
    <w:rsid w:val="4FD75CE1"/>
    <w:rsid w:val="4FDA185F"/>
    <w:rsid w:val="4FDA48F5"/>
    <w:rsid w:val="4FE45773"/>
    <w:rsid w:val="4FE47521"/>
    <w:rsid w:val="4FE516B1"/>
    <w:rsid w:val="4FE5311A"/>
    <w:rsid w:val="4FE94B38"/>
    <w:rsid w:val="4FEC4A24"/>
    <w:rsid w:val="4FEF058B"/>
    <w:rsid w:val="4FF57980"/>
    <w:rsid w:val="4FF8643C"/>
    <w:rsid w:val="4FF9121F"/>
    <w:rsid w:val="4FFD58F5"/>
    <w:rsid w:val="4FFE54CB"/>
    <w:rsid w:val="4FFF262E"/>
    <w:rsid w:val="50010825"/>
    <w:rsid w:val="50011E81"/>
    <w:rsid w:val="50067C12"/>
    <w:rsid w:val="50092637"/>
    <w:rsid w:val="50094B96"/>
    <w:rsid w:val="500A342C"/>
    <w:rsid w:val="500F211F"/>
    <w:rsid w:val="50100316"/>
    <w:rsid w:val="501222E0"/>
    <w:rsid w:val="50131BB5"/>
    <w:rsid w:val="50153B73"/>
    <w:rsid w:val="501549F6"/>
    <w:rsid w:val="501A1195"/>
    <w:rsid w:val="501B1E1C"/>
    <w:rsid w:val="501E0C85"/>
    <w:rsid w:val="50212524"/>
    <w:rsid w:val="50257E0B"/>
    <w:rsid w:val="502757D6"/>
    <w:rsid w:val="502B0F71"/>
    <w:rsid w:val="502B5150"/>
    <w:rsid w:val="502D2C76"/>
    <w:rsid w:val="502E6984"/>
    <w:rsid w:val="50314CBA"/>
    <w:rsid w:val="50394DF5"/>
    <w:rsid w:val="503A35E5"/>
    <w:rsid w:val="503A61CA"/>
    <w:rsid w:val="503F0BFC"/>
    <w:rsid w:val="504A3AF3"/>
    <w:rsid w:val="504E2060"/>
    <w:rsid w:val="504F47C8"/>
    <w:rsid w:val="505038A9"/>
    <w:rsid w:val="505C17AE"/>
    <w:rsid w:val="505D494A"/>
    <w:rsid w:val="505E1082"/>
    <w:rsid w:val="505E5526"/>
    <w:rsid w:val="50611571"/>
    <w:rsid w:val="50655046"/>
    <w:rsid w:val="506602B6"/>
    <w:rsid w:val="506858AC"/>
    <w:rsid w:val="506F14E1"/>
    <w:rsid w:val="50700D9B"/>
    <w:rsid w:val="50707007"/>
    <w:rsid w:val="507A0E90"/>
    <w:rsid w:val="507C3BFE"/>
    <w:rsid w:val="50815C45"/>
    <w:rsid w:val="5082058D"/>
    <w:rsid w:val="50822E69"/>
    <w:rsid w:val="50836E6F"/>
    <w:rsid w:val="50845DD3"/>
    <w:rsid w:val="50857ECE"/>
    <w:rsid w:val="508807F5"/>
    <w:rsid w:val="50890FCE"/>
    <w:rsid w:val="508A0C46"/>
    <w:rsid w:val="508B2FC8"/>
    <w:rsid w:val="50947199"/>
    <w:rsid w:val="50962F12"/>
    <w:rsid w:val="509947B0"/>
    <w:rsid w:val="509D6FA2"/>
    <w:rsid w:val="509E3B74"/>
    <w:rsid w:val="50A3063C"/>
    <w:rsid w:val="50A6410D"/>
    <w:rsid w:val="50A90D4F"/>
    <w:rsid w:val="50A95B00"/>
    <w:rsid w:val="50AA312A"/>
    <w:rsid w:val="50AD2009"/>
    <w:rsid w:val="50AE1BA0"/>
    <w:rsid w:val="50AF190C"/>
    <w:rsid w:val="50B04181"/>
    <w:rsid w:val="50B05655"/>
    <w:rsid w:val="50B43398"/>
    <w:rsid w:val="50B76522"/>
    <w:rsid w:val="50BA43AB"/>
    <w:rsid w:val="50BD0E26"/>
    <w:rsid w:val="50C04F20"/>
    <w:rsid w:val="50C51890"/>
    <w:rsid w:val="50C730CB"/>
    <w:rsid w:val="50C82040"/>
    <w:rsid w:val="50C92ED7"/>
    <w:rsid w:val="50D06A18"/>
    <w:rsid w:val="50D15CF8"/>
    <w:rsid w:val="50D21A70"/>
    <w:rsid w:val="50D32F88"/>
    <w:rsid w:val="50D5253D"/>
    <w:rsid w:val="50D6330E"/>
    <w:rsid w:val="50D91050"/>
    <w:rsid w:val="50D94BAC"/>
    <w:rsid w:val="50DC36EE"/>
    <w:rsid w:val="50DE0C95"/>
    <w:rsid w:val="50DE6667"/>
    <w:rsid w:val="50DF5A2E"/>
    <w:rsid w:val="50E53551"/>
    <w:rsid w:val="50E56E5F"/>
    <w:rsid w:val="50E65A7F"/>
    <w:rsid w:val="50E963C7"/>
    <w:rsid w:val="50EA500B"/>
    <w:rsid w:val="50F32112"/>
    <w:rsid w:val="50F33EC0"/>
    <w:rsid w:val="50F844F2"/>
    <w:rsid w:val="50F97C41"/>
    <w:rsid w:val="50FB4F07"/>
    <w:rsid w:val="5100038B"/>
    <w:rsid w:val="51010497"/>
    <w:rsid w:val="51031C29"/>
    <w:rsid w:val="51032CF7"/>
    <w:rsid w:val="51062B64"/>
    <w:rsid w:val="51081672"/>
    <w:rsid w:val="51083E00"/>
    <w:rsid w:val="510C4F82"/>
    <w:rsid w:val="510D2AA8"/>
    <w:rsid w:val="510E277F"/>
    <w:rsid w:val="51120433"/>
    <w:rsid w:val="511356C3"/>
    <w:rsid w:val="51167BAE"/>
    <w:rsid w:val="51183927"/>
    <w:rsid w:val="5119144D"/>
    <w:rsid w:val="511C421F"/>
    <w:rsid w:val="5122044E"/>
    <w:rsid w:val="51232C83"/>
    <w:rsid w:val="51234079"/>
    <w:rsid w:val="51247744"/>
    <w:rsid w:val="51255BEA"/>
    <w:rsid w:val="51261AEB"/>
    <w:rsid w:val="51281690"/>
    <w:rsid w:val="512C2345"/>
    <w:rsid w:val="512E4EF8"/>
    <w:rsid w:val="512F779A"/>
    <w:rsid w:val="51312C3A"/>
    <w:rsid w:val="513149E8"/>
    <w:rsid w:val="5133250E"/>
    <w:rsid w:val="51333B81"/>
    <w:rsid w:val="51365893"/>
    <w:rsid w:val="51365A0B"/>
    <w:rsid w:val="513B025F"/>
    <w:rsid w:val="514021AB"/>
    <w:rsid w:val="51410B03"/>
    <w:rsid w:val="51422751"/>
    <w:rsid w:val="51426BF5"/>
    <w:rsid w:val="514E559A"/>
    <w:rsid w:val="515113D8"/>
    <w:rsid w:val="5151441F"/>
    <w:rsid w:val="51516E38"/>
    <w:rsid w:val="515612DE"/>
    <w:rsid w:val="515B1A65"/>
    <w:rsid w:val="515F4D2C"/>
    <w:rsid w:val="515F57BD"/>
    <w:rsid w:val="51600E2A"/>
    <w:rsid w:val="5163037D"/>
    <w:rsid w:val="51653D27"/>
    <w:rsid w:val="516A3A56"/>
    <w:rsid w:val="516D1FD0"/>
    <w:rsid w:val="516E13D9"/>
    <w:rsid w:val="51705511"/>
    <w:rsid w:val="51730B5D"/>
    <w:rsid w:val="517555E9"/>
    <w:rsid w:val="51767E81"/>
    <w:rsid w:val="517B5A7B"/>
    <w:rsid w:val="517C19F7"/>
    <w:rsid w:val="518227AA"/>
    <w:rsid w:val="51823496"/>
    <w:rsid w:val="51823D75"/>
    <w:rsid w:val="51825244"/>
    <w:rsid w:val="51856B1B"/>
    <w:rsid w:val="518739F6"/>
    <w:rsid w:val="51890380"/>
    <w:rsid w:val="518C5952"/>
    <w:rsid w:val="518D7071"/>
    <w:rsid w:val="51904476"/>
    <w:rsid w:val="51956D25"/>
    <w:rsid w:val="51965138"/>
    <w:rsid w:val="519B7972"/>
    <w:rsid w:val="519D6402"/>
    <w:rsid w:val="51A3713D"/>
    <w:rsid w:val="51A46F68"/>
    <w:rsid w:val="51A4737F"/>
    <w:rsid w:val="51A60F78"/>
    <w:rsid w:val="51A74CAA"/>
    <w:rsid w:val="51A82AC2"/>
    <w:rsid w:val="51AA5B34"/>
    <w:rsid w:val="51AB39F2"/>
    <w:rsid w:val="51AC22C1"/>
    <w:rsid w:val="51AC406F"/>
    <w:rsid w:val="51B01DB1"/>
    <w:rsid w:val="51B14F30"/>
    <w:rsid w:val="51B3364F"/>
    <w:rsid w:val="51B538DE"/>
    <w:rsid w:val="51B579BE"/>
    <w:rsid w:val="51B65454"/>
    <w:rsid w:val="51BF5ACB"/>
    <w:rsid w:val="51C146D7"/>
    <w:rsid w:val="51C21AE4"/>
    <w:rsid w:val="51C85C16"/>
    <w:rsid w:val="51C94C21"/>
    <w:rsid w:val="51C952F3"/>
    <w:rsid w:val="51CA5D3D"/>
    <w:rsid w:val="51CD4504"/>
    <w:rsid w:val="51CE5011"/>
    <w:rsid w:val="51D569AB"/>
    <w:rsid w:val="51D66CF6"/>
    <w:rsid w:val="51D84E64"/>
    <w:rsid w:val="51D86B36"/>
    <w:rsid w:val="51DB1687"/>
    <w:rsid w:val="51E14DCF"/>
    <w:rsid w:val="51E22EE9"/>
    <w:rsid w:val="51E245A7"/>
    <w:rsid w:val="51E470AB"/>
    <w:rsid w:val="51E47CAD"/>
    <w:rsid w:val="51E97071"/>
    <w:rsid w:val="51EC49E7"/>
    <w:rsid w:val="51ED6B61"/>
    <w:rsid w:val="51EE4687"/>
    <w:rsid w:val="51EE7D82"/>
    <w:rsid w:val="51F003FF"/>
    <w:rsid w:val="51F16987"/>
    <w:rsid w:val="51F2145C"/>
    <w:rsid w:val="51F37EF0"/>
    <w:rsid w:val="51F40DCF"/>
    <w:rsid w:val="51FB33A5"/>
    <w:rsid w:val="51FD48CA"/>
    <w:rsid w:val="51FE1F11"/>
    <w:rsid w:val="51FF4AE6"/>
    <w:rsid w:val="52020133"/>
    <w:rsid w:val="52036385"/>
    <w:rsid w:val="5204189E"/>
    <w:rsid w:val="5205529E"/>
    <w:rsid w:val="52056084"/>
    <w:rsid w:val="5209326F"/>
    <w:rsid w:val="520A512D"/>
    <w:rsid w:val="520A5BE6"/>
    <w:rsid w:val="520B348B"/>
    <w:rsid w:val="520C64CC"/>
    <w:rsid w:val="520D1DD1"/>
    <w:rsid w:val="52104C64"/>
    <w:rsid w:val="5212673E"/>
    <w:rsid w:val="521272BF"/>
    <w:rsid w:val="52145AA0"/>
    <w:rsid w:val="52154AA4"/>
    <w:rsid w:val="52167617"/>
    <w:rsid w:val="52171E30"/>
    <w:rsid w:val="52187956"/>
    <w:rsid w:val="52195BA8"/>
    <w:rsid w:val="521B034E"/>
    <w:rsid w:val="521C71A6"/>
    <w:rsid w:val="521D4F6D"/>
    <w:rsid w:val="52222C8A"/>
    <w:rsid w:val="522328C3"/>
    <w:rsid w:val="522E5507"/>
    <w:rsid w:val="522F68D9"/>
    <w:rsid w:val="5233653E"/>
    <w:rsid w:val="52374081"/>
    <w:rsid w:val="5237602E"/>
    <w:rsid w:val="5238328E"/>
    <w:rsid w:val="52383CD0"/>
    <w:rsid w:val="523C2994"/>
    <w:rsid w:val="523D612D"/>
    <w:rsid w:val="523D7F7E"/>
    <w:rsid w:val="523E0372"/>
    <w:rsid w:val="523E575D"/>
    <w:rsid w:val="523F3135"/>
    <w:rsid w:val="524349D3"/>
    <w:rsid w:val="52434EB9"/>
    <w:rsid w:val="5244074B"/>
    <w:rsid w:val="5245353E"/>
    <w:rsid w:val="52466141"/>
    <w:rsid w:val="524B1ADA"/>
    <w:rsid w:val="524B35FA"/>
    <w:rsid w:val="524F5CF2"/>
    <w:rsid w:val="5257047F"/>
    <w:rsid w:val="525A1D1D"/>
    <w:rsid w:val="525A7F6F"/>
    <w:rsid w:val="525C3CE7"/>
    <w:rsid w:val="525E0C42"/>
    <w:rsid w:val="525E265C"/>
    <w:rsid w:val="52632DAE"/>
    <w:rsid w:val="52662470"/>
    <w:rsid w:val="5266632E"/>
    <w:rsid w:val="52684B1B"/>
    <w:rsid w:val="526850F9"/>
    <w:rsid w:val="526C0611"/>
    <w:rsid w:val="526F3A1A"/>
    <w:rsid w:val="527436A9"/>
    <w:rsid w:val="5276495F"/>
    <w:rsid w:val="52782939"/>
    <w:rsid w:val="527C1C93"/>
    <w:rsid w:val="527F3531"/>
    <w:rsid w:val="52803BEA"/>
    <w:rsid w:val="52816712"/>
    <w:rsid w:val="52847693"/>
    <w:rsid w:val="52860D64"/>
    <w:rsid w:val="52870720"/>
    <w:rsid w:val="528A52DB"/>
    <w:rsid w:val="528D3EA0"/>
    <w:rsid w:val="5290265F"/>
    <w:rsid w:val="5292702A"/>
    <w:rsid w:val="529673ED"/>
    <w:rsid w:val="52994D0A"/>
    <w:rsid w:val="529B6283"/>
    <w:rsid w:val="52A10FF1"/>
    <w:rsid w:val="52A24E17"/>
    <w:rsid w:val="52A65B43"/>
    <w:rsid w:val="52A82A20"/>
    <w:rsid w:val="52A82A88"/>
    <w:rsid w:val="52A94916"/>
    <w:rsid w:val="52A94B7A"/>
    <w:rsid w:val="52AA4A52"/>
    <w:rsid w:val="52AA6800"/>
    <w:rsid w:val="52AE3CC5"/>
    <w:rsid w:val="52B30BA8"/>
    <w:rsid w:val="52B633F7"/>
    <w:rsid w:val="52B7716F"/>
    <w:rsid w:val="52B85B7C"/>
    <w:rsid w:val="52BB0A0D"/>
    <w:rsid w:val="52BB569C"/>
    <w:rsid w:val="52BC6332"/>
    <w:rsid w:val="52BF7DD2"/>
    <w:rsid w:val="52C050CC"/>
    <w:rsid w:val="52C20BBC"/>
    <w:rsid w:val="52C54F5B"/>
    <w:rsid w:val="52C8216A"/>
    <w:rsid w:val="52C94B60"/>
    <w:rsid w:val="52CB49C9"/>
    <w:rsid w:val="52CE57B0"/>
    <w:rsid w:val="52CF270B"/>
    <w:rsid w:val="52D32F70"/>
    <w:rsid w:val="52D3614D"/>
    <w:rsid w:val="52D51FB4"/>
    <w:rsid w:val="52D733C5"/>
    <w:rsid w:val="52D7511B"/>
    <w:rsid w:val="52D852D5"/>
    <w:rsid w:val="52DA14B6"/>
    <w:rsid w:val="52DA30C8"/>
    <w:rsid w:val="52DA7D87"/>
    <w:rsid w:val="52E00474"/>
    <w:rsid w:val="52E009CF"/>
    <w:rsid w:val="52E46A9D"/>
    <w:rsid w:val="52E65221"/>
    <w:rsid w:val="52E7791F"/>
    <w:rsid w:val="52E85001"/>
    <w:rsid w:val="52E85F59"/>
    <w:rsid w:val="52EB05A3"/>
    <w:rsid w:val="52EE35B7"/>
    <w:rsid w:val="52F14805"/>
    <w:rsid w:val="52F60C57"/>
    <w:rsid w:val="52F61A46"/>
    <w:rsid w:val="52F83A10"/>
    <w:rsid w:val="52FC728D"/>
    <w:rsid w:val="52FF7058"/>
    <w:rsid w:val="52FF7722"/>
    <w:rsid w:val="53033AEF"/>
    <w:rsid w:val="530B202A"/>
    <w:rsid w:val="531121DD"/>
    <w:rsid w:val="531445D8"/>
    <w:rsid w:val="53144943"/>
    <w:rsid w:val="531545BA"/>
    <w:rsid w:val="53157440"/>
    <w:rsid w:val="53163259"/>
    <w:rsid w:val="531904F4"/>
    <w:rsid w:val="531935A4"/>
    <w:rsid w:val="531B2907"/>
    <w:rsid w:val="531D3476"/>
    <w:rsid w:val="53235031"/>
    <w:rsid w:val="53244E6E"/>
    <w:rsid w:val="53255020"/>
    <w:rsid w:val="532A7941"/>
    <w:rsid w:val="532F2BCB"/>
    <w:rsid w:val="53302860"/>
    <w:rsid w:val="53310CD0"/>
    <w:rsid w:val="53316F22"/>
    <w:rsid w:val="53334193"/>
    <w:rsid w:val="53336043"/>
    <w:rsid w:val="53344F23"/>
    <w:rsid w:val="5335781C"/>
    <w:rsid w:val="53373650"/>
    <w:rsid w:val="533802B0"/>
    <w:rsid w:val="533A5109"/>
    <w:rsid w:val="533B1B4E"/>
    <w:rsid w:val="533B38FC"/>
    <w:rsid w:val="533D2B81"/>
    <w:rsid w:val="533E31D8"/>
    <w:rsid w:val="53407165"/>
    <w:rsid w:val="5343020F"/>
    <w:rsid w:val="53433C00"/>
    <w:rsid w:val="53446C55"/>
    <w:rsid w:val="53484FFE"/>
    <w:rsid w:val="534D53DE"/>
    <w:rsid w:val="534E2354"/>
    <w:rsid w:val="535202BB"/>
    <w:rsid w:val="53583439"/>
    <w:rsid w:val="53596AA9"/>
    <w:rsid w:val="535B5D4C"/>
    <w:rsid w:val="53630F4A"/>
    <w:rsid w:val="53632AEA"/>
    <w:rsid w:val="536410A5"/>
    <w:rsid w:val="536863BA"/>
    <w:rsid w:val="53691198"/>
    <w:rsid w:val="536D782E"/>
    <w:rsid w:val="536E11E4"/>
    <w:rsid w:val="536F17F8"/>
    <w:rsid w:val="536F35A6"/>
    <w:rsid w:val="53753A92"/>
    <w:rsid w:val="53790872"/>
    <w:rsid w:val="537A2677"/>
    <w:rsid w:val="537A4EDB"/>
    <w:rsid w:val="537B63EF"/>
    <w:rsid w:val="537F5EDF"/>
    <w:rsid w:val="53837051"/>
    <w:rsid w:val="53860CB4"/>
    <w:rsid w:val="53887714"/>
    <w:rsid w:val="538B6799"/>
    <w:rsid w:val="538E0895"/>
    <w:rsid w:val="538E6122"/>
    <w:rsid w:val="538E7ED0"/>
    <w:rsid w:val="538E7F4B"/>
    <w:rsid w:val="53921E55"/>
    <w:rsid w:val="539574B0"/>
    <w:rsid w:val="53957C99"/>
    <w:rsid w:val="53980D4F"/>
    <w:rsid w:val="53984242"/>
    <w:rsid w:val="53987EBC"/>
    <w:rsid w:val="539A6875"/>
    <w:rsid w:val="539B3EAD"/>
    <w:rsid w:val="539B439B"/>
    <w:rsid w:val="539E5F59"/>
    <w:rsid w:val="53A005FF"/>
    <w:rsid w:val="53A2777C"/>
    <w:rsid w:val="53A476F3"/>
    <w:rsid w:val="53A54518"/>
    <w:rsid w:val="53A54DFC"/>
    <w:rsid w:val="53A72D40"/>
    <w:rsid w:val="53A95523"/>
    <w:rsid w:val="53AA2830"/>
    <w:rsid w:val="53AF0986"/>
    <w:rsid w:val="53B22A42"/>
    <w:rsid w:val="53B36CF6"/>
    <w:rsid w:val="53B92A73"/>
    <w:rsid w:val="53BA288A"/>
    <w:rsid w:val="53BA5CF6"/>
    <w:rsid w:val="53BC2CEE"/>
    <w:rsid w:val="53BD33B0"/>
    <w:rsid w:val="53C01CBF"/>
    <w:rsid w:val="53C11BA9"/>
    <w:rsid w:val="53C2401E"/>
    <w:rsid w:val="53C439C2"/>
    <w:rsid w:val="53C5766A"/>
    <w:rsid w:val="53CA4C80"/>
    <w:rsid w:val="53CC09F8"/>
    <w:rsid w:val="53CC67DD"/>
    <w:rsid w:val="53D004E8"/>
    <w:rsid w:val="53D0673A"/>
    <w:rsid w:val="53D068E5"/>
    <w:rsid w:val="53D07000"/>
    <w:rsid w:val="53D61877"/>
    <w:rsid w:val="53DE648D"/>
    <w:rsid w:val="53DF697E"/>
    <w:rsid w:val="53E144E0"/>
    <w:rsid w:val="53E45D42"/>
    <w:rsid w:val="53E47AF0"/>
    <w:rsid w:val="53E63439"/>
    <w:rsid w:val="53E871F7"/>
    <w:rsid w:val="53EC1547"/>
    <w:rsid w:val="53EF74F1"/>
    <w:rsid w:val="53F02939"/>
    <w:rsid w:val="53F1045F"/>
    <w:rsid w:val="53F35F85"/>
    <w:rsid w:val="53F51CFD"/>
    <w:rsid w:val="53FD4338"/>
    <w:rsid w:val="54040192"/>
    <w:rsid w:val="54041F40"/>
    <w:rsid w:val="5404539A"/>
    <w:rsid w:val="5406153F"/>
    <w:rsid w:val="540B7773"/>
    <w:rsid w:val="54106B37"/>
    <w:rsid w:val="54107D69"/>
    <w:rsid w:val="5411531E"/>
    <w:rsid w:val="54162496"/>
    <w:rsid w:val="54177EC5"/>
    <w:rsid w:val="54181E8F"/>
    <w:rsid w:val="54183C3E"/>
    <w:rsid w:val="54186242"/>
    <w:rsid w:val="54206D62"/>
    <w:rsid w:val="54233E40"/>
    <w:rsid w:val="5428123A"/>
    <w:rsid w:val="542D1C54"/>
    <w:rsid w:val="54372316"/>
    <w:rsid w:val="543A021F"/>
    <w:rsid w:val="543A42B8"/>
    <w:rsid w:val="543B1A7F"/>
    <w:rsid w:val="543B6630"/>
    <w:rsid w:val="543C72FE"/>
    <w:rsid w:val="543D2C88"/>
    <w:rsid w:val="543D36A4"/>
    <w:rsid w:val="54413194"/>
    <w:rsid w:val="544206E5"/>
    <w:rsid w:val="54427E9B"/>
    <w:rsid w:val="54446957"/>
    <w:rsid w:val="54481CD5"/>
    <w:rsid w:val="54492049"/>
    <w:rsid w:val="544B17E7"/>
    <w:rsid w:val="545004D6"/>
    <w:rsid w:val="5451591F"/>
    <w:rsid w:val="54564027"/>
    <w:rsid w:val="54596730"/>
    <w:rsid w:val="545B7032"/>
    <w:rsid w:val="545C3B2A"/>
    <w:rsid w:val="545E7CBA"/>
    <w:rsid w:val="54613885"/>
    <w:rsid w:val="54646E83"/>
    <w:rsid w:val="54667951"/>
    <w:rsid w:val="546D122E"/>
    <w:rsid w:val="546F6362"/>
    <w:rsid w:val="546F75AD"/>
    <w:rsid w:val="54720882"/>
    <w:rsid w:val="54722609"/>
    <w:rsid w:val="54724115"/>
    <w:rsid w:val="54755FF5"/>
    <w:rsid w:val="54796350"/>
    <w:rsid w:val="54796D38"/>
    <w:rsid w:val="547A48F8"/>
    <w:rsid w:val="547B7631"/>
    <w:rsid w:val="547E0169"/>
    <w:rsid w:val="547E068A"/>
    <w:rsid w:val="547E6196"/>
    <w:rsid w:val="547F7572"/>
    <w:rsid w:val="548B440F"/>
    <w:rsid w:val="548D3B82"/>
    <w:rsid w:val="548D462B"/>
    <w:rsid w:val="54905306"/>
    <w:rsid w:val="54907C6F"/>
    <w:rsid w:val="54932F49"/>
    <w:rsid w:val="5495528E"/>
    <w:rsid w:val="54997E13"/>
    <w:rsid w:val="549A28A4"/>
    <w:rsid w:val="549A3F89"/>
    <w:rsid w:val="549B03E5"/>
    <w:rsid w:val="549C41C1"/>
    <w:rsid w:val="549C661D"/>
    <w:rsid w:val="549E29BD"/>
    <w:rsid w:val="54A454D1"/>
    <w:rsid w:val="54A83213"/>
    <w:rsid w:val="54A92AE8"/>
    <w:rsid w:val="54AB4AB2"/>
    <w:rsid w:val="54AC69A0"/>
    <w:rsid w:val="54B03E76"/>
    <w:rsid w:val="54B15D92"/>
    <w:rsid w:val="54B22CCC"/>
    <w:rsid w:val="54BA7736"/>
    <w:rsid w:val="54BD357F"/>
    <w:rsid w:val="54BE47E5"/>
    <w:rsid w:val="54C12E33"/>
    <w:rsid w:val="54C16083"/>
    <w:rsid w:val="54C33BA9"/>
    <w:rsid w:val="54C727C9"/>
    <w:rsid w:val="54C82F16"/>
    <w:rsid w:val="54C85664"/>
    <w:rsid w:val="54CC1305"/>
    <w:rsid w:val="54CF209C"/>
    <w:rsid w:val="54D02569"/>
    <w:rsid w:val="54D03085"/>
    <w:rsid w:val="54D630B6"/>
    <w:rsid w:val="54D73AF9"/>
    <w:rsid w:val="54DA7145"/>
    <w:rsid w:val="54DD0812"/>
    <w:rsid w:val="54DE1DAC"/>
    <w:rsid w:val="54EA7388"/>
    <w:rsid w:val="54EF2BF0"/>
    <w:rsid w:val="54F01A73"/>
    <w:rsid w:val="54F0719B"/>
    <w:rsid w:val="54F11800"/>
    <w:rsid w:val="54F31C6C"/>
    <w:rsid w:val="54F8061F"/>
    <w:rsid w:val="54FC530D"/>
    <w:rsid w:val="54FE4D41"/>
    <w:rsid w:val="55003F45"/>
    <w:rsid w:val="55085A60"/>
    <w:rsid w:val="550A2B46"/>
    <w:rsid w:val="55114D48"/>
    <w:rsid w:val="5512068D"/>
    <w:rsid w:val="551408A9"/>
    <w:rsid w:val="55161941"/>
    <w:rsid w:val="55197ADB"/>
    <w:rsid w:val="551F26E0"/>
    <w:rsid w:val="55242F2D"/>
    <w:rsid w:val="55264138"/>
    <w:rsid w:val="552705DC"/>
    <w:rsid w:val="552C79A0"/>
    <w:rsid w:val="552D17D9"/>
    <w:rsid w:val="552D585D"/>
    <w:rsid w:val="552E2EBC"/>
    <w:rsid w:val="552E6253"/>
    <w:rsid w:val="55314FB7"/>
    <w:rsid w:val="5531510A"/>
    <w:rsid w:val="55376345"/>
    <w:rsid w:val="55397E65"/>
    <w:rsid w:val="553A156C"/>
    <w:rsid w:val="553B29D4"/>
    <w:rsid w:val="553B5E36"/>
    <w:rsid w:val="553E1482"/>
    <w:rsid w:val="5540021F"/>
    <w:rsid w:val="5546444E"/>
    <w:rsid w:val="55480552"/>
    <w:rsid w:val="55486565"/>
    <w:rsid w:val="55487A04"/>
    <w:rsid w:val="554A4661"/>
    <w:rsid w:val="554D13CE"/>
    <w:rsid w:val="554F4678"/>
    <w:rsid w:val="554F7B33"/>
    <w:rsid w:val="55515B98"/>
    <w:rsid w:val="5552210C"/>
    <w:rsid w:val="55583378"/>
    <w:rsid w:val="55631913"/>
    <w:rsid w:val="5563538C"/>
    <w:rsid w:val="55646FF0"/>
    <w:rsid w:val="55654C60"/>
    <w:rsid w:val="55665B55"/>
    <w:rsid w:val="5568451C"/>
    <w:rsid w:val="556A671B"/>
    <w:rsid w:val="556B6AE1"/>
    <w:rsid w:val="55703126"/>
    <w:rsid w:val="55711857"/>
    <w:rsid w:val="55713605"/>
    <w:rsid w:val="55735875"/>
    <w:rsid w:val="55757AA6"/>
    <w:rsid w:val="557650C0"/>
    <w:rsid w:val="55766E6E"/>
    <w:rsid w:val="557715DC"/>
    <w:rsid w:val="55780695"/>
    <w:rsid w:val="55786DF3"/>
    <w:rsid w:val="557936E5"/>
    <w:rsid w:val="557C77CF"/>
    <w:rsid w:val="557E5D22"/>
    <w:rsid w:val="55805F3E"/>
    <w:rsid w:val="558533A4"/>
    <w:rsid w:val="55855303"/>
    <w:rsid w:val="5588393C"/>
    <w:rsid w:val="558960D9"/>
    <w:rsid w:val="55907648"/>
    <w:rsid w:val="55915A56"/>
    <w:rsid w:val="55935C72"/>
    <w:rsid w:val="55942B9B"/>
    <w:rsid w:val="55944C70"/>
    <w:rsid w:val="55971896"/>
    <w:rsid w:val="559E0C6E"/>
    <w:rsid w:val="55A0723D"/>
    <w:rsid w:val="55A54B98"/>
    <w:rsid w:val="55A734CB"/>
    <w:rsid w:val="55A7399A"/>
    <w:rsid w:val="55A83761"/>
    <w:rsid w:val="55AA3CF8"/>
    <w:rsid w:val="55AC31CB"/>
    <w:rsid w:val="55AE4859"/>
    <w:rsid w:val="55AF05D2"/>
    <w:rsid w:val="55B26BF3"/>
    <w:rsid w:val="55B65C29"/>
    <w:rsid w:val="55B80251"/>
    <w:rsid w:val="55B856D8"/>
    <w:rsid w:val="55BA2A60"/>
    <w:rsid w:val="55BC2CC5"/>
    <w:rsid w:val="55BE25C3"/>
    <w:rsid w:val="55C220B3"/>
    <w:rsid w:val="55C27722"/>
    <w:rsid w:val="55C74519"/>
    <w:rsid w:val="55C759E4"/>
    <w:rsid w:val="55CE0A58"/>
    <w:rsid w:val="55CF541C"/>
    <w:rsid w:val="55D00CFE"/>
    <w:rsid w:val="55D0719A"/>
    <w:rsid w:val="55D33BFA"/>
    <w:rsid w:val="55D63DB0"/>
    <w:rsid w:val="55DA564E"/>
    <w:rsid w:val="55DC6C16"/>
    <w:rsid w:val="55DD4614"/>
    <w:rsid w:val="55E22755"/>
    <w:rsid w:val="55E24503"/>
    <w:rsid w:val="55E510E2"/>
    <w:rsid w:val="55E8525E"/>
    <w:rsid w:val="55E92A2C"/>
    <w:rsid w:val="55EA175E"/>
    <w:rsid w:val="55EA1E35"/>
    <w:rsid w:val="55EB647F"/>
    <w:rsid w:val="55EC3199"/>
    <w:rsid w:val="55EC35D4"/>
    <w:rsid w:val="55F21E20"/>
    <w:rsid w:val="55F473DD"/>
    <w:rsid w:val="55F55A45"/>
    <w:rsid w:val="55F634AF"/>
    <w:rsid w:val="55F86516"/>
    <w:rsid w:val="55F93BD0"/>
    <w:rsid w:val="55FA353C"/>
    <w:rsid w:val="56004989"/>
    <w:rsid w:val="56012754"/>
    <w:rsid w:val="560549B3"/>
    <w:rsid w:val="56062989"/>
    <w:rsid w:val="56151416"/>
    <w:rsid w:val="561843C9"/>
    <w:rsid w:val="56186D53"/>
    <w:rsid w:val="56197F4D"/>
    <w:rsid w:val="561B779B"/>
    <w:rsid w:val="561C2B4F"/>
    <w:rsid w:val="56204501"/>
    <w:rsid w:val="56204C34"/>
    <w:rsid w:val="56284136"/>
    <w:rsid w:val="562B5EAA"/>
    <w:rsid w:val="56313B46"/>
    <w:rsid w:val="56350D85"/>
    <w:rsid w:val="56351A0D"/>
    <w:rsid w:val="56365C13"/>
    <w:rsid w:val="5637484F"/>
    <w:rsid w:val="563C1642"/>
    <w:rsid w:val="563C42B1"/>
    <w:rsid w:val="56436DEA"/>
    <w:rsid w:val="564718DC"/>
    <w:rsid w:val="56496330"/>
    <w:rsid w:val="564C3099"/>
    <w:rsid w:val="564F2949"/>
    <w:rsid w:val="564F6DD7"/>
    <w:rsid w:val="565005FD"/>
    <w:rsid w:val="565031F4"/>
    <w:rsid w:val="565114C6"/>
    <w:rsid w:val="56535401"/>
    <w:rsid w:val="56536368"/>
    <w:rsid w:val="56541256"/>
    <w:rsid w:val="56551179"/>
    <w:rsid w:val="56582A17"/>
    <w:rsid w:val="565A678F"/>
    <w:rsid w:val="565E627F"/>
    <w:rsid w:val="56605D00"/>
    <w:rsid w:val="566255BA"/>
    <w:rsid w:val="56625644"/>
    <w:rsid w:val="56665134"/>
    <w:rsid w:val="566A2C5C"/>
    <w:rsid w:val="566C201F"/>
    <w:rsid w:val="566F2B50"/>
    <w:rsid w:val="56700341"/>
    <w:rsid w:val="56725887"/>
    <w:rsid w:val="56737851"/>
    <w:rsid w:val="56754B1D"/>
    <w:rsid w:val="567C6182"/>
    <w:rsid w:val="567E1405"/>
    <w:rsid w:val="567F4D0E"/>
    <w:rsid w:val="56821842"/>
    <w:rsid w:val="56837A94"/>
    <w:rsid w:val="5684088C"/>
    <w:rsid w:val="56856B95"/>
    <w:rsid w:val="5688184B"/>
    <w:rsid w:val="568842B1"/>
    <w:rsid w:val="5689497F"/>
    <w:rsid w:val="568E01E7"/>
    <w:rsid w:val="56921A85"/>
    <w:rsid w:val="569272B9"/>
    <w:rsid w:val="56953222"/>
    <w:rsid w:val="569670CA"/>
    <w:rsid w:val="5697709C"/>
    <w:rsid w:val="569A6B64"/>
    <w:rsid w:val="569E667C"/>
    <w:rsid w:val="569F0436"/>
    <w:rsid w:val="56A45C5C"/>
    <w:rsid w:val="56A65531"/>
    <w:rsid w:val="56A8574D"/>
    <w:rsid w:val="56AA1775"/>
    <w:rsid w:val="56AB2B47"/>
    <w:rsid w:val="56AD2D63"/>
    <w:rsid w:val="56B04F47"/>
    <w:rsid w:val="56B06FAA"/>
    <w:rsid w:val="56B20379"/>
    <w:rsid w:val="56B22127"/>
    <w:rsid w:val="56B22409"/>
    <w:rsid w:val="56B23ED5"/>
    <w:rsid w:val="56B24E98"/>
    <w:rsid w:val="56B710DB"/>
    <w:rsid w:val="56B713E3"/>
    <w:rsid w:val="56B75990"/>
    <w:rsid w:val="56B86142"/>
    <w:rsid w:val="56BA0FDC"/>
    <w:rsid w:val="56BB667D"/>
    <w:rsid w:val="56BC6B02"/>
    <w:rsid w:val="56C02A96"/>
    <w:rsid w:val="56C5524A"/>
    <w:rsid w:val="56C63334"/>
    <w:rsid w:val="56C8194B"/>
    <w:rsid w:val="56C82D84"/>
    <w:rsid w:val="56C97471"/>
    <w:rsid w:val="56CB4F97"/>
    <w:rsid w:val="56CB620C"/>
    <w:rsid w:val="56CE6835"/>
    <w:rsid w:val="56CF59E9"/>
    <w:rsid w:val="56D119C3"/>
    <w:rsid w:val="56D563BC"/>
    <w:rsid w:val="56DA2B26"/>
    <w:rsid w:val="56E15B08"/>
    <w:rsid w:val="56E37D9D"/>
    <w:rsid w:val="56E630ED"/>
    <w:rsid w:val="56E909A3"/>
    <w:rsid w:val="56EA5A26"/>
    <w:rsid w:val="56ED6B21"/>
    <w:rsid w:val="56EE0C86"/>
    <w:rsid w:val="56EF6ED8"/>
    <w:rsid w:val="56F019D0"/>
    <w:rsid w:val="56F24C1A"/>
    <w:rsid w:val="56F65DEB"/>
    <w:rsid w:val="56F97D56"/>
    <w:rsid w:val="56FA587C"/>
    <w:rsid w:val="56FB7AB5"/>
    <w:rsid w:val="56FC15F5"/>
    <w:rsid w:val="56FF52A9"/>
    <w:rsid w:val="570010E5"/>
    <w:rsid w:val="57007563"/>
    <w:rsid w:val="57026058"/>
    <w:rsid w:val="57052631"/>
    <w:rsid w:val="570D3802"/>
    <w:rsid w:val="570E7044"/>
    <w:rsid w:val="57180428"/>
    <w:rsid w:val="571921A6"/>
    <w:rsid w:val="571A6269"/>
    <w:rsid w:val="571B7CCD"/>
    <w:rsid w:val="572009E1"/>
    <w:rsid w:val="57201787"/>
    <w:rsid w:val="57212E09"/>
    <w:rsid w:val="572573DC"/>
    <w:rsid w:val="572648C3"/>
    <w:rsid w:val="57286DB3"/>
    <w:rsid w:val="572877F3"/>
    <w:rsid w:val="572B0FCF"/>
    <w:rsid w:val="573213A4"/>
    <w:rsid w:val="57325016"/>
    <w:rsid w:val="57335623"/>
    <w:rsid w:val="57364B06"/>
    <w:rsid w:val="573963A5"/>
    <w:rsid w:val="573973D3"/>
    <w:rsid w:val="573E1C0D"/>
    <w:rsid w:val="573F4730"/>
    <w:rsid w:val="5740094B"/>
    <w:rsid w:val="5741088C"/>
    <w:rsid w:val="574216FD"/>
    <w:rsid w:val="57427BEF"/>
    <w:rsid w:val="57433BD5"/>
    <w:rsid w:val="57446F13"/>
    <w:rsid w:val="57480949"/>
    <w:rsid w:val="57486D6A"/>
    <w:rsid w:val="574A7346"/>
    <w:rsid w:val="574D00A2"/>
    <w:rsid w:val="574D1E50"/>
    <w:rsid w:val="57516329"/>
    <w:rsid w:val="57521214"/>
    <w:rsid w:val="57524261"/>
    <w:rsid w:val="57550741"/>
    <w:rsid w:val="57593233"/>
    <w:rsid w:val="57597567"/>
    <w:rsid w:val="575B456D"/>
    <w:rsid w:val="575C550F"/>
    <w:rsid w:val="575D6537"/>
    <w:rsid w:val="57634A96"/>
    <w:rsid w:val="57654E4C"/>
    <w:rsid w:val="57656B1C"/>
    <w:rsid w:val="57684EDC"/>
    <w:rsid w:val="576A0C54"/>
    <w:rsid w:val="576A6E58"/>
    <w:rsid w:val="5770275B"/>
    <w:rsid w:val="577477EE"/>
    <w:rsid w:val="57792C45"/>
    <w:rsid w:val="5779377B"/>
    <w:rsid w:val="57794F3B"/>
    <w:rsid w:val="577A298F"/>
    <w:rsid w:val="577B076B"/>
    <w:rsid w:val="577D0987"/>
    <w:rsid w:val="577E34BE"/>
    <w:rsid w:val="57831D16"/>
    <w:rsid w:val="57832294"/>
    <w:rsid w:val="57855A59"/>
    <w:rsid w:val="57875362"/>
    <w:rsid w:val="578D6925"/>
    <w:rsid w:val="578E3640"/>
    <w:rsid w:val="57951319"/>
    <w:rsid w:val="57957E77"/>
    <w:rsid w:val="579655A5"/>
    <w:rsid w:val="579A0034"/>
    <w:rsid w:val="579D2DD8"/>
    <w:rsid w:val="57A001D2"/>
    <w:rsid w:val="57A06022"/>
    <w:rsid w:val="57A061D8"/>
    <w:rsid w:val="57A31A70"/>
    <w:rsid w:val="57AA1051"/>
    <w:rsid w:val="57AC2BE5"/>
    <w:rsid w:val="57AF32DE"/>
    <w:rsid w:val="57AF3BA0"/>
    <w:rsid w:val="57B24F0D"/>
    <w:rsid w:val="57B43C7D"/>
    <w:rsid w:val="57B4426A"/>
    <w:rsid w:val="57B523FD"/>
    <w:rsid w:val="57B60D50"/>
    <w:rsid w:val="57B82700"/>
    <w:rsid w:val="57B85F76"/>
    <w:rsid w:val="57BA272F"/>
    <w:rsid w:val="57BA619E"/>
    <w:rsid w:val="57BB500C"/>
    <w:rsid w:val="57BF2FDF"/>
    <w:rsid w:val="57BF34D5"/>
    <w:rsid w:val="57C02622"/>
    <w:rsid w:val="57C05EA2"/>
    <w:rsid w:val="57C117AF"/>
    <w:rsid w:val="57C31664"/>
    <w:rsid w:val="57C60954"/>
    <w:rsid w:val="57CB2D1D"/>
    <w:rsid w:val="57CC7219"/>
    <w:rsid w:val="57CD0552"/>
    <w:rsid w:val="57D367F9"/>
    <w:rsid w:val="57D4431F"/>
    <w:rsid w:val="57D74EB6"/>
    <w:rsid w:val="57DA4EBD"/>
    <w:rsid w:val="57DB3900"/>
    <w:rsid w:val="57DC6E84"/>
    <w:rsid w:val="57DE0CFA"/>
    <w:rsid w:val="57E47AA3"/>
    <w:rsid w:val="57E5652D"/>
    <w:rsid w:val="57E74053"/>
    <w:rsid w:val="57E84983"/>
    <w:rsid w:val="57E97DCB"/>
    <w:rsid w:val="57EE102A"/>
    <w:rsid w:val="57EF4CB5"/>
    <w:rsid w:val="57F0263A"/>
    <w:rsid w:val="57F10A2D"/>
    <w:rsid w:val="57F12A99"/>
    <w:rsid w:val="57F16C7F"/>
    <w:rsid w:val="57F44CB3"/>
    <w:rsid w:val="57F50669"/>
    <w:rsid w:val="57F66044"/>
    <w:rsid w:val="57F70048"/>
    <w:rsid w:val="57F9783C"/>
    <w:rsid w:val="57FB7AFE"/>
    <w:rsid w:val="57FD50AD"/>
    <w:rsid w:val="57FD67B8"/>
    <w:rsid w:val="57FE314A"/>
    <w:rsid w:val="58044AFC"/>
    <w:rsid w:val="580E7831"/>
    <w:rsid w:val="58120F65"/>
    <w:rsid w:val="5812316E"/>
    <w:rsid w:val="581254C5"/>
    <w:rsid w:val="58171D45"/>
    <w:rsid w:val="58187D78"/>
    <w:rsid w:val="581A2DA8"/>
    <w:rsid w:val="581A7F84"/>
    <w:rsid w:val="581C2EA3"/>
    <w:rsid w:val="581E3101"/>
    <w:rsid w:val="58223CA7"/>
    <w:rsid w:val="58226A99"/>
    <w:rsid w:val="58240E03"/>
    <w:rsid w:val="58286C8D"/>
    <w:rsid w:val="58311772"/>
    <w:rsid w:val="58382B00"/>
    <w:rsid w:val="583B614D"/>
    <w:rsid w:val="583C11A9"/>
    <w:rsid w:val="583C439E"/>
    <w:rsid w:val="583E1337"/>
    <w:rsid w:val="583F058A"/>
    <w:rsid w:val="58407CFE"/>
    <w:rsid w:val="58421289"/>
    <w:rsid w:val="58456220"/>
    <w:rsid w:val="5847787E"/>
    <w:rsid w:val="58493626"/>
    <w:rsid w:val="584B2834"/>
    <w:rsid w:val="585263F1"/>
    <w:rsid w:val="58550FBC"/>
    <w:rsid w:val="585D248A"/>
    <w:rsid w:val="585D2BF7"/>
    <w:rsid w:val="585D4315"/>
    <w:rsid w:val="585F3F16"/>
    <w:rsid w:val="58626415"/>
    <w:rsid w:val="58633935"/>
    <w:rsid w:val="586520BF"/>
    <w:rsid w:val="586607F1"/>
    <w:rsid w:val="58667F89"/>
    <w:rsid w:val="58690E3A"/>
    <w:rsid w:val="586919EE"/>
    <w:rsid w:val="586B6DBF"/>
    <w:rsid w:val="586C31AB"/>
    <w:rsid w:val="586F24D7"/>
    <w:rsid w:val="587632DC"/>
    <w:rsid w:val="5878114F"/>
    <w:rsid w:val="58816255"/>
    <w:rsid w:val="58851527"/>
    <w:rsid w:val="58874971"/>
    <w:rsid w:val="5887607C"/>
    <w:rsid w:val="58883D79"/>
    <w:rsid w:val="5889335C"/>
    <w:rsid w:val="588A3B07"/>
    <w:rsid w:val="588B0E82"/>
    <w:rsid w:val="588D56ED"/>
    <w:rsid w:val="588F74A4"/>
    <w:rsid w:val="58906498"/>
    <w:rsid w:val="58943211"/>
    <w:rsid w:val="589574B9"/>
    <w:rsid w:val="589A10C5"/>
    <w:rsid w:val="589B3EAF"/>
    <w:rsid w:val="589B67A1"/>
    <w:rsid w:val="589C160F"/>
    <w:rsid w:val="589C4857"/>
    <w:rsid w:val="589C50FB"/>
    <w:rsid w:val="589F0489"/>
    <w:rsid w:val="58A106A5"/>
    <w:rsid w:val="58A40196"/>
    <w:rsid w:val="58A61E60"/>
    <w:rsid w:val="58A67A6A"/>
    <w:rsid w:val="58A92235"/>
    <w:rsid w:val="58AF5092"/>
    <w:rsid w:val="58B2640F"/>
    <w:rsid w:val="58BD07C6"/>
    <w:rsid w:val="58BF0B2C"/>
    <w:rsid w:val="58C148A4"/>
    <w:rsid w:val="58C56AF2"/>
    <w:rsid w:val="58CA5F8E"/>
    <w:rsid w:val="58CB25A6"/>
    <w:rsid w:val="58CE6FC1"/>
    <w:rsid w:val="58D672D9"/>
    <w:rsid w:val="58D72319"/>
    <w:rsid w:val="58DA1114"/>
    <w:rsid w:val="58DE502E"/>
    <w:rsid w:val="58DF1EFB"/>
    <w:rsid w:val="58E30CBE"/>
    <w:rsid w:val="58E3481A"/>
    <w:rsid w:val="58E56176"/>
    <w:rsid w:val="58E56AAA"/>
    <w:rsid w:val="58E660B8"/>
    <w:rsid w:val="58E93DFA"/>
    <w:rsid w:val="58E95BA9"/>
    <w:rsid w:val="58EC48B5"/>
    <w:rsid w:val="58EC5D11"/>
    <w:rsid w:val="58ED4BF9"/>
    <w:rsid w:val="58F26E9E"/>
    <w:rsid w:val="58F35FA7"/>
    <w:rsid w:val="58F92290"/>
    <w:rsid w:val="58F9403E"/>
    <w:rsid w:val="58FC3B2E"/>
    <w:rsid w:val="58FD6109"/>
    <w:rsid w:val="58FF6819"/>
    <w:rsid w:val="59030E06"/>
    <w:rsid w:val="59056753"/>
    <w:rsid w:val="59084281"/>
    <w:rsid w:val="590C63AF"/>
    <w:rsid w:val="590E45F0"/>
    <w:rsid w:val="59101387"/>
    <w:rsid w:val="59154BEF"/>
    <w:rsid w:val="59162550"/>
    <w:rsid w:val="59164BBB"/>
    <w:rsid w:val="59193C8E"/>
    <w:rsid w:val="59215342"/>
    <w:rsid w:val="59285535"/>
    <w:rsid w:val="5929771A"/>
    <w:rsid w:val="592D3CE7"/>
    <w:rsid w:val="592D6806"/>
    <w:rsid w:val="59301A29"/>
    <w:rsid w:val="593248F0"/>
    <w:rsid w:val="59331DA4"/>
    <w:rsid w:val="59376DAF"/>
    <w:rsid w:val="59391EB1"/>
    <w:rsid w:val="59396B30"/>
    <w:rsid w:val="593B0F22"/>
    <w:rsid w:val="593C0663"/>
    <w:rsid w:val="593E5EF4"/>
    <w:rsid w:val="594159E5"/>
    <w:rsid w:val="59457283"/>
    <w:rsid w:val="59466C53"/>
    <w:rsid w:val="594724E6"/>
    <w:rsid w:val="594828CF"/>
    <w:rsid w:val="594B23BF"/>
    <w:rsid w:val="594F05FA"/>
    <w:rsid w:val="594F663F"/>
    <w:rsid w:val="59523571"/>
    <w:rsid w:val="59577BD8"/>
    <w:rsid w:val="59584548"/>
    <w:rsid w:val="59594ADC"/>
    <w:rsid w:val="595956A5"/>
    <w:rsid w:val="595B6AA6"/>
    <w:rsid w:val="595C2A03"/>
    <w:rsid w:val="595E6858"/>
    <w:rsid w:val="5961013B"/>
    <w:rsid w:val="59615082"/>
    <w:rsid w:val="59633BAD"/>
    <w:rsid w:val="59647462"/>
    <w:rsid w:val="59663AAD"/>
    <w:rsid w:val="59664C10"/>
    <w:rsid w:val="59665408"/>
    <w:rsid w:val="5967369D"/>
    <w:rsid w:val="59684D1F"/>
    <w:rsid w:val="596B1802"/>
    <w:rsid w:val="596F4DCC"/>
    <w:rsid w:val="597208E5"/>
    <w:rsid w:val="59733306"/>
    <w:rsid w:val="597436C4"/>
    <w:rsid w:val="59777658"/>
    <w:rsid w:val="597C6A1D"/>
    <w:rsid w:val="597F6B1E"/>
    <w:rsid w:val="59804DEB"/>
    <w:rsid w:val="5981071C"/>
    <w:rsid w:val="59811826"/>
    <w:rsid w:val="59837DAB"/>
    <w:rsid w:val="59861649"/>
    <w:rsid w:val="598C7682"/>
    <w:rsid w:val="598D0C2A"/>
    <w:rsid w:val="5996123D"/>
    <w:rsid w:val="59962EA2"/>
    <w:rsid w:val="599757F5"/>
    <w:rsid w:val="5999312B"/>
    <w:rsid w:val="599C0150"/>
    <w:rsid w:val="599D5E47"/>
    <w:rsid w:val="599D7A79"/>
    <w:rsid w:val="599E674F"/>
    <w:rsid w:val="59A0095D"/>
    <w:rsid w:val="59A12331"/>
    <w:rsid w:val="59A435EF"/>
    <w:rsid w:val="59A541C5"/>
    <w:rsid w:val="59A87812"/>
    <w:rsid w:val="59A920C7"/>
    <w:rsid w:val="59AA4EE8"/>
    <w:rsid w:val="59AC6193"/>
    <w:rsid w:val="59AE0637"/>
    <w:rsid w:val="59AF0BA0"/>
    <w:rsid w:val="59AF2CEA"/>
    <w:rsid w:val="59AF6DF2"/>
    <w:rsid w:val="59B27FCE"/>
    <w:rsid w:val="59B3176A"/>
    <w:rsid w:val="59B46420"/>
    <w:rsid w:val="59B85CA7"/>
    <w:rsid w:val="59B91A1F"/>
    <w:rsid w:val="59BE0C13"/>
    <w:rsid w:val="59C83A10"/>
    <w:rsid w:val="59C97EB4"/>
    <w:rsid w:val="59CA3C2C"/>
    <w:rsid w:val="59CB6280"/>
    <w:rsid w:val="59CC52AE"/>
    <w:rsid w:val="59D35957"/>
    <w:rsid w:val="59DF5045"/>
    <w:rsid w:val="59DF76D7"/>
    <w:rsid w:val="59E02B7B"/>
    <w:rsid w:val="59E11752"/>
    <w:rsid w:val="59E32332"/>
    <w:rsid w:val="59E83671"/>
    <w:rsid w:val="59E95187"/>
    <w:rsid w:val="59E97801"/>
    <w:rsid w:val="59EC7A8C"/>
    <w:rsid w:val="59EE791A"/>
    <w:rsid w:val="59F02E1D"/>
    <w:rsid w:val="59F36CDF"/>
    <w:rsid w:val="59F64346"/>
    <w:rsid w:val="59F82547"/>
    <w:rsid w:val="59F842F5"/>
    <w:rsid w:val="59FC5C17"/>
    <w:rsid w:val="59FE5684"/>
    <w:rsid w:val="5A033D79"/>
    <w:rsid w:val="5A037476"/>
    <w:rsid w:val="5A06469B"/>
    <w:rsid w:val="5A0872CB"/>
    <w:rsid w:val="5A0C5FF2"/>
    <w:rsid w:val="5A0C607E"/>
    <w:rsid w:val="5A0E1C0B"/>
    <w:rsid w:val="5A1023FA"/>
    <w:rsid w:val="5A117165"/>
    <w:rsid w:val="5A164A1A"/>
    <w:rsid w:val="5A1A070F"/>
    <w:rsid w:val="5A1E5DD4"/>
    <w:rsid w:val="5A1E64AA"/>
    <w:rsid w:val="5A250854"/>
    <w:rsid w:val="5A254097"/>
    <w:rsid w:val="5A2570B4"/>
    <w:rsid w:val="5A2A396D"/>
    <w:rsid w:val="5A2A6479"/>
    <w:rsid w:val="5A2C76FB"/>
    <w:rsid w:val="5A2D00A5"/>
    <w:rsid w:val="5A305956"/>
    <w:rsid w:val="5A326076"/>
    <w:rsid w:val="5A344EA3"/>
    <w:rsid w:val="5A345068"/>
    <w:rsid w:val="5A36306F"/>
    <w:rsid w:val="5A3A2680"/>
    <w:rsid w:val="5A3A490E"/>
    <w:rsid w:val="5A3A602C"/>
    <w:rsid w:val="5A3C158E"/>
    <w:rsid w:val="5A3D5CA5"/>
    <w:rsid w:val="5A3E01AA"/>
    <w:rsid w:val="5A4212B4"/>
    <w:rsid w:val="5A4513C5"/>
    <w:rsid w:val="5A486E32"/>
    <w:rsid w:val="5A494B51"/>
    <w:rsid w:val="5A4A61D5"/>
    <w:rsid w:val="5A4B1573"/>
    <w:rsid w:val="5A4C4641"/>
    <w:rsid w:val="5A500F36"/>
    <w:rsid w:val="5A504131"/>
    <w:rsid w:val="5A540A1E"/>
    <w:rsid w:val="5A545B21"/>
    <w:rsid w:val="5A5569A7"/>
    <w:rsid w:val="5A5654C0"/>
    <w:rsid w:val="5A576F72"/>
    <w:rsid w:val="5A5865B3"/>
    <w:rsid w:val="5A5C627B"/>
    <w:rsid w:val="5A5D2C8E"/>
    <w:rsid w:val="5A5F471A"/>
    <w:rsid w:val="5A625C12"/>
    <w:rsid w:val="5A673229"/>
    <w:rsid w:val="5A685A09"/>
    <w:rsid w:val="5A69459C"/>
    <w:rsid w:val="5A6B71C1"/>
    <w:rsid w:val="5A6D7B41"/>
    <w:rsid w:val="5A710887"/>
    <w:rsid w:val="5A717114"/>
    <w:rsid w:val="5A7720B6"/>
    <w:rsid w:val="5A7A7400"/>
    <w:rsid w:val="5A7F0572"/>
    <w:rsid w:val="5A7F67C4"/>
    <w:rsid w:val="5A7F688E"/>
    <w:rsid w:val="5A821E11"/>
    <w:rsid w:val="5A836C53"/>
    <w:rsid w:val="5A83754C"/>
    <w:rsid w:val="5A84605C"/>
    <w:rsid w:val="5A8B5169"/>
    <w:rsid w:val="5A8B6F17"/>
    <w:rsid w:val="5A8C5871"/>
    <w:rsid w:val="5A8E07B6"/>
    <w:rsid w:val="5A9149B3"/>
    <w:rsid w:val="5A971D60"/>
    <w:rsid w:val="5A9866CB"/>
    <w:rsid w:val="5A9A1546"/>
    <w:rsid w:val="5A9A1850"/>
    <w:rsid w:val="5A9A7C44"/>
    <w:rsid w:val="5A9B1124"/>
    <w:rsid w:val="5A9D6057"/>
    <w:rsid w:val="5A9F29C3"/>
    <w:rsid w:val="5AA12BDF"/>
    <w:rsid w:val="5AA1498D"/>
    <w:rsid w:val="5AA1673B"/>
    <w:rsid w:val="5AA21673"/>
    <w:rsid w:val="5AAE0E58"/>
    <w:rsid w:val="5AAE17E5"/>
    <w:rsid w:val="5AAF6D51"/>
    <w:rsid w:val="5AB126F6"/>
    <w:rsid w:val="5AB775BC"/>
    <w:rsid w:val="5AB83156"/>
    <w:rsid w:val="5ABA3CA0"/>
    <w:rsid w:val="5ABA5A4E"/>
    <w:rsid w:val="5ABE7E1B"/>
    <w:rsid w:val="5ABF6EB9"/>
    <w:rsid w:val="5AC21D24"/>
    <w:rsid w:val="5AC32E47"/>
    <w:rsid w:val="5AC624B2"/>
    <w:rsid w:val="5AC661A1"/>
    <w:rsid w:val="5AC87D7A"/>
    <w:rsid w:val="5ACF7832"/>
    <w:rsid w:val="5AD102F4"/>
    <w:rsid w:val="5AD7215D"/>
    <w:rsid w:val="5AD76451"/>
    <w:rsid w:val="5AD80F59"/>
    <w:rsid w:val="5AD92379"/>
    <w:rsid w:val="5ADD0263"/>
    <w:rsid w:val="5AE222FD"/>
    <w:rsid w:val="5AE86A58"/>
    <w:rsid w:val="5AEA091A"/>
    <w:rsid w:val="5AEA612F"/>
    <w:rsid w:val="5AED1400"/>
    <w:rsid w:val="5AED7BD2"/>
    <w:rsid w:val="5AEE2E78"/>
    <w:rsid w:val="5AF0093B"/>
    <w:rsid w:val="5AF251E8"/>
    <w:rsid w:val="5AF60660"/>
    <w:rsid w:val="5AF62BDB"/>
    <w:rsid w:val="5AF80757"/>
    <w:rsid w:val="5AF8134E"/>
    <w:rsid w:val="5AF90236"/>
    <w:rsid w:val="5AF95C18"/>
    <w:rsid w:val="5AFA22EF"/>
    <w:rsid w:val="5AFA5E4B"/>
    <w:rsid w:val="5AFC7E15"/>
    <w:rsid w:val="5B0373F5"/>
    <w:rsid w:val="5B04539B"/>
    <w:rsid w:val="5B062A42"/>
    <w:rsid w:val="5B072BC8"/>
    <w:rsid w:val="5B081745"/>
    <w:rsid w:val="5B09486A"/>
    <w:rsid w:val="5B0B3E3E"/>
    <w:rsid w:val="5B0D5B7E"/>
    <w:rsid w:val="5B10566E"/>
    <w:rsid w:val="5B1C4013"/>
    <w:rsid w:val="5B1C5428"/>
    <w:rsid w:val="5B1D24B6"/>
    <w:rsid w:val="5B21787C"/>
    <w:rsid w:val="5B280B1F"/>
    <w:rsid w:val="5B2A299B"/>
    <w:rsid w:val="5B2B4256"/>
    <w:rsid w:val="5B320099"/>
    <w:rsid w:val="5B3333CC"/>
    <w:rsid w:val="5B3550D5"/>
    <w:rsid w:val="5B392E17"/>
    <w:rsid w:val="5B397AD4"/>
    <w:rsid w:val="5B3A43BD"/>
    <w:rsid w:val="5B3A6B8F"/>
    <w:rsid w:val="5B3B6725"/>
    <w:rsid w:val="5B3E5F7D"/>
    <w:rsid w:val="5B465534"/>
    <w:rsid w:val="5B471443"/>
    <w:rsid w:val="5B4A4D44"/>
    <w:rsid w:val="5B4A6786"/>
    <w:rsid w:val="5B4C6E83"/>
    <w:rsid w:val="5B506359"/>
    <w:rsid w:val="5B511448"/>
    <w:rsid w:val="5B52241F"/>
    <w:rsid w:val="5B545B00"/>
    <w:rsid w:val="5B5C0242"/>
    <w:rsid w:val="5B5C4295"/>
    <w:rsid w:val="5B5C4D58"/>
    <w:rsid w:val="5B5D7C55"/>
    <w:rsid w:val="5B6339F0"/>
    <w:rsid w:val="5B647768"/>
    <w:rsid w:val="5B65249B"/>
    <w:rsid w:val="5B665F9C"/>
    <w:rsid w:val="5B6800B4"/>
    <w:rsid w:val="5B6A7E10"/>
    <w:rsid w:val="5B6D2AC1"/>
    <w:rsid w:val="5B6D486F"/>
    <w:rsid w:val="5B6E1818"/>
    <w:rsid w:val="5B7025B1"/>
    <w:rsid w:val="5B77749C"/>
    <w:rsid w:val="5B7B3668"/>
    <w:rsid w:val="5B7C71A8"/>
    <w:rsid w:val="5B7E6A7C"/>
    <w:rsid w:val="5B8544A8"/>
    <w:rsid w:val="5B947247"/>
    <w:rsid w:val="5B953DC6"/>
    <w:rsid w:val="5B975D90"/>
    <w:rsid w:val="5B9868E1"/>
    <w:rsid w:val="5B9938B6"/>
    <w:rsid w:val="5B993B5A"/>
    <w:rsid w:val="5B9A0A8F"/>
    <w:rsid w:val="5B9E711E"/>
    <w:rsid w:val="5BA02E96"/>
    <w:rsid w:val="5BA077D1"/>
    <w:rsid w:val="5BA5225B"/>
    <w:rsid w:val="5BA74225"/>
    <w:rsid w:val="5BA86AA9"/>
    <w:rsid w:val="5BA97648"/>
    <w:rsid w:val="5BAE7FE7"/>
    <w:rsid w:val="5BAF30D9"/>
    <w:rsid w:val="5BAF6C35"/>
    <w:rsid w:val="5BB10BFF"/>
    <w:rsid w:val="5BB31288"/>
    <w:rsid w:val="5BB575A2"/>
    <w:rsid w:val="5BB61C2D"/>
    <w:rsid w:val="5BB977CC"/>
    <w:rsid w:val="5BBC5BE5"/>
    <w:rsid w:val="5BBD391F"/>
    <w:rsid w:val="5BBD4D2B"/>
    <w:rsid w:val="5BBF7D40"/>
    <w:rsid w:val="5BC07095"/>
    <w:rsid w:val="5BC1526D"/>
    <w:rsid w:val="5BC16426"/>
    <w:rsid w:val="5BC26CB5"/>
    <w:rsid w:val="5BC40FD3"/>
    <w:rsid w:val="5BC503DB"/>
    <w:rsid w:val="5BC5219B"/>
    <w:rsid w:val="5BC70423"/>
    <w:rsid w:val="5BC85F49"/>
    <w:rsid w:val="5BCC3C8B"/>
    <w:rsid w:val="5BCF1086"/>
    <w:rsid w:val="5BD021D7"/>
    <w:rsid w:val="5BD12F11"/>
    <w:rsid w:val="5BD40D92"/>
    <w:rsid w:val="5BD45B5A"/>
    <w:rsid w:val="5BD549A9"/>
    <w:rsid w:val="5BD70E12"/>
    <w:rsid w:val="5BD94682"/>
    <w:rsid w:val="5BEA3F28"/>
    <w:rsid w:val="5BEC1C38"/>
    <w:rsid w:val="5BEE20A9"/>
    <w:rsid w:val="5BEE547A"/>
    <w:rsid w:val="5BEF076A"/>
    <w:rsid w:val="5BEF179D"/>
    <w:rsid w:val="5BF058C0"/>
    <w:rsid w:val="5BF31218"/>
    <w:rsid w:val="5BF532F4"/>
    <w:rsid w:val="5BF94355"/>
    <w:rsid w:val="5BFD3E45"/>
    <w:rsid w:val="5BFE5E0F"/>
    <w:rsid w:val="5BFE7BBD"/>
    <w:rsid w:val="5C02288F"/>
    <w:rsid w:val="5C0320AD"/>
    <w:rsid w:val="5C063963"/>
    <w:rsid w:val="5C083AFC"/>
    <w:rsid w:val="5C0E7259"/>
    <w:rsid w:val="5C0F5926"/>
    <w:rsid w:val="5C1177B7"/>
    <w:rsid w:val="5C1558E7"/>
    <w:rsid w:val="5C1A0524"/>
    <w:rsid w:val="5C1C1864"/>
    <w:rsid w:val="5C1D363C"/>
    <w:rsid w:val="5C2313D1"/>
    <w:rsid w:val="5C273E95"/>
    <w:rsid w:val="5C2869E8"/>
    <w:rsid w:val="5C291828"/>
    <w:rsid w:val="5C294C3A"/>
    <w:rsid w:val="5C2969C9"/>
    <w:rsid w:val="5C2A634B"/>
    <w:rsid w:val="5C2B15A7"/>
    <w:rsid w:val="5C2C297C"/>
    <w:rsid w:val="5C317F92"/>
    <w:rsid w:val="5C323DE8"/>
    <w:rsid w:val="5C386485"/>
    <w:rsid w:val="5C390F4A"/>
    <w:rsid w:val="5C3B671B"/>
    <w:rsid w:val="5C3E620B"/>
    <w:rsid w:val="5C4141AD"/>
    <w:rsid w:val="5C427641"/>
    <w:rsid w:val="5C436D45"/>
    <w:rsid w:val="5C454D64"/>
    <w:rsid w:val="5C4750C0"/>
    <w:rsid w:val="5C4A4997"/>
    <w:rsid w:val="5C4C0928"/>
    <w:rsid w:val="5C4D05EC"/>
    <w:rsid w:val="5C4E0CA8"/>
    <w:rsid w:val="5C526183"/>
    <w:rsid w:val="5C5720E3"/>
    <w:rsid w:val="5C593045"/>
    <w:rsid w:val="5C5D694C"/>
    <w:rsid w:val="5C5E5B8F"/>
    <w:rsid w:val="5C5F6BAF"/>
    <w:rsid w:val="5C602626"/>
    <w:rsid w:val="5C663AA7"/>
    <w:rsid w:val="5C6653AE"/>
    <w:rsid w:val="5C6739B4"/>
    <w:rsid w:val="5C6A39A1"/>
    <w:rsid w:val="5C730051"/>
    <w:rsid w:val="5C732359"/>
    <w:rsid w:val="5C733286"/>
    <w:rsid w:val="5C74377D"/>
    <w:rsid w:val="5C744E01"/>
    <w:rsid w:val="5C772C6A"/>
    <w:rsid w:val="5C785373"/>
    <w:rsid w:val="5C7867CF"/>
    <w:rsid w:val="5C8207EE"/>
    <w:rsid w:val="5C8400C2"/>
    <w:rsid w:val="5C8408F0"/>
    <w:rsid w:val="5C841E70"/>
    <w:rsid w:val="5C88234F"/>
    <w:rsid w:val="5C8A495A"/>
    <w:rsid w:val="5C9140AE"/>
    <w:rsid w:val="5C950521"/>
    <w:rsid w:val="5C9B365E"/>
    <w:rsid w:val="5C9C39F7"/>
    <w:rsid w:val="5C9F314E"/>
    <w:rsid w:val="5CA1201C"/>
    <w:rsid w:val="5CA177CF"/>
    <w:rsid w:val="5CA25EC8"/>
    <w:rsid w:val="5CA442C0"/>
    <w:rsid w:val="5CA66F38"/>
    <w:rsid w:val="5CA70254"/>
    <w:rsid w:val="5CA833C6"/>
    <w:rsid w:val="5CA8355D"/>
    <w:rsid w:val="5CA865A6"/>
    <w:rsid w:val="5CAE513F"/>
    <w:rsid w:val="5CB05518"/>
    <w:rsid w:val="5CB14F9C"/>
    <w:rsid w:val="5CB43292"/>
    <w:rsid w:val="5CB505C7"/>
    <w:rsid w:val="5CB6590F"/>
    <w:rsid w:val="5CB66F29"/>
    <w:rsid w:val="5CB73DDE"/>
    <w:rsid w:val="5CBC0084"/>
    <w:rsid w:val="5CBC1D80"/>
    <w:rsid w:val="5CBF4384"/>
    <w:rsid w:val="5CC40213"/>
    <w:rsid w:val="5CC6692D"/>
    <w:rsid w:val="5CCE3A33"/>
    <w:rsid w:val="5CCE4356"/>
    <w:rsid w:val="5CCE758F"/>
    <w:rsid w:val="5CD526CC"/>
    <w:rsid w:val="5CD85278"/>
    <w:rsid w:val="5CD94E88"/>
    <w:rsid w:val="5CDA369A"/>
    <w:rsid w:val="5CDF5462"/>
    <w:rsid w:val="5CE62B2B"/>
    <w:rsid w:val="5CE634A7"/>
    <w:rsid w:val="5CE70651"/>
    <w:rsid w:val="5CE80664"/>
    <w:rsid w:val="5CEC5C67"/>
    <w:rsid w:val="5CED3EB9"/>
    <w:rsid w:val="5CF05758"/>
    <w:rsid w:val="5CF267CF"/>
    <w:rsid w:val="5CF75A15"/>
    <w:rsid w:val="5CF8285E"/>
    <w:rsid w:val="5CF95C04"/>
    <w:rsid w:val="5CFC7B4F"/>
    <w:rsid w:val="5CFF75F4"/>
    <w:rsid w:val="5D04687A"/>
    <w:rsid w:val="5D0676A3"/>
    <w:rsid w:val="5D0C00B7"/>
    <w:rsid w:val="5D0D6309"/>
    <w:rsid w:val="5D0E2082"/>
    <w:rsid w:val="5D121B72"/>
    <w:rsid w:val="5D123920"/>
    <w:rsid w:val="5D167EF7"/>
    <w:rsid w:val="5D1A4582"/>
    <w:rsid w:val="5D1F603D"/>
    <w:rsid w:val="5D201945"/>
    <w:rsid w:val="5D2100A7"/>
    <w:rsid w:val="5D22030C"/>
    <w:rsid w:val="5D2318A6"/>
    <w:rsid w:val="5D2378DB"/>
    <w:rsid w:val="5D262B63"/>
    <w:rsid w:val="5D272836"/>
    <w:rsid w:val="5D2C7819"/>
    <w:rsid w:val="5D2D2508"/>
    <w:rsid w:val="5D303DA6"/>
    <w:rsid w:val="5D323FC2"/>
    <w:rsid w:val="5D376039"/>
    <w:rsid w:val="5D380EAD"/>
    <w:rsid w:val="5D3B56AE"/>
    <w:rsid w:val="5D3F4259"/>
    <w:rsid w:val="5D3F6EE7"/>
    <w:rsid w:val="5D411C6F"/>
    <w:rsid w:val="5D4543BC"/>
    <w:rsid w:val="5D465377"/>
    <w:rsid w:val="5D485594"/>
    <w:rsid w:val="5D497A61"/>
    <w:rsid w:val="5D4C20FB"/>
    <w:rsid w:val="5D4E698B"/>
    <w:rsid w:val="5D4E7F4D"/>
    <w:rsid w:val="5D530B60"/>
    <w:rsid w:val="5D535CE6"/>
    <w:rsid w:val="5D562CB2"/>
    <w:rsid w:val="5D570B01"/>
    <w:rsid w:val="5D5757D7"/>
    <w:rsid w:val="5D5850AB"/>
    <w:rsid w:val="5D5D0C48"/>
    <w:rsid w:val="5D5E5039"/>
    <w:rsid w:val="5D6A0EC8"/>
    <w:rsid w:val="5D6D4FFA"/>
    <w:rsid w:val="5D730D16"/>
    <w:rsid w:val="5D74225A"/>
    <w:rsid w:val="5D7A6001"/>
    <w:rsid w:val="5D7D5AC3"/>
    <w:rsid w:val="5D7E0FB5"/>
    <w:rsid w:val="5D806DA9"/>
    <w:rsid w:val="5D810AA5"/>
    <w:rsid w:val="5D8714F7"/>
    <w:rsid w:val="5D8A795A"/>
    <w:rsid w:val="5D8B1FAD"/>
    <w:rsid w:val="5D903220"/>
    <w:rsid w:val="5D99194B"/>
    <w:rsid w:val="5D9C768D"/>
    <w:rsid w:val="5D9D4F61"/>
    <w:rsid w:val="5D9E3994"/>
    <w:rsid w:val="5DA04708"/>
    <w:rsid w:val="5DA309D1"/>
    <w:rsid w:val="5DA5748C"/>
    <w:rsid w:val="5DA63D60"/>
    <w:rsid w:val="5DA64068"/>
    <w:rsid w:val="5DA6669A"/>
    <w:rsid w:val="5DA73869"/>
    <w:rsid w:val="5DAA1DAA"/>
    <w:rsid w:val="5DAA3B58"/>
    <w:rsid w:val="5DAB1C97"/>
    <w:rsid w:val="5DAD53F7"/>
    <w:rsid w:val="5DAE78AC"/>
    <w:rsid w:val="5DB26EB1"/>
    <w:rsid w:val="5DB524FD"/>
    <w:rsid w:val="5DBC1ADE"/>
    <w:rsid w:val="5DBD47D0"/>
    <w:rsid w:val="5DC33AD8"/>
    <w:rsid w:val="5DCF35BF"/>
    <w:rsid w:val="5DD575C1"/>
    <w:rsid w:val="5DDA451B"/>
    <w:rsid w:val="5DDB75DD"/>
    <w:rsid w:val="5DDC09E9"/>
    <w:rsid w:val="5DDD0730"/>
    <w:rsid w:val="5DDE730D"/>
    <w:rsid w:val="5DDE7CA6"/>
    <w:rsid w:val="5DE055FE"/>
    <w:rsid w:val="5DE26787"/>
    <w:rsid w:val="5DE476A7"/>
    <w:rsid w:val="5DE74DAC"/>
    <w:rsid w:val="5DEF5A0F"/>
    <w:rsid w:val="5DEF72C7"/>
    <w:rsid w:val="5DF474C9"/>
    <w:rsid w:val="5DF9456B"/>
    <w:rsid w:val="5DF95C82"/>
    <w:rsid w:val="5DF9688E"/>
    <w:rsid w:val="5DFB5764"/>
    <w:rsid w:val="5DFC31B0"/>
    <w:rsid w:val="5DFD224D"/>
    <w:rsid w:val="5DFD2A12"/>
    <w:rsid w:val="5DFD637E"/>
    <w:rsid w:val="5DFD6560"/>
    <w:rsid w:val="5DFD7092"/>
    <w:rsid w:val="5E005722"/>
    <w:rsid w:val="5E0075E7"/>
    <w:rsid w:val="5E025548"/>
    <w:rsid w:val="5E071005"/>
    <w:rsid w:val="5E0771FD"/>
    <w:rsid w:val="5E0A5CF8"/>
    <w:rsid w:val="5E0A6219"/>
    <w:rsid w:val="5E0C4813"/>
    <w:rsid w:val="5E0C56F7"/>
    <w:rsid w:val="5E1216FE"/>
    <w:rsid w:val="5E133E89"/>
    <w:rsid w:val="5E143529"/>
    <w:rsid w:val="5E1601D1"/>
    <w:rsid w:val="5E160ECB"/>
    <w:rsid w:val="5E167B63"/>
    <w:rsid w:val="5E196F30"/>
    <w:rsid w:val="5E1A33A8"/>
    <w:rsid w:val="5E1A33AD"/>
    <w:rsid w:val="5E1D04E3"/>
    <w:rsid w:val="5E1D5B3E"/>
    <w:rsid w:val="5E2211DA"/>
    <w:rsid w:val="5E222FC0"/>
    <w:rsid w:val="5E22791D"/>
    <w:rsid w:val="5E2356B9"/>
    <w:rsid w:val="5E255431"/>
    <w:rsid w:val="5E2624D7"/>
    <w:rsid w:val="5E27164D"/>
    <w:rsid w:val="5E2947C6"/>
    <w:rsid w:val="5E2C1E47"/>
    <w:rsid w:val="5E2F51DB"/>
    <w:rsid w:val="5E31427A"/>
    <w:rsid w:val="5E33621A"/>
    <w:rsid w:val="5E337FF2"/>
    <w:rsid w:val="5E36363E"/>
    <w:rsid w:val="5E366B60"/>
    <w:rsid w:val="5E394EDC"/>
    <w:rsid w:val="5E3A561B"/>
    <w:rsid w:val="5E3C3FA2"/>
    <w:rsid w:val="5E3D26F5"/>
    <w:rsid w:val="5E40270F"/>
    <w:rsid w:val="5E40626B"/>
    <w:rsid w:val="5E4230F4"/>
    <w:rsid w:val="5E437B09"/>
    <w:rsid w:val="5E442AA6"/>
    <w:rsid w:val="5E443FAD"/>
    <w:rsid w:val="5E446D0A"/>
    <w:rsid w:val="5E447596"/>
    <w:rsid w:val="5E463935"/>
    <w:rsid w:val="5E473ECE"/>
    <w:rsid w:val="5E4A533B"/>
    <w:rsid w:val="5E54073A"/>
    <w:rsid w:val="5E541D16"/>
    <w:rsid w:val="5E5B041A"/>
    <w:rsid w:val="5E5D4F0E"/>
    <w:rsid w:val="5E604A71"/>
    <w:rsid w:val="5E60690D"/>
    <w:rsid w:val="5E6373AD"/>
    <w:rsid w:val="5E67429A"/>
    <w:rsid w:val="5E6957C1"/>
    <w:rsid w:val="5E6B1D7E"/>
    <w:rsid w:val="5E6D3270"/>
    <w:rsid w:val="5E7125B0"/>
    <w:rsid w:val="5E7151D4"/>
    <w:rsid w:val="5E733D37"/>
    <w:rsid w:val="5E754BB8"/>
    <w:rsid w:val="5E766130"/>
    <w:rsid w:val="5E781EA8"/>
    <w:rsid w:val="5E7B54F5"/>
    <w:rsid w:val="5E7D126D"/>
    <w:rsid w:val="5E7D74BF"/>
    <w:rsid w:val="5E875C48"/>
    <w:rsid w:val="5E8B6DE2"/>
    <w:rsid w:val="5E8F4AF9"/>
    <w:rsid w:val="5E8F4E6A"/>
    <w:rsid w:val="5E914D18"/>
    <w:rsid w:val="5E92531F"/>
    <w:rsid w:val="5E9302D2"/>
    <w:rsid w:val="5E9345EC"/>
    <w:rsid w:val="5E9D36BD"/>
    <w:rsid w:val="5E9F5687"/>
    <w:rsid w:val="5EA20CD3"/>
    <w:rsid w:val="5EA22A81"/>
    <w:rsid w:val="5EA467FA"/>
    <w:rsid w:val="5EA507C4"/>
    <w:rsid w:val="5EA7453C"/>
    <w:rsid w:val="5EA902B4"/>
    <w:rsid w:val="5EA90CA0"/>
    <w:rsid w:val="5EAC56AE"/>
    <w:rsid w:val="5EAD4EA9"/>
    <w:rsid w:val="5EAD52D1"/>
    <w:rsid w:val="5EAF519E"/>
    <w:rsid w:val="5EB03271"/>
    <w:rsid w:val="5EB05CD7"/>
    <w:rsid w:val="5EB24B3F"/>
    <w:rsid w:val="5EB36DCD"/>
    <w:rsid w:val="5EB5448F"/>
    <w:rsid w:val="5EBA10B2"/>
    <w:rsid w:val="5EBA5F75"/>
    <w:rsid w:val="5EBB0E31"/>
    <w:rsid w:val="5EBD3D5F"/>
    <w:rsid w:val="5EBD65B2"/>
    <w:rsid w:val="5EBD78BB"/>
    <w:rsid w:val="5EBE5BF5"/>
    <w:rsid w:val="5EC24ED2"/>
    <w:rsid w:val="5EC7073A"/>
    <w:rsid w:val="5EC73F4C"/>
    <w:rsid w:val="5ECF0AE7"/>
    <w:rsid w:val="5ED115B9"/>
    <w:rsid w:val="5ED52E57"/>
    <w:rsid w:val="5ED56A95"/>
    <w:rsid w:val="5EDA046D"/>
    <w:rsid w:val="5EDB2FEB"/>
    <w:rsid w:val="5EDD7F5D"/>
    <w:rsid w:val="5EDF192E"/>
    <w:rsid w:val="5EE004CC"/>
    <w:rsid w:val="5EE237C6"/>
    <w:rsid w:val="5EE25574"/>
    <w:rsid w:val="5EE4753E"/>
    <w:rsid w:val="5EE61105"/>
    <w:rsid w:val="5EEE02B8"/>
    <w:rsid w:val="5EEE3F19"/>
    <w:rsid w:val="5EEF5636"/>
    <w:rsid w:val="5EEF7F00"/>
    <w:rsid w:val="5EF01A3F"/>
    <w:rsid w:val="5EF17565"/>
    <w:rsid w:val="5EF32AEC"/>
    <w:rsid w:val="5EF62DCD"/>
    <w:rsid w:val="5EF86AE2"/>
    <w:rsid w:val="5EFA28BD"/>
    <w:rsid w:val="5EFD7BFF"/>
    <w:rsid w:val="5F0059FA"/>
    <w:rsid w:val="5F0062A4"/>
    <w:rsid w:val="5F0279C4"/>
    <w:rsid w:val="5F0818E4"/>
    <w:rsid w:val="5F097E8F"/>
    <w:rsid w:val="5F0B6879"/>
    <w:rsid w:val="5F0C53C6"/>
    <w:rsid w:val="5F0D41D2"/>
    <w:rsid w:val="5F0D5F64"/>
    <w:rsid w:val="5F0E693E"/>
    <w:rsid w:val="5F0F0A09"/>
    <w:rsid w:val="5F103E8F"/>
    <w:rsid w:val="5F113DF2"/>
    <w:rsid w:val="5F131BD1"/>
    <w:rsid w:val="5F1A05A5"/>
    <w:rsid w:val="5F224370"/>
    <w:rsid w:val="5F224A0B"/>
    <w:rsid w:val="5F2317D9"/>
    <w:rsid w:val="5F272D94"/>
    <w:rsid w:val="5F2913F5"/>
    <w:rsid w:val="5F2F23D3"/>
    <w:rsid w:val="5F3202A9"/>
    <w:rsid w:val="5F330F86"/>
    <w:rsid w:val="5F346F7D"/>
    <w:rsid w:val="5F3B69B2"/>
    <w:rsid w:val="5F3D3949"/>
    <w:rsid w:val="5F3F29C6"/>
    <w:rsid w:val="5F434264"/>
    <w:rsid w:val="5F4369BF"/>
    <w:rsid w:val="5F465B03"/>
    <w:rsid w:val="5F467DB9"/>
    <w:rsid w:val="5F4A45C8"/>
    <w:rsid w:val="5F4B6A33"/>
    <w:rsid w:val="5F5045C0"/>
    <w:rsid w:val="5F526256"/>
    <w:rsid w:val="5F555D46"/>
    <w:rsid w:val="5F5A217E"/>
    <w:rsid w:val="5F5E7096"/>
    <w:rsid w:val="5F603324"/>
    <w:rsid w:val="5F645F89"/>
    <w:rsid w:val="5F6B316B"/>
    <w:rsid w:val="5F6B37BB"/>
    <w:rsid w:val="5F6E6261"/>
    <w:rsid w:val="5F700DD2"/>
    <w:rsid w:val="5F715B41"/>
    <w:rsid w:val="5F720DC5"/>
    <w:rsid w:val="5F781A34"/>
    <w:rsid w:val="5F79713B"/>
    <w:rsid w:val="5F800DD3"/>
    <w:rsid w:val="5F855395"/>
    <w:rsid w:val="5F8672E6"/>
    <w:rsid w:val="5F88611B"/>
    <w:rsid w:val="5F8C02A6"/>
    <w:rsid w:val="5F930E29"/>
    <w:rsid w:val="5F942FDA"/>
    <w:rsid w:val="5F943A1C"/>
    <w:rsid w:val="5F944AC0"/>
    <w:rsid w:val="5F9525E6"/>
    <w:rsid w:val="5F984189"/>
    <w:rsid w:val="5F990328"/>
    <w:rsid w:val="5F9F3808"/>
    <w:rsid w:val="5FA16C3A"/>
    <w:rsid w:val="5FA26564"/>
    <w:rsid w:val="5FA40A7B"/>
    <w:rsid w:val="5FA62A45"/>
    <w:rsid w:val="5FA97E40"/>
    <w:rsid w:val="5FAD5B82"/>
    <w:rsid w:val="5FAF36A8"/>
    <w:rsid w:val="5FB00F1D"/>
    <w:rsid w:val="5FB05AB6"/>
    <w:rsid w:val="5FB26F83"/>
    <w:rsid w:val="5FB3522B"/>
    <w:rsid w:val="5FB40CBE"/>
    <w:rsid w:val="5FB831D0"/>
    <w:rsid w:val="5FBD1FC8"/>
    <w:rsid w:val="5FBF1411"/>
    <w:rsid w:val="5FC058B5"/>
    <w:rsid w:val="5FC30F01"/>
    <w:rsid w:val="5FC73623"/>
    <w:rsid w:val="5FCC63D2"/>
    <w:rsid w:val="5FCD655D"/>
    <w:rsid w:val="5FD2383A"/>
    <w:rsid w:val="5FD3008D"/>
    <w:rsid w:val="5FD70E51"/>
    <w:rsid w:val="5FD73C93"/>
    <w:rsid w:val="5FDC1FC3"/>
    <w:rsid w:val="5FDD7B36"/>
    <w:rsid w:val="5FDE3F8D"/>
    <w:rsid w:val="5FDE66A1"/>
    <w:rsid w:val="5FE175D9"/>
    <w:rsid w:val="5FE64BF0"/>
    <w:rsid w:val="5FE800EC"/>
    <w:rsid w:val="5FE93021"/>
    <w:rsid w:val="5FEA4310"/>
    <w:rsid w:val="5FEA46E0"/>
    <w:rsid w:val="5FEF1CF6"/>
    <w:rsid w:val="5FEF7A2D"/>
    <w:rsid w:val="5FEF7F48"/>
    <w:rsid w:val="5FF02622"/>
    <w:rsid w:val="5FF06501"/>
    <w:rsid w:val="5FF269A5"/>
    <w:rsid w:val="5FF4491A"/>
    <w:rsid w:val="5FFB68ED"/>
    <w:rsid w:val="5FFC4413"/>
    <w:rsid w:val="5FFD1C0A"/>
    <w:rsid w:val="6009765C"/>
    <w:rsid w:val="600D03CE"/>
    <w:rsid w:val="600D78DD"/>
    <w:rsid w:val="600F0D89"/>
    <w:rsid w:val="60100FB5"/>
    <w:rsid w:val="60106FA2"/>
    <w:rsid w:val="60152297"/>
    <w:rsid w:val="60160C5E"/>
    <w:rsid w:val="6016117F"/>
    <w:rsid w:val="6017124D"/>
    <w:rsid w:val="601E082E"/>
    <w:rsid w:val="60200102"/>
    <w:rsid w:val="60222841"/>
    <w:rsid w:val="6022448C"/>
    <w:rsid w:val="6028345A"/>
    <w:rsid w:val="60285208"/>
    <w:rsid w:val="6029439B"/>
    <w:rsid w:val="6029514A"/>
    <w:rsid w:val="602B6AA7"/>
    <w:rsid w:val="602C2E66"/>
    <w:rsid w:val="60335DCE"/>
    <w:rsid w:val="60343BAD"/>
    <w:rsid w:val="60346AF3"/>
    <w:rsid w:val="6034779D"/>
    <w:rsid w:val="603714E0"/>
    <w:rsid w:val="6039442A"/>
    <w:rsid w:val="603B1FF0"/>
    <w:rsid w:val="603B5A47"/>
    <w:rsid w:val="603F12DC"/>
    <w:rsid w:val="60402552"/>
    <w:rsid w:val="6040724B"/>
    <w:rsid w:val="604149EF"/>
    <w:rsid w:val="60487659"/>
    <w:rsid w:val="604B4C22"/>
    <w:rsid w:val="604C720A"/>
    <w:rsid w:val="604E779B"/>
    <w:rsid w:val="605204D7"/>
    <w:rsid w:val="60567FC7"/>
    <w:rsid w:val="60570CCE"/>
    <w:rsid w:val="60583D40"/>
    <w:rsid w:val="605B738C"/>
    <w:rsid w:val="605E6C58"/>
    <w:rsid w:val="60607BB3"/>
    <w:rsid w:val="60636240"/>
    <w:rsid w:val="606453F9"/>
    <w:rsid w:val="606A75CF"/>
    <w:rsid w:val="606C29F4"/>
    <w:rsid w:val="606C3347"/>
    <w:rsid w:val="606D20FD"/>
    <w:rsid w:val="606D74B6"/>
    <w:rsid w:val="607135AF"/>
    <w:rsid w:val="60724CEE"/>
    <w:rsid w:val="60756CE6"/>
    <w:rsid w:val="60777572"/>
    <w:rsid w:val="607901E9"/>
    <w:rsid w:val="60795A64"/>
    <w:rsid w:val="60874D55"/>
    <w:rsid w:val="608763D3"/>
    <w:rsid w:val="608923F2"/>
    <w:rsid w:val="608B742A"/>
    <w:rsid w:val="609046C4"/>
    <w:rsid w:val="609047A8"/>
    <w:rsid w:val="60915059"/>
    <w:rsid w:val="6092547E"/>
    <w:rsid w:val="60966616"/>
    <w:rsid w:val="609749F5"/>
    <w:rsid w:val="60982B71"/>
    <w:rsid w:val="609A1FCC"/>
    <w:rsid w:val="609A634F"/>
    <w:rsid w:val="609C41A1"/>
    <w:rsid w:val="609D1752"/>
    <w:rsid w:val="609E371C"/>
    <w:rsid w:val="60A041FE"/>
    <w:rsid w:val="60A22309"/>
    <w:rsid w:val="60A26D69"/>
    <w:rsid w:val="60A3309A"/>
    <w:rsid w:val="60A52CFD"/>
    <w:rsid w:val="60A61B01"/>
    <w:rsid w:val="60A704C8"/>
    <w:rsid w:val="60A87566"/>
    <w:rsid w:val="60AA0540"/>
    <w:rsid w:val="60AC035C"/>
    <w:rsid w:val="60AC6176"/>
    <w:rsid w:val="60AE0721"/>
    <w:rsid w:val="60AE4409"/>
    <w:rsid w:val="60AF1486"/>
    <w:rsid w:val="60B03C64"/>
    <w:rsid w:val="60B44CEE"/>
    <w:rsid w:val="60B47048"/>
    <w:rsid w:val="60B54550"/>
    <w:rsid w:val="60B62419"/>
    <w:rsid w:val="60B74397"/>
    <w:rsid w:val="60B91251"/>
    <w:rsid w:val="60BC2062"/>
    <w:rsid w:val="60BF5933"/>
    <w:rsid w:val="60C2740B"/>
    <w:rsid w:val="60C5436B"/>
    <w:rsid w:val="60C57A73"/>
    <w:rsid w:val="60C74A21"/>
    <w:rsid w:val="60C848A7"/>
    <w:rsid w:val="60CA62C0"/>
    <w:rsid w:val="60D54134"/>
    <w:rsid w:val="60D60260"/>
    <w:rsid w:val="60D84E80"/>
    <w:rsid w:val="60D86C2E"/>
    <w:rsid w:val="60D90D70"/>
    <w:rsid w:val="60DA174A"/>
    <w:rsid w:val="60DB0C1C"/>
    <w:rsid w:val="60E00EB1"/>
    <w:rsid w:val="60E1243D"/>
    <w:rsid w:val="60E12C1B"/>
    <w:rsid w:val="60E174DE"/>
    <w:rsid w:val="60E23609"/>
    <w:rsid w:val="60E27AAD"/>
    <w:rsid w:val="60E455D3"/>
    <w:rsid w:val="60E51BA8"/>
    <w:rsid w:val="60E52B6C"/>
    <w:rsid w:val="60E530F9"/>
    <w:rsid w:val="60E56871"/>
    <w:rsid w:val="60E80567"/>
    <w:rsid w:val="60E90E3C"/>
    <w:rsid w:val="60EA6962"/>
    <w:rsid w:val="60EC0F06"/>
    <w:rsid w:val="60F00007"/>
    <w:rsid w:val="60F375C4"/>
    <w:rsid w:val="60F647D1"/>
    <w:rsid w:val="60FC0FD2"/>
    <w:rsid w:val="60FD6695"/>
    <w:rsid w:val="60FD75AC"/>
    <w:rsid w:val="60FE067F"/>
    <w:rsid w:val="61005930"/>
    <w:rsid w:val="61025A59"/>
    <w:rsid w:val="61063C34"/>
    <w:rsid w:val="610712C2"/>
    <w:rsid w:val="61077514"/>
    <w:rsid w:val="610920D5"/>
    <w:rsid w:val="610B2F63"/>
    <w:rsid w:val="610C1F3F"/>
    <w:rsid w:val="610C27EA"/>
    <w:rsid w:val="610E5973"/>
    <w:rsid w:val="610E6FE2"/>
    <w:rsid w:val="611179E0"/>
    <w:rsid w:val="61133825"/>
    <w:rsid w:val="61135EB8"/>
    <w:rsid w:val="6115205D"/>
    <w:rsid w:val="61167BC6"/>
    <w:rsid w:val="61181721"/>
    <w:rsid w:val="6118527D"/>
    <w:rsid w:val="611A0FF5"/>
    <w:rsid w:val="611B6B1B"/>
    <w:rsid w:val="611E429A"/>
    <w:rsid w:val="6122784A"/>
    <w:rsid w:val="6124191F"/>
    <w:rsid w:val="61245501"/>
    <w:rsid w:val="61282D82"/>
    <w:rsid w:val="6129707A"/>
    <w:rsid w:val="612B3202"/>
    <w:rsid w:val="612B45F3"/>
    <w:rsid w:val="612C2AD6"/>
    <w:rsid w:val="612D346D"/>
    <w:rsid w:val="612E1E0C"/>
    <w:rsid w:val="612F7E5E"/>
    <w:rsid w:val="61306A6A"/>
    <w:rsid w:val="61307EC2"/>
    <w:rsid w:val="613320B7"/>
    <w:rsid w:val="613434EE"/>
    <w:rsid w:val="61357BDD"/>
    <w:rsid w:val="614147D4"/>
    <w:rsid w:val="6142025B"/>
    <w:rsid w:val="6142386F"/>
    <w:rsid w:val="61437501"/>
    <w:rsid w:val="61442F0E"/>
    <w:rsid w:val="6145071A"/>
    <w:rsid w:val="614632BC"/>
    <w:rsid w:val="6149117B"/>
    <w:rsid w:val="614D13CA"/>
    <w:rsid w:val="61502C69"/>
    <w:rsid w:val="61507E15"/>
    <w:rsid w:val="615134CB"/>
    <w:rsid w:val="6155074D"/>
    <w:rsid w:val="615564D1"/>
    <w:rsid w:val="61581B1D"/>
    <w:rsid w:val="61587D6F"/>
    <w:rsid w:val="615C160D"/>
    <w:rsid w:val="615F10FE"/>
    <w:rsid w:val="6163177C"/>
    <w:rsid w:val="61646C3E"/>
    <w:rsid w:val="61647314"/>
    <w:rsid w:val="6166248C"/>
    <w:rsid w:val="61672DB2"/>
    <w:rsid w:val="61673576"/>
    <w:rsid w:val="616E4601"/>
    <w:rsid w:val="61700C15"/>
    <w:rsid w:val="617207DF"/>
    <w:rsid w:val="61725E9A"/>
    <w:rsid w:val="6173581E"/>
    <w:rsid w:val="61776447"/>
    <w:rsid w:val="617A7CE6"/>
    <w:rsid w:val="617C17FC"/>
    <w:rsid w:val="617E4176"/>
    <w:rsid w:val="617F354E"/>
    <w:rsid w:val="61813F63"/>
    <w:rsid w:val="61816480"/>
    <w:rsid w:val="618A445F"/>
    <w:rsid w:val="618B185A"/>
    <w:rsid w:val="618C46F3"/>
    <w:rsid w:val="618E7ADB"/>
    <w:rsid w:val="618F5A96"/>
    <w:rsid w:val="619012B7"/>
    <w:rsid w:val="61922398"/>
    <w:rsid w:val="61924164"/>
    <w:rsid w:val="6192502F"/>
    <w:rsid w:val="619A2B3B"/>
    <w:rsid w:val="619A3E3C"/>
    <w:rsid w:val="61A11716"/>
    <w:rsid w:val="61A22D98"/>
    <w:rsid w:val="61A33790"/>
    <w:rsid w:val="61A3723C"/>
    <w:rsid w:val="61A466ED"/>
    <w:rsid w:val="61A61DC8"/>
    <w:rsid w:val="61A76334"/>
    <w:rsid w:val="61AC2CB9"/>
    <w:rsid w:val="61B03608"/>
    <w:rsid w:val="61B41B43"/>
    <w:rsid w:val="61B431F8"/>
    <w:rsid w:val="61B90260"/>
    <w:rsid w:val="61BB53E3"/>
    <w:rsid w:val="61BD393C"/>
    <w:rsid w:val="61C67640"/>
    <w:rsid w:val="61C80590"/>
    <w:rsid w:val="61C86AEC"/>
    <w:rsid w:val="61CE2029"/>
    <w:rsid w:val="61D05B58"/>
    <w:rsid w:val="61D11452"/>
    <w:rsid w:val="61D22BDC"/>
    <w:rsid w:val="61D51FCF"/>
    <w:rsid w:val="61D54F1C"/>
    <w:rsid w:val="61D61D20"/>
    <w:rsid w:val="61DA2E84"/>
    <w:rsid w:val="61E3422C"/>
    <w:rsid w:val="61E40F7D"/>
    <w:rsid w:val="61E433B1"/>
    <w:rsid w:val="61E44740"/>
    <w:rsid w:val="61E70FFE"/>
    <w:rsid w:val="61E73B15"/>
    <w:rsid w:val="61E73CF1"/>
    <w:rsid w:val="61E92979"/>
    <w:rsid w:val="61EB0BE3"/>
    <w:rsid w:val="61F061FA"/>
    <w:rsid w:val="61F42CB0"/>
    <w:rsid w:val="61F555BE"/>
    <w:rsid w:val="61F656FB"/>
    <w:rsid w:val="61F77588"/>
    <w:rsid w:val="61F822FC"/>
    <w:rsid w:val="61F9657E"/>
    <w:rsid w:val="61F972B2"/>
    <w:rsid w:val="62037B19"/>
    <w:rsid w:val="62066081"/>
    <w:rsid w:val="620720AE"/>
    <w:rsid w:val="62083543"/>
    <w:rsid w:val="62084815"/>
    <w:rsid w:val="6208709F"/>
    <w:rsid w:val="620B6B90"/>
    <w:rsid w:val="620D0B5A"/>
    <w:rsid w:val="620D3E7C"/>
    <w:rsid w:val="621023F8"/>
    <w:rsid w:val="621168AD"/>
    <w:rsid w:val="62120BFE"/>
    <w:rsid w:val="62141EE8"/>
    <w:rsid w:val="62180977"/>
    <w:rsid w:val="621837A3"/>
    <w:rsid w:val="621B4F7F"/>
    <w:rsid w:val="621E2D67"/>
    <w:rsid w:val="6220088D"/>
    <w:rsid w:val="62210D2E"/>
    <w:rsid w:val="62212760"/>
    <w:rsid w:val="62215048"/>
    <w:rsid w:val="622153B3"/>
    <w:rsid w:val="6225279D"/>
    <w:rsid w:val="62265778"/>
    <w:rsid w:val="62282CC0"/>
    <w:rsid w:val="622D504B"/>
    <w:rsid w:val="622E7610"/>
    <w:rsid w:val="622F0628"/>
    <w:rsid w:val="624431D5"/>
    <w:rsid w:val="62487121"/>
    <w:rsid w:val="624B14CF"/>
    <w:rsid w:val="624C47DF"/>
    <w:rsid w:val="624D0F56"/>
    <w:rsid w:val="624D27B1"/>
    <w:rsid w:val="624F1172"/>
    <w:rsid w:val="624F4CCE"/>
    <w:rsid w:val="62500A46"/>
    <w:rsid w:val="625247BE"/>
    <w:rsid w:val="62546789"/>
    <w:rsid w:val="6256605D"/>
    <w:rsid w:val="625A6BDD"/>
    <w:rsid w:val="625D50F7"/>
    <w:rsid w:val="625D62A0"/>
    <w:rsid w:val="62600C89"/>
    <w:rsid w:val="62614102"/>
    <w:rsid w:val="62614A02"/>
    <w:rsid w:val="6263306E"/>
    <w:rsid w:val="626369CC"/>
    <w:rsid w:val="62664FC1"/>
    <w:rsid w:val="62665162"/>
    <w:rsid w:val="62685D90"/>
    <w:rsid w:val="626A0A2F"/>
    <w:rsid w:val="626D15F8"/>
    <w:rsid w:val="626D33A6"/>
    <w:rsid w:val="62710B4C"/>
    <w:rsid w:val="6271733B"/>
    <w:rsid w:val="62726E69"/>
    <w:rsid w:val="62740596"/>
    <w:rsid w:val="6275798E"/>
    <w:rsid w:val="62782477"/>
    <w:rsid w:val="627A5057"/>
    <w:rsid w:val="627B5AC3"/>
    <w:rsid w:val="627D7A54"/>
    <w:rsid w:val="62804355"/>
    <w:rsid w:val="62814511"/>
    <w:rsid w:val="62814DC9"/>
    <w:rsid w:val="62817A70"/>
    <w:rsid w:val="6287652A"/>
    <w:rsid w:val="62885CDB"/>
    <w:rsid w:val="628A749B"/>
    <w:rsid w:val="628E4DBD"/>
    <w:rsid w:val="628F156F"/>
    <w:rsid w:val="62900F0C"/>
    <w:rsid w:val="6292114A"/>
    <w:rsid w:val="62966DA1"/>
    <w:rsid w:val="629923ED"/>
    <w:rsid w:val="629937AF"/>
    <w:rsid w:val="629D1197"/>
    <w:rsid w:val="62A36DC8"/>
    <w:rsid w:val="62A61AAF"/>
    <w:rsid w:val="62A74B0A"/>
    <w:rsid w:val="62AD10D1"/>
    <w:rsid w:val="62B17D06"/>
    <w:rsid w:val="62B31701"/>
    <w:rsid w:val="62B34B37"/>
    <w:rsid w:val="62B42BA3"/>
    <w:rsid w:val="62B45C87"/>
    <w:rsid w:val="62B9483E"/>
    <w:rsid w:val="62B965EC"/>
    <w:rsid w:val="62BB05B6"/>
    <w:rsid w:val="62BD60DC"/>
    <w:rsid w:val="62C03E1E"/>
    <w:rsid w:val="62C05BCC"/>
    <w:rsid w:val="62C073FA"/>
    <w:rsid w:val="62C30E7C"/>
    <w:rsid w:val="62C56F5C"/>
    <w:rsid w:val="62C94AB0"/>
    <w:rsid w:val="62CD0106"/>
    <w:rsid w:val="62CE28B4"/>
    <w:rsid w:val="62CF16B7"/>
    <w:rsid w:val="62D00439"/>
    <w:rsid w:val="62D170BF"/>
    <w:rsid w:val="62D84CC4"/>
    <w:rsid w:val="62DA3573"/>
    <w:rsid w:val="62DB47B4"/>
    <w:rsid w:val="62DD052C"/>
    <w:rsid w:val="62DE1DC5"/>
    <w:rsid w:val="62DF2184"/>
    <w:rsid w:val="62DF5B36"/>
    <w:rsid w:val="62E273FC"/>
    <w:rsid w:val="62E51240"/>
    <w:rsid w:val="62E6182C"/>
    <w:rsid w:val="62E80C7F"/>
    <w:rsid w:val="62EC6826"/>
    <w:rsid w:val="62F04874"/>
    <w:rsid w:val="62F12229"/>
    <w:rsid w:val="62F1565D"/>
    <w:rsid w:val="62F6339C"/>
    <w:rsid w:val="62F67840"/>
    <w:rsid w:val="62FA7330"/>
    <w:rsid w:val="62FC79D9"/>
    <w:rsid w:val="62FD2FBC"/>
    <w:rsid w:val="6300118D"/>
    <w:rsid w:val="630261E5"/>
    <w:rsid w:val="63027A37"/>
    <w:rsid w:val="63052D88"/>
    <w:rsid w:val="63062FAA"/>
    <w:rsid w:val="630A4404"/>
    <w:rsid w:val="630B32EB"/>
    <w:rsid w:val="630F1B2F"/>
    <w:rsid w:val="63117482"/>
    <w:rsid w:val="631321A0"/>
    <w:rsid w:val="631A352E"/>
    <w:rsid w:val="631D301E"/>
    <w:rsid w:val="631F28F3"/>
    <w:rsid w:val="6325379D"/>
    <w:rsid w:val="63255C5D"/>
    <w:rsid w:val="6327307F"/>
    <w:rsid w:val="6329551F"/>
    <w:rsid w:val="632A189E"/>
    <w:rsid w:val="63302D52"/>
    <w:rsid w:val="6332460F"/>
    <w:rsid w:val="633321A5"/>
    <w:rsid w:val="6335193F"/>
    <w:rsid w:val="6336444B"/>
    <w:rsid w:val="63367C3C"/>
    <w:rsid w:val="633B719E"/>
    <w:rsid w:val="633B7DC3"/>
    <w:rsid w:val="633D71BB"/>
    <w:rsid w:val="63405B3C"/>
    <w:rsid w:val="634342D2"/>
    <w:rsid w:val="63435BFE"/>
    <w:rsid w:val="63461EDE"/>
    <w:rsid w:val="63464323"/>
    <w:rsid w:val="63500CFE"/>
    <w:rsid w:val="635051A2"/>
    <w:rsid w:val="63506F50"/>
    <w:rsid w:val="63513C84"/>
    <w:rsid w:val="63556314"/>
    <w:rsid w:val="635A009E"/>
    <w:rsid w:val="635F3637"/>
    <w:rsid w:val="63602910"/>
    <w:rsid w:val="63620A31"/>
    <w:rsid w:val="636429FB"/>
    <w:rsid w:val="63657FF5"/>
    <w:rsid w:val="636B3D8A"/>
    <w:rsid w:val="636E73D6"/>
    <w:rsid w:val="6370227B"/>
    <w:rsid w:val="637075F2"/>
    <w:rsid w:val="63711839"/>
    <w:rsid w:val="63732A72"/>
    <w:rsid w:val="637569B7"/>
    <w:rsid w:val="637847EE"/>
    <w:rsid w:val="637E512E"/>
    <w:rsid w:val="637E52E4"/>
    <w:rsid w:val="638147D0"/>
    <w:rsid w:val="63835017"/>
    <w:rsid w:val="638867D3"/>
    <w:rsid w:val="638C5281"/>
    <w:rsid w:val="638C7FE1"/>
    <w:rsid w:val="638E5CCA"/>
    <w:rsid w:val="638E62D2"/>
    <w:rsid w:val="63911317"/>
    <w:rsid w:val="639257BA"/>
    <w:rsid w:val="63935536"/>
    <w:rsid w:val="63940464"/>
    <w:rsid w:val="63974B7F"/>
    <w:rsid w:val="6397692D"/>
    <w:rsid w:val="63995D3B"/>
    <w:rsid w:val="639B0575"/>
    <w:rsid w:val="639B20E8"/>
    <w:rsid w:val="639C03E7"/>
    <w:rsid w:val="639D0223"/>
    <w:rsid w:val="639D5F0D"/>
    <w:rsid w:val="63A06B71"/>
    <w:rsid w:val="63A454EE"/>
    <w:rsid w:val="63AD3797"/>
    <w:rsid w:val="63AF73D2"/>
    <w:rsid w:val="63B0700D"/>
    <w:rsid w:val="63B1268B"/>
    <w:rsid w:val="63B374DF"/>
    <w:rsid w:val="63B514A9"/>
    <w:rsid w:val="63B647DE"/>
    <w:rsid w:val="63B70D7D"/>
    <w:rsid w:val="63B86B82"/>
    <w:rsid w:val="63C129F6"/>
    <w:rsid w:val="63C143B7"/>
    <w:rsid w:val="63C24F56"/>
    <w:rsid w:val="63C36CE8"/>
    <w:rsid w:val="63C45248"/>
    <w:rsid w:val="63C467ED"/>
    <w:rsid w:val="63C5778C"/>
    <w:rsid w:val="63C92321"/>
    <w:rsid w:val="63C95B50"/>
    <w:rsid w:val="63CA76D5"/>
    <w:rsid w:val="63CC656D"/>
    <w:rsid w:val="63CD67F3"/>
    <w:rsid w:val="63CF5075"/>
    <w:rsid w:val="63D06D7A"/>
    <w:rsid w:val="63D07143"/>
    <w:rsid w:val="63D336DD"/>
    <w:rsid w:val="63D538F9"/>
    <w:rsid w:val="63D57455"/>
    <w:rsid w:val="63D823E5"/>
    <w:rsid w:val="63D866E8"/>
    <w:rsid w:val="63DE39EA"/>
    <w:rsid w:val="63E47698"/>
    <w:rsid w:val="63E50601"/>
    <w:rsid w:val="63E74C1A"/>
    <w:rsid w:val="63E85A47"/>
    <w:rsid w:val="63E94CAF"/>
    <w:rsid w:val="63EB73BE"/>
    <w:rsid w:val="63ED479F"/>
    <w:rsid w:val="63EE1262"/>
    <w:rsid w:val="63EF1A70"/>
    <w:rsid w:val="63F21DB5"/>
    <w:rsid w:val="63F5039C"/>
    <w:rsid w:val="63F518A5"/>
    <w:rsid w:val="63F55D49"/>
    <w:rsid w:val="63F65850"/>
    <w:rsid w:val="63F767ED"/>
    <w:rsid w:val="63FD00F7"/>
    <w:rsid w:val="64034EC5"/>
    <w:rsid w:val="64061D04"/>
    <w:rsid w:val="6407229E"/>
    <w:rsid w:val="64085A7D"/>
    <w:rsid w:val="640E3E73"/>
    <w:rsid w:val="64104931"/>
    <w:rsid w:val="6411213F"/>
    <w:rsid w:val="64127E15"/>
    <w:rsid w:val="64170565"/>
    <w:rsid w:val="641C5084"/>
    <w:rsid w:val="641D1635"/>
    <w:rsid w:val="641E5EAC"/>
    <w:rsid w:val="641F4535"/>
    <w:rsid w:val="64204A24"/>
    <w:rsid w:val="64227230"/>
    <w:rsid w:val="642301C1"/>
    <w:rsid w:val="6424218B"/>
    <w:rsid w:val="64270E7E"/>
    <w:rsid w:val="642D324D"/>
    <w:rsid w:val="642D54E3"/>
    <w:rsid w:val="642E160A"/>
    <w:rsid w:val="642E1C76"/>
    <w:rsid w:val="642E7C43"/>
    <w:rsid w:val="642F289B"/>
    <w:rsid w:val="64346B1A"/>
    <w:rsid w:val="64352145"/>
    <w:rsid w:val="64370110"/>
    <w:rsid w:val="643A3C0F"/>
    <w:rsid w:val="643C74D4"/>
    <w:rsid w:val="643E149E"/>
    <w:rsid w:val="64406BD0"/>
    <w:rsid w:val="64414AEB"/>
    <w:rsid w:val="6447399D"/>
    <w:rsid w:val="64483794"/>
    <w:rsid w:val="644C3BBB"/>
    <w:rsid w:val="644E7533"/>
    <w:rsid w:val="644F0FB6"/>
    <w:rsid w:val="644F3BDE"/>
    <w:rsid w:val="644F48B8"/>
    <w:rsid w:val="644F681B"/>
    <w:rsid w:val="64540922"/>
    <w:rsid w:val="6454486A"/>
    <w:rsid w:val="64556D80"/>
    <w:rsid w:val="645A4B51"/>
    <w:rsid w:val="645C7B76"/>
    <w:rsid w:val="645E679B"/>
    <w:rsid w:val="64601415"/>
    <w:rsid w:val="64610AB4"/>
    <w:rsid w:val="64632CB3"/>
    <w:rsid w:val="64654391"/>
    <w:rsid w:val="64661E02"/>
    <w:rsid w:val="64663759"/>
    <w:rsid w:val="646714E1"/>
    <w:rsid w:val="646A5DEF"/>
    <w:rsid w:val="646E1173"/>
    <w:rsid w:val="646F1658"/>
    <w:rsid w:val="646F3406"/>
    <w:rsid w:val="646F78AA"/>
    <w:rsid w:val="647153D0"/>
    <w:rsid w:val="64722EF6"/>
    <w:rsid w:val="647749B0"/>
    <w:rsid w:val="64791A88"/>
    <w:rsid w:val="647924D6"/>
    <w:rsid w:val="64793590"/>
    <w:rsid w:val="647E189B"/>
    <w:rsid w:val="647E5D3F"/>
    <w:rsid w:val="64835103"/>
    <w:rsid w:val="648455F4"/>
    <w:rsid w:val="64850878"/>
    <w:rsid w:val="64865018"/>
    <w:rsid w:val="648A6492"/>
    <w:rsid w:val="648D4BA6"/>
    <w:rsid w:val="649042D3"/>
    <w:rsid w:val="64917820"/>
    <w:rsid w:val="64921504"/>
    <w:rsid w:val="64992B79"/>
    <w:rsid w:val="649A6F64"/>
    <w:rsid w:val="649B244D"/>
    <w:rsid w:val="649E018F"/>
    <w:rsid w:val="64A16B58"/>
    <w:rsid w:val="64A20E90"/>
    <w:rsid w:val="64A82DBC"/>
    <w:rsid w:val="64A86918"/>
    <w:rsid w:val="64A96E72"/>
    <w:rsid w:val="64AB06D2"/>
    <w:rsid w:val="64AC5DA7"/>
    <w:rsid w:val="64B24152"/>
    <w:rsid w:val="64B452BD"/>
    <w:rsid w:val="64B61035"/>
    <w:rsid w:val="64B81776"/>
    <w:rsid w:val="64BB1481"/>
    <w:rsid w:val="64BC214C"/>
    <w:rsid w:val="64BF6DD7"/>
    <w:rsid w:val="64C01CD5"/>
    <w:rsid w:val="64C03C61"/>
    <w:rsid w:val="64C05E98"/>
    <w:rsid w:val="64C0687F"/>
    <w:rsid w:val="64C3054B"/>
    <w:rsid w:val="64C319A4"/>
    <w:rsid w:val="64C9520C"/>
    <w:rsid w:val="64CA0C2C"/>
    <w:rsid w:val="64CA4AE0"/>
    <w:rsid w:val="64CB7DE6"/>
    <w:rsid w:val="64CC2606"/>
    <w:rsid w:val="64CC32C3"/>
    <w:rsid w:val="64CE285F"/>
    <w:rsid w:val="64CF20F6"/>
    <w:rsid w:val="64CF4D0F"/>
    <w:rsid w:val="64D12312"/>
    <w:rsid w:val="64D23995"/>
    <w:rsid w:val="64D54206"/>
    <w:rsid w:val="64D56443"/>
    <w:rsid w:val="64D61FF8"/>
    <w:rsid w:val="64D92F75"/>
    <w:rsid w:val="64DA347E"/>
    <w:rsid w:val="64DA53CA"/>
    <w:rsid w:val="64DE5D5D"/>
    <w:rsid w:val="64E2007C"/>
    <w:rsid w:val="64E21D35"/>
    <w:rsid w:val="64E662AD"/>
    <w:rsid w:val="64E77440"/>
    <w:rsid w:val="64E831B8"/>
    <w:rsid w:val="64E87AD7"/>
    <w:rsid w:val="64EA5182"/>
    <w:rsid w:val="64EC3F88"/>
    <w:rsid w:val="64ED239F"/>
    <w:rsid w:val="64ED4C6E"/>
    <w:rsid w:val="64EF09EB"/>
    <w:rsid w:val="64F14763"/>
    <w:rsid w:val="64F32A42"/>
    <w:rsid w:val="64F474C1"/>
    <w:rsid w:val="64F47DAF"/>
    <w:rsid w:val="64F61D0E"/>
    <w:rsid w:val="64F63B27"/>
    <w:rsid w:val="64F658D5"/>
    <w:rsid w:val="64F93617"/>
    <w:rsid w:val="64FA7C33"/>
    <w:rsid w:val="64FB113D"/>
    <w:rsid w:val="64FD32DA"/>
    <w:rsid w:val="64FD6DAB"/>
    <w:rsid w:val="650049A6"/>
    <w:rsid w:val="65014DD9"/>
    <w:rsid w:val="65037FF2"/>
    <w:rsid w:val="65075A80"/>
    <w:rsid w:val="650C6EA7"/>
    <w:rsid w:val="65143187"/>
    <w:rsid w:val="65156071"/>
    <w:rsid w:val="6515681C"/>
    <w:rsid w:val="65164F59"/>
    <w:rsid w:val="6518584B"/>
    <w:rsid w:val="651D14FF"/>
    <w:rsid w:val="65211318"/>
    <w:rsid w:val="65241F3A"/>
    <w:rsid w:val="65244A44"/>
    <w:rsid w:val="65247369"/>
    <w:rsid w:val="652561BA"/>
    <w:rsid w:val="65257215"/>
    <w:rsid w:val="65293EFC"/>
    <w:rsid w:val="652A38EB"/>
    <w:rsid w:val="652C12F7"/>
    <w:rsid w:val="652C579B"/>
    <w:rsid w:val="652E506F"/>
    <w:rsid w:val="6530489A"/>
    <w:rsid w:val="65333DA2"/>
    <w:rsid w:val="65336423"/>
    <w:rsid w:val="653D1756"/>
    <w:rsid w:val="653D52B2"/>
    <w:rsid w:val="653F727C"/>
    <w:rsid w:val="65402FF4"/>
    <w:rsid w:val="65404DA2"/>
    <w:rsid w:val="65414C11"/>
    <w:rsid w:val="6544184B"/>
    <w:rsid w:val="65442AE4"/>
    <w:rsid w:val="65444892"/>
    <w:rsid w:val="654622C2"/>
    <w:rsid w:val="65476131"/>
    <w:rsid w:val="654C6E68"/>
    <w:rsid w:val="654E019A"/>
    <w:rsid w:val="65542BE7"/>
    <w:rsid w:val="655A2308"/>
    <w:rsid w:val="655B2BE5"/>
    <w:rsid w:val="655D2457"/>
    <w:rsid w:val="65615027"/>
    <w:rsid w:val="65640A91"/>
    <w:rsid w:val="6566736B"/>
    <w:rsid w:val="6567185E"/>
    <w:rsid w:val="656839B7"/>
    <w:rsid w:val="65696725"/>
    <w:rsid w:val="656A47CC"/>
    <w:rsid w:val="656C666D"/>
    <w:rsid w:val="656E5DB3"/>
    <w:rsid w:val="65700ADE"/>
    <w:rsid w:val="65711400"/>
    <w:rsid w:val="65731DA5"/>
    <w:rsid w:val="65757142"/>
    <w:rsid w:val="657607C4"/>
    <w:rsid w:val="6578278E"/>
    <w:rsid w:val="657A0A1E"/>
    <w:rsid w:val="657B402C"/>
    <w:rsid w:val="657C227E"/>
    <w:rsid w:val="657D1B52"/>
    <w:rsid w:val="657D5FF6"/>
    <w:rsid w:val="657F58CB"/>
    <w:rsid w:val="65817895"/>
    <w:rsid w:val="65842EE1"/>
    <w:rsid w:val="65882202"/>
    <w:rsid w:val="658A426F"/>
    <w:rsid w:val="658B50AB"/>
    <w:rsid w:val="658B6F7C"/>
    <w:rsid w:val="65901297"/>
    <w:rsid w:val="65984936"/>
    <w:rsid w:val="65A162D2"/>
    <w:rsid w:val="65A215B9"/>
    <w:rsid w:val="65A25A5D"/>
    <w:rsid w:val="65A308BF"/>
    <w:rsid w:val="65A417D5"/>
    <w:rsid w:val="65A45B7F"/>
    <w:rsid w:val="65A557DC"/>
    <w:rsid w:val="65A674AA"/>
    <w:rsid w:val="65A90B99"/>
    <w:rsid w:val="65A94042"/>
    <w:rsid w:val="65AB1AEF"/>
    <w:rsid w:val="65AB2698"/>
    <w:rsid w:val="65AF62ED"/>
    <w:rsid w:val="65B1194B"/>
    <w:rsid w:val="65B5782C"/>
    <w:rsid w:val="65BF660F"/>
    <w:rsid w:val="65C43C25"/>
    <w:rsid w:val="65C44593"/>
    <w:rsid w:val="65C8316E"/>
    <w:rsid w:val="65C9123C"/>
    <w:rsid w:val="65C94D98"/>
    <w:rsid w:val="65C97596"/>
    <w:rsid w:val="65CE6593"/>
    <w:rsid w:val="65D451A0"/>
    <w:rsid w:val="65D54E70"/>
    <w:rsid w:val="65D57BE0"/>
    <w:rsid w:val="65D73958"/>
    <w:rsid w:val="65D77CF3"/>
    <w:rsid w:val="65E240AB"/>
    <w:rsid w:val="65E52657"/>
    <w:rsid w:val="65E5782A"/>
    <w:rsid w:val="65E87B10"/>
    <w:rsid w:val="65ED656E"/>
    <w:rsid w:val="65EE4B90"/>
    <w:rsid w:val="65F20487"/>
    <w:rsid w:val="65F4277A"/>
    <w:rsid w:val="65F566AF"/>
    <w:rsid w:val="65F86064"/>
    <w:rsid w:val="65FC2A7A"/>
    <w:rsid w:val="66037F87"/>
    <w:rsid w:val="660414F9"/>
    <w:rsid w:val="66067D9A"/>
    <w:rsid w:val="66081D64"/>
    <w:rsid w:val="660E3933"/>
    <w:rsid w:val="661029C7"/>
    <w:rsid w:val="661038C3"/>
    <w:rsid w:val="66124991"/>
    <w:rsid w:val="66124C93"/>
    <w:rsid w:val="661324B7"/>
    <w:rsid w:val="661631C8"/>
    <w:rsid w:val="66173D55"/>
    <w:rsid w:val="66180A6D"/>
    <w:rsid w:val="6619125E"/>
    <w:rsid w:val="661A55F3"/>
    <w:rsid w:val="661C699C"/>
    <w:rsid w:val="661E1587"/>
    <w:rsid w:val="6621372E"/>
    <w:rsid w:val="66260A32"/>
    <w:rsid w:val="662A7F2C"/>
    <w:rsid w:val="662F21B1"/>
    <w:rsid w:val="6637260C"/>
    <w:rsid w:val="66384398"/>
    <w:rsid w:val="663E5786"/>
    <w:rsid w:val="66413650"/>
    <w:rsid w:val="66427DBB"/>
    <w:rsid w:val="66432D9C"/>
    <w:rsid w:val="66465769"/>
    <w:rsid w:val="6646776C"/>
    <w:rsid w:val="66470F0F"/>
    <w:rsid w:val="664D59C9"/>
    <w:rsid w:val="664D7777"/>
    <w:rsid w:val="664E20E6"/>
    <w:rsid w:val="664E5A00"/>
    <w:rsid w:val="664F7993"/>
    <w:rsid w:val="66525B0B"/>
    <w:rsid w:val="6653636C"/>
    <w:rsid w:val="6659136A"/>
    <w:rsid w:val="665C20B0"/>
    <w:rsid w:val="665D000C"/>
    <w:rsid w:val="665E7BD6"/>
    <w:rsid w:val="665F1058"/>
    <w:rsid w:val="666176C6"/>
    <w:rsid w:val="66636F9A"/>
    <w:rsid w:val="6665218B"/>
    <w:rsid w:val="666762E2"/>
    <w:rsid w:val="666E0687"/>
    <w:rsid w:val="666E6460"/>
    <w:rsid w:val="66737B66"/>
    <w:rsid w:val="66743F27"/>
    <w:rsid w:val="667473F9"/>
    <w:rsid w:val="66765F52"/>
    <w:rsid w:val="667B0788"/>
    <w:rsid w:val="667C005C"/>
    <w:rsid w:val="667E0A26"/>
    <w:rsid w:val="66860EDB"/>
    <w:rsid w:val="668A2779"/>
    <w:rsid w:val="66903339"/>
    <w:rsid w:val="669144A6"/>
    <w:rsid w:val="66950DF7"/>
    <w:rsid w:val="66954EA5"/>
    <w:rsid w:val="6696663C"/>
    <w:rsid w:val="669730E8"/>
    <w:rsid w:val="66976C44"/>
    <w:rsid w:val="66983372"/>
    <w:rsid w:val="669910B5"/>
    <w:rsid w:val="66996E60"/>
    <w:rsid w:val="669E4EAC"/>
    <w:rsid w:val="66A11C49"/>
    <w:rsid w:val="66A20321"/>
    <w:rsid w:val="66A95E25"/>
    <w:rsid w:val="66AA4BC9"/>
    <w:rsid w:val="66AD6467"/>
    <w:rsid w:val="66AD6DFD"/>
    <w:rsid w:val="66AE6DBC"/>
    <w:rsid w:val="66AF5467"/>
    <w:rsid w:val="66AF6B39"/>
    <w:rsid w:val="66B22D41"/>
    <w:rsid w:val="66B5181B"/>
    <w:rsid w:val="66B5531C"/>
    <w:rsid w:val="66B92A18"/>
    <w:rsid w:val="66BB2A10"/>
    <w:rsid w:val="66BC5161"/>
    <w:rsid w:val="66C33EDD"/>
    <w:rsid w:val="66CB2AEA"/>
    <w:rsid w:val="66CB4B3F"/>
    <w:rsid w:val="66CF2DC1"/>
    <w:rsid w:val="66CF63DE"/>
    <w:rsid w:val="66D07732"/>
    <w:rsid w:val="66D6776C"/>
    <w:rsid w:val="66D71736"/>
    <w:rsid w:val="66D94F5C"/>
    <w:rsid w:val="66DA3FFA"/>
    <w:rsid w:val="66DB4166"/>
    <w:rsid w:val="66DB5D66"/>
    <w:rsid w:val="66DC0AFB"/>
    <w:rsid w:val="66E2207A"/>
    <w:rsid w:val="66E61293"/>
    <w:rsid w:val="66E63727"/>
    <w:rsid w:val="66E64965"/>
    <w:rsid w:val="66E67CB9"/>
    <w:rsid w:val="66EA1469"/>
    <w:rsid w:val="66EA76BB"/>
    <w:rsid w:val="66EC0D6A"/>
    <w:rsid w:val="66F16F80"/>
    <w:rsid w:val="66F56FBD"/>
    <w:rsid w:val="66F81DD8"/>
    <w:rsid w:val="66F91A48"/>
    <w:rsid w:val="66F978FF"/>
    <w:rsid w:val="66FC20A3"/>
    <w:rsid w:val="66FE3167"/>
    <w:rsid w:val="67002F9B"/>
    <w:rsid w:val="670F6533"/>
    <w:rsid w:val="6712276E"/>
    <w:rsid w:val="67140E96"/>
    <w:rsid w:val="671464E6"/>
    <w:rsid w:val="6716654D"/>
    <w:rsid w:val="67191CD7"/>
    <w:rsid w:val="671A0564"/>
    <w:rsid w:val="671A30F5"/>
    <w:rsid w:val="67204FE0"/>
    <w:rsid w:val="67295B42"/>
    <w:rsid w:val="672F4561"/>
    <w:rsid w:val="67315D36"/>
    <w:rsid w:val="67336273"/>
    <w:rsid w:val="67355A47"/>
    <w:rsid w:val="67362416"/>
    <w:rsid w:val="673A3938"/>
    <w:rsid w:val="673D6EF3"/>
    <w:rsid w:val="674047A3"/>
    <w:rsid w:val="67411AF5"/>
    <w:rsid w:val="67413F82"/>
    <w:rsid w:val="67452B44"/>
    <w:rsid w:val="674548F2"/>
    <w:rsid w:val="67463820"/>
    <w:rsid w:val="67472418"/>
    <w:rsid w:val="67497CA7"/>
    <w:rsid w:val="674B3554"/>
    <w:rsid w:val="67502944"/>
    <w:rsid w:val="675114E9"/>
    <w:rsid w:val="675A398D"/>
    <w:rsid w:val="675C3547"/>
    <w:rsid w:val="675D15A7"/>
    <w:rsid w:val="675D470D"/>
    <w:rsid w:val="675E7762"/>
    <w:rsid w:val="675F3C06"/>
    <w:rsid w:val="67605463"/>
    <w:rsid w:val="67630306"/>
    <w:rsid w:val="67635F6F"/>
    <w:rsid w:val="6764121C"/>
    <w:rsid w:val="6769275E"/>
    <w:rsid w:val="676A47C6"/>
    <w:rsid w:val="676A6106"/>
    <w:rsid w:val="676E7248"/>
    <w:rsid w:val="67732AAF"/>
    <w:rsid w:val="67766731"/>
    <w:rsid w:val="67772538"/>
    <w:rsid w:val="67784CC7"/>
    <w:rsid w:val="67787F07"/>
    <w:rsid w:val="677F6056"/>
    <w:rsid w:val="678137AA"/>
    <w:rsid w:val="678216A2"/>
    <w:rsid w:val="6783438D"/>
    <w:rsid w:val="67847C70"/>
    <w:rsid w:val="678673E4"/>
    <w:rsid w:val="678A5A74"/>
    <w:rsid w:val="678C6FED"/>
    <w:rsid w:val="678D429A"/>
    <w:rsid w:val="679058E2"/>
    <w:rsid w:val="67917192"/>
    <w:rsid w:val="67926DC6"/>
    <w:rsid w:val="67937D01"/>
    <w:rsid w:val="67944795"/>
    <w:rsid w:val="67962FFB"/>
    <w:rsid w:val="67963887"/>
    <w:rsid w:val="67972C90"/>
    <w:rsid w:val="679D092C"/>
    <w:rsid w:val="679F04A6"/>
    <w:rsid w:val="67A07D7A"/>
    <w:rsid w:val="67A4786A"/>
    <w:rsid w:val="67A737C8"/>
    <w:rsid w:val="67A91325"/>
    <w:rsid w:val="67AB055F"/>
    <w:rsid w:val="67AE2263"/>
    <w:rsid w:val="67AF7FBD"/>
    <w:rsid w:val="67B16BE3"/>
    <w:rsid w:val="67B359E4"/>
    <w:rsid w:val="67B37DFF"/>
    <w:rsid w:val="67B83316"/>
    <w:rsid w:val="67B86834"/>
    <w:rsid w:val="67BD26DA"/>
    <w:rsid w:val="67BD6B7E"/>
    <w:rsid w:val="67C036F4"/>
    <w:rsid w:val="67C04BAB"/>
    <w:rsid w:val="67C45239"/>
    <w:rsid w:val="67C73559"/>
    <w:rsid w:val="67C972D1"/>
    <w:rsid w:val="67CD5013"/>
    <w:rsid w:val="67D0065F"/>
    <w:rsid w:val="67D16185"/>
    <w:rsid w:val="67D2228B"/>
    <w:rsid w:val="67D22DA1"/>
    <w:rsid w:val="67D27562"/>
    <w:rsid w:val="67D619EE"/>
    <w:rsid w:val="67D75E41"/>
    <w:rsid w:val="67D77C40"/>
    <w:rsid w:val="67DB0DB2"/>
    <w:rsid w:val="67DD018E"/>
    <w:rsid w:val="67DD4B2A"/>
    <w:rsid w:val="67DF611D"/>
    <w:rsid w:val="67E046E8"/>
    <w:rsid w:val="67E14860"/>
    <w:rsid w:val="67E5741A"/>
    <w:rsid w:val="67E626DF"/>
    <w:rsid w:val="67E67E83"/>
    <w:rsid w:val="67E768AA"/>
    <w:rsid w:val="67ED1917"/>
    <w:rsid w:val="67ED5030"/>
    <w:rsid w:val="67F0050E"/>
    <w:rsid w:val="67F459AD"/>
    <w:rsid w:val="67F563D7"/>
    <w:rsid w:val="67FC3B0F"/>
    <w:rsid w:val="67FD6F7B"/>
    <w:rsid w:val="67FD7B86"/>
    <w:rsid w:val="67FE0A1E"/>
    <w:rsid w:val="67FF2CF3"/>
    <w:rsid w:val="68051D27"/>
    <w:rsid w:val="680B51D4"/>
    <w:rsid w:val="680E1188"/>
    <w:rsid w:val="680F6ECB"/>
    <w:rsid w:val="681373E8"/>
    <w:rsid w:val="681450EA"/>
    <w:rsid w:val="68150768"/>
    <w:rsid w:val="681517DB"/>
    <w:rsid w:val="68164673"/>
    <w:rsid w:val="681744E0"/>
    <w:rsid w:val="68183DB4"/>
    <w:rsid w:val="681C08A2"/>
    <w:rsid w:val="681E3FB6"/>
    <w:rsid w:val="68232E85"/>
    <w:rsid w:val="68282249"/>
    <w:rsid w:val="682C37AA"/>
    <w:rsid w:val="682F08AB"/>
    <w:rsid w:val="683010FE"/>
    <w:rsid w:val="68336E40"/>
    <w:rsid w:val="68336E43"/>
    <w:rsid w:val="68354966"/>
    <w:rsid w:val="68370EA0"/>
    <w:rsid w:val="683A644E"/>
    <w:rsid w:val="683D1F1A"/>
    <w:rsid w:val="683E175F"/>
    <w:rsid w:val="684150B9"/>
    <w:rsid w:val="684771DE"/>
    <w:rsid w:val="684929CC"/>
    <w:rsid w:val="684F6624"/>
    <w:rsid w:val="685017A0"/>
    <w:rsid w:val="68525518"/>
    <w:rsid w:val="68550B65"/>
    <w:rsid w:val="685748DD"/>
    <w:rsid w:val="685B1520"/>
    <w:rsid w:val="685C6397"/>
    <w:rsid w:val="685E3D5A"/>
    <w:rsid w:val="68666209"/>
    <w:rsid w:val="68682E83"/>
    <w:rsid w:val="686D2352"/>
    <w:rsid w:val="686F60CA"/>
    <w:rsid w:val="686F6EDA"/>
    <w:rsid w:val="68703BF0"/>
    <w:rsid w:val="6871597E"/>
    <w:rsid w:val="68725444"/>
    <w:rsid w:val="6873723D"/>
    <w:rsid w:val="6874548F"/>
    <w:rsid w:val="68774F7F"/>
    <w:rsid w:val="687A05CB"/>
    <w:rsid w:val="687C1FE5"/>
    <w:rsid w:val="687C5FF0"/>
    <w:rsid w:val="688558EE"/>
    <w:rsid w:val="68863414"/>
    <w:rsid w:val="68866B0F"/>
    <w:rsid w:val="688E4077"/>
    <w:rsid w:val="68921DB9"/>
    <w:rsid w:val="689679D2"/>
    <w:rsid w:val="6897250B"/>
    <w:rsid w:val="68985D6E"/>
    <w:rsid w:val="6899295D"/>
    <w:rsid w:val="68993147"/>
    <w:rsid w:val="689B5C8E"/>
    <w:rsid w:val="689B678C"/>
    <w:rsid w:val="689B6EBF"/>
    <w:rsid w:val="689E250C"/>
    <w:rsid w:val="68A33FC6"/>
    <w:rsid w:val="68AA78F2"/>
    <w:rsid w:val="68AF296B"/>
    <w:rsid w:val="68B27D65"/>
    <w:rsid w:val="68B32029"/>
    <w:rsid w:val="68B44F2F"/>
    <w:rsid w:val="68B87B64"/>
    <w:rsid w:val="68BA047D"/>
    <w:rsid w:val="68BA0E02"/>
    <w:rsid w:val="68BF2482"/>
    <w:rsid w:val="68CA50AF"/>
    <w:rsid w:val="68CB0E27"/>
    <w:rsid w:val="68CB4DC8"/>
    <w:rsid w:val="68CC682A"/>
    <w:rsid w:val="68D04DC4"/>
    <w:rsid w:val="68D66149"/>
    <w:rsid w:val="68D91796"/>
    <w:rsid w:val="68D93544"/>
    <w:rsid w:val="68E00D76"/>
    <w:rsid w:val="68E126B1"/>
    <w:rsid w:val="68E14EA2"/>
    <w:rsid w:val="68E343C2"/>
    <w:rsid w:val="68E51EE8"/>
    <w:rsid w:val="68E67B57"/>
    <w:rsid w:val="68E819D9"/>
    <w:rsid w:val="68EA5751"/>
    <w:rsid w:val="68EB069F"/>
    <w:rsid w:val="68EB5C39"/>
    <w:rsid w:val="68EC14C9"/>
    <w:rsid w:val="68EC5939"/>
    <w:rsid w:val="68F05193"/>
    <w:rsid w:val="68F6059A"/>
    <w:rsid w:val="68F66F15"/>
    <w:rsid w:val="68F93287"/>
    <w:rsid w:val="68F95454"/>
    <w:rsid w:val="68FD083B"/>
    <w:rsid w:val="690031C6"/>
    <w:rsid w:val="69034A64"/>
    <w:rsid w:val="69045A19"/>
    <w:rsid w:val="690507DD"/>
    <w:rsid w:val="690540BF"/>
    <w:rsid w:val="69055968"/>
    <w:rsid w:val="690F6F65"/>
    <w:rsid w:val="69103C7F"/>
    <w:rsid w:val="6914116D"/>
    <w:rsid w:val="69141E79"/>
    <w:rsid w:val="6914700F"/>
    <w:rsid w:val="69163370"/>
    <w:rsid w:val="691D60FF"/>
    <w:rsid w:val="6920531C"/>
    <w:rsid w:val="692534D8"/>
    <w:rsid w:val="69286279"/>
    <w:rsid w:val="69290033"/>
    <w:rsid w:val="692A1FF1"/>
    <w:rsid w:val="692C0E45"/>
    <w:rsid w:val="692C5D69"/>
    <w:rsid w:val="692D5055"/>
    <w:rsid w:val="692F561B"/>
    <w:rsid w:val="69305551"/>
    <w:rsid w:val="69333419"/>
    <w:rsid w:val="693410C2"/>
    <w:rsid w:val="69342E70"/>
    <w:rsid w:val="69382960"/>
    <w:rsid w:val="69397B80"/>
    <w:rsid w:val="693B41FE"/>
    <w:rsid w:val="693C76ED"/>
    <w:rsid w:val="693E3CEF"/>
    <w:rsid w:val="693E5EAC"/>
    <w:rsid w:val="69402E55"/>
    <w:rsid w:val="69472BA3"/>
    <w:rsid w:val="69482477"/>
    <w:rsid w:val="694E2184"/>
    <w:rsid w:val="69556EEC"/>
    <w:rsid w:val="6956493C"/>
    <w:rsid w:val="69584481"/>
    <w:rsid w:val="695A3D04"/>
    <w:rsid w:val="695C530E"/>
    <w:rsid w:val="69620955"/>
    <w:rsid w:val="69627768"/>
    <w:rsid w:val="69646056"/>
    <w:rsid w:val="696734A3"/>
    <w:rsid w:val="696939AD"/>
    <w:rsid w:val="696C260A"/>
    <w:rsid w:val="69731BEA"/>
    <w:rsid w:val="69736FFD"/>
    <w:rsid w:val="69766FE4"/>
    <w:rsid w:val="697B284D"/>
    <w:rsid w:val="697D4817"/>
    <w:rsid w:val="697F058F"/>
    <w:rsid w:val="69803AC0"/>
    <w:rsid w:val="69807E63"/>
    <w:rsid w:val="698107BC"/>
    <w:rsid w:val="69823BDB"/>
    <w:rsid w:val="69870A1A"/>
    <w:rsid w:val="698718D7"/>
    <w:rsid w:val="698B1492"/>
    <w:rsid w:val="698F62F8"/>
    <w:rsid w:val="699176FF"/>
    <w:rsid w:val="69925493"/>
    <w:rsid w:val="69937B96"/>
    <w:rsid w:val="69944D19"/>
    <w:rsid w:val="699A7988"/>
    <w:rsid w:val="699C7969"/>
    <w:rsid w:val="699E7743"/>
    <w:rsid w:val="699F29DF"/>
    <w:rsid w:val="699F3460"/>
    <w:rsid w:val="69A25671"/>
    <w:rsid w:val="69A33960"/>
    <w:rsid w:val="69A35F61"/>
    <w:rsid w:val="69AD6FD4"/>
    <w:rsid w:val="69AF244E"/>
    <w:rsid w:val="69B108F4"/>
    <w:rsid w:val="69B1233A"/>
    <w:rsid w:val="69B13899"/>
    <w:rsid w:val="69B1626F"/>
    <w:rsid w:val="69B55D5F"/>
    <w:rsid w:val="69BD10B7"/>
    <w:rsid w:val="69BE2FD8"/>
    <w:rsid w:val="69C04704"/>
    <w:rsid w:val="69C621F2"/>
    <w:rsid w:val="69C62A73"/>
    <w:rsid w:val="69C649F9"/>
    <w:rsid w:val="69CA10DE"/>
    <w:rsid w:val="69CC0CF0"/>
    <w:rsid w:val="69CC6B7C"/>
    <w:rsid w:val="69CE7607"/>
    <w:rsid w:val="69D106BF"/>
    <w:rsid w:val="69D232FD"/>
    <w:rsid w:val="69D41F5D"/>
    <w:rsid w:val="69D72179"/>
    <w:rsid w:val="69D81A4D"/>
    <w:rsid w:val="69DC2576"/>
    <w:rsid w:val="69DC6B19"/>
    <w:rsid w:val="69DF0D2D"/>
    <w:rsid w:val="69E20B1E"/>
    <w:rsid w:val="69E4001D"/>
    <w:rsid w:val="69E44896"/>
    <w:rsid w:val="69E53C52"/>
    <w:rsid w:val="69E800A3"/>
    <w:rsid w:val="69E95D5E"/>
    <w:rsid w:val="69EA2A31"/>
    <w:rsid w:val="69EA30F4"/>
    <w:rsid w:val="69EE301F"/>
    <w:rsid w:val="69FA7C16"/>
    <w:rsid w:val="69FC398E"/>
    <w:rsid w:val="69FD14B4"/>
    <w:rsid w:val="6A013E18"/>
    <w:rsid w:val="6A0406CB"/>
    <w:rsid w:val="6A0A0EDB"/>
    <w:rsid w:val="6A0C24A4"/>
    <w:rsid w:val="6A0D2707"/>
    <w:rsid w:val="6A0E36C1"/>
    <w:rsid w:val="6A113B89"/>
    <w:rsid w:val="6A164924"/>
    <w:rsid w:val="6A1709C7"/>
    <w:rsid w:val="6A18009C"/>
    <w:rsid w:val="6A1A2066"/>
    <w:rsid w:val="6A1B7B8C"/>
    <w:rsid w:val="6A1C1E6E"/>
    <w:rsid w:val="6A1F3D5D"/>
    <w:rsid w:val="6A204DBF"/>
    <w:rsid w:val="6A210732"/>
    <w:rsid w:val="6A264357"/>
    <w:rsid w:val="6A267D81"/>
    <w:rsid w:val="6A271505"/>
    <w:rsid w:val="6A2E6D07"/>
    <w:rsid w:val="6A2F0FA5"/>
    <w:rsid w:val="6A3003EA"/>
    <w:rsid w:val="6A331379"/>
    <w:rsid w:val="6A3458FD"/>
    <w:rsid w:val="6A352F84"/>
    <w:rsid w:val="6A370475"/>
    <w:rsid w:val="6A38073E"/>
    <w:rsid w:val="6A3C13E7"/>
    <w:rsid w:val="6A3F19AC"/>
    <w:rsid w:val="6A420037"/>
    <w:rsid w:val="6A453E89"/>
    <w:rsid w:val="6A4B66C3"/>
    <w:rsid w:val="6A4C30EF"/>
    <w:rsid w:val="6A4E1D0F"/>
    <w:rsid w:val="6A5406F8"/>
    <w:rsid w:val="6A5409F4"/>
    <w:rsid w:val="6A551CD2"/>
    <w:rsid w:val="6A5D11DA"/>
    <w:rsid w:val="6A603614"/>
    <w:rsid w:val="6A60436C"/>
    <w:rsid w:val="6A641533"/>
    <w:rsid w:val="6A660023"/>
    <w:rsid w:val="6A667059"/>
    <w:rsid w:val="6A7276FA"/>
    <w:rsid w:val="6A740715"/>
    <w:rsid w:val="6A7506A4"/>
    <w:rsid w:val="6A75325D"/>
    <w:rsid w:val="6A7639E9"/>
    <w:rsid w:val="6A7A29C6"/>
    <w:rsid w:val="6A7A33A0"/>
    <w:rsid w:val="6A7A48B2"/>
    <w:rsid w:val="6A7C1FB6"/>
    <w:rsid w:val="6A7D0134"/>
    <w:rsid w:val="6A81158B"/>
    <w:rsid w:val="6A813E48"/>
    <w:rsid w:val="6A815C41"/>
    <w:rsid w:val="6A8167E2"/>
    <w:rsid w:val="6A845073"/>
    <w:rsid w:val="6A883383"/>
    <w:rsid w:val="6A8A48B5"/>
    <w:rsid w:val="6A8B2D2D"/>
    <w:rsid w:val="6A8D3E4B"/>
    <w:rsid w:val="6A8D6CDC"/>
    <w:rsid w:val="6A90057A"/>
    <w:rsid w:val="6A9242F2"/>
    <w:rsid w:val="6A9604EB"/>
    <w:rsid w:val="6A975464"/>
    <w:rsid w:val="6A981687"/>
    <w:rsid w:val="6A9A589E"/>
    <w:rsid w:val="6A9D53A6"/>
    <w:rsid w:val="6AA31111"/>
    <w:rsid w:val="6AAD43DC"/>
    <w:rsid w:val="6AAE200A"/>
    <w:rsid w:val="6AB029CA"/>
    <w:rsid w:val="6AB53B26"/>
    <w:rsid w:val="6AB63143"/>
    <w:rsid w:val="6AB724ED"/>
    <w:rsid w:val="6AB74D3E"/>
    <w:rsid w:val="6AB853DB"/>
    <w:rsid w:val="6AB92FB2"/>
    <w:rsid w:val="6ABA73A5"/>
    <w:rsid w:val="6ABB3AB5"/>
    <w:rsid w:val="6ABC136F"/>
    <w:rsid w:val="6ABC4ECB"/>
    <w:rsid w:val="6ABE25B8"/>
    <w:rsid w:val="6AC076F4"/>
    <w:rsid w:val="6AC42319"/>
    <w:rsid w:val="6AC54658"/>
    <w:rsid w:val="6AC777B0"/>
    <w:rsid w:val="6ACA4C30"/>
    <w:rsid w:val="6ACB4E68"/>
    <w:rsid w:val="6ACC2F49"/>
    <w:rsid w:val="6ACE4BFE"/>
    <w:rsid w:val="6AD2092B"/>
    <w:rsid w:val="6AD46F87"/>
    <w:rsid w:val="6ADA17F5"/>
    <w:rsid w:val="6ADC55BF"/>
    <w:rsid w:val="6ADC67EC"/>
    <w:rsid w:val="6AE13436"/>
    <w:rsid w:val="6AE21582"/>
    <w:rsid w:val="6AE3108D"/>
    <w:rsid w:val="6AE83F12"/>
    <w:rsid w:val="6AEF52A0"/>
    <w:rsid w:val="6AF117EA"/>
    <w:rsid w:val="6AF44665"/>
    <w:rsid w:val="6AF508A8"/>
    <w:rsid w:val="6AF536BB"/>
    <w:rsid w:val="6AF54B40"/>
    <w:rsid w:val="6AF857FE"/>
    <w:rsid w:val="6AF91C7B"/>
    <w:rsid w:val="6AFB15EB"/>
    <w:rsid w:val="6AFB1E97"/>
    <w:rsid w:val="6AFC176B"/>
    <w:rsid w:val="6AFF129D"/>
    <w:rsid w:val="6B030D4C"/>
    <w:rsid w:val="6B064398"/>
    <w:rsid w:val="6B0B7C00"/>
    <w:rsid w:val="6B0C237E"/>
    <w:rsid w:val="6B0E7004"/>
    <w:rsid w:val="6B107944"/>
    <w:rsid w:val="6B110D50"/>
    <w:rsid w:val="6B1368F5"/>
    <w:rsid w:val="6B137D39"/>
    <w:rsid w:val="6B1D7377"/>
    <w:rsid w:val="6B1E5B86"/>
    <w:rsid w:val="6B20092A"/>
    <w:rsid w:val="6B2018FE"/>
    <w:rsid w:val="6B2327C2"/>
    <w:rsid w:val="6B264A3A"/>
    <w:rsid w:val="6B2F38EF"/>
    <w:rsid w:val="6B302522"/>
    <w:rsid w:val="6B3158B9"/>
    <w:rsid w:val="6B374389"/>
    <w:rsid w:val="6B38399B"/>
    <w:rsid w:val="6B39757A"/>
    <w:rsid w:val="6B397A9B"/>
    <w:rsid w:val="6B3B790B"/>
    <w:rsid w:val="6B3C600C"/>
    <w:rsid w:val="6B3F0D35"/>
    <w:rsid w:val="6B460C38"/>
    <w:rsid w:val="6B463763"/>
    <w:rsid w:val="6B4A0587"/>
    <w:rsid w:val="6B4A2979"/>
    <w:rsid w:val="6B4B1A7F"/>
    <w:rsid w:val="6B5059EA"/>
    <w:rsid w:val="6B561D35"/>
    <w:rsid w:val="6B567A44"/>
    <w:rsid w:val="6B570BD3"/>
    <w:rsid w:val="6B575B05"/>
    <w:rsid w:val="6B5E41D4"/>
    <w:rsid w:val="6B60619E"/>
    <w:rsid w:val="6B6270AF"/>
    <w:rsid w:val="6B695F28"/>
    <w:rsid w:val="6B696C8B"/>
    <w:rsid w:val="6B6F018F"/>
    <w:rsid w:val="6B6F2EBA"/>
    <w:rsid w:val="6B701680"/>
    <w:rsid w:val="6B702C90"/>
    <w:rsid w:val="6B712159"/>
    <w:rsid w:val="6B722607"/>
    <w:rsid w:val="6B732952"/>
    <w:rsid w:val="6B735ED1"/>
    <w:rsid w:val="6B740742"/>
    <w:rsid w:val="6B77613C"/>
    <w:rsid w:val="6B79164E"/>
    <w:rsid w:val="6B793E05"/>
    <w:rsid w:val="6B7C052E"/>
    <w:rsid w:val="6B80239C"/>
    <w:rsid w:val="6B826114"/>
    <w:rsid w:val="6B826B3E"/>
    <w:rsid w:val="6B8471F4"/>
    <w:rsid w:val="6B876E7C"/>
    <w:rsid w:val="6B8924FB"/>
    <w:rsid w:val="6B8A1C13"/>
    <w:rsid w:val="6B8C2AEF"/>
    <w:rsid w:val="6B8D30F6"/>
    <w:rsid w:val="6B8F25DF"/>
    <w:rsid w:val="6B8F7255"/>
    <w:rsid w:val="6B903B90"/>
    <w:rsid w:val="6B9145AA"/>
    <w:rsid w:val="6B9415D2"/>
    <w:rsid w:val="6B9419A4"/>
    <w:rsid w:val="6B95409A"/>
    <w:rsid w:val="6B96488E"/>
    <w:rsid w:val="6B96499B"/>
    <w:rsid w:val="6B9D2F4E"/>
    <w:rsid w:val="6B9E5635"/>
    <w:rsid w:val="6BA46BE1"/>
    <w:rsid w:val="6BA71D9C"/>
    <w:rsid w:val="6BAA7419"/>
    <w:rsid w:val="6BAA7544"/>
    <w:rsid w:val="6BAF27FC"/>
    <w:rsid w:val="6BAF4A30"/>
    <w:rsid w:val="6BB30B46"/>
    <w:rsid w:val="6BB32772"/>
    <w:rsid w:val="6BB55411"/>
    <w:rsid w:val="6BB661EC"/>
    <w:rsid w:val="6BBB5226"/>
    <w:rsid w:val="6BBD714D"/>
    <w:rsid w:val="6BBF7101"/>
    <w:rsid w:val="6BC6029D"/>
    <w:rsid w:val="6BC949C2"/>
    <w:rsid w:val="6BCA0950"/>
    <w:rsid w:val="6BCA79DB"/>
    <w:rsid w:val="6BCC3A25"/>
    <w:rsid w:val="6BD14751"/>
    <w:rsid w:val="6BD2201D"/>
    <w:rsid w:val="6BD31ED6"/>
    <w:rsid w:val="6BD57153"/>
    <w:rsid w:val="6BD66460"/>
    <w:rsid w:val="6BD83249"/>
    <w:rsid w:val="6BD91777"/>
    <w:rsid w:val="6BD91AAD"/>
    <w:rsid w:val="6BDA5F51"/>
    <w:rsid w:val="6BDB24DB"/>
    <w:rsid w:val="6BDC73CC"/>
    <w:rsid w:val="6BE04BE9"/>
    <w:rsid w:val="6BE14C5F"/>
    <w:rsid w:val="6BE2035B"/>
    <w:rsid w:val="6BE26BB3"/>
    <w:rsid w:val="6BE42C71"/>
    <w:rsid w:val="6BE65222"/>
    <w:rsid w:val="6BEA5A68"/>
    <w:rsid w:val="6BEF42E3"/>
    <w:rsid w:val="6BF16DF6"/>
    <w:rsid w:val="6BF32B6E"/>
    <w:rsid w:val="6BFA028E"/>
    <w:rsid w:val="6BFA214F"/>
    <w:rsid w:val="6BFA6D45"/>
    <w:rsid w:val="6BFD39ED"/>
    <w:rsid w:val="6BFF1513"/>
    <w:rsid w:val="6BFF5620"/>
    <w:rsid w:val="6C001913"/>
    <w:rsid w:val="6C012D0E"/>
    <w:rsid w:val="6C022DB1"/>
    <w:rsid w:val="6C042FCD"/>
    <w:rsid w:val="6C046B2A"/>
    <w:rsid w:val="6C060AF4"/>
    <w:rsid w:val="6C0846D6"/>
    <w:rsid w:val="6C091574"/>
    <w:rsid w:val="6C092392"/>
    <w:rsid w:val="6C0A765C"/>
    <w:rsid w:val="6C0E79A8"/>
    <w:rsid w:val="6C114C9E"/>
    <w:rsid w:val="6C123BFA"/>
    <w:rsid w:val="6C14068C"/>
    <w:rsid w:val="6C184383"/>
    <w:rsid w:val="6C1906B7"/>
    <w:rsid w:val="6C1A7630"/>
    <w:rsid w:val="6C1B20C5"/>
    <w:rsid w:val="6C1C63A4"/>
    <w:rsid w:val="6C224BFB"/>
    <w:rsid w:val="6C22511C"/>
    <w:rsid w:val="6C256AA0"/>
    <w:rsid w:val="6C292A34"/>
    <w:rsid w:val="6C2B055A"/>
    <w:rsid w:val="6C2B2308"/>
    <w:rsid w:val="6C2E1DF8"/>
    <w:rsid w:val="6C32706D"/>
    <w:rsid w:val="6C382C77"/>
    <w:rsid w:val="6C3A079D"/>
    <w:rsid w:val="6C3C2783"/>
    <w:rsid w:val="6C3D5CAF"/>
    <w:rsid w:val="6C3F1694"/>
    <w:rsid w:val="6C411B2C"/>
    <w:rsid w:val="6C4258A4"/>
    <w:rsid w:val="6C445178"/>
    <w:rsid w:val="6C450AD1"/>
    <w:rsid w:val="6C49302E"/>
    <w:rsid w:val="6C4A7B33"/>
    <w:rsid w:val="6C4E4249"/>
    <w:rsid w:val="6C4F6C96"/>
    <w:rsid w:val="6C5171A8"/>
    <w:rsid w:val="6C523AD2"/>
    <w:rsid w:val="6C5309A3"/>
    <w:rsid w:val="6C5406CC"/>
    <w:rsid w:val="6C5630FD"/>
    <w:rsid w:val="6C591C44"/>
    <w:rsid w:val="6C5A7C87"/>
    <w:rsid w:val="6C5B3329"/>
    <w:rsid w:val="6C5C5F78"/>
    <w:rsid w:val="6C5E604F"/>
    <w:rsid w:val="6C6121CE"/>
    <w:rsid w:val="6C615D2A"/>
    <w:rsid w:val="6C6677E4"/>
    <w:rsid w:val="6C675192"/>
    <w:rsid w:val="6C691082"/>
    <w:rsid w:val="6C6B0755"/>
    <w:rsid w:val="6C737F25"/>
    <w:rsid w:val="6C7508E4"/>
    <w:rsid w:val="6C765230"/>
    <w:rsid w:val="6C77554D"/>
    <w:rsid w:val="6C785867"/>
    <w:rsid w:val="6C785A80"/>
    <w:rsid w:val="6C7C09FD"/>
    <w:rsid w:val="6C7D61B2"/>
    <w:rsid w:val="6C8009CF"/>
    <w:rsid w:val="6C800BEF"/>
    <w:rsid w:val="6C81017A"/>
    <w:rsid w:val="6C816902"/>
    <w:rsid w:val="6C8324C8"/>
    <w:rsid w:val="6C8612C2"/>
    <w:rsid w:val="6C861C34"/>
    <w:rsid w:val="6C865790"/>
    <w:rsid w:val="6C87570F"/>
    <w:rsid w:val="6C876CC3"/>
    <w:rsid w:val="6C882B7F"/>
    <w:rsid w:val="6C8857CF"/>
    <w:rsid w:val="6C895281"/>
    <w:rsid w:val="6C8B72D9"/>
    <w:rsid w:val="6C8D4D71"/>
    <w:rsid w:val="6C8D5870"/>
    <w:rsid w:val="6C911B1F"/>
    <w:rsid w:val="6C9360FF"/>
    <w:rsid w:val="6C9844D2"/>
    <w:rsid w:val="6C9854C4"/>
    <w:rsid w:val="6C985677"/>
    <w:rsid w:val="6C9A748E"/>
    <w:rsid w:val="6C9C3912"/>
    <w:rsid w:val="6C9D4019"/>
    <w:rsid w:val="6CA03DD2"/>
    <w:rsid w:val="6CA125CA"/>
    <w:rsid w:val="6CA40A25"/>
    <w:rsid w:val="6CA51091"/>
    <w:rsid w:val="6CA513FC"/>
    <w:rsid w:val="6CA6730F"/>
    <w:rsid w:val="6CA732C1"/>
    <w:rsid w:val="6CAA72C6"/>
    <w:rsid w:val="6CAD71C1"/>
    <w:rsid w:val="6CAE0D75"/>
    <w:rsid w:val="6CAF118B"/>
    <w:rsid w:val="6CB02F5F"/>
    <w:rsid w:val="6CB03718"/>
    <w:rsid w:val="6CB07BB2"/>
    <w:rsid w:val="6CB22A29"/>
    <w:rsid w:val="6CB322FE"/>
    <w:rsid w:val="6CB34465"/>
    <w:rsid w:val="6CB4334D"/>
    <w:rsid w:val="6CB5473A"/>
    <w:rsid w:val="6CB73B9C"/>
    <w:rsid w:val="6CBF380A"/>
    <w:rsid w:val="6CBF4A49"/>
    <w:rsid w:val="6CC02D85"/>
    <w:rsid w:val="6CC369E5"/>
    <w:rsid w:val="6CCE0573"/>
    <w:rsid w:val="6CCE444C"/>
    <w:rsid w:val="6CD26C28"/>
    <w:rsid w:val="6CD40BF2"/>
    <w:rsid w:val="6CD429A0"/>
    <w:rsid w:val="6CD53F3B"/>
    <w:rsid w:val="6CDA0506"/>
    <w:rsid w:val="6CDB0484"/>
    <w:rsid w:val="6CDD6DE3"/>
    <w:rsid w:val="6CDE381E"/>
    <w:rsid w:val="6CDF1C45"/>
    <w:rsid w:val="6CE07597"/>
    <w:rsid w:val="6CE150BD"/>
    <w:rsid w:val="6CE26A75"/>
    <w:rsid w:val="6CE452C5"/>
    <w:rsid w:val="6CE45AD4"/>
    <w:rsid w:val="6CE4695B"/>
    <w:rsid w:val="6CE61613"/>
    <w:rsid w:val="6CE64481"/>
    <w:rsid w:val="6CE773ED"/>
    <w:rsid w:val="6CEA71EE"/>
    <w:rsid w:val="6CEB5F3B"/>
    <w:rsid w:val="6CEC7CC7"/>
    <w:rsid w:val="6CED3A62"/>
    <w:rsid w:val="6CF450C7"/>
    <w:rsid w:val="6CF7043C"/>
    <w:rsid w:val="6D003795"/>
    <w:rsid w:val="6D040A33"/>
    <w:rsid w:val="6D071CF1"/>
    <w:rsid w:val="6D07661A"/>
    <w:rsid w:val="6D07720E"/>
    <w:rsid w:val="6D083E39"/>
    <w:rsid w:val="6D0843F7"/>
    <w:rsid w:val="6D0B1319"/>
    <w:rsid w:val="6D0F0901"/>
    <w:rsid w:val="6D125276"/>
    <w:rsid w:val="6D154BA7"/>
    <w:rsid w:val="6D182FE5"/>
    <w:rsid w:val="6D184E38"/>
    <w:rsid w:val="6D1946ED"/>
    <w:rsid w:val="6D1F5CB2"/>
    <w:rsid w:val="6D235A60"/>
    <w:rsid w:val="6D237483"/>
    <w:rsid w:val="6D265FA8"/>
    <w:rsid w:val="6D272EC5"/>
    <w:rsid w:val="6D2731B2"/>
    <w:rsid w:val="6D2E426F"/>
    <w:rsid w:val="6D323B6A"/>
    <w:rsid w:val="6D325918"/>
    <w:rsid w:val="6D3901BC"/>
    <w:rsid w:val="6D3C22F3"/>
    <w:rsid w:val="6D3C6797"/>
    <w:rsid w:val="6D437B25"/>
    <w:rsid w:val="6D45389E"/>
    <w:rsid w:val="6D486585"/>
    <w:rsid w:val="6D496027"/>
    <w:rsid w:val="6D4B2536"/>
    <w:rsid w:val="6D4C4C2C"/>
    <w:rsid w:val="6D4D0109"/>
    <w:rsid w:val="6D4D3B49"/>
    <w:rsid w:val="6D4F01FF"/>
    <w:rsid w:val="6D532B4C"/>
    <w:rsid w:val="6D5706E5"/>
    <w:rsid w:val="6D57537F"/>
    <w:rsid w:val="6D5B6F02"/>
    <w:rsid w:val="6D5E04BB"/>
    <w:rsid w:val="6D6016CB"/>
    <w:rsid w:val="6D611D5A"/>
    <w:rsid w:val="6D6303D9"/>
    <w:rsid w:val="6D631F76"/>
    <w:rsid w:val="6D637130"/>
    <w:rsid w:val="6D643DFF"/>
    <w:rsid w:val="6D663C06"/>
    <w:rsid w:val="6D68133A"/>
    <w:rsid w:val="6D6C78D5"/>
    <w:rsid w:val="6D6F32B1"/>
    <w:rsid w:val="6D6F3466"/>
    <w:rsid w:val="6D6F54AA"/>
    <w:rsid w:val="6D747729"/>
    <w:rsid w:val="6D763A57"/>
    <w:rsid w:val="6D765805"/>
    <w:rsid w:val="6D770E1E"/>
    <w:rsid w:val="6D7729A1"/>
    <w:rsid w:val="6D806684"/>
    <w:rsid w:val="6D853C9A"/>
    <w:rsid w:val="6D877A12"/>
    <w:rsid w:val="6D88182A"/>
    <w:rsid w:val="6D8A12B0"/>
    <w:rsid w:val="6D8A140C"/>
    <w:rsid w:val="6D8C327A"/>
    <w:rsid w:val="6D8D2B4F"/>
    <w:rsid w:val="6D8F2D6B"/>
    <w:rsid w:val="6D8F3676"/>
    <w:rsid w:val="6D8F3A0D"/>
    <w:rsid w:val="6D8F61DE"/>
    <w:rsid w:val="6D912FC0"/>
    <w:rsid w:val="6D94212F"/>
    <w:rsid w:val="6D943EDD"/>
    <w:rsid w:val="6D9A6BAF"/>
    <w:rsid w:val="6D9B2372"/>
    <w:rsid w:val="6D9C31F4"/>
    <w:rsid w:val="6D9D0818"/>
    <w:rsid w:val="6D9D5488"/>
    <w:rsid w:val="6DA22804"/>
    <w:rsid w:val="6DA34120"/>
    <w:rsid w:val="6DA34A14"/>
    <w:rsid w:val="6DA71E62"/>
    <w:rsid w:val="6DA751E6"/>
    <w:rsid w:val="6DA86676"/>
    <w:rsid w:val="6DA92C5D"/>
    <w:rsid w:val="6DA93431"/>
    <w:rsid w:val="6DAF6F69"/>
    <w:rsid w:val="6DB13E18"/>
    <w:rsid w:val="6DB14A8F"/>
    <w:rsid w:val="6DB267C0"/>
    <w:rsid w:val="6DB32622"/>
    <w:rsid w:val="6DB53EA8"/>
    <w:rsid w:val="6DB602F7"/>
    <w:rsid w:val="6DB666D6"/>
    <w:rsid w:val="6DB77BCC"/>
    <w:rsid w:val="6DB82CF7"/>
    <w:rsid w:val="6DB91B96"/>
    <w:rsid w:val="6DB9657F"/>
    <w:rsid w:val="6DC61BFF"/>
    <w:rsid w:val="6DC70686"/>
    <w:rsid w:val="6DC7127D"/>
    <w:rsid w:val="6DC72505"/>
    <w:rsid w:val="6DC8082B"/>
    <w:rsid w:val="6DC8738A"/>
    <w:rsid w:val="6DC96228"/>
    <w:rsid w:val="6DD15131"/>
    <w:rsid w:val="6DD263AF"/>
    <w:rsid w:val="6DD32C57"/>
    <w:rsid w:val="6DD34817"/>
    <w:rsid w:val="6DD538A4"/>
    <w:rsid w:val="6DD6317B"/>
    <w:rsid w:val="6DD864C0"/>
    <w:rsid w:val="6DDC6E78"/>
    <w:rsid w:val="6DDD7632"/>
    <w:rsid w:val="6DE05374"/>
    <w:rsid w:val="6DE2733E"/>
    <w:rsid w:val="6DE620B0"/>
    <w:rsid w:val="6DE8138B"/>
    <w:rsid w:val="6DE94229"/>
    <w:rsid w:val="6DEC5AC7"/>
    <w:rsid w:val="6DEE183F"/>
    <w:rsid w:val="6DEE2B38"/>
    <w:rsid w:val="6DEE6803"/>
    <w:rsid w:val="6DEF7365"/>
    <w:rsid w:val="6DF20188"/>
    <w:rsid w:val="6DF350A8"/>
    <w:rsid w:val="6DF357E6"/>
    <w:rsid w:val="6DF66946"/>
    <w:rsid w:val="6DF97346"/>
    <w:rsid w:val="6DFA4688"/>
    <w:rsid w:val="6DFA6436"/>
    <w:rsid w:val="6DFB21AE"/>
    <w:rsid w:val="6DFB3F5C"/>
    <w:rsid w:val="6DFD7CD4"/>
    <w:rsid w:val="6DFF1C9E"/>
    <w:rsid w:val="6E040E16"/>
    <w:rsid w:val="6E04466E"/>
    <w:rsid w:val="6E0472B5"/>
    <w:rsid w:val="6E06549F"/>
    <w:rsid w:val="6E070B53"/>
    <w:rsid w:val="6E094237"/>
    <w:rsid w:val="6E0A1E00"/>
    <w:rsid w:val="6E0A7D76"/>
    <w:rsid w:val="6E0E5739"/>
    <w:rsid w:val="6E113780"/>
    <w:rsid w:val="6E144E55"/>
    <w:rsid w:val="6E14501E"/>
    <w:rsid w:val="6E170247"/>
    <w:rsid w:val="6E1F4845"/>
    <w:rsid w:val="6E226882"/>
    <w:rsid w:val="6E234D39"/>
    <w:rsid w:val="6E25722B"/>
    <w:rsid w:val="6E290AC9"/>
    <w:rsid w:val="6E296D1B"/>
    <w:rsid w:val="6E2B2A93"/>
    <w:rsid w:val="6E30731F"/>
    <w:rsid w:val="6E3213A1"/>
    <w:rsid w:val="6E322B31"/>
    <w:rsid w:val="6E3661C1"/>
    <w:rsid w:val="6E370014"/>
    <w:rsid w:val="6E3738FD"/>
    <w:rsid w:val="6E3A0F28"/>
    <w:rsid w:val="6E4249AF"/>
    <w:rsid w:val="6E4408EB"/>
    <w:rsid w:val="6E443B55"/>
    <w:rsid w:val="6E4753F3"/>
    <w:rsid w:val="6E496D3C"/>
    <w:rsid w:val="6E4A51F2"/>
    <w:rsid w:val="6E4A5A7E"/>
    <w:rsid w:val="6E4A7CF8"/>
    <w:rsid w:val="6E4C0C5C"/>
    <w:rsid w:val="6E4C168B"/>
    <w:rsid w:val="6E4D3B18"/>
    <w:rsid w:val="6E4E1FDB"/>
    <w:rsid w:val="6E4F7FF6"/>
    <w:rsid w:val="6E52077A"/>
    <w:rsid w:val="6E533D98"/>
    <w:rsid w:val="6E5478D1"/>
    <w:rsid w:val="6E56579E"/>
    <w:rsid w:val="6E57633D"/>
    <w:rsid w:val="6E5972F9"/>
    <w:rsid w:val="6E5A6ED5"/>
    <w:rsid w:val="6E6164B5"/>
    <w:rsid w:val="6E6164F3"/>
    <w:rsid w:val="6E643E09"/>
    <w:rsid w:val="6E6C09B6"/>
    <w:rsid w:val="6E6E31AC"/>
    <w:rsid w:val="6E70494A"/>
    <w:rsid w:val="6E737F96"/>
    <w:rsid w:val="6E7744C8"/>
    <w:rsid w:val="6E80678D"/>
    <w:rsid w:val="6E861244"/>
    <w:rsid w:val="6E894212"/>
    <w:rsid w:val="6E8B036B"/>
    <w:rsid w:val="6E8C1058"/>
    <w:rsid w:val="6E8E4DD0"/>
    <w:rsid w:val="6E8F667E"/>
    <w:rsid w:val="6E90674D"/>
    <w:rsid w:val="6E914A54"/>
    <w:rsid w:val="6E95615F"/>
    <w:rsid w:val="6E9B0588"/>
    <w:rsid w:val="6EA12D56"/>
    <w:rsid w:val="6EA57C83"/>
    <w:rsid w:val="6EAE5472"/>
    <w:rsid w:val="6EAE7189"/>
    <w:rsid w:val="6EAF6C69"/>
    <w:rsid w:val="6EB1667F"/>
    <w:rsid w:val="6EB32D5A"/>
    <w:rsid w:val="6EB760D5"/>
    <w:rsid w:val="6EB87848"/>
    <w:rsid w:val="6EB94005"/>
    <w:rsid w:val="6EB9701A"/>
    <w:rsid w:val="6EBC193D"/>
    <w:rsid w:val="6EBD1212"/>
    <w:rsid w:val="6EC05BC6"/>
    <w:rsid w:val="6EC52DE9"/>
    <w:rsid w:val="6ECB1B80"/>
    <w:rsid w:val="6ECC1ED8"/>
    <w:rsid w:val="6ECD53E2"/>
    <w:rsid w:val="6ECD55A7"/>
    <w:rsid w:val="6ED04AFD"/>
    <w:rsid w:val="6ED12C4D"/>
    <w:rsid w:val="6ED33CEA"/>
    <w:rsid w:val="6ED554AF"/>
    <w:rsid w:val="6ED74E66"/>
    <w:rsid w:val="6EDA0016"/>
    <w:rsid w:val="6EDC453B"/>
    <w:rsid w:val="6EE40E94"/>
    <w:rsid w:val="6EE669BA"/>
    <w:rsid w:val="6EE94DB5"/>
    <w:rsid w:val="6EEB2223"/>
    <w:rsid w:val="6EEE3AB2"/>
    <w:rsid w:val="6EEF0092"/>
    <w:rsid w:val="6EF727C3"/>
    <w:rsid w:val="6EF81A16"/>
    <w:rsid w:val="6EF91340"/>
    <w:rsid w:val="6EF92429"/>
    <w:rsid w:val="6EFB44C9"/>
    <w:rsid w:val="6EFB45F9"/>
    <w:rsid w:val="6EFE1F56"/>
    <w:rsid w:val="6F0001F3"/>
    <w:rsid w:val="6F013D03"/>
    <w:rsid w:val="6F0207D4"/>
    <w:rsid w:val="6F043F93"/>
    <w:rsid w:val="6F045092"/>
    <w:rsid w:val="6F074E94"/>
    <w:rsid w:val="6F0A08FB"/>
    <w:rsid w:val="6F0B4673"/>
    <w:rsid w:val="6F0D120F"/>
    <w:rsid w:val="6F0D3919"/>
    <w:rsid w:val="6F0F591F"/>
    <w:rsid w:val="6F0F7105"/>
    <w:rsid w:val="6F123351"/>
    <w:rsid w:val="6F125A01"/>
    <w:rsid w:val="6F130BA6"/>
    <w:rsid w:val="6F1522E3"/>
    <w:rsid w:val="6F1751E2"/>
    <w:rsid w:val="6F1928EC"/>
    <w:rsid w:val="6F1D1B80"/>
    <w:rsid w:val="6F224530"/>
    <w:rsid w:val="6F23376B"/>
    <w:rsid w:val="6F240C8D"/>
    <w:rsid w:val="6F240E42"/>
    <w:rsid w:val="6F2B0871"/>
    <w:rsid w:val="6F2D283B"/>
    <w:rsid w:val="6F2D2A84"/>
    <w:rsid w:val="6F2D3058"/>
    <w:rsid w:val="6F2F0361"/>
    <w:rsid w:val="6F3455AD"/>
    <w:rsid w:val="6F35349E"/>
    <w:rsid w:val="6F356BC6"/>
    <w:rsid w:val="6F37486C"/>
    <w:rsid w:val="6F391A0C"/>
    <w:rsid w:val="6F394D3C"/>
    <w:rsid w:val="6F397B56"/>
    <w:rsid w:val="6F411698"/>
    <w:rsid w:val="6F415726"/>
    <w:rsid w:val="6F4162E7"/>
    <w:rsid w:val="6F435BBB"/>
    <w:rsid w:val="6F436E43"/>
    <w:rsid w:val="6F4638FD"/>
    <w:rsid w:val="6F474346"/>
    <w:rsid w:val="6F4760D3"/>
    <w:rsid w:val="6F4B2776"/>
    <w:rsid w:val="6F4E5EBB"/>
    <w:rsid w:val="6F50730C"/>
    <w:rsid w:val="6F51652A"/>
    <w:rsid w:val="6F517AAF"/>
    <w:rsid w:val="6F525DFE"/>
    <w:rsid w:val="6F54601A"/>
    <w:rsid w:val="6F570624"/>
    <w:rsid w:val="6F5A347A"/>
    <w:rsid w:val="6F5A3616"/>
    <w:rsid w:val="6F5D2C01"/>
    <w:rsid w:val="6F614293"/>
    <w:rsid w:val="6F6B5112"/>
    <w:rsid w:val="6F6D0E8A"/>
    <w:rsid w:val="6F6D2C38"/>
    <w:rsid w:val="6F7B35A7"/>
    <w:rsid w:val="6F7E4E45"/>
    <w:rsid w:val="6F841F0D"/>
    <w:rsid w:val="6F8A09F4"/>
    <w:rsid w:val="6F8A1A3C"/>
    <w:rsid w:val="6F8B154D"/>
    <w:rsid w:val="6F8B3601"/>
    <w:rsid w:val="6F8C1856"/>
    <w:rsid w:val="6F8C2D69"/>
    <w:rsid w:val="6F8D6400"/>
    <w:rsid w:val="6F8E1DFB"/>
    <w:rsid w:val="6F914B78"/>
    <w:rsid w:val="6F925F92"/>
    <w:rsid w:val="6F936AB6"/>
    <w:rsid w:val="6F943770"/>
    <w:rsid w:val="6F970EF6"/>
    <w:rsid w:val="6F9920B9"/>
    <w:rsid w:val="6F9A7209"/>
    <w:rsid w:val="6F9A78E4"/>
    <w:rsid w:val="6F9E091D"/>
    <w:rsid w:val="6FA0202E"/>
    <w:rsid w:val="6FA348AB"/>
    <w:rsid w:val="6FA67EF8"/>
    <w:rsid w:val="6FA71FF4"/>
    <w:rsid w:val="6FA80114"/>
    <w:rsid w:val="6FA84C02"/>
    <w:rsid w:val="6FAA79E8"/>
    <w:rsid w:val="6FAE58DF"/>
    <w:rsid w:val="6FAF4FFE"/>
    <w:rsid w:val="6FB10D76"/>
    <w:rsid w:val="6FB12124"/>
    <w:rsid w:val="6FB34015"/>
    <w:rsid w:val="6FB34556"/>
    <w:rsid w:val="6FB40867"/>
    <w:rsid w:val="6FB56453"/>
    <w:rsid w:val="6FB6365F"/>
    <w:rsid w:val="6FB70357"/>
    <w:rsid w:val="6FB75A30"/>
    <w:rsid w:val="6FB940CF"/>
    <w:rsid w:val="6FBC5841"/>
    <w:rsid w:val="6FBD3DD5"/>
    <w:rsid w:val="6FBE3A6A"/>
    <w:rsid w:val="6FBF53E0"/>
    <w:rsid w:val="6FC64095"/>
    <w:rsid w:val="6FC7059A"/>
    <w:rsid w:val="6FC767EC"/>
    <w:rsid w:val="6FC8255F"/>
    <w:rsid w:val="6FC96ABC"/>
    <w:rsid w:val="6FCA54D5"/>
    <w:rsid w:val="6FCC5336"/>
    <w:rsid w:val="6FCE3141"/>
    <w:rsid w:val="6FD375FA"/>
    <w:rsid w:val="6FD67543"/>
    <w:rsid w:val="6FD809F9"/>
    <w:rsid w:val="6FE54EC4"/>
    <w:rsid w:val="6FE57F44"/>
    <w:rsid w:val="6FEA64C8"/>
    <w:rsid w:val="6FEB376A"/>
    <w:rsid w:val="6FEC1DAE"/>
    <w:rsid w:val="6FED3293"/>
    <w:rsid w:val="6FEF7AF1"/>
    <w:rsid w:val="6FEF7C11"/>
    <w:rsid w:val="6FF0358B"/>
    <w:rsid w:val="6FF1003D"/>
    <w:rsid w:val="6FF43359"/>
    <w:rsid w:val="6FFA1DE2"/>
    <w:rsid w:val="6FFC0D74"/>
    <w:rsid w:val="6FFD22F7"/>
    <w:rsid w:val="700103A7"/>
    <w:rsid w:val="70074E3A"/>
    <w:rsid w:val="70110177"/>
    <w:rsid w:val="70141305"/>
    <w:rsid w:val="7016507D"/>
    <w:rsid w:val="701C7B4C"/>
    <w:rsid w:val="701E67C4"/>
    <w:rsid w:val="70235E7F"/>
    <w:rsid w:val="702552C0"/>
    <w:rsid w:val="70263260"/>
    <w:rsid w:val="702A0361"/>
    <w:rsid w:val="702B18D5"/>
    <w:rsid w:val="702D04E3"/>
    <w:rsid w:val="703170E4"/>
    <w:rsid w:val="70364534"/>
    <w:rsid w:val="703802C8"/>
    <w:rsid w:val="70381498"/>
    <w:rsid w:val="70385218"/>
    <w:rsid w:val="70386DB6"/>
    <w:rsid w:val="70390FB7"/>
    <w:rsid w:val="70395451"/>
    <w:rsid w:val="70400FD0"/>
    <w:rsid w:val="70416FE8"/>
    <w:rsid w:val="704716DB"/>
    <w:rsid w:val="7047716A"/>
    <w:rsid w:val="704B5D09"/>
    <w:rsid w:val="704C0A9F"/>
    <w:rsid w:val="704C3E40"/>
    <w:rsid w:val="704D62EB"/>
    <w:rsid w:val="704E09C0"/>
    <w:rsid w:val="7050126D"/>
    <w:rsid w:val="705067E1"/>
    <w:rsid w:val="70512559"/>
    <w:rsid w:val="705377EE"/>
    <w:rsid w:val="7054057E"/>
    <w:rsid w:val="70540CEF"/>
    <w:rsid w:val="70555429"/>
    <w:rsid w:val="70564184"/>
    <w:rsid w:val="705822A5"/>
    <w:rsid w:val="70585696"/>
    <w:rsid w:val="705B34F6"/>
    <w:rsid w:val="705B5186"/>
    <w:rsid w:val="705C2D71"/>
    <w:rsid w:val="705F4C76"/>
    <w:rsid w:val="70622071"/>
    <w:rsid w:val="70634D1B"/>
    <w:rsid w:val="7064423E"/>
    <w:rsid w:val="70657DB3"/>
    <w:rsid w:val="706731CF"/>
    <w:rsid w:val="7068713E"/>
    <w:rsid w:val="70691651"/>
    <w:rsid w:val="706A53C9"/>
    <w:rsid w:val="706D2F15"/>
    <w:rsid w:val="706E477E"/>
    <w:rsid w:val="706F1447"/>
    <w:rsid w:val="70711272"/>
    <w:rsid w:val="70720653"/>
    <w:rsid w:val="70741E9B"/>
    <w:rsid w:val="70745B1D"/>
    <w:rsid w:val="70785D38"/>
    <w:rsid w:val="70787AE6"/>
    <w:rsid w:val="707B75D6"/>
    <w:rsid w:val="707D3ABB"/>
    <w:rsid w:val="708B251E"/>
    <w:rsid w:val="708B6A6C"/>
    <w:rsid w:val="70904E30"/>
    <w:rsid w:val="70910BA8"/>
    <w:rsid w:val="70965410"/>
    <w:rsid w:val="70986263"/>
    <w:rsid w:val="70994F41"/>
    <w:rsid w:val="709A3F00"/>
    <w:rsid w:val="709D5D2D"/>
    <w:rsid w:val="709D754D"/>
    <w:rsid w:val="709E387E"/>
    <w:rsid w:val="70A01565"/>
    <w:rsid w:val="70A15B5A"/>
    <w:rsid w:val="70AA48E6"/>
    <w:rsid w:val="70AE175A"/>
    <w:rsid w:val="70AE52B6"/>
    <w:rsid w:val="70B0102E"/>
    <w:rsid w:val="70B07280"/>
    <w:rsid w:val="70B2124A"/>
    <w:rsid w:val="70B4613C"/>
    <w:rsid w:val="70B4771A"/>
    <w:rsid w:val="70B52AE8"/>
    <w:rsid w:val="70B56644"/>
    <w:rsid w:val="70B86135"/>
    <w:rsid w:val="70B9581F"/>
    <w:rsid w:val="70BB477C"/>
    <w:rsid w:val="70BB79D3"/>
    <w:rsid w:val="70BC5C25"/>
    <w:rsid w:val="70BD7DF8"/>
    <w:rsid w:val="70BE05B1"/>
    <w:rsid w:val="70C65946"/>
    <w:rsid w:val="70C674F3"/>
    <w:rsid w:val="70C8530E"/>
    <w:rsid w:val="70C96594"/>
    <w:rsid w:val="70CB2853"/>
    <w:rsid w:val="70CB3294"/>
    <w:rsid w:val="70CC5F82"/>
    <w:rsid w:val="70CC7418"/>
    <w:rsid w:val="70CF5A83"/>
    <w:rsid w:val="70D016D0"/>
    <w:rsid w:val="70D57F79"/>
    <w:rsid w:val="70D91FB4"/>
    <w:rsid w:val="70DC5E61"/>
    <w:rsid w:val="70DC62C7"/>
    <w:rsid w:val="70DF30E2"/>
    <w:rsid w:val="70DF36C1"/>
    <w:rsid w:val="70E60EF4"/>
    <w:rsid w:val="70E92792"/>
    <w:rsid w:val="70EA3271"/>
    <w:rsid w:val="70F208A3"/>
    <w:rsid w:val="70F33611"/>
    <w:rsid w:val="70F3716D"/>
    <w:rsid w:val="70F53102"/>
    <w:rsid w:val="70F55AF7"/>
    <w:rsid w:val="70F636D3"/>
    <w:rsid w:val="70F74EAF"/>
    <w:rsid w:val="70F829D5"/>
    <w:rsid w:val="70FA22DD"/>
    <w:rsid w:val="70FA499F"/>
    <w:rsid w:val="70FB773A"/>
    <w:rsid w:val="7101188A"/>
    <w:rsid w:val="710366BA"/>
    <w:rsid w:val="710947CA"/>
    <w:rsid w:val="710A33ED"/>
    <w:rsid w:val="710B6BAC"/>
    <w:rsid w:val="710F55AE"/>
    <w:rsid w:val="711374C5"/>
    <w:rsid w:val="71155335"/>
    <w:rsid w:val="71175551"/>
    <w:rsid w:val="711B6B98"/>
    <w:rsid w:val="711D41EA"/>
    <w:rsid w:val="711F7CF9"/>
    <w:rsid w:val="71233EF6"/>
    <w:rsid w:val="71243FE6"/>
    <w:rsid w:val="71297AF0"/>
    <w:rsid w:val="712A5353"/>
    <w:rsid w:val="712F423E"/>
    <w:rsid w:val="713003C1"/>
    <w:rsid w:val="713042C9"/>
    <w:rsid w:val="71311086"/>
    <w:rsid w:val="71357785"/>
    <w:rsid w:val="713729D0"/>
    <w:rsid w:val="713752AB"/>
    <w:rsid w:val="713779A1"/>
    <w:rsid w:val="713952F0"/>
    <w:rsid w:val="713954C7"/>
    <w:rsid w:val="713A1351"/>
    <w:rsid w:val="713F0A23"/>
    <w:rsid w:val="71403FAF"/>
    <w:rsid w:val="714425EE"/>
    <w:rsid w:val="7148395C"/>
    <w:rsid w:val="714874B8"/>
    <w:rsid w:val="714B0200"/>
    <w:rsid w:val="714B53B7"/>
    <w:rsid w:val="714D04D7"/>
    <w:rsid w:val="714D2D21"/>
    <w:rsid w:val="714E029B"/>
    <w:rsid w:val="714E7CAB"/>
    <w:rsid w:val="714F4CEB"/>
    <w:rsid w:val="71525E28"/>
    <w:rsid w:val="71557E27"/>
    <w:rsid w:val="71566079"/>
    <w:rsid w:val="71573B9F"/>
    <w:rsid w:val="715A543E"/>
    <w:rsid w:val="715B38AB"/>
    <w:rsid w:val="71626CB9"/>
    <w:rsid w:val="71671AD6"/>
    <w:rsid w:val="71685DAD"/>
    <w:rsid w:val="716B13F9"/>
    <w:rsid w:val="716B46E4"/>
    <w:rsid w:val="716D5F56"/>
    <w:rsid w:val="716F04D2"/>
    <w:rsid w:val="71710EA0"/>
    <w:rsid w:val="717719D9"/>
    <w:rsid w:val="71793B16"/>
    <w:rsid w:val="71797598"/>
    <w:rsid w:val="717A762F"/>
    <w:rsid w:val="717F5AFE"/>
    <w:rsid w:val="718377C5"/>
    <w:rsid w:val="7184779C"/>
    <w:rsid w:val="71871D75"/>
    <w:rsid w:val="718A7AD1"/>
    <w:rsid w:val="71902C0D"/>
    <w:rsid w:val="71922E29"/>
    <w:rsid w:val="71926B20"/>
    <w:rsid w:val="71933DFC"/>
    <w:rsid w:val="719A2526"/>
    <w:rsid w:val="719B24E4"/>
    <w:rsid w:val="71A8419D"/>
    <w:rsid w:val="71A86046"/>
    <w:rsid w:val="71A861A9"/>
    <w:rsid w:val="71A93CA6"/>
    <w:rsid w:val="71AA3CCF"/>
    <w:rsid w:val="71AC3DD2"/>
    <w:rsid w:val="71AD7C63"/>
    <w:rsid w:val="71AE26B0"/>
    <w:rsid w:val="71B0505E"/>
    <w:rsid w:val="71B05423"/>
    <w:rsid w:val="71B21B14"/>
    <w:rsid w:val="71B61485"/>
    <w:rsid w:val="71B70EAA"/>
    <w:rsid w:val="71B92164"/>
    <w:rsid w:val="71B96608"/>
    <w:rsid w:val="71BF5462"/>
    <w:rsid w:val="71C12F3C"/>
    <w:rsid w:val="71C60288"/>
    <w:rsid w:val="71CA4371"/>
    <w:rsid w:val="71CE323A"/>
    <w:rsid w:val="71D05564"/>
    <w:rsid w:val="71D260B4"/>
    <w:rsid w:val="71D62573"/>
    <w:rsid w:val="71D71580"/>
    <w:rsid w:val="71DE58A0"/>
    <w:rsid w:val="71E12343"/>
    <w:rsid w:val="71E4311C"/>
    <w:rsid w:val="71E54313"/>
    <w:rsid w:val="71E847F7"/>
    <w:rsid w:val="71E867AC"/>
    <w:rsid w:val="71E97D85"/>
    <w:rsid w:val="71EB6E5A"/>
    <w:rsid w:val="71EC078C"/>
    <w:rsid w:val="71EE0266"/>
    <w:rsid w:val="71EE2F68"/>
    <w:rsid w:val="71F1492E"/>
    <w:rsid w:val="71F22E33"/>
    <w:rsid w:val="71F81592"/>
    <w:rsid w:val="71F86082"/>
    <w:rsid w:val="71F92EA9"/>
    <w:rsid w:val="71FD350D"/>
    <w:rsid w:val="71FD5077"/>
    <w:rsid w:val="71FD64F5"/>
    <w:rsid w:val="720431E5"/>
    <w:rsid w:val="72082F01"/>
    <w:rsid w:val="720F6228"/>
    <w:rsid w:val="7218415A"/>
    <w:rsid w:val="72192C03"/>
    <w:rsid w:val="721B2E1F"/>
    <w:rsid w:val="721B609C"/>
    <w:rsid w:val="721D25EB"/>
    <w:rsid w:val="721E46BD"/>
    <w:rsid w:val="722079FA"/>
    <w:rsid w:val="72225F5B"/>
    <w:rsid w:val="72284130"/>
    <w:rsid w:val="722848F5"/>
    <w:rsid w:val="7229553C"/>
    <w:rsid w:val="722A4E10"/>
    <w:rsid w:val="722C0B88"/>
    <w:rsid w:val="722C2B09"/>
    <w:rsid w:val="722C497F"/>
    <w:rsid w:val="722E4900"/>
    <w:rsid w:val="72313EC3"/>
    <w:rsid w:val="72331F17"/>
    <w:rsid w:val="723637B5"/>
    <w:rsid w:val="723671E1"/>
    <w:rsid w:val="72367553"/>
    <w:rsid w:val="7237112E"/>
    <w:rsid w:val="723F6274"/>
    <w:rsid w:val="7244764E"/>
    <w:rsid w:val="7246348B"/>
    <w:rsid w:val="724834E8"/>
    <w:rsid w:val="724971E4"/>
    <w:rsid w:val="724C0875"/>
    <w:rsid w:val="724D4340"/>
    <w:rsid w:val="724D4387"/>
    <w:rsid w:val="724F4877"/>
    <w:rsid w:val="725105EF"/>
    <w:rsid w:val="72536115"/>
    <w:rsid w:val="725620A9"/>
    <w:rsid w:val="72565C05"/>
    <w:rsid w:val="72580647"/>
    <w:rsid w:val="72587BCF"/>
    <w:rsid w:val="725B146D"/>
    <w:rsid w:val="725B2742"/>
    <w:rsid w:val="725B76BF"/>
    <w:rsid w:val="725C2ACA"/>
    <w:rsid w:val="72621EE9"/>
    <w:rsid w:val="72634067"/>
    <w:rsid w:val="72655737"/>
    <w:rsid w:val="72695538"/>
    <w:rsid w:val="726A2AAA"/>
    <w:rsid w:val="726F620E"/>
    <w:rsid w:val="727067FE"/>
    <w:rsid w:val="727070C6"/>
    <w:rsid w:val="7272062C"/>
    <w:rsid w:val="727416AD"/>
    <w:rsid w:val="727C1161"/>
    <w:rsid w:val="72822E9E"/>
    <w:rsid w:val="728269FA"/>
    <w:rsid w:val="72842772"/>
    <w:rsid w:val="72874010"/>
    <w:rsid w:val="728E4F67"/>
    <w:rsid w:val="728F1117"/>
    <w:rsid w:val="728F2982"/>
    <w:rsid w:val="728F7B8E"/>
    <w:rsid w:val="729055BB"/>
    <w:rsid w:val="72930C07"/>
    <w:rsid w:val="7298420E"/>
    <w:rsid w:val="7298446F"/>
    <w:rsid w:val="729B5D0E"/>
    <w:rsid w:val="729C0A73"/>
    <w:rsid w:val="729C5033"/>
    <w:rsid w:val="729D4E7D"/>
    <w:rsid w:val="72A17885"/>
    <w:rsid w:val="72A34C12"/>
    <w:rsid w:val="72A577D6"/>
    <w:rsid w:val="72A57DCD"/>
    <w:rsid w:val="72A921D9"/>
    <w:rsid w:val="72AA0ADE"/>
    <w:rsid w:val="72AB5F51"/>
    <w:rsid w:val="72AC67BD"/>
    <w:rsid w:val="72AC7F1B"/>
    <w:rsid w:val="72B03F84"/>
    <w:rsid w:val="72B62B48"/>
    <w:rsid w:val="72B648F6"/>
    <w:rsid w:val="72B664E0"/>
    <w:rsid w:val="72B8066E"/>
    <w:rsid w:val="72C139C6"/>
    <w:rsid w:val="72C1593C"/>
    <w:rsid w:val="72C40DC1"/>
    <w:rsid w:val="72C60CD8"/>
    <w:rsid w:val="72C71ECD"/>
    <w:rsid w:val="72C753C1"/>
    <w:rsid w:val="72C75577"/>
    <w:rsid w:val="72C83D89"/>
    <w:rsid w:val="72CB65F3"/>
    <w:rsid w:val="72CC7EEB"/>
    <w:rsid w:val="72D134DE"/>
    <w:rsid w:val="72D27981"/>
    <w:rsid w:val="72D33085"/>
    <w:rsid w:val="72D94EEC"/>
    <w:rsid w:val="72DA6836"/>
    <w:rsid w:val="72DD00D4"/>
    <w:rsid w:val="72E17BC5"/>
    <w:rsid w:val="72E256EB"/>
    <w:rsid w:val="72E6342D"/>
    <w:rsid w:val="72E66F89"/>
    <w:rsid w:val="72E74AAF"/>
    <w:rsid w:val="72E83DD1"/>
    <w:rsid w:val="72E91C84"/>
    <w:rsid w:val="72F21DD2"/>
    <w:rsid w:val="72F35B4A"/>
    <w:rsid w:val="72F746EB"/>
    <w:rsid w:val="72FC6D7F"/>
    <w:rsid w:val="72FD282B"/>
    <w:rsid w:val="73025471"/>
    <w:rsid w:val="73057B87"/>
    <w:rsid w:val="730613D9"/>
    <w:rsid w:val="73076A09"/>
    <w:rsid w:val="73081ADA"/>
    <w:rsid w:val="730848DB"/>
    <w:rsid w:val="730A1B38"/>
    <w:rsid w:val="730D63F6"/>
    <w:rsid w:val="730F10D1"/>
    <w:rsid w:val="731109F8"/>
    <w:rsid w:val="73117D12"/>
    <w:rsid w:val="73125FD0"/>
    <w:rsid w:val="731631DE"/>
    <w:rsid w:val="7319038C"/>
    <w:rsid w:val="731A6B84"/>
    <w:rsid w:val="731D4975"/>
    <w:rsid w:val="731E3543"/>
    <w:rsid w:val="731F06ED"/>
    <w:rsid w:val="73214465"/>
    <w:rsid w:val="73245D03"/>
    <w:rsid w:val="732710B7"/>
    <w:rsid w:val="732E79AE"/>
    <w:rsid w:val="732F4DF0"/>
    <w:rsid w:val="73342B37"/>
    <w:rsid w:val="7336222B"/>
    <w:rsid w:val="73375A36"/>
    <w:rsid w:val="73397787"/>
    <w:rsid w:val="73397A01"/>
    <w:rsid w:val="733B04FD"/>
    <w:rsid w:val="733C0072"/>
    <w:rsid w:val="7344325F"/>
    <w:rsid w:val="734608FB"/>
    <w:rsid w:val="73487C44"/>
    <w:rsid w:val="734B7734"/>
    <w:rsid w:val="7350457E"/>
    <w:rsid w:val="73530396"/>
    <w:rsid w:val="73544A9D"/>
    <w:rsid w:val="73577E87"/>
    <w:rsid w:val="735935F3"/>
    <w:rsid w:val="73602671"/>
    <w:rsid w:val="73614861"/>
    <w:rsid w:val="73662B71"/>
    <w:rsid w:val="7370719A"/>
    <w:rsid w:val="737177F2"/>
    <w:rsid w:val="73722F12"/>
    <w:rsid w:val="7373744D"/>
    <w:rsid w:val="73774085"/>
    <w:rsid w:val="73781BAB"/>
    <w:rsid w:val="73797AA0"/>
    <w:rsid w:val="737A3B75"/>
    <w:rsid w:val="737B14AA"/>
    <w:rsid w:val="737C4FBF"/>
    <w:rsid w:val="737D5EB8"/>
    <w:rsid w:val="738215C4"/>
    <w:rsid w:val="73832A2A"/>
    <w:rsid w:val="73836ECE"/>
    <w:rsid w:val="73844DAE"/>
    <w:rsid w:val="73852C46"/>
    <w:rsid w:val="738549F4"/>
    <w:rsid w:val="7386251A"/>
    <w:rsid w:val="73880040"/>
    <w:rsid w:val="73893B6E"/>
    <w:rsid w:val="738B271B"/>
    <w:rsid w:val="738D4520"/>
    <w:rsid w:val="738E2D3B"/>
    <w:rsid w:val="738F520D"/>
    <w:rsid w:val="739105CB"/>
    <w:rsid w:val="73922C6D"/>
    <w:rsid w:val="73930A62"/>
    <w:rsid w:val="739369E5"/>
    <w:rsid w:val="73942E89"/>
    <w:rsid w:val="73974727"/>
    <w:rsid w:val="739764D5"/>
    <w:rsid w:val="739D7782"/>
    <w:rsid w:val="739F1C55"/>
    <w:rsid w:val="73A105D0"/>
    <w:rsid w:val="73A17354"/>
    <w:rsid w:val="73A40BF2"/>
    <w:rsid w:val="73A429A0"/>
    <w:rsid w:val="73A6496A"/>
    <w:rsid w:val="73A7267D"/>
    <w:rsid w:val="73AE7C9B"/>
    <w:rsid w:val="73B10D33"/>
    <w:rsid w:val="73B36957"/>
    <w:rsid w:val="73B509ED"/>
    <w:rsid w:val="73BA21C4"/>
    <w:rsid w:val="73BF4D47"/>
    <w:rsid w:val="73C31DB1"/>
    <w:rsid w:val="73C32EC1"/>
    <w:rsid w:val="73C3376E"/>
    <w:rsid w:val="73CA2C2F"/>
    <w:rsid w:val="73CB43D1"/>
    <w:rsid w:val="73CB617F"/>
    <w:rsid w:val="73CD5EEC"/>
    <w:rsid w:val="73CE2E42"/>
    <w:rsid w:val="73CF3EC1"/>
    <w:rsid w:val="73D47EC5"/>
    <w:rsid w:val="73D72D76"/>
    <w:rsid w:val="73D82465"/>
    <w:rsid w:val="73D9438B"/>
    <w:rsid w:val="73D94D40"/>
    <w:rsid w:val="73DA2545"/>
    <w:rsid w:val="73DE5015"/>
    <w:rsid w:val="73E13BF4"/>
    <w:rsid w:val="73E60CDB"/>
    <w:rsid w:val="73ED2599"/>
    <w:rsid w:val="73ED57A6"/>
    <w:rsid w:val="73F110DE"/>
    <w:rsid w:val="73F27BAF"/>
    <w:rsid w:val="73F43927"/>
    <w:rsid w:val="73F531FC"/>
    <w:rsid w:val="73F761C2"/>
    <w:rsid w:val="73F80B9D"/>
    <w:rsid w:val="73FC4616"/>
    <w:rsid w:val="73FC73C3"/>
    <w:rsid w:val="740075B9"/>
    <w:rsid w:val="74011743"/>
    <w:rsid w:val="74021514"/>
    <w:rsid w:val="74032172"/>
    <w:rsid w:val="74035260"/>
    <w:rsid w:val="740907C8"/>
    <w:rsid w:val="740C1080"/>
    <w:rsid w:val="740E3D13"/>
    <w:rsid w:val="74100AC5"/>
    <w:rsid w:val="741031B9"/>
    <w:rsid w:val="741144D9"/>
    <w:rsid w:val="74125515"/>
    <w:rsid w:val="74161AF0"/>
    <w:rsid w:val="741713C4"/>
    <w:rsid w:val="741873DE"/>
    <w:rsid w:val="7419513C"/>
    <w:rsid w:val="741D4ECE"/>
    <w:rsid w:val="741E2752"/>
    <w:rsid w:val="741F1B9C"/>
    <w:rsid w:val="7423420D"/>
    <w:rsid w:val="742A559B"/>
    <w:rsid w:val="743106D8"/>
    <w:rsid w:val="74396BCD"/>
    <w:rsid w:val="743C0E2B"/>
    <w:rsid w:val="743E50DD"/>
    <w:rsid w:val="74416441"/>
    <w:rsid w:val="74473390"/>
    <w:rsid w:val="744A3547"/>
    <w:rsid w:val="744A79EB"/>
    <w:rsid w:val="744D0661"/>
    <w:rsid w:val="744D70E5"/>
    <w:rsid w:val="744F0247"/>
    <w:rsid w:val="74501460"/>
    <w:rsid w:val="74503971"/>
    <w:rsid w:val="74535DBC"/>
    <w:rsid w:val="74566390"/>
    <w:rsid w:val="74586756"/>
    <w:rsid w:val="745A3D0B"/>
    <w:rsid w:val="745C4374"/>
    <w:rsid w:val="745F04EA"/>
    <w:rsid w:val="74624D35"/>
    <w:rsid w:val="74642285"/>
    <w:rsid w:val="746565D3"/>
    <w:rsid w:val="746756BB"/>
    <w:rsid w:val="746A64B4"/>
    <w:rsid w:val="746B23D4"/>
    <w:rsid w:val="746E5488"/>
    <w:rsid w:val="746F26E3"/>
    <w:rsid w:val="74741438"/>
    <w:rsid w:val="747571F2"/>
    <w:rsid w:val="747607E0"/>
    <w:rsid w:val="747800B5"/>
    <w:rsid w:val="74784559"/>
    <w:rsid w:val="747B00E9"/>
    <w:rsid w:val="74865C7E"/>
    <w:rsid w:val="748A0219"/>
    <w:rsid w:val="748B21CA"/>
    <w:rsid w:val="748B453A"/>
    <w:rsid w:val="748C3B60"/>
    <w:rsid w:val="748D0CB4"/>
    <w:rsid w:val="748F6039"/>
    <w:rsid w:val="74953893"/>
    <w:rsid w:val="74996FAB"/>
    <w:rsid w:val="74997316"/>
    <w:rsid w:val="749B4A0F"/>
    <w:rsid w:val="749F7D37"/>
    <w:rsid w:val="74A01EDA"/>
    <w:rsid w:val="74A519A0"/>
    <w:rsid w:val="74AA7E45"/>
    <w:rsid w:val="74B300E5"/>
    <w:rsid w:val="74B547F1"/>
    <w:rsid w:val="74B54AB4"/>
    <w:rsid w:val="74B92901"/>
    <w:rsid w:val="74BA2BA7"/>
    <w:rsid w:val="74BD678C"/>
    <w:rsid w:val="74C459E9"/>
    <w:rsid w:val="74C45FED"/>
    <w:rsid w:val="74C95992"/>
    <w:rsid w:val="74CB0B2C"/>
    <w:rsid w:val="74CC27A6"/>
    <w:rsid w:val="74CF3FAF"/>
    <w:rsid w:val="74D07EF1"/>
    <w:rsid w:val="74D12EF2"/>
    <w:rsid w:val="74D95FC0"/>
    <w:rsid w:val="74DB6895"/>
    <w:rsid w:val="74DD260E"/>
    <w:rsid w:val="74E37FCA"/>
    <w:rsid w:val="74E92D60"/>
    <w:rsid w:val="74EA0572"/>
    <w:rsid w:val="74EE3366"/>
    <w:rsid w:val="74EF5B6E"/>
    <w:rsid w:val="74F04A56"/>
    <w:rsid w:val="74F160B9"/>
    <w:rsid w:val="74F34402"/>
    <w:rsid w:val="74F55BA9"/>
    <w:rsid w:val="74F71921"/>
    <w:rsid w:val="74F8748F"/>
    <w:rsid w:val="74FB50C1"/>
    <w:rsid w:val="75036E13"/>
    <w:rsid w:val="750D36FE"/>
    <w:rsid w:val="7510717F"/>
    <w:rsid w:val="7513602F"/>
    <w:rsid w:val="75157FF9"/>
    <w:rsid w:val="75182C4E"/>
    <w:rsid w:val="75184AEE"/>
    <w:rsid w:val="751B4A5F"/>
    <w:rsid w:val="75247522"/>
    <w:rsid w:val="752975C2"/>
    <w:rsid w:val="752A5D34"/>
    <w:rsid w:val="752B54B7"/>
    <w:rsid w:val="75321E75"/>
    <w:rsid w:val="7535244A"/>
    <w:rsid w:val="753846BF"/>
    <w:rsid w:val="753A7265"/>
    <w:rsid w:val="753B5431"/>
    <w:rsid w:val="753C37D8"/>
    <w:rsid w:val="753C5586"/>
    <w:rsid w:val="753F36F1"/>
    <w:rsid w:val="754200FE"/>
    <w:rsid w:val="754206C3"/>
    <w:rsid w:val="75425809"/>
    <w:rsid w:val="7544443B"/>
    <w:rsid w:val="75481556"/>
    <w:rsid w:val="75485F9F"/>
    <w:rsid w:val="75497CA3"/>
    <w:rsid w:val="754D1541"/>
    <w:rsid w:val="754E0E15"/>
    <w:rsid w:val="75530B22"/>
    <w:rsid w:val="7554137A"/>
    <w:rsid w:val="75570A81"/>
    <w:rsid w:val="75581C94"/>
    <w:rsid w:val="755E034F"/>
    <w:rsid w:val="75630D65"/>
    <w:rsid w:val="75690BA5"/>
    <w:rsid w:val="75695C4F"/>
    <w:rsid w:val="75697EF3"/>
    <w:rsid w:val="756B5246"/>
    <w:rsid w:val="75742F72"/>
    <w:rsid w:val="757840E4"/>
    <w:rsid w:val="75792336"/>
    <w:rsid w:val="757A60AE"/>
    <w:rsid w:val="757C1E26"/>
    <w:rsid w:val="757E5B9F"/>
    <w:rsid w:val="757F5473"/>
    <w:rsid w:val="75802AC1"/>
    <w:rsid w:val="75812F99"/>
    <w:rsid w:val="7581506D"/>
    <w:rsid w:val="75834F63"/>
    <w:rsid w:val="75853EAC"/>
    <w:rsid w:val="75872B9E"/>
    <w:rsid w:val="758B2F20"/>
    <w:rsid w:val="758C16C5"/>
    <w:rsid w:val="758D193E"/>
    <w:rsid w:val="759055A1"/>
    <w:rsid w:val="7592273A"/>
    <w:rsid w:val="75947170"/>
    <w:rsid w:val="75956A44"/>
    <w:rsid w:val="759727BC"/>
    <w:rsid w:val="759A22AD"/>
    <w:rsid w:val="759B75AD"/>
    <w:rsid w:val="759D1CBC"/>
    <w:rsid w:val="759F1CBD"/>
    <w:rsid w:val="75A1188D"/>
    <w:rsid w:val="75A14092"/>
    <w:rsid w:val="75A3561E"/>
    <w:rsid w:val="75A440EE"/>
    <w:rsid w:val="75A86778"/>
    <w:rsid w:val="75A90742"/>
    <w:rsid w:val="75AC0DCF"/>
    <w:rsid w:val="75AF5D58"/>
    <w:rsid w:val="75B46978"/>
    <w:rsid w:val="75B50E95"/>
    <w:rsid w:val="75B601F6"/>
    <w:rsid w:val="75BB03B5"/>
    <w:rsid w:val="75BD300C"/>
    <w:rsid w:val="75BF4A78"/>
    <w:rsid w:val="75C25B04"/>
    <w:rsid w:val="75C41CD2"/>
    <w:rsid w:val="75C5557C"/>
    <w:rsid w:val="75C779C2"/>
    <w:rsid w:val="75C90BC7"/>
    <w:rsid w:val="75CB6EB8"/>
    <w:rsid w:val="75CC6B6B"/>
    <w:rsid w:val="75CC6D56"/>
    <w:rsid w:val="75CF37E0"/>
    <w:rsid w:val="75D20E59"/>
    <w:rsid w:val="75D25EEA"/>
    <w:rsid w:val="75D67789"/>
    <w:rsid w:val="75D9184B"/>
    <w:rsid w:val="75D91A00"/>
    <w:rsid w:val="75DA25A1"/>
    <w:rsid w:val="75DA6B4D"/>
    <w:rsid w:val="75DB7B65"/>
    <w:rsid w:val="75E33C54"/>
    <w:rsid w:val="75E5382F"/>
    <w:rsid w:val="75E666D5"/>
    <w:rsid w:val="75EA6D90"/>
    <w:rsid w:val="75ED6880"/>
    <w:rsid w:val="75EF77BC"/>
    <w:rsid w:val="75F25C45"/>
    <w:rsid w:val="75F75DC3"/>
    <w:rsid w:val="75F96FD3"/>
    <w:rsid w:val="75FB3B4E"/>
    <w:rsid w:val="75FD0BD5"/>
    <w:rsid w:val="76022D28"/>
    <w:rsid w:val="760234D3"/>
    <w:rsid w:val="7603261B"/>
    <w:rsid w:val="76041503"/>
    <w:rsid w:val="760416B8"/>
    <w:rsid w:val="76062E1A"/>
    <w:rsid w:val="76067942"/>
    <w:rsid w:val="76082EC7"/>
    <w:rsid w:val="76083D29"/>
    <w:rsid w:val="7609649E"/>
    <w:rsid w:val="760C05B4"/>
    <w:rsid w:val="760D2A7F"/>
    <w:rsid w:val="761017D5"/>
    <w:rsid w:val="761262E7"/>
    <w:rsid w:val="76131B22"/>
    <w:rsid w:val="7615468D"/>
    <w:rsid w:val="76154905"/>
    <w:rsid w:val="761958C7"/>
    <w:rsid w:val="761B2390"/>
    <w:rsid w:val="761B33ED"/>
    <w:rsid w:val="761C7166"/>
    <w:rsid w:val="762229CE"/>
    <w:rsid w:val="762C1BC5"/>
    <w:rsid w:val="76317661"/>
    <w:rsid w:val="76396804"/>
    <w:rsid w:val="763D406E"/>
    <w:rsid w:val="763E3477"/>
    <w:rsid w:val="76403136"/>
    <w:rsid w:val="764514D8"/>
    <w:rsid w:val="764C17F9"/>
    <w:rsid w:val="76527FAF"/>
    <w:rsid w:val="76530DD9"/>
    <w:rsid w:val="76555A81"/>
    <w:rsid w:val="7657705B"/>
    <w:rsid w:val="765A32BE"/>
    <w:rsid w:val="765A5065"/>
    <w:rsid w:val="765B79F0"/>
    <w:rsid w:val="765E777E"/>
    <w:rsid w:val="765F0633"/>
    <w:rsid w:val="766D599B"/>
    <w:rsid w:val="76710872"/>
    <w:rsid w:val="76746FA2"/>
    <w:rsid w:val="76760624"/>
    <w:rsid w:val="767825EE"/>
    <w:rsid w:val="7679296C"/>
    <w:rsid w:val="767945B8"/>
    <w:rsid w:val="767A7EFC"/>
    <w:rsid w:val="767D46CB"/>
    <w:rsid w:val="7682202F"/>
    <w:rsid w:val="7682346D"/>
    <w:rsid w:val="76832D41"/>
    <w:rsid w:val="76841E90"/>
    <w:rsid w:val="76845338"/>
    <w:rsid w:val="76866AB1"/>
    <w:rsid w:val="76872831"/>
    <w:rsid w:val="7687606F"/>
    <w:rsid w:val="768A2321"/>
    <w:rsid w:val="768D7425"/>
    <w:rsid w:val="76937662"/>
    <w:rsid w:val="76990013"/>
    <w:rsid w:val="769907B6"/>
    <w:rsid w:val="769D3E02"/>
    <w:rsid w:val="76A076F1"/>
    <w:rsid w:val="76A1582A"/>
    <w:rsid w:val="76A50F09"/>
    <w:rsid w:val="76AA4771"/>
    <w:rsid w:val="76AC1F79"/>
    <w:rsid w:val="76AC673B"/>
    <w:rsid w:val="76AC7B4F"/>
    <w:rsid w:val="76AF65D6"/>
    <w:rsid w:val="76AF73D6"/>
    <w:rsid w:val="76B30F99"/>
    <w:rsid w:val="76B37ACA"/>
    <w:rsid w:val="76B40922"/>
    <w:rsid w:val="76B70072"/>
    <w:rsid w:val="76BB28DB"/>
    <w:rsid w:val="76C26FED"/>
    <w:rsid w:val="76C375E1"/>
    <w:rsid w:val="76C5117A"/>
    <w:rsid w:val="76C577FD"/>
    <w:rsid w:val="76C70E7F"/>
    <w:rsid w:val="76C84476"/>
    <w:rsid w:val="76C956E3"/>
    <w:rsid w:val="76CA6BC2"/>
    <w:rsid w:val="76CD220E"/>
    <w:rsid w:val="76CE0460"/>
    <w:rsid w:val="76D4652F"/>
    <w:rsid w:val="76D954B5"/>
    <w:rsid w:val="76DE441B"/>
    <w:rsid w:val="76E16AC1"/>
    <w:rsid w:val="76E539FB"/>
    <w:rsid w:val="76E56ABD"/>
    <w:rsid w:val="76E5755F"/>
    <w:rsid w:val="76E901A5"/>
    <w:rsid w:val="76EA791B"/>
    <w:rsid w:val="76EB3533"/>
    <w:rsid w:val="76EC6EC5"/>
    <w:rsid w:val="76EF6628"/>
    <w:rsid w:val="76F01A11"/>
    <w:rsid w:val="76F03C2D"/>
    <w:rsid w:val="76F2762A"/>
    <w:rsid w:val="76F51E90"/>
    <w:rsid w:val="76F5258C"/>
    <w:rsid w:val="76F675FA"/>
    <w:rsid w:val="76F92204"/>
    <w:rsid w:val="76F940D2"/>
    <w:rsid w:val="76FA3CB3"/>
    <w:rsid w:val="76FE7F7B"/>
    <w:rsid w:val="76FF2D0F"/>
    <w:rsid w:val="77020109"/>
    <w:rsid w:val="7702419C"/>
    <w:rsid w:val="77057BFA"/>
    <w:rsid w:val="770737D2"/>
    <w:rsid w:val="770B7532"/>
    <w:rsid w:val="770D3559"/>
    <w:rsid w:val="771238C5"/>
    <w:rsid w:val="771C566F"/>
    <w:rsid w:val="771D4F43"/>
    <w:rsid w:val="77210E54"/>
    <w:rsid w:val="7722224D"/>
    <w:rsid w:val="772269FE"/>
    <w:rsid w:val="77237793"/>
    <w:rsid w:val="772605C7"/>
    <w:rsid w:val="772B3B04"/>
    <w:rsid w:val="772B58B2"/>
    <w:rsid w:val="7730111A"/>
    <w:rsid w:val="77312881"/>
    <w:rsid w:val="77316A3F"/>
    <w:rsid w:val="77370EEF"/>
    <w:rsid w:val="77383B2B"/>
    <w:rsid w:val="773B4930"/>
    <w:rsid w:val="773D6051"/>
    <w:rsid w:val="7743248B"/>
    <w:rsid w:val="77440722"/>
    <w:rsid w:val="77443A25"/>
    <w:rsid w:val="774534FF"/>
    <w:rsid w:val="77461FD7"/>
    <w:rsid w:val="77472401"/>
    <w:rsid w:val="77480B38"/>
    <w:rsid w:val="774B7D02"/>
    <w:rsid w:val="774D0780"/>
    <w:rsid w:val="774F242E"/>
    <w:rsid w:val="77504B81"/>
    <w:rsid w:val="77521091"/>
    <w:rsid w:val="775274E2"/>
    <w:rsid w:val="77533873"/>
    <w:rsid w:val="77564E1C"/>
    <w:rsid w:val="775766A7"/>
    <w:rsid w:val="7758241F"/>
    <w:rsid w:val="77587EE0"/>
    <w:rsid w:val="775E5A5C"/>
    <w:rsid w:val="775F40CE"/>
    <w:rsid w:val="77666E76"/>
    <w:rsid w:val="776C400D"/>
    <w:rsid w:val="776C4EAA"/>
    <w:rsid w:val="776F42E7"/>
    <w:rsid w:val="776F59C7"/>
    <w:rsid w:val="77716ACC"/>
    <w:rsid w:val="77727852"/>
    <w:rsid w:val="77731007"/>
    <w:rsid w:val="77732816"/>
    <w:rsid w:val="77744DB1"/>
    <w:rsid w:val="777B0B7D"/>
    <w:rsid w:val="777C4360"/>
    <w:rsid w:val="777F0D5F"/>
    <w:rsid w:val="77836040"/>
    <w:rsid w:val="77855D5D"/>
    <w:rsid w:val="77865517"/>
    <w:rsid w:val="77866F8C"/>
    <w:rsid w:val="778817D1"/>
    <w:rsid w:val="778925D9"/>
    <w:rsid w:val="778B00FF"/>
    <w:rsid w:val="778F1AA1"/>
    <w:rsid w:val="77901BB9"/>
    <w:rsid w:val="779276DF"/>
    <w:rsid w:val="77931A6B"/>
    <w:rsid w:val="77980A6E"/>
    <w:rsid w:val="77A25C36"/>
    <w:rsid w:val="77A95664"/>
    <w:rsid w:val="77AA69AB"/>
    <w:rsid w:val="77AB3D4D"/>
    <w:rsid w:val="77AE0291"/>
    <w:rsid w:val="77B0302E"/>
    <w:rsid w:val="77B640DF"/>
    <w:rsid w:val="77B77313"/>
    <w:rsid w:val="77B77FF7"/>
    <w:rsid w:val="77BA6C36"/>
    <w:rsid w:val="77BF07B7"/>
    <w:rsid w:val="77C1298F"/>
    <w:rsid w:val="77C6382D"/>
    <w:rsid w:val="77C67389"/>
    <w:rsid w:val="77CC3C2D"/>
    <w:rsid w:val="77CE36ED"/>
    <w:rsid w:val="77CE5B33"/>
    <w:rsid w:val="77CF1FD3"/>
    <w:rsid w:val="77D01FB6"/>
    <w:rsid w:val="77D0645A"/>
    <w:rsid w:val="77D53CE3"/>
    <w:rsid w:val="77D6631D"/>
    <w:rsid w:val="77D75DD4"/>
    <w:rsid w:val="77D818F2"/>
    <w:rsid w:val="77DE2925"/>
    <w:rsid w:val="77E141C3"/>
    <w:rsid w:val="77E34EB2"/>
    <w:rsid w:val="77E471C2"/>
    <w:rsid w:val="77E85551"/>
    <w:rsid w:val="77EE7463"/>
    <w:rsid w:val="77F008AA"/>
    <w:rsid w:val="77F13C27"/>
    <w:rsid w:val="77F2444E"/>
    <w:rsid w:val="77F6495D"/>
    <w:rsid w:val="77F71ACE"/>
    <w:rsid w:val="77FC3E55"/>
    <w:rsid w:val="77FD0015"/>
    <w:rsid w:val="77FF289B"/>
    <w:rsid w:val="78012BEE"/>
    <w:rsid w:val="780340CB"/>
    <w:rsid w:val="78034139"/>
    <w:rsid w:val="78034526"/>
    <w:rsid w:val="78047EB1"/>
    <w:rsid w:val="780776C9"/>
    <w:rsid w:val="780802FA"/>
    <w:rsid w:val="780A196C"/>
    <w:rsid w:val="780A1C30"/>
    <w:rsid w:val="780A5F0F"/>
    <w:rsid w:val="780B56E4"/>
    <w:rsid w:val="780B5731"/>
    <w:rsid w:val="780C11B9"/>
    <w:rsid w:val="780D320A"/>
    <w:rsid w:val="78112CFA"/>
    <w:rsid w:val="78126A72"/>
    <w:rsid w:val="781B3BCE"/>
    <w:rsid w:val="781E6FB1"/>
    <w:rsid w:val="78220D5C"/>
    <w:rsid w:val="782347DB"/>
    <w:rsid w:val="78240802"/>
    <w:rsid w:val="782D1423"/>
    <w:rsid w:val="782D178F"/>
    <w:rsid w:val="782D1944"/>
    <w:rsid w:val="7830329A"/>
    <w:rsid w:val="78310F71"/>
    <w:rsid w:val="78322C70"/>
    <w:rsid w:val="78342545"/>
    <w:rsid w:val="7838032A"/>
    <w:rsid w:val="78395DAD"/>
    <w:rsid w:val="783A38D3"/>
    <w:rsid w:val="783C589D"/>
    <w:rsid w:val="783E33C3"/>
    <w:rsid w:val="783E6F69"/>
    <w:rsid w:val="784309DA"/>
    <w:rsid w:val="78436C2C"/>
    <w:rsid w:val="78454C8A"/>
    <w:rsid w:val="78474694"/>
    <w:rsid w:val="78496FD5"/>
    <w:rsid w:val="784E4535"/>
    <w:rsid w:val="784F4498"/>
    <w:rsid w:val="784F737E"/>
    <w:rsid w:val="78547024"/>
    <w:rsid w:val="785525A2"/>
    <w:rsid w:val="785849F1"/>
    <w:rsid w:val="785C1A9B"/>
    <w:rsid w:val="785F1566"/>
    <w:rsid w:val="7863385C"/>
    <w:rsid w:val="786646C8"/>
    <w:rsid w:val="786A240A"/>
    <w:rsid w:val="786C135D"/>
    <w:rsid w:val="786C7316"/>
    <w:rsid w:val="786D60A8"/>
    <w:rsid w:val="786E7B73"/>
    <w:rsid w:val="786E7BCB"/>
    <w:rsid w:val="786F5C73"/>
    <w:rsid w:val="786F7A21"/>
    <w:rsid w:val="7871020C"/>
    <w:rsid w:val="7871654C"/>
    <w:rsid w:val="78743289"/>
    <w:rsid w:val="78746B04"/>
    <w:rsid w:val="78774B27"/>
    <w:rsid w:val="787B4C29"/>
    <w:rsid w:val="787C3CB3"/>
    <w:rsid w:val="787D213D"/>
    <w:rsid w:val="78807066"/>
    <w:rsid w:val="78846D1E"/>
    <w:rsid w:val="78861194"/>
    <w:rsid w:val="788B412F"/>
    <w:rsid w:val="788C5D4F"/>
    <w:rsid w:val="788D434B"/>
    <w:rsid w:val="788F2E8E"/>
    <w:rsid w:val="78912E9A"/>
    <w:rsid w:val="78916D8B"/>
    <w:rsid w:val="78931961"/>
    <w:rsid w:val="7894140D"/>
    <w:rsid w:val="78964FAD"/>
    <w:rsid w:val="78970D25"/>
    <w:rsid w:val="78972AD3"/>
    <w:rsid w:val="78973000"/>
    <w:rsid w:val="789A1E52"/>
    <w:rsid w:val="789D734B"/>
    <w:rsid w:val="78A05E2C"/>
    <w:rsid w:val="78A13E89"/>
    <w:rsid w:val="78A51694"/>
    <w:rsid w:val="78AD0549"/>
    <w:rsid w:val="78AF777E"/>
    <w:rsid w:val="78B10039"/>
    <w:rsid w:val="78B14583"/>
    <w:rsid w:val="78B24B83"/>
    <w:rsid w:val="78BB1024"/>
    <w:rsid w:val="78BB2C66"/>
    <w:rsid w:val="78C0202A"/>
    <w:rsid w:val="78C16F41"/>
    <w:rsid w:val="78C41F41"/>
    <w:rsid w:val="78C6639C"/>
    <w:rsid w:val="78CC4E73"/>
    <w:rsid w:val="78CD62C9"/>
    <w:rsid w:val="78CF04BF"/>
    <w:rsid w:val="78D35C78"/>
    <w:rsid w:val="78D6184E"/>
    <w:rsid w:val="78DA6D60"/>
    <w:rsid w:val="78DA7507"/>
    <w:rsid w:val="78DE34E0"/>
    <w:rsid w:val="78DF3E8C"/>
    <w:rsid w:val="78E03F5E"/>
    <w:rsid w:val="78E0447A"/>
    <w:rsid w:val="78E55DDF"/>
    <w:rsid w:val="78E636B9"/>
    <w:rsid w:val="78E82CBB"/>
    <w:rsid w:val="78ED1061"/>
    <w:rsid w:val="78EE303B"/>
    <w:rsid w:val="78F0598A"/>
    <w:rsid w:val="78F341AE"/>
    <w:rsid w:val="78F35090"/>
    <w:rsid w:val="78F50C83"/>
    <w:rsid w:val="78F77B82"/>
    <w:rsid w:val="78F8252B"/>
    <w:rsid w:val="78F84FB9"/>
    <w:rsid w:val="78F87A16"/>
    <w:rsid w:val="78F9125E"/>
    <w:rsid w:val="78FA6715"/>
    <w:rsid w:val="78FB4446"/>
    <w:rsid w:val="78FD6DDA"/>
    <w:rsid w:val="78FD7201"/>
    <w:rsid w:val="79004B1D"/>
    <w:rsid w:val="79027FE0"/>
    <w:rsid w:val="7905272B"/>
    <w:rsid w:val="790A599B"/>
    <w:rsid w:val="790C1BC9"/>
    <w:rsid w:val="79113130"/>
    <w:rsid w:val="7912455C"/>
    <w:rsid w:val="79125215"/>
    <w:rsid w:val="791258BC"/>
    <w:rsid w:val="79193B3F"/>
    <w:rsid w:val="791B29B4"/>
    <w:rsid w:val="791B54B2"/>
    <w:rsid w:val="791C1854"/>
    <w:rsid w:val="79202AC9"/>
    <w:rsid w:val="79217B18"/>
    <w:rsid w:val="79252141"/>
    <w:rsid w:val="79263294"/>
    <w:rsid w:val="79294FA2"/>
    <w:rsid w:val="792D7A1C"/>
    <w:rsid w:val="792F0F5E"/>
    <w:rsid w:val="7931117A"/>
    <w:rsid w:val="79327795"/>
    <w:rsid w:val="793427DD"/>
    <w:rsid w:val="79346574"/>
    <w:rsid w:val="793512C3"/>
    <w:rsid w:val="7936053E"/>
    <w:rsid w:val="793842B6"/>
    <w:rsid w:val="79390690"/>
    <w:rsid w:val="7941445D"/>
    <w:rsid w:val="794157FA"/>
    <w:rsid w:val="79464C25"/>
    <w:rsid w:val="79492020"/>
    <w:rsid w:val="794B401A"/>
    <w:rsid w:val="794C2F5D"/>
    <w:rsid w:val="794E4171"/>
    <w:rsid w:val="794E6BD4"/>
    <w:rsid w:val="795135CA"/>
    <w:rsid w:val="7953094A"/>
    <w:rsid w:val="79544C2A"/>
    <w:rsid w:val="79556C16"/>
    <w:rsid w:val="795766F4"/>
    <w:rsid w:val="795804B5"/>
    <w:rsid w:val="795B04EA"/>
    <w:rsid w:val="796230E1"/>
    <w:rsid w:val="7968283B"/>
    <w:rsid w:val="796E36A5"/>
    <w:rsid w:val="797846B3"/>
    <w:rsid w:val="79786AD6"/>
    <w:rsid w:val="797A01B0"/>
    <w:rsid w:val="797A71AD"/>
    <w:rsid w:val="797C1055"/>
    <w:rsid w:val="797D7EE4"/>
    <w:rsid w:val="797D7F1B"/>
    <w:rsid w:val="797E3479"/>
    <w:rsid w:val="797F0137"/>
    <w:rsid w:val="797F5D59"/>
    <w:rsid w:val="79840C9C"/>
    <w:rsid w:val="79842FA7"/>
    <w:rsid w:val="7984409D"/>
    <w:rsid w:val="7984703D"/>
    <w:rsid w:val="798A29F5"/>
    <w:rsid w:val="798B055B"/>
    <w:rsid w:val="798D1B37"/>
    <w:rsid w:val="79915775"/>
    <w:rsid w:val="799327DD"/>
    <w:rsid w:val="799356A1"/>
    <w:rsid w:val="79984B30"/>
    <w:rsid w:val="799A03D0"/>
    <w:rsid w:val="799A6677"/>
    <w:rsid w:val="799B65F3"/>
    <w:rsid w:val="799C2E07"/>
    <w:rsid w:val="799C6FB1"/>
    <w:rsid w:val="79A347B1"/>
    <w:rsid w:val="79A371FF"/>
    <w:rsid w:val="79A4144B"/>
    <w:rsid w:val="79A47B9E"/>
    <w:rsid w:val="79A90CCB"/>
    <w:rsid w:val="79AA0A00"/>
    <w:rsid w:val="79AB74B6"/>
    <w:rsid w:val="79AC3E96"/>
    <w:rsid w:val="79AC4C43"/>
    <w:rsid w:val="79AF1AAC"/>
    <w:rsid w:val="79AF6D5B"/>
    <w:rsid w:val="79B002F1"/>
    <w:rsid w:val="79B00498"/>
    <w:rsid w:val="79B04492"/>
    <w:rsid w:val="79B11037"/>
    <w:rsid w:val="79B17BC5"/>
    <w:rsid w:val="79B37DE1"/>
    <w:rsid w:val="79B575AB"/>
    <w:rsid w:val="79B7167F"/>
    <w:rsid w:val="79B90C96"/>
    <w:rsid w:val="79B926F9"/>
    <w:rsid w:val="79B97062"/>
    <w:rsid w:val="79BC5D3D"/>
    <w:rsid w:val="79BD12D1"/>
    <w:rsid w:val="79BD2A0E"/>
    <w:rsid w:val="79C043FD"/>
    <w:rsid w:val="79C21DD2"/>
    <w:rsid w:val="79C30CA8"/>
    <w:rsid w:val="79C46128"/>
    <w:rsid w:val="79C83406"/>
    <w:rsid w:val="79CA4157"/>
    <w:rsid w:val="79CD0EA3"/>
    <w:rsid w:val="79D1223C"/>
    <w:rsid w:val="79D264B9"/>
    <w:rsid w:val="79D51B05"/>
    <w:rsid w:val="79DA35C0"/>
    <w:rsid w:val="79DA711C"/>
    <w:rsid w:val="79DB4652"/>
    <w:rsid w:val="79DC10E6"/>
    <w:rsid w:val="79DC2509"/>
    <w:rsid w:val="79E5125D"/>
    <w:rsid w:val="79EE2A5F"/>
    <w:rsid w:val="79EE773C"/>
    <w:rsid w:val="79F03AD6"/>
    <w:rsid w:val="79F04B91"/>
    <w:rsid w:val="79FF4DD4"/>
    <w:rsid w:val="79FF6B82"/>
    <w:rsid w:val="7A013357"/>
    <w:rsid w:val="7A014FCF"/>
    <w:rsid w:val="7A0348C4"/>
    <w:rsid w:val="7A041928"/>
    <w:rsid w:val="7A0423EA"/>
    <w:rsid w:val="7A044199"/>
    <w:rsid w:val="7A067F11"/>
    <w:rsid w:val="7A080AFF"/>
    <w:rsid w:val="7A094A17"/>
    <w:rsid w:val="7A0B76AE"/>
    <w:rsid w:val="7A0D188B"/>
    <w:rsid w:val="7A0F16AA"/>
    <w:rsid w:val="7A102B3D"/>
    <w:rsid w:val="7A113E66"/>
    <w:rsid w:val="7A122D59"/>
    <w:rsid w:val="7A130EBF"/>
    <w:rsid w:val="7A15284A"/>
    <w:rsid w:val="7A1563A6"/>
    <w:rsid w:val="7A163BDB"/>
    <w:rsid w:val="7A1D6D42"/>
    <w:rsid w:val="7A2111EE"/>
    <w:rsid w:val="7A260431"/>
    <w:rsid w:val="7A2A2439"/>
    <w:rsid w:val="7A2B3E1B"/>
    <w:rsid w:val="7A301431"/>
    <w:rsid w:val="7A362652"/>
    <w:rsid w:val="7A376627"/>
    <w:rsid w:val="7A394A60"/>
    <w:rsid w:val="7A410F49"/>
    <w:rsid w:val="7A41719B"/>
    <w:rsid w:val="7A42599B"/>
    <w:rsid w:val="7A460355"/>
    <w:rsid w:val="7A4775A8"/>
    <w:rsid w:val="7A48444C"/>
    <w:rsid w:val="7A486646"/>
    <w:rsid w:val="7A50522C"/>
    <w:rsid w:val="7A541090"/>
    <w:rsid w:val="7A5412C8"/>
    <w:rsid w:val="7A5574B6"/>
    <w:rsid w:val="7A5769C5"/>
    <w:rsid w:val="7A594430"/>
    <w:rsid w:val="7A5A101B"/>
    <w:rsid w:val="7A5E1751"/>
    <w:rsid w:val="7A5E7D4D"/>
    <w:rsid w:val="7A602F80"/>
    <w:rsid w:val="7A604484"/>
    <w:rsid w:val="7A644042"/>
    <w:rsid w:val="7A6521ED"/>
    <w:rsid w:val="7A6842AE"/>
    <w:rsid w:val="7A6A37C8"/>
    <w:rsid w:val="7A6C2163"/>
    <w:rsid w:val="7A6F5AB6"/>
    <w:rsid w:val="7A71000D"/>
    <w:rsid w:val="7A715CD2"/>
    <w:rsid w:val="7A7622A9"/>
    <w:rsid w:val="7A7759C9"/>
    <w:rsid w:val="7A7B08FF"/>
    <w:rsid w:val="7A7C4677"/>
    <w:rsid w:val="7A7E42A9"/>
    <w:rsid w:val="7A7E7243"/>
    <w:rsid w:val="7A8157E9"/>
    <w:rsid w:val="7A8523F4"/>
    <w:rsid w:val="7A862C70"/>
    <w:rsid w:val="7A903C7E"/>
    <w:rsid w:val="7A911E35"/>
    <w:rsid w:val="7A911ED0"/>
    <w:rsid w:val="7A9247E8"/>
    <w:rsid w:val="7A940A0B"/>
    <w:rsid w:val="7A950625"/>
    <w:rsid w:val="7A990D85"/>
    <w:rsid w:val="7A9C27D5"/>
    <w:rsid w:val="7A9E639B"/>
    <w:rsid w:val="7AA80F1E"/>
    <w:rsid w:val="7AA82300"/>
    <w:rsid w:val="7AAA5B1D"/>
    <w:rsid w:val="7AAC0AB8"/>
    <w:rsid w:val="7AAC590B"/>
    <w:rsid w:val="7AB06104"/>
    <w:rsid w:val="7AB21E46"/>
    <w:rsid w:val="7AB7745D"/>
    <w:rsid w:val="7AB931D5"/>
    <w:rsid w:val="7ABA10C7"/>
    <w:rsid w:val="7ABE07EB"/>
    <w:rsid w:val="7ABE657F"/>
    <w:rsid w:val="7ABE6A3D"/>
    <w:rsid w:val="7AC12A45"/>
    <w:rsid w:val="7AC14C7D"/>
    <w:rsid w:val="7AC202DC"/>
    <w:rsid w:val="7AC521D0"/>
    <w:rsid w:val="7AC62FD5"/>
    <w:rsid w:val="7AC83418"/>
    <w:rsid w:val="7ACB268D"/>
    <w:rsid w:val="7ACE224D"/>
    <w:rsid w:val="7ACE4ED2"/>
    <w:rsid w:val="7ACF28D8"/>
    <w:rsid w:val="7ACF6A58"/>
    <w:rsid w:val="7AD04CEA"/>
    <w:rsid w:val="7AD2068A"/>
    <w:rsid w:val="7AD2139B"/>
    <w:rsid w:val="7AD30E37"/>
    <w:rsid w:val="7AD46261"/>
    <w:rsid w:val="7AD65B35"/>
    <w:rsid w:val="7AD7044B"/>
    <w:rsid w:val="7AD7266C"/>
    <w:rsid w:val="7AD85D51"/>
    <w:rsid w:val="7AD95625"/>
    <w:rsid w:val="7AD973D3"/>
    <w:rsid w:val="7ADC6278"/>
    <w:rsid w:val="7ADD22C2"/>
    <w:rsid w:val="7ADE0E8D"/>
    <w:rsid w:val="7ADE49EA"/>
    <w:rsid w:val="7AE01FDA"/>
    <w:rsid w:val="7AE30252"/>
    <w:rsid w:val="7AE40EC8"/>
    <w:rsid w:val="7AE804D8"/>
    <w:rsid w:val="7AE94308"/>
    <w:rsid w:val="7AEA338E"/>
    <w:rsid w:val="7AEC7106"/>
    <w:rsid w:val="7AED71E6"/>
    <w:rsid w:val="7AEE74ED"/>
    <w:rsid w:val="7AF16FF7"/>
    <w:rsid w:val="7AF21BC8"/>
    <w:rsid w:val="7AF34939"/>
    <w:rsid w:val="7AF40ED0"/>
    <w:rsid w:val="7AF44659"/>
    <w:rsid w:val="7AF75AAB"/>
    <w:rsid w:val="7AFE32DE"/>
    <w:rsid w:val="7AFF525F"/>
    <w:rsid w:val="7B00087B"/>
    <w:rsid w:val="7B010C91"/>
    <w:rsid w:val="7B015459"/>
    <w:rsid w:val="7B0333E1"/>
    <w:rsid w:val="7B054C06"/>
    <w:rsid w:val="7B073F40"/>
    <w:rsid w:val="7B094167"/>
    <w:rsid w:val="7B095F8D"/>
    <w:rsid w:val="7B0D0B25"/>
    <w:rsid w:val="7B136D89"/>
    <w:rsid w:val="7B144B32"/>
    <w:rsid w:val="7B145A11"/>
    <w:rsid w:val="7B1B4118"/>
    <w:rsid w:val="7B1E128A"/>
    <w:rsid w:val="7B1E285F"/>
    <w:rsid w:val="7B22117E"/>
    <w:rsid w:val="7B256ABC"/>
    <w:rsid w:val="7B263453"/>
    <w:rsid w:val="7B2745E3"/>
    <w:rsid w:val="7B29572F"/>
    <w:rsid w:val="7B3041B5"/>
    <w:rsid w:val="7B310FBD"/>
    <w:rsid w:val="7B316BDA"/>
    <w:rsid w:val="7B33214E"/>
    <w:rsid w:val="7B340AAD"/>
    <w:rsid w:val="7B38059E"/>
    <w:rsid w:val="7B3A1D2E"/>
    <w:rsid w:val="7B411518"/>
    <w:rsid w:val="7B4131B1"/>
    <w:rsid w:val="7B4156BF"/>
    <w:rsid w:val="7B486307"/>
    <w:rsid w:val="7B4A56E6"/>
    <w:rsid w:val="7B4C4049"/>
    <w:rsid w:val="7B4D0E50"/>
    <w:rsid w:val="7B51102C"/>
    <w:rsid w:val="7B521482"/>
    <w:rsid w:val="7B52214A"/>
    <w:rsid w:val="7B523868"/>
    <w:rsid w:val="7B52550E"/>
    <w:rsid w:val="7B5733CB"/>
    <w:rsid w:val="7B580C40"/>
    <w:rsid w:val="7B583961"/>
    <w:rsid w:val="7B6205F9"/>
    <w:rsid w:val="7B631937"/>
    <w:rsid w:val="7B65510B"/>
    <w:rsid w:val="7B662DB0"/>
    <w:rsid w:val="7B6770D5"/>
    <w:rsid w:val="7B685CCD"/>
    <w:rsid w:val="7B6A5565"/>
    <w:rsid w:val="7B6B4B23"/>
    <w:rsid w:val="7B6C6499"/>
    <w:rsid w:val="7B6D75F1"/>
    <w:rsid w:val="7B6F6F57"/>
    <w:rsid w:val="7B7F441F"/>
    <w:rsid w:val="7B8239E9"/>
    <w:rsid w:val="7B857D92"/>
    <w:rsid w:val="7B863637"/>
    <w:rsid w:val="7B863B58"/>
    <w:rsid w:val="7B890DF9"/>
    <w:rsid w:val="7B8B68F2"/>
    <w:rsid w:val="7B8E046E"/>
    <w:rsid w:val="7B8E6410"/>
    <w:rsid w:val="7B917CAE"/>
    <w:rsid w:val="7B963516"/>
    <w:rsid w:val="7B971668"/>
    <w:rsid w:val="7B9854E0"/>
    <w:rsid w:val="7B9A4DB4"/>
    <w:rsid w:val="7B9A6B62"/>
    <w:rsid w:val="7B9B28DB"/>
    <w:rsid w:val="7B9B3FB4"/>
    <w:rsid w:val="7BA37D65"/>
    <w:rsid w:val="7BA43177"/>
    <w:rsid w:val="7BA62598"/>
    <w:rsid w:val="7BA63759"/>
    <w:rsid w:val="7BAE5F36"/>
    <w:rsid w:val="7BAE6AB2"/>
    <w:rsid w:val="7BAF216C"/>
    <w:rsid w:val="7BB062E7"/>
    <w:rsid w:val="7BB30B9E"/>
    <w:rsid w:val="7BB3142A"/>
    <w:rsid w:val="7BB31795"/>
    <w:rsid w:val="7BB86762"/>
    <w:rsid w:val="7BBA15D2"/>
    <w:rsid w:val="7BBD0AA3"/>
    <w:rsid w:val="7BBE50F3"/>
    <w:rsid w:val="7BBF2A6D"/>
    <w:rsid w:val="7BC167E5"/>
    <w:rsid w:val="7BC22AEF"/>
    <w:rsid w:val="7BC65BA9"/>
    <w:rsid w:val="7BC83CB8"/>
    <w:rsid w:val="7BCE2CB0"/>
    <w:rsid w:val="7BD05D0E"/>
    <w:rsid w:val="7BD170C1"/>
    <w:rsid w:val="7BD52290"/>
    <w:rsid w:val="7BD75FCA"/>
    <w:rsid w:val="7BD76009"/>
    <w:rsid w:val="7BD77DB7"/>
    <w:rsid w:val="7BDB595A"/>
    <w:rsid w:val="7BDC50D5"/>
    <w:rsid w:val="7BDD7288"/>
    <w:rsid w:val="7BE10BE4"/>
    <w:rsid w:val="7BE443BC"/>
    <w:rsid w:val="7BE83102"/>
    <w:rsid w:val="7BEA5363"/>
    <w:rsid w:val="7BEB3862"/>
    <w:rsid w:val="7BED046F"/>
    <w:rsid w:val="7BEF6DF9"/>
    <w:rsid w:val="7BF16A8F"/>
    <w:rsid w:val="7BF66181"/>
    <w:rsid w:val="7BF73FB5"/>
    <w:rsid w:val="7BF92EEA"/>
    <w:rsid w:val="7BF94168"/>
    <w:rsid w:val="7BFB100C"/>
    <w:rsid w:val="7BFD5CC4"/>
    <w:rsid w:val="7BFF730D"/>
    <w:rsid w:val="7C036DFE"/>
    <w:rsid w:val="7C042B76"/>
    <w:rsid w:val="7C064334"/>
    <w:rsid w:val="7C067E69"/>
    <w:rsid w:val="7C07010F"/>
    <w:rsid w:val="7C093CE8"/>
    <w:rsid w:val="7C1412D8"/>
    <w:rsid w:val="7C1424C5"/>
    <w:rsid w:val="7C142DB9"/>
    <w:rsid w:val="7C15268D"/>
    <w:rsid w:val="7C172980"/>
    <w:rsid w:val="7C174657"/>
    <w:rsid w:val="7C1862BF"/>
    <w:rsid w:val="7C1A3D94"/>
    <w:rsid w:val="7C1A5EF5"/>
    <w:rsid w:val="7C1D130F"/>
    <w:rsid w:val="7C1E42A7"/>
    <w:rsid w:val="7C1E6790"/>
    <w:rsid w:val="7C1E70BD"/>
    <w:rsid w:val="7C1F350C"/>
    <w:rsid w:val="7C276AE6"/>
    <w:rsid w:val="7C281644"/>
    <w:rsid w:val="7C291757"/>
    <w:rsid w:val="7C321491"/>
    <w:rsid w:val="7C347CA5"/>
    <w:rsid w:val="7C357871"/>
    <w:rsid w:val="7C365AB3"/>
    <w:rsid w:val="7C3A6597"/>
    <w:rsid w:val="7C3C40BE"/>
    <w:rsid w:val="7C3C7373"/>
    <w:rsid w:val="7C3E04C7"/>
    <w:rsid w:val="7C4111CA"/>
    <w:rsid w:val="7C43544C"/>
    <w:rsid w:val="7C440FFF"/>
    <w:rsid w:val="7C4565A4"/>
    <w:rsid w:val="7C460A98"/>
    <w:rsid w:val="7C49795C"/>
    <w:rsid w:val="7C4A67DB"/>
    <w:rsid w:val="7C4C6DB3"/>
    <w:rsid w:val="7C4D0079"/>
    <w:rsid w:val="7C4F66CD"/>
    <w:rsid w:val="7C504A6E"/>
    <w:rsid w:val="7C507325"/>
    <w:rsid w:val="7C5330B3"/>
    <w:rsid w:val="7C541407"/>
    <w:rsid w:val="7C55373F"/>
    <w:rsid w:val="7C5541CC"/>
    <w:rsid w:val="7C556F2D"/>
    <w:rsid w:val="7C585170"/>
    <w:rsid w:val="7C5A028F"/>
    <w:rsid w:val="7C5E2286"/>
    <w:rsid w:val="7C5F2BF3"/>
    <w:rsid w:val="7C6333F8"/>
    <w:rsid w:val="7C647170"/>
    <w:rsid w:val="7C692381"/>
    <w:rsid w:val="7C6D071B"/>
    <w:rsid w:val="7C6E2D2B"/>
    <w:rsid w:val="7C704FB8"/>
    <w:rsid w:val="7C72188D"/>
    <w:rsid w:val="7C730E76"/>
    <w:rsid w:val="7C741AA9"/>
    <w:rsid w:val="7C75184C"/>
    <w:rsid w:val="7C7523B7"/>
    <w:rsid w:val="7C794EFF"/>
    <w:rsid w:val="7C8056A0"/>
    <w:rsid w:val="7C8066BB"/>
    <w:rsid w:val="7C8141C6"/>
    <w:rsid w:val="7C825AE3"/>
    <w:rsid w:val="7C833A9B"/>
    <w:rsid w:val="7C835849"/>
    <w:rsid w:val="7C851089"/>
    <w:rsid w:val="7C855A65"/>
    <w:rsid w:val="7C8A4E29"/>
    <w:rsid w:val="7C8B077F"/>
    <w:rsid w:val="7C9061B7"/>
    <w:rsid w:val="7C920C6D"/>
    <w:rsid w:val="7C923CDE"/>
    <w:rsid w:val="7C9712F4"/>
    <w:rsid w:val="7C9C4B5C"/>
    <w:rsid w:val="7C9D4F02"/>
    <w:rsid w:val="7CA11E26"/>
    <w:rsid w:val="7CA26617"/>
    <w:rsid w:val="7CA37C99"/>
    <w:rsid w:val="7CA41D59"/>
    <w:rsid w:val="7CA659DB"/>
    <w:rsid w:val="7CA852AF"/>
    <w:rsid w:val="7CA915F3"/>
    <w:rsid w:val="7CAB4D9F"/>
    <w:rsid w:val="7CAF41D8"/>
    <w:rsid w:val="7CB225D2"/>
    <w:rsid w:val="7CB24380"/>
    <w:rsid w:val="7CB36764"/>
    <w:rsid w:val="7CB4634A"/>
    <w:rsid w:val="7CB73744"/>
    <w:rsid w:val="7CB74D32"/>
    <w:rsid w:val="7CB931D9"/>
    <w:rsid w:val="7CBA3C1C"/>
    <w:rsid w:val="7CBA515F"/>
    <w:rsid w:val="7CBC6FAC"/>
    <w:rsid w:val="7CBD616F"/>
    <w:rsid w:val="7CBF7B02"/>
    <w:rsid w:val="7CC10B8A"/>
    <w:rsid w:val="7CCA16C9"/>
    <w:rsid w:val="7CD127C8"/>
    <w:rsid w:val="7CD21FAA"/>
    <w:rsid w:val="7CD2284F"/>
    <w:rsid w:val="7CD24A22"/>
    <w:rsid w:val="7CD33E4E"/>
    <w:rsid w:val="7CD35FA8"/>
    <w:rsid w:val="7CD40F40"/>
    <w:rsid w:val="7CDA6D17"/>
    <w:rsid w:val="7CDE6F41"/>
    <w:rsid w:val="7CE00EED"/>
    <w:rsid w:val="7CE04A49"/>
    <w:rsid w:val="7CE1124A"/>
    <w:rsid w:val="7CE33FC3"/>
    <w:rsid w:val="7CE51D9D"/>
    <w:rsid w:val="7CE60AEA"/>
    <w:rsid w:val="7CE83366"/>
    <w:rsid w:val="7CE923E9"/>
    <w:rsid w:val="7CEA1D6C"/>
    <w:rsid w:val="7CEB7DFA"/>
    <w:rsid w:val="7CEF4385"/>
    <w:rsid w:val="7CF24DE2"/>
    <w:rsid w:val="7CF9689B"/>
    <w:rsid w:val="7CFC5110"/>
    <w:rsid w:val="7D016812"/>
    <w:rsid w:val="7D02613C"/>
    <w:rsid w:val="7D034BDB"/>
    <w:rsid w:val="7D0A545A"/>
    <w:rsid w:val="7D0A5F6A"/>
    <w:rsid w:val="7D0B583E"/>
    <w:rsid w:val="7D0B61A8"/>
    <w:rsid w:val="7D0C0EBE"/>
    <w:rsid w:val="7D0C1CE2"/>
    <w:rsid w:val="7D0C3D15"/>
    <w:rsid w:val="7D0D3CEA"/>
    <w:rsid w:val="7D0F1BE7"/>
    <w:rsid w:val="7D0F3580"/>
    <w:rsid w:val="7D1110A6"/>
    <w:rsid w:val="7D1465BC"/>
    <w:rsid w:val="7D1B3CD3"/>
    <w:rsid w:val="7D1B66E1"/>
    <w:rsid w:val="7D220717"/>
    <w:rsid w:val="7D22132A"/>
    <w:rsid w:val="7D2749BA"/>
    <w:rsid w:val="7D2834D0"/>
    <w:rsid w:val="7D294C39"/>
    <w:rsid w:val="7D2D1C58"/>
    <w:rsid w:val="7D2F2B3D"/>
    <w:rsid w:val="7D315490"/>
    <w:rsid w:val="7D341239"/>
    <w:rsid w:val="7D364FB1"/>
    <w:rsid w:val="7D380D29"/>
    <w:rsid w:val="7D3B0266"/>
    <w:rsid w:val="7D3B7954"/>
    <w:rsid w:val="7D425704"/>
    <w:rsid w:val="7D440B00"/>
    <w:rsid w:val="7D450DA4"/>
    <w:rsid w:val="7D456FA2"/>
    <w:rsid w:val="7D4968E9"/>
    <w:rsid w:val="7D4C0330"/>
    <w:rsid w:val="7D4E40A8"/>
    <w:rsid w:val="7D4E5A07"/>
    <w:rsid w:val="7D501EA9"/>
    <w:rsid w:val="7D525F3C"/>
    <w:rsid w:val="7D596E7A"/>
    <w:rsid w:val="7D5B24AC"/>
    <w:rsid w:val="7D5F64E3"/>
    <w:rsid w:val="7D60202E"/>
    <w:rsid w:val="7D627B54"/>
    <w:rsid w:val="7D6438CC"/>
    <w:rsid w:val="7D650397"/>
    <w:rsid w:val="7D6C452F"/>
    <w:rsid w:val="7D6F1F0B"/>
    <w:rsid w:val="7D7168B7"/>
    <w:rsid w:val="7D761842"/>
    <w:rsid w:val="7D790FB7"/>
    <w:rsid w:val="7D7B0C16"/>
    <w:rsid w:val="7D7D673C"/>
    <w:rsid w:val="7D850706"/>
    <w:rsid w:val="7D881F5A"/>
    <w:rsid w:val="7D885C6D"/>
    <w:rsid w:val="7D88606A"/>
    <w:rsid w:val="7D891D27"/>
    <w:rsid w:val="7D8C697F"/>
    <w:rsid w:val="7D8D35B5"/>
    <w:rsid w:val="7D8E26F7"/>
    <w:rsid w:val="7D8F7E60"/>
    <w:rsid w:val="7D902916"/>
    <w:rsid w:val="7D910387"/>
    <w:rsid w:val="7D94177A"/>
    <w:rsid w:val="7D943A85"/>
    <w:rsid w:val="7D951F4E"/>
    <w:rsid w:val="7D9615AC"/>
    <w:rsid w:val="7D9662B8"/>
    <w:rsid w:val="7D9D0B8C"/>
    <w:rsid w:val="7D9D1471"/>
    <w:rsid w:val="7D9F4BF5"/>
    <w:rsid w:val="7DA07FF5"/>
    <w:rsid w:val="7DA261A2"/>
    <w:rsid w:val="7DA270F0"/>
    <w:rsid w:val="7DA4016C"/>
    <w:rsid w:val="7DA40C80"/>
    <w:rsid w:val="7DAA194E"/>
    <w:rsid w:val="7DAB2D81"/>
    <w:rsid w:val="7DAB79B3"/>
    <w:rsid w:val="7DAF0C8C"/>
    <w:rsid w:val="7DB25902"/>
    <w:rsid w:val="7DB30623"/>
    <w:rsid w:val="7DB4431C"/>
    <w:rsid w:val="7DB92B91"/>
    <w:rsid w:val="7DBE3A17"/>
    <w:rsid w:val="7DC14D3B"/>
    <w:rsid w:val="7DC600E3"/>
    <w:rsid w:val="7DC7725A"/>
    <w:rsid w:val="7DCC7E3B"/>
    <w:rsid w:val="7DCE343B"/>
    <w:rsid w:val="7DCE7EBD"/>
    <w:rsid w:val="7DD16A88"/>
    <w:rsid w:val="7DD30A52"/>
    <w:rsid w:val="7DD33735"/>
    <w:rsid w:val="7DD629F7"/>
    <w:rsid w:val="7DDA2B39"/>
    <w:rsid w:val="7DDB3462"/>
    <w:rsid w:val="7DDE2FF4"/>
    <w:rsid w:val="7DE4141D"/>
    <w:rsid w:val="7DE62533"/>
    <w:rsid w:val="7DE64D48"/>
    <w:rsid w:val="7DEC566F"/>
    <w:rsid w:val="7DEE7639"/>
    <w:rsid w:val="7DEF5D7D"/>
    <w:rsid w:val="7DF033B2"/>
    <w:rsid w:val="7DF54524"/>
    <w:rsid w:val="7DF6029C"/>
    <w:rsid w:val="7DF6453D"/>
    <w:rsid w:val="7DF84014"/>
    <w:rsid w:val="7DF9268C"/>
    <w:rsid w:val="7DF958C3"/>
    <w:rsid w:val="7DFA07EA"/>
    <w:rsid w:val="7DFA5A83"/>
    <w:rsid w:val="7DFA7AE0"/>
    <w:rsid w:val="7E01111B"/>
    <w:rsid w:val="7E024E93"/>
    <w:rsid w:val="7E064983"/>
    <w:rsid w:val="7E0D5D12"/>
    <w:rsid w:val="7E0E3838"/>
    <w:rsid w:val="7E10124A"/>
    <w:rsid w:val="7E121751"/>
    <w:rsid w:val="7E145CC6"/>
    <w:rsid w:val="7E185273"/>
    <w:rsid w:val="7E18635A"/>
    <w:rsid w:val="7E192908"/>
    <w:rsid w:val="7E1F4E07"/>
    <w:rsid w:val="7E2059AC"/>
    <w:rsid w:val="7E215ECD"/>
    <w:rsid w:val="7E235535"/>
    <w:rsid w:val="7E25348D"/>
    <w:rsid w:val="7E2B34D6"/>
    <w:rsid w:val="7E2B4306"/>
    <w:rsid w:val="7E2B43EA"/>
    <w:rsid w:val="7E2E3EDA"/>
    <w:rsid w:val="7E2E6078"/>
    <w:rsid w:val="7E327BA3"/>
    <w:rsid w:val="7E3405A6"/>
    <w:rsid w:val="7E351DD7"/>
    <w:rsid w:val="7E372D8F"/>
    <w:rsid w:val="7E374B3D"/>
    <w:rsid w:val="7E386556"/>
    <w:rsid w:val="7E3A63DB"/>
    <w:rsid w:val="7E3E094F"/>
    <w:rsid w:val="7E4032E2"/>
    <w:rsid w:val="7E414658"/>
    <w:rsid w:val="7E431733"/>
    <w:rsid w:val="7E4352AD"/>
    <w:rsid w:val="7E454144"/>
    <w:rsid w:val="7E464D80"/>
    <w:rsid w:val="7E4F632A"/>
    <w:rsid w:val="7E5020A2"/>
    <w:rsid w:val="7E51336F"/>
    <w:rsid w:val="7E524E9B"/>
    <w:rsid w:val="7E525E1A"/>
    <w:rsid w:val="7E56399B"/>
    <w:rsid w:val="7E594664"/>
    <w:rsid w:val="7E5A082B"/>
    <w:rsid w:val="7E5A4CCF"/>
    <w:rsid w:val="7E614934"/>
    <w:rsid w:val="7E61605D"/>
    <w:rsid w:val="7E635932"/>
    <w:rsid w:val="7E6741B0"/>
    <w:rsid w:val="7E6D055E"/>
    <w:rsid w:val="7E6F5FE6"/>
    <w:rsid w:val="7E7062A0"/>
    <w:rsid w:val="7E725B75"/>
    <w:rsid w:val="7E785BB8"/>
    <w:rsid w:val="7E795155"/>
    <w:rsid w:val="7E7B5F0A"/>
    <w:rsid w:val="7E7E09BD"/>
    <w:rsid w:val="7E861597"/>
    <w:rsid w:val="7E865AC4"/>
    <w:rsid w:val="7E9006F1"/>
    <w:rsid w:val="7E9A2C31"/>
    <w:rsid w:val="7E9C305C"/>
    <w:rsid w:val="7E9C5D99"/>
    <w:rsid w:val="7E9E696A"/>
    <w:rsid w:val="7EA072A8"/>
    <w:rsid w:val="7EA1387F"/>
    <w:rsid w:val="7EA36676"/>
    <w:rsid w:val="7EA41E2C"/>
    <w:rsid w:val="7EA45310"/>
    <w:rsid w:val="7EA45F4A"/>
    <w:rsid w:val="7EA47CF8"/>
    <w:rsid w:val="7EA877E8"/>
    <w:rsid w:val="7EAB1087"/>
    <w:rsid w:val="7EB27F10"/>
    <w:rsid w:val="7EB64814"/>
    <w:rsid w:val="7EB7089C"/>
    <w:rsid w:val="7EBF4B32"/>
    <w:rsid w:val="7EC108AA"/>
    <w:rsid w:val="7EC16AFC"/>
    <w:rsid w:val="7EC179F8"/>
    <w:rsid w:val="7EC31FF2"/>
    <w:rsid w:val="7EC550D4"/>
    <w:rsid w:val="7EC565EC"/>
    <w:rsid w:val="7EC62CB6"/>
    <w:rsid w:val="7EC87E8B"/>
    <w:rsid w:val="7ED405DD"/>
    <w:rsid w:val="7ED77A85"/>
    <w:rsid w:val="7ED868DD"/>
    <w:rsid w:val="7EE051D4"/>
    <w:rsid w:val="7EE06F82"/>
    <w:rsid w:val="7EE12CFA"/>
    <w:rsid w:val="7EE236AA"/>
    <w:rsid w:val="7EE94CF7"/>
    <w:rsid w:val="7EE979F0"/>
    <w:rsid w:val="7EEF3669"/>
    <w:rsid w:val="7EF02F3D"/>
    <w:rsid w:val="7EF063B9"/>
    <w:rsid w:val="7EF14CDF"/>
    <w:rsid w:val="7EF25407"/>
    <w:rsid w:val="7EF26CB5"/>
    <w:rsid w:val="7EF40C80"/>
    <w:rsid w:val="7EF63CBF"/>
    <w:rsid w:val="7EF667A6"/>
    <w:rsid w:val="7EF7251E"/>
    <w:rsid w:val="7EF85996"/>
    <w:rsid w:val="7F004F8D"/>
    <w:rsid w:val="7F0159FE"/>
    <w:rsid w:val="7F022551"/>
    <w:rsid w:val="7F026D70"/>
    <w:rsid w:val="7F04548E"/>
    <w:rsid w:val="7F095899"/>
    <w:rsid w:val="7F0A04A3"/>
    <w:rsid w:val="7F0E29B0"/>
    <w:rsid w:val="7F0F4344"/>
    <w:rsid w:val="7F0F5070"/>
    <w:rsid w:val="7F10538E"/>
    <w:rsid w:val="7F151ECC"/>
    <w:rsid w:val="7F154D89"/>
    <w:rsid w:val="7F177623"/>
    <w:rsid w:val="7F177CFC"/>
    <w:rsid w:val="7F1906E6"/>
    <w:rsid w:val="7F1960F6"/>
    <w:rsid w:val="7F1C61CC"/>
    <w:rsid w:val="7F1E7AAB"/>
    <w:rsid w:val="7F221B2F"/>
    <w:rsid w:val="7F2C56CF"/>
    <w:rsid w:val="7F2C7EBF"/>
    <w:rsid w:val="7F2D15E3"/>
    <w:rsid w:val="7F2D5B28"/>
    <w:rsid w:val="7F3217A8"/>
    <w:rsid w:val="7F357735"/>
    <w:rsid w:val="7F392B36"/>
    <w:rsid w:val="7F3948E4"/>
    <w:rsid w:val="7F3C1188"/>
    <w:rsid w:val="7F3D71F9"/>
    <w:rsid w:val="7F3E639F"/>
    <w:rsid w:val="7F402117"/>
    <w:rsid w:val="7F41431A"/>
    <w:rsid w:val="7F4179AD"/>
    <w:rsid w:val="7F482AF6"/>
    <w:rsid w:val="7F4B38D6"/>
    <w:rsid w:val="7F4E198B"/>
    <w:rsid w:val="7F511C2E"/>
    <w:rsid w:val="7F524A36"/>
    <w:rsid w:val="7F531E4A"/>
    <w:rsid w:val="7F54734D"/>
    <w:rsid w:val="7F547503"/>
    <w:rsid w:val="7F56348C"/>
    <w:rsid w:val="7F5C05D3"/>
    <w:rsid w:val="7F6000C3"/>
    <w:rsid w:val="7F606B50"/>
    <w:rsid w:val="7F63228D"/>
    <w:rsid w:val="7F67050C"/>
    <w:rsid w:val="7F671451"/>
    <w:rsid w:val="7F6851CA"/>
    <w:rsid w:val="7F6D458E"/>
    <w:rsid w:val="7F6E3AE0"/>
    <w:rsid w:val="7F720FD4"/>
    <w:rsid w:val="7F72702B"/>
    <w:rsid w:val="7F741A01"/>
    <w:rsid w:val="7F765B38"/>
    <w:rsid w:val="7F7922EE"/>
    <w:rsid w:val="7F79313C"/>
    <w:rsid w:val="7F7D0C75"/>
    <w:rsid w:val="7F7D6EC7"/>
    <w:rsid w:val="7F82628B"/>
    <w:rsid w:val="7F8C710A"/>
    <w:rsid w:val="7F914C97"/>
    <w:rsid w:val="7F947D6D"/>
    <w:rsid w:val="7F967F89"/>
    <w:rsid w:val="7F9D30C5"/>
    <w:rsid w:val="7F9F508F"/>
    <w:rsid w:val="7FA036C0"/>
    <w:rsid w:val="7FA23E31"/>
    <w:rsid w:val="7FA36202"/>
    <w:rsid w:val="7FA40F25"/>
    <w:rsid w:val="7FA426A6"/>
    <w:rsid w:val="7FA53143"/>
    <w:rsid w:val="7FA53C32"/>
    <w:rsid w:val="7FAA57E2"/>
    <w:rsid w:val="7FAC155A"/>
    <w:rsid w:val="7FAD5569"/>
    <w:rsid w:val="7FAE2D7E"/>
    <w:rsid w:val="7FB16B71"/>
    <w:rsid w:val="7FB747B0"/>
    <w:rsid w:val="7FB832C4"/>
    <w:rsid w:val="7FBA5396"/>
    <w:rsid w:val="7FBD72C3"/>
    <w:rsid w:val="7FC40652"/>
    <w:rsid w:val="7FC472F7"/>
    <w:rsid w:val="7FC478ED"/>
    <w:rsid w:val="7FC916DD"/>
    <w:rsid w:val="7FD05249"/>
    <w:rsid w:val="7FD075E8"/>
    <w:rsid w:val="7FD12D6F"/>
    <w:rsid w:val="7FD2355F"/>
    <w:rsid w:val="7FD33100"/>
    <w:rsid w:val="7FD52AED"/>
    <w:rsid w:val="7FD71A41"/>
    <w:rsid w:val="7FD85EAB"/>
    <w:rsid w:val="7FE36F83"/>
    <w:rsid w:val="7FE44850"/>
    <w:rsid w:val="7FE82DF8"/>
    <w:rsid w:val="7FE900B8"/>
    <w:rsid w:val="7FF21AA1"/>
    <w:rsid w:val="7FF556E9"/>
    <w:rsid w:val="7FF66A8E"/>
    <w:rsid w:val="7FF8479F"/>
    <w:rsid w:val="7FF9365D"/>
    <w:rsid w:val="7FFA0CBF"/>
    <w:rsid w:val="7FFA0E83"/>
    <w:rsid w:val="7FFB0C93"/>
    <w:rsid w:val="7FFD5538"/>
    <w:rsid w:val="7FFF5B2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nhideWhenUsed="0" w:uiPriority="0" w:semiHidden="0" w:name="index 8"/>
    <w:lsdException w:uiPriority="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iPriority="0" w:name="footnote text"/>
    <w:lsdException w:qFormat="1" w:unhideWhenUsed="0" w:uiPriority="0" w:semiHidden="0" w:name="annotation text"/>
    <w:lsdException w:unhideWhenUsed="0" w:uiPriority="0" w:semiHidden="0" w:name="header"/>
    <w:lsdException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nhideWhenUsed="0" w:uiPriority="0" w:semiHidden="0" w:name="footnote reference"/>
    <w:lsdException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nhideWhenUsed="0" w:uiPriority="0" w:semiHidden="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nhideWhenUsed="0" w:uiPriority="0" w:semiHidden="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iPriority="0" w:name="E-mail Signature"/>
    <w:lsdException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nhideWhenUsed="0" w:uiPriority="0" w:semiHidden="0" w:name="HTML Preformatted"/>
    <w:lsdException w:uiPriority="0" w:name="HTML Sample"/>
    <w:lsdException w:uiPriority="0" w:name="HTML Typewriter"/>
    <w:lsdException w:uiPriority="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2"/>
    <w:autoRedefine/>
    <w:qFormat/>
    <w:uiPriority w:val="0"/>
    <w:pPr>
      <w:keepNext/>
      <w:snapToGrid/>
      <w:jc w:val="center"/>
      <w:outlineLvl w:val="0"/>
    </w:pPr>
    <w:rPr>
      <w:rFonts w:ascii="Times New Roman" w:hAnsi="Times New Roman" w:eastAsia="黑体"/>
      <w:b/>
      <w:bCs/>
      <w:sz w:val="30"/>
      <w:szCs w:val="30"/>
    </w:rPr>
  </w:style>
  <w:style w:type="paragraph" w:styleId="3">
    <w:name w:val="heading 2"/>
    <w:basedOn w:val="1"/>
    <w:next w:val="1"/>
    <w:link w:val="25"/>
    <w:autoRedefine/>
    <w:qFormat/>
    <w:uiPriority w:val="0"/>
    <w:pPr>
      <w:widowControl/>
      <w:adjustRightInd w:val="0"/>
      <w:spacing w:before="140" w:after="140" w:line="288" w:lineRule="auto"/>
      <w:jc w:val="left"/>
      <w:textAlignment w:val="baseline"/>
      <w:outlineLvl w:val="1"/>
    </w:pPr>
    <w:rPr>
      <w:rFonts w:ascii="Arial" w:hAnsi="Arial" w:eastAsia="黑体"/>
      <w:b/>
      <w:kern w:val="0"/>
      <w:sz w:val="28"/>
      <w:szCs w:val="20"/>
    </w:rPr>
  </w:style>
  <w:style w:type="paragraph" w:styleId="4">
    <w:name w:val="heading 3"/>
    <w:basedOn w:val="1"/>
    <w:next w:val="1"/>
    <w:link w:val="26"/>
    <w:autoRedefine/>
    <w:qFormat/>
    <w:uiPriority w:val="0"/>
    <w:pPr>
      <w:widowControl/>
      <w:adjustRightInd w:val="0"/>
      <w:spacing w:before="40" w:after="40" w:line="288" w:lineRule="auto"/>
      <w:jc w:val="left"/>
      <w:textAlignment w:val="baseline"/>
      <w:outlineLvl w:val="2"/>
    </w:pPr>
    <w:rPr>
      <w:kern w:val="0"/>
      <w:sz w:val="28"/>
      <w:szCs w:val="20"/>
    </w:rPr>
  </w:style>
  <w:style w:type="paragraph" w:styleId="5">
    <w:name w:val="heading 4"/>
    <w:basedOn w:val="1"/>
    <w:next w:val="1"/>
    <w:link w:val="27"/>
    <w:autoRedefine/>
    <w:qFormat/>
    <w:uiPriority w:val="0"/>
    <w:pPr>
      <w:tabs>
        <w:tab w:val="left" w:pos="1680"/>
      </w:tabs>
      <w:outlineLvl w:val="3"/>
    </w:pPr>
  </w:style>
  <w:style w:type="paragraph" w:styleId="6">
    <w:name w:val="heading 5"/>
    <w:basedOn w:val="1"/>
    <w:next w:val="1"/>
    <w:link w:val="28"/>
    <w:autoRedefine/>
    <w:qFormat/>
    <w:uiPriority w:val="0"/>
    <w:pPr>
      <w:keepNext/>
      <w:keepLines/>
      <w:adjustRightInd w:val="0"/>
      <w:spacing w:before="280" w:after="290" w:line="376" w:lineRule="atLeast"/>
      <w:jc w:val="left"/>
      <w:textAlignment w:val="baseline"/>
      <w:outlineLvl w:val="4"/>
    </w:pPr>
    <w:rPr>
      <w:b/>
      <w:kern w:val="0"/>
      <w:sz w:val="28"/>
      <w:szCs w:val="20"/>
    </w:rPr>
  </w:style>
  <w:style w:type="paragraph" w:styleId="7">
    <w:name w:val="heading 6"/>
    <w:basedOn w:val="1"/>
    <w:next w:val="1"/>
    <w:link w:val="29"/>
    <w:autoRedefine/>
    <w:qFormat/>
    <w:uiPriority w:val="0"/>
    <w:pPr>
      <w:keepNext/>
      <w:keepLines/>
      <w:adjustRightInd w:val="0"/>
      <w:spacing w:before="240" w:after="64" w:line="320" w:lineRule="atLeast"/>
      <w:jc w:val="left"/>
      <w:textAlignment w:val="baseline"/>
      <w:outlineLvl w:val="5"/>
    </w:pPr>
    <w:rPr>
      <w:rFonts w:ascii="Arial" w:hAnsi="Arial" w:eastAsia="黑体"/>
      <w:b/>
      <w:kern w:val="0"/>
      <w:sz w:val="24"/>
      <w:szCs w:val="20"/>
    </w:rPr>
  </w:style>
  <w:style w:type="paragraph" w:styleId="8">
    <w:name w:val="heading 7"/>
    <w:basedOn w:val="1"/>
    <w:next w:val="1"/>
    <w:link w:val="23"/>
    <w:autoRedefine/>
    <w:qFormat/>
    <w:uiPriority w:val="0"/>
    <w:pPr>
      <w:keepNext/>
      <w:keepLines/>
      <w:adjustRightInd w:val="0"/>
      <w:spacing w:before="240" w:after="64" w:line="320" w:lineRule="atLeast"/>
      <w:jc w:val="left"/>
      <w:textAlignment w:val="baseline"/>
      <w:outlineLvl w:val="6"/>
    </w:pPr>
    <w:rPr>
      <w:b/>
      <w:kern w:val="0"/>
      <w:sz w:val="24"/>
      <w:szCs w:val="20"/>
    </w:rPr>
  </w:style>
  <w:style w:type="paragraph" w:styleId="9">
    <w:name w:val="heading 8"/>
    <w:basedOn w:val="1"/>
    <w:next w:val="1"/>
    <w:link w:val="30"/>
    <w:autoRedefine/>
    <w:qFormat/>
    <w:uiPriority w:val="0"/>
    <w:pPr>
      <w:keepNext/>
      <w:keepLines/>
      <w:adjustRightInd w:val="0"/>
      <w:spacing w:before="240" w:after="64" w:line="320" w:lineRule="atLeast"/>
      <w:jc w:val="left"/>
      <w:textAlignment w:val="baseline"/>
      <w:outlineLvl w:val="7"/>
    </w:pPr>
    <w:rPr>
      <w:rFonts w:ascii="Arial" w:hAnsi="Arial" w:eastAsia="黑体"/>
      <w:kern w:val="0"/>
      <w:sz w:val="24"/>
      <w:szCs w:val="20"/>
    </w:rPr>
  </w:style>
  <w:style w:type="paragraph" w:styleId="10">
    <w:name w:val="heading 9"/>
    <w:basedOn w:val="1"/>
    <w:next w:val="1"/>
    <w:link w:val="31"/>
    <w:autoRedefine/>
    <w:qFormat/>
    <w:uiPriority w:val="0"/>
    <w:pPr>
      <w:keepNext/>
      <w:keepLines/>
      <w:adjustRightInd w:val="0"/>
      <w:spacing w:before="240" w:after="64" w:line="320" w:lineRule="atLeast"/>
      <w:jc w:val="left"/>
      <w:textAlignment w:val="baseline"/>
      <w:outlineLvl w:val="8"/>
    </w:pPr>
    <w:rPr>
      <w:rFonts w:ascii="Arial" w:hAnsi="Arial" w:eastAsia="黑体"/>
      <w:kern w:val="0"/>
      <w:sz w:val="28"/>
      <w:szCs w:val="20"/>
    </w:rPr>
  </w:style>
  <w:style w:type="character" w:default="1" w:styleId="19">
    <w:name w:val="Default Paragraph Font"/>
    <w:autoRedefine/>
    <w:unhideWhenUsed/>
    <w:qFormat/>
    <w:uiPriority w:val="1"/>
  </w:style>
  <w:style w:type="table" w:default="1" w:styleId="1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Normal Indent"/>
    <w:basedOn w:val="1"/>
    <w:next w:val="1"/>
    <w:qFormat/>
    <w:uiPriority w:val="0"/>
    <w:pPr>
      <w:adjustRightInd w:val="0"/>
      <w:snapToGrid w:val="0"/>
      <w:spacing w:line="460" w:lineRule="atLeast"/>
      <w:ind w:firstLine="200" w:firstLineChars="200"/>
    </w:pPr>
    <w:rPr>
      <w:rFonts w:ascii="Times New Roman" w:hAnsi="Times New Roman" w:eastAsia="宋体"/>
      <w:sz w:val="24"/>
    </w:rPr>
  </w:style>
  <w:style w:type="paragraph" w:styleId="12">
    <w:name w:val="annotation text"/>
    <w:basedOn w:val="1"/>
    <w:qFormat/>
    <w:uiPriority w:val="0"/>
    <w:pPr>
      <w:jc w:val="left"/>
    </w:pPr>
  </w:style>
  <w:style w:type="paragraph" w:styleId="13">
    <w:name w:val="Body Text"/>
    <w:basedOn w:val="1"/>
    <w:next w:val="1"/>
    <w:qFormat/>
    <w:uiPriority w:val="0"/>
    <w:pPr>
      <w:widowControl/>
      <w:snapToGrid w:val="0"/>
      <w:spacing w:before="60" w:after="160" w:line="259" w:lineRule="auto"/>
      <w:ind w:right="113"/>
    </w:pPr>
    <w:rPr>
      <w:kern w:val="0"/>
      <w:sz w:val="18"/>
      <w:szCs w:val="20"/>
    </w:rPr>
  </w:style>
  <w:style w:type="paragraph" w:styleId="14">
    <w:name w:val="Plain Text"/>
    <w:basedOn w:val="1"/>
    <w:unhideWhenUsed/>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styleId="15">
    <w:name w:val="Title"/>
    <w:basedOn w:val="1"/>
    <w:next w:val="1"/>
    <w:link w:val="24"/>
    <w:autoRedefine/>
    <w:qFormat/>
    <w:uiPriority w:val="10"/>
    <w:pPr>
      <w:jc w:val="center"/>
      <w:outlineLvl w:val="0"/>
    </w:pPr>
    <w:rPr>
      <w:rFonts w:ascii="Cambria" w:hAnsi="Cambria"/>
      <w:b/>
      <w:bCs/>
      <w:sz w:val="28"/>
      <w:szCs w:val="32"/>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8">
    <w:name w:val="Table Theme"/>
    <w:basedOn w:val="16"/>
    <w:autoRedefine/>
    <w:qFormat/>
    <w:uiPriority w:val="0"/>
    <w:pPr>
      <w:widowControl w:val="0"/>
      <w:adjustRightInd w:val="0"/>
      <w:spacing w:line="312" w:lineRule="atLeas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0"/>
    <w:rPr>
      <w:b/>
    </w:rPr>
  </w:style>
  <w:style w:type="character" w:styleId="21">
    <w:name w:val="page number"/>
    <w:basedOn w:val="19"/>
    <w:autoRedefine/>
    <w:qFormat/>
    <w:uiPriority w:val="0"/>
  </w:style>
  <w:style w:type="character" w:customStyle="1" w:styleId="22">
    <w:name w:val="标题 1 Char"/>
    <w:link w:val="2"/>
    <w:autoRedefine/>
    <w:qFormat/>
    <w:uiPriority w:val="0"/>
    <w:rPr>
      <w:rFonts w:ascii="Times New Roman" w:hAnsi="Times New Roman" w:eastAsia="黑体"/>
      <w:b/>
      <w:bCs/>
      <w:kern w:val="2"/>
      <w:sz w:val="30"/>
      <w:szCs w:val="30"/>
    </w:rPr>
  </w:style>
  <w:style w:type="character" w:customStyle="1" w:styleId="23">
    <w:name w:val="标题 7 Char"/>
    <w:link w:val="8"/>
    <w:autoRedefine/>
    <w:qFormat/>
    <w:uiPriority w:val="0"/>
    <w:rPr>
      <w:b/>
      <w:sz w:val="24"/>
    </w:rPr>
  </w:style>
  <w:style w:type="character" w:customStyle="1" w:styleId="24">
    <w:name w:val="标题 Char"/>
    <w:link w:val="15"/>
    <w:autoRedefine/>
    <w:qFormat/>
    <w:uiPriority w:val="10"/>
    <w:rPr>
      <w:rFonts w:ascii="Cambria" w:hAnsi="Cambria"/>
      <w:b/>
      <w:bCs/>
      <w:kern w:val="2"/>
      <w:sz w:val="28"/>
      <w:szCs w:val="32"/>
    </w:rPr>
  </w:style>
  <w:style w:type="character" w:customStyle="1" w:styleId="25">
    <w:name w:val="标题 2 Char"/>
    <w:link w:val="3"/>
    <w:autoRedefine/>
    <w:qFormat/>
    <w:uiPriority w:val="0"/>
    <w:rPr>
      <w:rFonts w:ascii="Arial" w:hAnsi="Arial" w:eastAsia="黑体"/>
      <w:b/>
      <w:sz w:val="28"/>
    </w:rPr>
  </w:style>
  <w:style w:type="character" w:customStyle="1" w:styleId="26">
    <w:name w:val="标题 3 Char"/>
    <w:link w:val="4"/>
    <w:autoRedefine/>
    <w:qFormat/>
    <w:uiPriority w:val="0"/>
    <w:rPr>
      <w:sz w:val="28"/>
    </w:rPr>
  </w:style>
  <w:style w:type="character" w:customStyle="1" w:styleId="27">
    <w:name w:val="标题 4 Char"/>
    <w:link w:val="5"/>
    <w:autoRedefine/>
    <w:qFormat/>
    <w:uiPriority w:val="0"/>
    <w:rPr>
      <w:sz w:val="28"/>
    </w:rPr>
  </w:style>
  <w:style w:type="character" w:customStyle="1" w:styleId="28">
    <w:name w:val="标题 5 Char"/>
    <w:link w:val="6"/>
    <w:autoRedefine/>
    <w:qFormat/>
    <w:uiPriority w:val="0"/>
    <w:rPr>
      <w:b/>
      <w:sz w:val="28"/>
    </w:rPr>
  </w:style>
  <w:style w:type="character" w:customStyle="1" w:styleId="29">
    <w:name w:val="标题 6 Char"/>
    <w:link w:val="7"/>
    <w:autoRedefine/>
    <w:qFormat/>
    <w:uiPriority w:val="0"/>
    <w:rPr>
      <w:rFonts w:ascii="Arial" w:hAnsi="Arial" w:eastAsia="黑体"/>
      <w:b/>
      <w:sz w:val="24"/>
    </w:rPr>
  </w:style>
  <w:style w:type="character" w:customStyle="1" w:styleId="30">
    <w:name w:val="标题 8 Char"/>
    <w:link w:val="9"/>
    <w:autoRedefine/>
    <w:qFormat/>
    <w:uiPriority w:val="0"/>
    <w:rPr>
      <w:rFonts w:ascii="Arial" w:hAnsi="Arial" w:eastAsia="黑体"/>
      <w:sz w:val="24"/>
    </w:rPr>
  </w:style>
  <w:style w:type="character" w:customStyle="1" w:styleId="31">
    <w:name w:val="标题 9 Char"/>
    <w:link w:val="10"/>
    <w:autoRedefine/>
    <w:qFormat/>
    <w:uiPriority w:val="0"/>
    <w:rPr>
      <w:rFonts w:ascii="Arial" w:hAnsi="Arial" w:eastAsia="黑体"/>
      <w:sz w:val="28"/>
    </w:rPr>
  </w:style>
  <w:style w:type="paragraph" w:customStyle="1" w:styleId="32">
    <w:name w:val="修订1"/>
    <w:autoRedefine/>
    <w:hidden/>
    <w:unhideWhenUsed/>
    <w:qFormat/>
    <w:uiPriority w:val="99"/>
    <w:rPr>
      <w:rFonts w:ascii="Times New Roman" w:hAnsi="Times New Roman" w:eastAsia="宋体" w:cs="Times New Roman"/>
      <w:kern w:val="2"/>
      <w:sz w:val="21"/>
      <w:szCs w:val="24"/>
      <w:lang w:val="en-US" w:eastAsia="zh-CN" w:bidi="ar-SA"/>
    </w:rPr>
  </w:style>
  <w:style w:type="table" w:customStyle="1" w:styleId="33">
    <w:name w:val="表格样式100"/>
    <w:basedOn w:val="17"/>
    <w:autoRedefine/>
    <w:qFormat/>
    <w:locked/>
    <w:uiPriority w:val="0"/>
    <w:pPr>
      <w:overflowPunct w:val="0"/>
      <w:topLinePunct/>
      <w:autoSpaceDE w:val="0"/>
      <w:autoSpaceDN w:val="0"/>
      <w:adjustRightInd w:val="0"/>
      <w:snapToGrid w:val="0"/>
      <w:jc w:val="center"/>
    </w:pPr>
  </w:style>
  <w:style w:type="table" w:customStyle="1" w:styleId="34">
    <w:name w:val="网格型2"/>
    <w:basedOn w:val="16"/>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
    <w:name w:val="Table Normal"/>
    <w:autoRedefine/>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36">
    <w:name w:val="图表标题"/>
    <w:basedOn w:val="1"/>
    <w:qFormat/>
    <w:uiPriority w:val="0"/>
    <w:pPr>
      <w:spacing w:line="360" w:lineRule="auto"/>
      <w:ind w:firstLine="0" w:firstLineChars="0"/>
      <w:jc w:val="center"/>
    </w:pPr>
    <w:rPr>
      <w:rFonts w:ascii="Times New Roman" w:hAnsi="Times New Roman"/>
      <w:b/>
      <w:bCs/>
      <w:color w:val="auto"/>
      <w:sz w:val="21"/>
      <w:szCs w:val="21"/>
    </w:rPr>
  </w:style>
  <w:style w:type="paragraph" w:customStyle="1" w:styleId="37">
    <w:name w:val="图表"/>
    <w:basedOn w:val="1"/>
    <w:next w:val="1"/>
    <w:qFormat/>
    <w:uiPriority w:val="0"/>
    <w:pPr>
      <w:adjustRightInd w:val="0"/>
      <w:snapToGrid w:val="0"/>
      <w:spacing w:line="240" w:lineRule="auto"/>
      <w:ind w:firstLine="0" w:firstLineChars="0"/>
      <w:jc w:val="center"/>
    </w:pPr>
    <w:rPr>
      <w:rFonts w:hint="eastAsia"/>
      <w:color w:val="auto"/>
    </w:rPr>
  </w:style>
  <w:style w:type="paragraph" w:customStyle="1" w:styleId="38">
    <w:name w:val="标注"/>
    <w:basedOn w:val="1"/>
    <w:next w:val="1"/>
    <w:qFormat/>
    <w:uiPriority w:val="0"/>
    <w:pPr>
      <w:adjustRightInd w:val="0"/>
      <w:snapToGrid w:val="0"/>
      <w:ind w:firstLine="0" w:firstLineChars="0"/>
    </w:pPr>
    <w:rPr>
      <w:rFonts w:hint="eastAsia" w:ascii="Times New Roman" w:hAnsi="Times New Roman" w:eastAsiaTheme="minorEastAsia"/>
      <w:b/>
      <w:bCs/>
      <w:color w:val="auto"/>
      <w:sz w:val="18"/>
      <w:szCs w:val="18"/>
    </w:rPr>
  </w:style>
  <w:style w:type="paragraph" w:customStyle="1" w:styleId="39">
    <w:name w:val="表格"/>
    <w:qFormat/>
    <w:uiPriority w:val="0"/>
    <w:pPr>
      <w:widowControl w:val="0"/>
      <w:spacing w:line="360" w:lineRule="auto"/>
      <w:ind w:firstLine="723" w:firstLineChars="200"/>
      <w:jc w:val="center"/>
    </w:pPr>
    <w:rPr>
      <w:rFonts w:ascii="Times New Roman" w:hAnsi="Times New Roman" w:eastAsia="宋体" w:cstheme="minorBidi"/>
      <w:snapToGrid w:val="0"/>
      <w:color w:val="auto"/>
      <w:kern w:val="2"/>
      <w:sz w:val="24"/>
      <w:szCs w:val="21"/>
      <w:lang w:val="en-US" w:eastAsia="zh-CN" w:bidi="ar-SA"/>
    </w:rPr>
  </w:style>
  <w:style w:type="paragraph" w:customStyle="1" w:styleId="40">
    <w:name w:val="表注图注"/>
    <w:basedOn w:val="1"/>
    <w:qFormat/>
    <w:uiPriority w:val="0"/>
    <w:pPr>
      <w:numPr>
        <w:ilvl w:val="0"/>
        <w:numId w:val="0"/>
      </w:numPr>
      <w:ind w:hanging="425" w:firstLineChars="0"/>
      <w:jc w:val="center"/>
    </w:pPr>
    <w:rPr>
      <w:rFonts w:ascii="Times New Roman" w:hAnsi="Times New Roman" w:eastAsia="宋体"/>
      <w:b/>
      <w:bCs/>
      <w:sz w:val="21"/>
      <w:szCs w:val="21"/>
    </w:rPr>
  </w:style>
  <w:style w:type="character" w:customStyle="1" w:styleId="41">
    <w:name w:val="font31"/>
    <w:basedOn w:val="19"/>
    <w:qFormat/>
    <w:uiPriority w:val="0"/>
    <w:rPr>
      <w:rFonts w:ascii="宋体" w:hAnsi="宋体" w:eastAsia="宋体" w:cs="宋体"/>
      <w:color w:val="000000"/>
      <w:sz w:val="24"/>
      <w:szCs w:val="24"/>
      <w:u w:val="none"/>
    </w:rPr>
  </w:style>
  <w:style w:type="character" w:customStyle="1" w:styleId="42">
    <w:name w:val="font21"/>
    <w:basedOn w:val="19"/>
    <w:qFormat/>
    <w:uiPriority w:val="0"/>
    <w:rPr>
      <w:rFonts w:hint="default" w:ascii="Times New Roman" w:hAnsi="Times New Roman" w:cs="Times New Roman"/>
      <w:color w:val="000000"/>
      <w:sz w:val="18"/>
      <w:szCs w:val="18"/>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1.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24.emf"/><Relationship Id="rId45" Type="http://schemas.openxmlformats.org/officeDocument/2006/relationships/oleObject" Target="embeddings/oleObject13.bin"/><Relationship Id="rId44" Type="http://schemas.openxmlformats.org/officeDocument/2006/relationships/image" Target="media/image23.emf"/><Relationship Id="rId43" Type="http://schemas.openxmlformats.org/officeDocument/2006/relationships/oleObject" Target="embeddings/oleObject12.bin"/><Relationship Id="rId42" Type="http://schemas.openxmlformats.org/officeDocument/2006/relationships/oleObject" Target="embeddings/oleObject11.bin"/><Relationship Id="rId41" Type="http://schemas.openxmlformats.org/officeDocument/2006/relationships/image" Target="media/image22.emf"/><Relationship Id="rId40" Type="http://schemas.openxmlformats.org/officeDocument/2006/relationships/oleObject" Target="embeddings/oleObject10.bin"/><Relationship Id="rId4" Type="http://schemas.openxmlformats.org/officeDocument/2006/relationships/endnotes" Target="endnotes.xml"/><Relationship Id="rId39" Type="http://schemas.openxmlformats.org/officeDocument/2006/relationships/image" Target="media/image21.emf"/><Relationship Id="rId38" Type="http://schemas.openxmlformats.org/officeDocument/2006/relationships/oleObject" Target="embeddings/oleObject9.bin"/><Relationship Id="rId37" Type="http://schemas.openxmlformats.org/officeDocument/2006/relationships/image" Target="media/image20.emf"/><Relationship Id="rId36" Type="http://schemas.openxmlformats.org/officeDocument/2006/relationships/oleObject" Target="embeddings/oleObject8.bin"/><Relationship Id="rId35" Type="http://schemas.openxmlformats.org/officeDocument/2006/relationships/image" Target="media/image19.emf"/><Relationship Id="rId34" Type="http://schemas.openxmlformats.org/officeDocument/2006/relationships/oleObject" Target="embeddings/oleObject7.bin"/><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emf"/><Relationship Id="rId21" Type="http://schemas.openxmlformats.org/officeDocument/2006/relationships/oleObject" Target="embeddings/oleObject6.bin"/><Relationship Id="rId20" Type="http://schemas.openxmlformats.org/officeDocument/2006/relationships/image" Target="media/image6.e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5.emf"/><Relationship Id="rId17" Type="http://schemas.openxmlformats.org/officeDocument/2006/relationships/oleObject" Target="embeddings/oleObject4.bin"/><Relationship Id="rId16" Type="http://schemas.openxmlformats.org/officeDocument/2006/relationships/image" Target="media/image4.emf"/><Relationship Id="rId15" Type="http://schemas.openxmlformats.org/officeDocument/2006/relationships/oleObject" Target="embeddings/oleObject3.bin"/><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1029"/>
    <customShpInfo spid="_x0000_s1030"/>
    <customShpInfo spid="_x0000_s1031"/>
    <customShpInfo spid="_x0000_s1032"/>
    <customShpInfo spid="_x0000_s1034"/>
    <customShpInfo spid="_x0000_s1036"/>
    <customShpInfo spid="_x0000_s1040"/>
    <customShpInfo spid="_x0000_s1043"/>
    <customShpInfo spid="_x0000_s1042"/>
    <customShpInfo spid="_x0000_s1039"/>
  </customShpExts>
  <extobjs>
    <extobj name="ECB019B1-382A-4266-B25C-5B523AA43C14-1">
      <extobjdata type="ECB019B1-382A-4266-B25C-5B523AA43C14" data="ewoJIkZpbGVJZCIgOiAiMzExNjkwNDM0NDAyIiwKCSJHcm91cElkIiA6ICIzODg1MDgyOTkiLAoJIkltYWdlIiA6ICJpVkJPUncwS0dnb0FBQUFOU1VoRVVnQUFBNndBQUFLdkNBWUFBQUJ1MkVKZUFBQUFBWE5TUjBJQXJzNGM2UUFBSUFCSlJFRlVlSnpzM1htY1hFVzVOL0RmVTZkbkpRbGtJR0V4WXNTQndDVFRmYW9hY0VjVVVCRndBYUlpb0NLZ1hsQkJ4ZVdLS0xoY2x5dGU5eFd2Q2xGQlVIQUI4ZFVycUtpNHpLblRQVWtBalRCb2hKQUFDWWxKWmpMZDlieC96T21oMCttWnpDU0JTY0x2Ky9rbzZWT242bFJQZDgrY3AydDVBQ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UNsOW44a1BTRjBBbWdvZWdBQUFBQkpSVTVFcmtKZ2dnPT0iLAoJIlRoZW1lIiA6ICIiLAoJIlR5cGUiIDogImZsb3ciLAoJIlVzZXJJZCIgOiAiIiwKCSJWZXJzaW9uIiA6ICIxNDMiCn0K"/>
    </extobj>
  </extobj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AD219D-9BBC-4C81-A723-53B085B8CB8F}">
  <ds:schemaRefs/>
</ds:datastoreItem>
</file>

<file path=docProps/app.xml><?xml version="1.0" encoding="utf-8"?>
<Properties xmlns="http://schemas.openxmlformats.org/officeDocument/2006/extended-properties" xmlns:vt="http://schemas.openxmlformats.org/officeDocument/2006/docPropsVTypes">
  <Template>Normal.dotm</Template>
  <Company>zhjh</Company>
  <Pages>88</Pages>
  <Words>17132</Words>
  <Characters>19207</Characters>
  <Lines>1</Lines>
  <Paragraphs>1</Paragraphs>
  <TotalTime>9</TotalTime>
  <ScaleCrop>false</ScaleCrop>
  <LinksUpToDate>false</LinksUpToDate>
  <CharactersWithSpaces>19377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2015-03-02T05:41:00Z</dcterms:created>
  <dc:creator>zq</dc:creator>
  <cp:lastModifiedBy>ZY</cp:lastModifiedBy>
  <cp:lastPrinted>2024-01-22T08:48:00Z</cp:lastPrinted>
  <dcterms:modified xsi:type="dcterms:W3CDTF">2026-05-08T08:49:25Z</dcterms:modified>
  <dc:title>光通信环评</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F579757CC9424630AE248528866CB8F4_13</vt:lpwstr>
  </property>
  <property fmtid="{D5CDD505-2E9C-101B-9397-08002B2CF9AE}" pid="4" name="KSOTemplateDocerSaveRecord">
    <vt:lpwstr>eyJoZGlkIjoiOWU1MGU1ODJlYWE2ODNmZmM4MWJmY2Y4Njg1NDk5ZDgiLCJ1c2VySWQiOiI4MDcxODMyNDkifQ==</vt:lpwstr>
  </property>
</Properties>
</file>