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2A1BE7">
      <w:pPr>
        <w:pStyle w:val="2"/>
        <w:jc w:val="center"/>
        <w:rPr>
          <w:color w:val="auto"/>
        </w:rPr>
        <w:sectPr>
          <w:headerReference r:id="rId3" w:type="default"/>
          <w:footerReference r:id="rId4"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7C830F27">
      <w:pPr>
        <w:jc w:val="center"/>
        <w:rPr>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2B71DF0C">
      <w:pPr>
        <w:pStyle w:val="2"/>
        <w:jc w:val="center"/>
        <w:rPr>
          <w:rFonts w:hint="default" w:ascii="Times New Roman" w:hAnsi="Times New Roman" w:eastAsia="宋体" w:cs="Times New Roman"/>
          <w:b w:val="0"/>
          <w:bCs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3582077C">
      <w:pPr>
        <w:pStyle w:val="2"/>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b w:val="0"/>
          <w:bCs w:val="0"/>
          <w:color w:val="auto"/>
          <w:sz w:val="36"/>
          <w:szCs w:val="36"/>
          <w:highlight w:val="none"/>
        </w:rPr>
        <w:t>一、建设项目基本情况</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29"/>
        <w:gridCol w:w="1968"/>
        <w:gridCol w:w="2034"/>
        <w:gridCol w:w="2739"/>
      </w:tblGrid>
      <w:tr w14:paraId="00B00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9" w:type="dxa"/>
            <w:tcMar>
              <w:top w:w="16" w:type="dxa"/>
              <w:left w:w="16" w:type="dxa"/>
              <w:right w:w="16" w:type="dxa"/>
            </w:tcMar>
            <w:vAlign w:val="center"/>
          </w:tcPr>
          <w:p w14:paraId="5865EC3F">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建设项目名称</w:t>
            </w:r>
          </w:p>
        </w:tc>
        <w:tc>
          <w:tcPr>
            <w:tcW w:w="6741" w:type="dxa"/>
            <w:gridSpan w:val="3"/>
            <w:vAlign w:val="center"/>
          </w:tcPr>
          <w:p w14:paraId="592522AC">
            <w:pPr>
              <w:adjustRightInd w:val="0"/>
              <w:snapToGrid w:val="0"/>
              <w:jc w:val="center"/>
              <w:rPr>
                <w:rFonts w:hint="eastAsia" w:hAnsi="宋体" w:eastAsia="宋体"/>
                <w:bCs/>
                <w:color w:val="auto"/>
                <w:kern w:val="0"/>
                <w:sz w:val="24"/>
                <w:highlight w:val="none"/>
                <w:lang w:eastAsia="zh-CN"/>
              </w:rPr>
            </w:pPr>
            <w:r>
              <w:rPr>
                <w:rFonts w:hint="eastAsia" w:hAnsi="宋体"/>
                <w:bCs/>
                <w:color w:val="auto"/>
                <w:kern w:val="0"/>
                <w:sz w:val="24"/>
                <w:highlight w:val="none"/>
                <w:lang w:val="en-US" w:eastAsia="zh-CN"/>
              </w:rPr>
              <w:t>盖德思消毒器械研发生产项目</w:t>
            </w:r>
          </w:p>
        </w:tc>
      </w:tr>
      <w:tr w14:paraId="19DD7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9" w:type="dxa"/>
            <w:tcMar>
              <w:top w:w="16" w:type="dxa"/>
              <w:left w:w="16" w:type="dxa"/>
              <w:right w:w="16" w:type="dxa"/>
            </w:tcMar>
            <w:vAlign w:val="center"/>
          </w:tcPr>
          <w:p w14:paraId="7D3C7020">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项目代码</w:t>
            </w:r>
          </w:p>
        </w:tc>
        <w:tc>
          <w:tcPr>
            <w:tcW w:w="6741" w:type="dxa"/>
            <w:gridSpan w:val="3"/>
            <w:shd w:val="clear" w:color="auto" w:fill="auto"/>
            <w:vAlign w:val="center"/>
          </w:tcPr>
          <w:p w14:paraId="0C6DECD4">
            <w:pPr>
              <w:adjustRightInd w:val="0"/>
              <w:snapToGrid w:val="0"/>
              <w:jc w:val="center"/>
              <w:rPr>
                <w:rFonts w:hint="default" w:hAnsi="宋体"/>
                <w:bCs/>
                <w:color w:val="auto"/>
                <w:kern w:val="0"/>
                <w:sz w:val="24"/>
                <w:highlight w:val="none"/>
                <w:lang w:val="en-US" w:eastAsia="zh-CN"/>
              </w:rPr>
            </w:pPr>
          </w:p>
        </w:tc>
      </w:tr>
      <w:tr w14:paraId="05DA7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5" w:hRule="atLeast"/>
          <w:jc w:val="center"/>
        </w:trPr>
        <w:tc>
          <w:tcPr>
            <w:tcW w:w="2129" w:type="dxa"/>
            <w:tcMar>
              <w:top w:w="16" w:type="dxa"/>
              <w:left w:w="16" w:type="dxa"/>
              <w:right w:w="16" w:type="dxa"/>
            </w:tcMar>
            <w:vAlign w:val="center"/>
          </w:tcPr>
          <w:p w14:paraId="1D504164">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w:t>
            </w:r>
          </w:p>
          <w:p w14:paraId="297E071B">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联系人</w:t>
            </w:r>
          </w:p>
        </w:tc>
        <w:tc>
          <w:tcPr>
            <w:tcW w:w="1968" w:type="dxa"/>
            <w:vAlign w:val="center"/>
          </w:tcPr>
          <w:p w14:paraId="4667E713">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hAnsi="宋体"/>
                <w:bCs/>
                <w:color w:val="auto"/>
                <w:kern w:val="0"/>
                <w:sz w:val="24"/>
                <w:highlight w:val="none"/>
                <w:lang w:val="en-US" w:eastAsia="zh-CN"/>
              </w:rPr>
              <w:t>王宇光</w:t>
            </w:r>
          </w:p>
        </w:tc>
        <w:tc>
          <w:tcPr>
            <w:tcW w:w="2034" w:type="dxa"/>
            <w:vAlign w:val="center"/>
          </w:tcPr>
          <w:p w14:paraId="1B18A46A">
            <w:pPr>
              <w:adjustRightInd w:val="0"/>
              <w:snapToGrid w:val="0"/>
              <w:jc w:val="center"/>
              <w:rPr>
                <w:rFonts w:hint="default" w:ascii="Times New Roman" w:hAnsi="Times New Roman" w:eastAsia="宋体" w:cs="Times New Roman"/>
                <w:color w:val="auto"/>
                <w:sz w:val="24"/>
                <w:highlight w:val="none"/>
              </w:rPr>
            </w:pPr>
            <w:r>
              <w:rPr>
                <w:rFonts w:hint="eastAsia" w:ascii="宋体" w:hAnsi="宋体" w:cs="宋体"/>
                <w:color w:val="auto"/>
                <w:sz w:val="24"/>
                <w:highlight w:val="none"/>
              </w:rPr>
              <w:t>联系方式</w:t>
            </w:r>
          </w:p>
        </w:tc>
        <w:tc>
          <w:tcPr>
            <w:tcW w:w="2739" w:type="dxa"/>
            <w:vAlign w:val="center"/>
          </w:tcPr>
          <w:p w14:paraId="1B682830">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olor w:val="auto"/>
                <w:sz w:val="24"/>
                <w:highlight w:val="none"/>
                <w:lang w:val="en-US" w:eastAsia="zh-CN"/>
              </w:rPr>
              <w:t>13810014578</w:t>
            </w:r>
          </w:p>
        </w:tc>
      </w:tr>
      <w:tr w14:paraId="27AEC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9" w:type="dxa"/>
            <w:tcMar>
              <w:top w:w="16" w:type="dxa"/>
              <w:left w:w="16" w:type="dxa"/>
              <w:right w:w="16" w:type="dxa"/>
            </w:tcMar>
            <w:vAlign w:val="center"/>
          </w:tcPr>
          <w:p w14:paraId="2A06A25C">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建设地点</w:t>
            </w:r>
          </w:p>
        </w:tc>
        <w:tc>
          <w:tcPr>
            <w:tcW w:w="6741" w:type="dxa"/>
            <w:gridSpan w:val="3"/>
            <w:vAlign w:val="center"/>
          </w:tcPr>
          <w:p w14:paraId="5B8F68A7">
            <w:pPr>
              <w:adjustRightInd w:val="0"/>
              <w:snapToGrid w:val="0"/>
              <w:jc w:val="center"/>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北京经济技术开发区(通州)景盛南二街10号院10号楼3层301</w:t>
            </w:r>
          </w:p>
        </w:tc>
      </w:tr>
      <w:tr w14:paraId="0EF82D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2129" w:type="dxa"/>
            <w:tcMar>
              <w:top w:w="16" w:type="dxa"/>
              <w:left w:w="16" w:type="dxa"/>
              <w:right w:w="16" w:type="dxa"/>
            </w:tcMar>
            <w:vAlign w:val="center"/>
          </w:tcPr>
          <w:p w14:paraId="77519D8B">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地理坐标</w:t>
            </w:r>
          </w:p>
        </w:tc>
        <w:tc>
          <w:tcPr>
            <w:tcW w:w="6741" w:type="dxa"/>
            <w:gridSpan w:val="3"/>
            <w:vAlign w:val="center"/>
          </w:tcPr>
          <w:p w14:paraId="6351190E">
            <w:pPr>
              <w:adjustRightInd w:val="0"/>
              <w:snapToGrid w:val="0"/>
              <w:jc w:val="center"/>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东经</w:t>
            </w:r>
            <w:r>
              <w:rPr>
                <w:rFonts w:hint="eastAsia" w:ascii="Times New Roman" w:hAnsi="Times New Roman" w:eastAsia="宋体" w:cs="Times New Roman"/>
                <w:color w:val="auto"/>
                <w:sz w:val="24"/>
                <w:highlight w:val="none"/>
              </w:rPr>
              <w:t>116度3</w:t>
            </w: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rPr>
              <w:t>分</w:t>
            </w:r>
            <w:r>
              <w:rPr>
                <w:rFonts w:hint="eastAsia" w:cs="Times New Roman"/>
                <w:color w:val="auto"/>
                <w:sz w:val="24"/>
                <w:highlight w:val="none"/>
                <w:lang w:val="en-US" w:eastAsia="zh-CN"/>
              </w:rPr>
              <w:t>50.788</w:t>
            </w:r>
            <w:r>
              <w:rPr>
                <w:rFonts w:hint="eastAsia" w:ascii="Times New Roman" w:hAnsi="Times New Roman" w:eastAsia="宋体" w:cs="Times New Roman"/>
                <w:color w:val="auto"/>
                <w:sz w:val="24"/>
                <w:highlight w:val="none"/>
              </w:rPr>
              <w:t>秒</w:t>
            </w:r>
            <w:r>
              <w:rPr>
                <w:rFonts w:hint="eastAsia" w:cs="Times New Roman"/>
                <w:color w:val="auto"/>
                <w:sz w:val="24"/>
                <w:highlight w:val="none"/>
                <w:lang w:eastAsia="zh-CN"/>
              </w:rPr>
              <w:t>，</w:t>
            </w:r>
            <w:r>
              <w:rPr>
                <w:rFonts w:hint="eastAsia" w:cs="Times New Roman"/>
                <w:color w:val="auto"/>
                <w:sz w:val="24"/>
                <w:highlight w:val="none"/>
                <w:lang w:val="en-US" w:eastAsia="zh-CN"/>
              </w:rPr>
              <w:t>北纬</w:t>
            </w:r>
            <w:r>
              <w:rPr>
                <w:rFonts w:hint="eastAsia" w:ascii="Times New Roman" w:hAnsi="Times New Roman" w:eastAsia="宋体" w:cs="Times New Roman"/>
                <w:color w:val="auto"/>
                <w:sz w:val="24"/>
                <w:highlight w:val="none"/>
              </w:rPr>
              <w:t>39度4</w:t>
            </w: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rPr>
              <w:t>分</w:t>
            </w:r>
            <w:r>
              <w:rPr>
                <w:rFonts w:hint="eastAsia" w:cs="Times New Roman"/>
                <w:color w:val="auto"/>
                <w:sz w:val="24"/>
                <w:highlight w:val="none"/>
                <w:lang w:val="en-US" w:eastAsia="zh-CN"/>
              </w:rPr>
              <w:t>51.236</w:t>
            </w:r>
            <w:r>
              <w:rPr>
                <w:rFonts w:hint="eastAsia" w:ascii="Times New Roman" w:hAnsi="Times New Roman" w:eastAsia="宋体" w:cs="Times New Roman"/>
                <w:color w:val="auto"/>
                <w:sz w:val="24"/>
                <w:highlight w:val="none"/>
              </w:rPr>
              <w:t>秒</w:t>
            </w:r>
          </w:p>
        </w:tc>
      </w:tr>
      <w:tr w14:paraId="17F8E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4" w:hRule="atLeast"/>
          <w:jc w:val="center"/>
        </w:trPr>
        <w:tc>
          <w:tcPr>
            <w:tcW w:w="2129" w:type="dxa"/>
            <w:tcMar>
              <w:top w:w="16" w:type="dxa"/>
              <w:left w:w="16" w:type="dxa"/>
              <w:right w:w="16" w:type="dxa"/>
            </w:tcMar>
            <w:vAlign w:val="center"/>
          </w:tcPr>
          <w:p w14:paraId="61E320A1">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国民经济行业类别</w:t>
            </w:r>
          </w:p>
        </w:tc>
        <w:tc>
          <w:tcPr>
            <w:tcW w:w="1968" w:type="dxa"/>
            <w:vAlign w:val="center"/>
          </w:tcPr>
          <w:p w14:paraId="5E2552B8">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医疗实验室及医用消毒设备和器具制造</w:t>
            </w:r>
            <w:r>
              <w:rPr>
                <w:rFonts w:hint="eastAsia" w:cs="Times New Roman"/>
                <w:color w:val="auto"/>
                <w:sz w:val="24"/>
                <w:highlight w:val="none"/>
                <w:lang w:val="en-US" w:eastAsia="zh-CN"/>
              </w:rPr>
              <w:t>C3583</w:t>
            </w:r>
          </w:p>
        </w:tc>
        <w:tc>
          <w:tcPr>
            <w:tcW w:w="2034" w:type="dxa"/>
            <w:vAlign w:val="center"/>
          </w:tcPr>
          <w:p w14:paraId="597A8024">
            <w:pPr>
              <w:adjustRightInd w:val="0"/>
              <w:snapToGrid w:val="0"/>
              <w:jc w:val="center"/>
              <w:rPr>
                <w:color w:val="auto"/>
                <w:sz w:val="24"/>
                <w:highlight w:val="none"/>
              </w:rPr>
            </w:pPr>
            <w:r>
              <w:rPr>
                <w:color w:val="auto"/>
                <w:sz w:val="24"/>
                <w:highlight w:val="none"/>
              </w:rPr>
              <w:t>建设项目</w:t>
            </w:r>
          </w:p>
          <w:p w14:paraId="5B6ED8A5">
            <w:pPr>
              <w:adjustRightInd w:val="0"/>
              <w:snapToGrid w:val="0"/>
              <w:jc w:val="center"/>
              <w:rPr>
                <w:rFonts w:hint="default" w:ascii="Times New Roman" w:hAnsi="Times New Roman" w:eastAsia="宋体" w:cs="Times New Roman"/>
                <w:color w:val="auto"/>
                <w:sz w:val="24"/>
                <w:highlight w:val="none"/>
              </w:rPr>
            </w:pPr>
            <w:r>
              <w:rPr>
                <w:color w:val="auto"/>
                <w:sz w:val="24"/>
                <w:highlight w:val="none"/>
              </w:rPr>
              <w:t>行业类别</w:t>
            </w:r>
          </w:p>
        </w:tc>
        <w:tc>
          <w:tcPr>
            <w:tcW w:w="2739" w:type="dxa"/>
            <w:vAlign w:val="center"/>
          </w:tcPr>
          <w:p w14:paraId="0572C88D">
            <w:pPr>
              <w:adjustRightInd w:val="0"/>
              <w:snapToGrid w:val="0"/>
              <w:jc w:val="center"/>
              <w:rPr>
                <w:rFonts w:hint="eastAsia"/>
                <w:color w:val="auto"/>
                <w:sz w:val="24"/>
                <w:highlight w:val="none"/>
                <w:lang w:val="en-US" w:eastAsia="zh-CN"/>
              </w:rPr>
            </w:pPr>
            <w:r>
              <w:rPr>
                <w:rFonts w:hint="eastAsia"/>
                <w:color w:val="auto"/>
                <w:sz w:val="24"/>
                <w:highlight w:val="none"/>
                <w:lang w:val="en-US" w:eastAsia="zh-CN"/>
              </w:rPr>
              <w:t>专用设备制造35</w:t>
            </w:r>
          </w:p>
          <w:p w14:paraId="191A1088">
            <w:pPr>
              <w:adjustRightInd w:val="0"/>
              <w:snapToGrid w:val="0"/>
              <w:jc w:val="center"/>
              <w:rPr>
                <w:rFonts w:hint="default" w:ascii="Times New Roman" w:hAnsi="Times New Roman" w:eastAsia="宋体" w:cs="Times New Roman"/>
                <w:color w:val="auto"/>
                <w:sz w:val="24"/>
                <w:highlight w:val="none"/>
              </w:rPr>
            </w:pPr>
            <w:r>
              <w:rPr>
                <w:rFonts w:hint="eastAsia"/>
                <w:color w:val="auto"/>
                <w:sz w:val="24"/>
                <w:highlight w:val="none"/>
                <w:lang w:val="en-US" w:eastAsia="zh-CN"/>
              </w:rPr>
              <w:t>（医疗仪器设备及器械制造</w:t>
            </w:r>
            <w:r>
              <w:rPr>
                <w:rFonts w:hint="default"/>
                <w:color w:val="auto"/>
                <w:sz w:val="24"/>
                <w:highlight w:val="none"/>
                <w:lang w:val="en-US" w:eastAsia="zh-CN"/>
              </w:rPr>
              <w:t>358</w:t>
            </w:r>
            <w:r>
              <w:rPr>
                <w:rFonts w:hint="eastAsia"/>
                <w:color w:val="auto"/>
                <w:sz w:val="24"/>
                <w:highlight w:val="none"/>
                <w:lang w:val="en-US" w:eastAsia="zh-CN"/>
              </w:rPr>
              <w:t>）</w:t>
            </w:r>
          </w:p>
        </w:tc>
      </w:tr>
      <w:tr w14:paraId="537203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29" w:type="dxa"/>
            <w:tcMar>
              <w:top w:w="16" w:type="dxa"/>
              <w:left w:w="16" w:type="dxa"/>
              <w:right w:w="16" w:type="dxa"/>
            </w:tcMar>
            <w:vAlign w:val="center"/>
          </w:tcPr>
          <w:p w14:paraId="421867C8">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建设性质</w:t>
            </w:r>
          </w:p>
        </w:tc>
        <w:tc>
          <w:tcPr>
            <w:tcW w:w="1968" w:type="dxa"/>
            <w:vAlign w:val="center"/>
          </w:tcPr>
          <w:p w14:paraId="3D5249B6">
            <w:pPr>
              <w:jc w:val="left"/>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新建</w:t>
            </w:r>
            <w:r>
              <w:rPr>
                <w:rFonts w:hint="eastAsia" w:cs="Times New Roman"/>
                <w:color w:val="auto"/>
                <w:sz w:val="24"/>
                <w:highlight w:val="none"/>
                <w:lang w:eastAsia="zh-CN"/>
              </w:rPr>
              <w:t>（</w:t>
            </w:r>
            <w:r>
              <w:rPr>
                <w:rFonts w:hint="eastAsia" w:cs="Times New Roman"/>
                <w:color w:val="auto"/>
                <w:sz w:val="24"/>
                <w:highlight w:val="none"/>
                <w:lang w:val="en-US" w:eastAsia="zh-CN"/>
              </w:rPr>
              <w:t>迁建</w:t>
            </w:r>
            <w:r>
              <w:rPr>
                <w:rFonts w:hint="eastAsia" w:cs="Times New Roman"/>
                <w:color w:val="auto"/>
                <w:sz w:val="24"/>
                <w:highlight w:val="none"/>
                <w:lang w:eastAsia="zh-CN"/>
              </w:rPr>
              <w:t>）</w:t>
            </w:r>
          </w:p>
          <w:p w14:paraId="18E28DBB">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改建</w:t>
            </w:r>
          </w:p>
          <w:p w14:paraId="466404C4">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扩建</w:t>
            </w:r>
          </w:p>
          <w:p w14:paraId="0617B823">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技术改造</w:t>
            </w:r>
          </w:p>
        </w:tc>
        <w:tc>
          <w:tcPr>
            <w:tcW w:w="2034" w:type="dxa"/>
            <w:vAlign w:val="center"/>
          </w:tcPr>
          <w:p w14:paraId="56FFBD87">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建设项目申报情形</w:t>
            </w:r>
          </w:p>
        </w:tc>
        <w:tc>
          <w:tcPr>
            <w:tcW w:w="2739" w:type="dxa"/>
            <w:vAlign w:val="center"/>
          </w:tcPr>
          <w:p w14:paraId="2C16C155">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☑首次申报项目</w:t>
            </w:r>
          </w:p>
          <w:p w14:paraId="000392D4">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不予批准后再次申报项目</w:t>
            </w:r>
          </w:p>
          <w:p w14:paraId="2424844B">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超五年重新审核项目</w:t>
            </w:r>
          </w:p>
          <w:p w14:paraId="27F3EA58">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重大变动重新报批项目</w:t>
            </w:r>
          </w:p>
        </w:tc>
      </w:tr>
      <w:tr w14:paraId="17639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2129" w:type="dxa"/>
            <w:tcMar>
              <w:top w:w="16" w:type="dxa"/>
              <w:left w:w="16" w:type="dxa"/>
              <w:right w:w="16" w:type="dxa"/>
            </w:tcMar>
            <w:vAlign w:val="center"/>
          </w:tcPr>
          <w:p w14:paraId="57EA1511">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项目审批（核准/备案）部门（选填）</w:t>
            </w:r>
          </w:p>
        </w:tc>
        <w:tc>
          <w:tcPr>
            <w:tcW w:w="1968" w:type="dxa"/>
            <w:vAlign w:val="center"/>
          </w:tcPr>
          <w:p w14:paraId="4A370B49">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北京经济技术开发区管理委员会</w:t>
            </w:r>
          </w:p>
        </w:tc>
        <w:tc>
          <w:tcPr>
            <w:tcW w:w="2034" w:type="dxa"/>
            <w:vAlign w:val="center"/>
          </w:tcPr>
          <w:p w14:paraId="3CB8CEC1">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项目审批（核准/</w:t>
            </w:r>
          </w:p>
          <w:p w14:paraId="18E096C9">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备案）文号（选填）</w:t>
            </w:r>
          </w:p>
        </w:tc>
        <w:tc>
          <w:tcPr>
            <w:tcW w:w="2739" w:type="dxa"/>
            <w:shd w:val="clear" w:color="auto" w:fill="auto"/>
            <w:vAlign w:val="center"/>
          </w:tcPr>
          <w:p w14:paraId="5FA10621">
            <w:pPr>
              <w:adjustRightInd w:val="0"/>
              <w:snapToGrid w:val="0"/>
              <w:jc w:val="center"/>
              <w:rPr>
                <w:rFonts w:hint="default" w:cs="Times New Roman"/>
                <w:color w:val="auto"/>
                <w:sz w:val="24"/>
                <w:highlight w:val="none"/>
                <w:lang w:val="en-US" w:eastAsia="zh-CN"/>
              </w:rPr>
            </w:pPr>
            <w:r>
              <w:rPr>
                <w:rFonts w:hint="default" w:cs="Times New Roman"/>
                <w:color w:val="auto"/>
                <w:sz w:val="24"/>
                <w:highlight w:val="none"/>
                <w:lang w:val="en-US" w:eastAsia="zh-CN"/>
              </w:rPr>
              <w:t>京技审批(备)</w:t>
            </w:r>
          </w:p>
          <w:p w14:paraId="2B328C14">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ascii="微软雅黑" w:hAnsi="微软雅黑" w:eastAsia="微软雅黑" w:cs="微软雅黑"/>
                <w:color w:val="auto"/>
                <w:sz w:val="21"/>
                <w:szCs w:val="21"/>
                <w:highlight w:val="none"/>
                <w:lang w:val="en-US" w:eastAsia="zh-CN"/>
              </w:rPr>
              <w:t>〔</w:t>
            </w:r>
            <w:r>
              <w:rPr>
                <w:rFonts w:hint="default" w:cs="Times New Roman"/>
                <w:color w:val="auto"/>
                <w:sz w:val="24"/>
                <w:highlight w:val="none"/>
                <w:lang w:val="en-US" w:eastAsia="zh-CN"/>
              </w:rPr>
              <w:t>2025</w:t>
            </w:r>
            <w:r>
              <w:rPr>
                <w:rFonts w:hint="eastAsia" w:ascii="微软雅黑" w:hAnsi="微软雅黑" w:eastAsia="微软雅黑" w:cs="微软雅黑"/>
                <w:color w:val="auto"/>
                <w:sz w:val="21"/>
                <w:szCs w:val="21"/>
                <w:highlight w:val="none"/>
                <w:lang w:val="en-US" w:eastAsia="zh-CN"/>
              </w:rPr>
              <w:t>〕</w:t>
            </w:r>
            <w:r>
              <w:rPr>
                <w:rFonts w:hint="default" w:cs="Times New Roman"/>
                <w:color w:val="auto"/>
                <w:sz w:val="24"/>
                <w:highlight w:val="none"/>
                <w:lang w:val="en-US" w:eastAsia="zh-CN"/>
              </w:rPr>
              <w:t>210号</w:t>
            </w:r>
          </w:p>
        </w:tc>
      </w:tr>
      <w:tr w14:paraId="0743A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9" w:type="dxa"/>
            <w:tcMar>
              <w:top w:w="16" w:type="dxa"/>
              <w:left w:w="16" w:type="dxa"/>
              <w:right w:w="16" w:type="dxa"/>
            </w:tcMar>
            <w:vAlign w:val="center"/>
          </w:tcPr>
          <w:p w14:paraId="62F14960">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总投资（万元）</w:t>
            </w:r>
          </w:p>
        </w:tc>
        <w:tc>
          <w:tcPr>
            <w:tcW w:w="1968" w:type="dxa"/>
            <w:vAlign w:val="center"/>
          </w:tcPr>
          <w:p w14:paraId="5D98C070">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510</w:t>
            </w:r>
          </w:p>
        </w:tc>
        <w:tc>
          <w:tcPr>
            <w:tcW w:w="2034" w:type="dxa"/>
            <w:tcMar>
              <w:top w:w="16" w:type="dxa"/>
              <w:left w:w="16" w:type="dxa"/>
              <w:right w:w="16" w:type="dxa"/>
            </w:tcMar>
            <w:vAlign w:val="center"/>
          </w:tcPr>
          <w:p w14:paraId="481B7D5A">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环保投资（万元）</w:t>
            </w:r>
          </w:p>
        </w:tc>
        <w:tc>
          <w:tcPr>
            <w:tcW w:w="2739" w:type="dxa"/>
            <w:vAlign w:val="center"/>
          </w:tcPr>
          <w:p w14:paraId="61A4B86A">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20</w:t>
            </w:r>
          </w:p>
        </w:tc>
      </w:tr>
      <w:tr w14:paraId="1202B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9" w:type="dxa"/>
            <w:tcMar>
              <w:top w:w="16" w:type="dxa"/>
              <w:left w:w="16" w:type="dxa"/>
              <w:right w:w="16" w:type="dxa"/>
            </w:tcMar>
            <w:vAlign w:val="center"/>
          </w:tcPr>
          <w:p w14:paraId="49ACC8D4">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环保投资占比（%）</w:t>
            </w:r>
          </w:p>
        </w:tc>
        <w:tc>
          <w:tcPr>
            <w:tcW w:w="1968" w:type="dxa"/>
            <w:vAlign w:val="center"/>
          </w:tcPr>
          <w:p w14:paraId="04A13E04">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3.9</w:t>
            </w:r>
          </w:p>
        </w:tc>
        <w:tc>
          <w:tcPr>
            <w:tcW w:w="2034" w:type="dxa"/>
            <w:tcMar>
              <w:top w:w="16" w:type="dxa"/>
              <w:left w:w="16" w:type="dxa"/>
              <w:right w:w="16" w:type="dxa"/>
            </w:tcMar>
            <w:vAlign w:val="center"/>
          </w:tcPr>
          <w:p w14:paraId="38D4E07E">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施工工期</w:t>
            </w:r>
          </w:p>
        </w:tc>
        <w:tc>
          <w:tcPr>
            <w:tcW w:w="2739" w:type="dxa"/>
            <w:vAlign w:val="center"/>
          </w:tcPr>
          <w:p w14:paraId="59B50EB9">
            <w:pPr>
              <w:adjustRightInd w:val="0"/>
              <w:snapToGrid w:val="0"/>
              <w:jc w:val="center"/>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个月</w:t>
            </w:r>
          </w:p>
        </w:tc>
      </w:tr>
      <w:tr w14:paraId="69B48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9" w:type="dxa"/>
            <w:tcMar>
              <w:top w:w="16" w:type="dxa"/>
              <w:left w:w="16" w:type="dxa"/>
              <w:right w:w="16" w:type="dxa"/>
            </w:tcMar>
            <w:vAlign w:val="center"/>
          </w:tcPr>
          <w:p w14:paraId="0E3DFEF4">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是否开工建设</w:t>
            </w:r>
          </w:p>
        </w:tc>
        <w:tc>
          <w:tcPr>
            <w:tcW w:w="1968" w:type="dxa"/>
            <w:vAlign w:val="center"/>
          </w:tcPr>
          <w:p w14:paraId="7B6A8ACA">
            <w:pPr>
              <w:adjustRightInd w:val="0"/>
              <w:snapToGrid w:val="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☑否</w:t>
            </w:r>
          </w:p>
          <w:p w14:paraId="415B5168">
            <w:pPr>
              <w:adjustRightInd w:val="0"/>
              <w:snapToGrid w:val="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是：</w:t>
            </w:r>
          </w:p>
        </w:tc>
        <w:tc>
          <w:tcPr>
            <w:tcW w:w="2034" w:type="dxa"/>
            <w:tcMar>
              <w:top w:w="16" w:type="dxa"/>
              <w:left w:w="16" w:type="dxa"/>
              <w:right w:w="16" w:type="dxa"/>
            </w:tcMar>
            <w:vAlign w:val="center"/>
          </w:tcPr>
          <w:p w14:paraId="674EDD84">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用地（用海）</w:t>
            </w:r>
          </w:p>
          <w:p w14:paraId="57950FE1">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面积（m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w:t>
            </w:r>
          </w:p>
        </w:tc>
        <w:tc>
          <w:tcPr>
            <w:tcW w:w="2739" w:type="dxa"/>
            <w:vAlign w:val="center"/>
          </w:tcPr>
          <w:p w14:paraId="0C8F1F68">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1337.24</w:t>
            </w:r>
          </w:p>
        </w:tc>
      </w:tr>
      <w:tr w14:paraId="6D5BC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29" w:type="dxa"/>
            <w:vAlign w:val="center"/>
          </w:tcPr>
          <w:p w14:paraId="4D647DEF">
            <w:pPr>
              <w:autoSpaceDE w:val="0"/>
              <w:autoSpaceDN w:val="0"/>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专项评价设置情况</w:t>
            </w:r>
          </w:p>
        </w:tc>
        <w:tc>
          <w:tcPr>
            <w:tcW w:w="6741" w:type="dxa"/>
            <w:gridSpan w:val="3"/>
            <w:vAlign w:val="center"/>
          </w:tcPr>
          <w:p w14:paraId="23401B15">
            <w:pPr>
              <w:autoSpaceDE w:val="0"/>
              <w:autoSpaceDN w:val="0"/>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无</w:t>
            </w:r>
          </w:p>
        </w:tc>
      </w:tr>
      <w:tr w14:paraId="05B80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29" w:type="dxa"/>
            <w:vAlign w:val="center"/>
          </w:tcPr>
          <w:p w14:paraId="74B97286">
            <w:pPr>
              <w:autoSpaceDE w:val="0"/>
              <w:autoSpaceDN w:val="0"/>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rPr>
              <w:t>规划情况</w:t>
            </w:r>
          </w:p>
        </w:tc>
        <w:tc>
          <w:tcPr>
            <w:tcW w:w="6741" w:type="dxa"/>
            <w:gridSpan w:val="3"/>
            <w:vAlign w:val="center"/>
          </w:tcPr>
          <w:p w14:paraId="096B71FF">
            <w:pPr>
              <w:widowControl/>
              <w:numPr>
                <w:ilvl w:val="0"/>
                <w:numId w:val="1"/>
              </w:numPr>
              <w:spacing w:line="360" w:lineRule="auto"/>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规划文件名称：《亦庄新城规划（国土空间规划）（2017年—2035年）》</w:t>
            </w:r>
          </w:p>
          <w:p w14:paraId="21FBF8E8">
            <w:pPr>
              <w:widowControl/>
              <w:numPr>
                <w:ilvl w:val="0"/>
                <w:numId w:val="0"/>
              </w:numPr>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审批机关</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北京市人民政府</w:t>
            </w:r>
          </w:p>
          <w:p w14:paraId="450FC780">
            <w:pPr>
              <w:widowControl/>
              <w:numPr>
                <w:ilvl w:val="0"/>
                <w:numId w:val="0"/>
              </w:num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审批文件名称及文号：北京市人民政府关于对《亦庄新城规划（国土空间规划）（2017年-2035年）》的批复（2019.11.20）</w:t>
            </w:r>
            <w:r>
              <w:rPr>
                <w:rFonts w:hint="default" w:ascii="Times New Roman" w:hAnsi="Times New Roman" w:eastAsia="宋体" w:cs="Times New Roman"/>
                <w:color w:val="auto"/>
                <w:sz w:val="24"/>
                <w:highlight w:val="none"/>
                <w:lang w:eastAsia="zh-CN"/>
              </w:rPr>
              <w:t>。</w:t>
            </w:r>
          </w:p>
          <w:p w14:paraId="63ADCD2D">
            <w:pPr>
              <w:widowControl/>
              <w:numPr>
                <w:ilvl w:val="0"/>
                <w:numId w:val="1"/>
              </w:numPr>
              <w:spacing w:line="360" w:lineRule="auto"/>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规划文件名称：《落实</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三区三线</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&lt;亦庄新城规划(2017年-2035年）&gt;修改成果》</w:t>
            </w:r>
          </w:p>
          <w:p w14:paraId="1DA52FAF">
            <w:pPr>
              <w:widowControl/>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审批机关：北京市人民政府</w:t>
            </w:r>
          </w:p>
          <w:p w14:paraId="4B9F1857">
            <w:pPr>
              <w:widowControl/>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审批文件名称及文号：北京市人民政府关于对《北京市人民政府关于对朝阳等13个区分区规划及亦庄新城规划修改方案》的批复（2023.3.25）</w:t>
            </w:r>
          </w:p>
          <w:p w14:paraId="0EE1D511">
            <w:pPr>
              <w:widowControl/>
              <w:numPr>
                <w:ilvl w:val="0"/>
                <w:numId w:val="1"/>
              </w:numPr>
              <w:spacing w:line="360" w:lineRule="auto"/>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十四五</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时期北京经济技术开发区发展建设和二O三五年远景目标规划》</w:t>
            </w:r>
            <w:r>
              <w:rPr>
                <w:rFonts w:hint="eastAsia" w:ascii="Times New Roman" w:hAnsi="Times New Roman" w:eastAsia="宋体" w:cs="Times New Roman"/>
                <w:color w:val="auto"/>
                <w:sz w:val="24"/>
                <w:highlight w:val="none"/>
              </w:rPr>
              <w:t>（2021年6月29日发布）</w:t>
            </w:r>
          </w:p>
          <w:p w14:paraId="08B79411">
            <w:pPr>
              <w:widowControl/>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发布单位：北京经济技术开发区管理委员会</w:t>
            </w:r>
          </w:p>
        </w:tc>
      </w:tr>
      <w:tr w14:paraId="2B0177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29" w:type="dxa"/>
            <w:tcBorders>
              <w:top w:val="single" w:color="auto" w:sz="4" w:space="0"/>
              <w:left w:val="single" w:color="auto" w:sz="8" w:space="0"/>
              <w:bottom w:val="single" w:color="auto" w:sz="4" w:space="0"/>
              <w:right w:val="single" w:color="auto" w:sz="4" w:space="0"/>
            </w:tcBorders>
            <w:vAlign w:val="center"/>
          </w:tcPr>
          <w:p w14:paraId="01007D5E">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规划环境影响评价情况</w:t>
            </w:r>
          </w:p>
        </w:tc>
        <w:tc>
          <w:tcPr>
            <w:tcW w:w="6741" w:type="dxa"/>
            <w:gridSpan w:val="3"/>
            <w:tcBorders>
              <w:top w:val="single" w:color="auto" w:sz="4" w:space="0"/>
              <w:left w:val="single" w:color="auto" w:sz="4" w:space="0"/>
              <w:bottom w:val="single" w:color="auto" w:sz="4" w:space="0"/>
              <w:right w:val="single" w:color="auto" w:sz="8" w:space="0"/>
            </w:tcBorders>
            <w:vAlign w:val="center"/>
          </w:tcPr>
          <w:p w14:paraId="0AD634CD">
            <w:pPr>
              <w:widowControl/>
              <w:numPr>
                <w:ilvl w:val="0"/>
                <w:numId w:val="2"/>
              </w:numPr>
              <w:spacing w:line="360" w:lineRule="auto"/>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文件名称：《北京经济技术开发区区域环境影响报告书》</w:t>
            </w:r>
          </w:p>
          <w:p w14:paraId="56B4520C">
            <w:pPr>
              <w:widowControl/>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审查机关：原国家环境保护总局</w:t>
            </w:r>
          </w:p>
          <w:p w14:paraId="5EBC76D4">
            <w:pPr>
              <w:widowControl/>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审查文件名称及文号：《关于北京经济技术开发区区域环境影响报告书审查意见的复函》（环审[2005]535号）</w:t>
            </w:r>
          </w:p>
          <w:p w14:paraId="50E4376E">
            <w:pPr>
              <w:widowControl/>
              <w:numPr>
                <w:ilvl w:val="0"/>
                <w:numId w:val="2"/>
              </w:numPr>
              <w:spacing w:line="360" w:lineRule="auto"/>
              <w:jc w:val="left"/>
              <w:rPr>
                <w:rFonts w:hint="eastAsia"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bidi="ar"/>
              </w:rPr>
              <w:t>文件名称：《北京经济技术开发区</w:t>
            </w:r>
            <w:r>
              <w:rPr>
                <w:rFonts w:hint="eastAsia"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十三五</w:t>
            </w:r>
            <w:r>
              <w:rPr>
                <w:rFonts w:hint="eastAsia"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时期创新发展规划环境影响篇章》</w:t>
            </w:r>
          </w:p>
          <w:p w14:paraId="131F5D16">
            <w:pPr>
              <w:widowControl/>
              <w:numPr>
                <w:ilvl w:val="0"/>
                <w:numId w:val="2"/>
              </w:numPr>
              <w:spacing w:line="360" w:lineRule="auto"/>
              <w:jc w:val="left"/>
              <w:rPr>
                <w:rFonts w:hint="default" w:ascii="Times New Roman" w:hAnsi="Times New Roman" w:eastAsia="宋体" w:cs="Times New Roman"/>
                <w:color w:val="auto"/>
                <w:kern w:val="0"/>
                <w:sz w:val="24"/>
                <w:highlight w:val="none"/>
                <w:lang w:bidi="ar"/>
              </w:rPr>
            </w:pPr>
            <w:r>
              <w:rPr>
                <w:rFonts w:hint="eastAsia" w:ascii="Times New Roman" w:hAnsi="Times New Roman" w:eastAsia="宋体" w:cs="Times New Roman"/>
                <w:color w:val="auto"/>
                <w:kern w:val="0"/>
                <w:sz w:val="24"/>
                <w:highlight w:val="none"/>
                <w:lang w:val="en-US" w:eastAsia="zh-CN" w:bidi="ar"/>
              </w:rPr>
              <w:t>文件名称：《中关村科技园区通州园金桥科技产业基地（一期）规划环境影响跟踪评价报告书》</w:t>
            </w:r>
          </w:p>
          <w:p w14:paraId="155EEB33">
            <w:pPr>
              <w:widowControl/>
              <w:spacing w:line="360" w:lineRule="auto"/>
              <w:ind w:firstLine="480" w:firstLineChars="200"/>
              <w:jc w:val="left"/>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审查机关：北京市通州区生态环境局</w:t>
            </w:r>
          </w:p>
          <w:p w14:paraId="7F278AB6">
            <w:pPr>
              <w:widowControl/>
              <w:spacing w:line="360" w:lineRule="auto"/>
              <w:ind w:firstLine="480" w:firstLineChars="200"/>
              <w:jc w:val="left"/>
              <w:rPr>
                <w:rFonts w:hint="default" w:ascii="Times New Roman" w:hAnsi="Times New Roman" w:eastAsia="宋体" w:cs="Times New Roman"/>
                <w:color w:val="auto"/>
                <w:sz w:val="24"/>
                <w:szCs w:val="32"/>
                <w:highlight w:val="none"/>
              </w:rPr>
            </w:pPr>
            <w:r>
              <w:rPr>
                <w:rFonts w:hint="eastAsia" w:ascii="Times New Roman" w:hAnsi="Times New Roman" w:eastAsia="宋体" w:cs="Times New Roman"/>
                <w:color w:val="auto"/>
                <w:sz w:val="24"/>
                <w:highlight w:val="none"/>
                <w:lang w:val="en-US" w:eastAsia="zh-CN"/>
              </w:rPr>
              <w:t>审查文件名称：《北京市通州区生态环境局关于</w:t>
            </w:r>
            <w:r>
              <w:rPr>
                <w:rFonts w:hint="default" w:ascii="Times New Roman" w:hAnsi="Times New Roman" w:eastAsia="宋体" w:cs="Times New Roman"/>
                <w:color w:val="auto"/>
                <w:sz w:val="24"/>
                <w:highlight w:val="none"/>
                <w:lang w:val="en-US" w:eastAsia="zh-CN"/>
              </w:rPr>
              <w:t>&lt;</w:t>
            </w:r>
            <w:r>
              <w:rPr>
                <w:rFonts w:hint="eastAsia" w:ascii="Times New Roman" w:hAnsi="Times New Roman" w:eastAsia="宋体" w:cs="Times New Roman"/>
                <w:color w:val="auto"/>
                <w:sz w:val="24"/>
                <w:highlight w:val="none"/>
                <w:lang w:val="en-US" w:eastAsia="zh-CN"/>
              </w:rPr>
              <w:t>中关村科技园区通州园金桥科技产业基地（一期）规划环境影响跟踪评价报告书</w:t>
            </w:r>
            <w:r>
              <w:rPr>
                <w:rFonts w:hint="default" w:ascii="Times New Roman" w:hAnsi="Times New Roman" w:eastAsia="宋体" w:cs="Times New Roman"/>
                <w:color w:val="auto"/>
                <w:sz w:val="24"/>
                <w:highlight w:val="none"/>
                <w:lang w:val="en-US" w:eastAsia="zh-CN"/>
              </w:rPr>
              <w:t>&gt;</w:t>
            </w:r>
            <w:r>
              <w:rPr>
                <w:rFonts w:hint="eastAsia" w:ascii="Times New Roman" w:hAnsi="Times New Roman" w:eastAsia="宋体" w:cs="Times New Roman"/>
                <w:color w:val="auto"/>
                <w:sz w:val="24"/>
                <w:highlight w:val="none"/>
                <w:lang w:val="en-US" w:eastAsia="zh-CN"/>
              </w:rPr>
              <w:t>审查意见的函》（通环函</w:t>
            </w:r>
            <w:r>
              <w:rPr>
                <w:rFonts w:hint="default" w:ascii="Times New Roman" w:hAnsi="Times New Roman" w:eastAsia="宋体" w:cs="Times New Roman"/>
                <w:color w:val="auto"/>
                <w:sz w:val="24"/>
                <w:highlight w:val="none"/>
                <w:lang w:val="en-US" w:eastAsia="zh-CN"/>
              </w:rPr>
              <w:t>[2020]25</w:t>
            </w:r>
            <w:r>
              <w:rPr>
                <w:rFonts w:hint="eastAsia" w:ascii="Times New Roman" w:hAnsi="Times New Roman" w:eastAsia="宋体" w:cs="Times New Roman"/>
                <w:color w:val="auto"/>
                <w:sz w:val="24"/>
                <w:highlight w:val="none"/>
                <w:lang w:val="en-US" w:eastAsia="zh-CN"/>
              </w:rPr>
              <w:t>号）</w:t>
            </w:r>
          </w:p>
        </w:tc>
      </w:tr>
      <w:tr w14:paraId="5068B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2129" w:type="dxa"/>
            <w:tcBorders>
              <w:top w:val="single" w:color="auto" w:sz="4" w:space="0"/>
              <w:left w:val="single" w:color="auto" w:sz="8" w:space="0"/>
              <w:bottom w:val="single" w:color="auto" w:sz="4" w:space="0"/>
              <w:right w:val="single" w:color="auto" w:sz="4" w:space="0"/>
            </w:tcBorders>
            <w:vAlign w:val="center"/>
          </w:tcPr>
          <w:p w14:paraId="724AC9AB">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规划及规划环境影响评价符合性分析</w:t>
            </w:r>
          </w:p>
        </w:tc>
        <w:tc>
          <w:tcPr>
            <w:tcW w:w="6741" w:type="dxa"/>
            <w:gridSpan w:val="3"/>
            <w:tcBorders>
              <w:top w:val="single" w:color="auto" w:sz="4" w:space="0"/>
              <w:left w:val="single" w:color="auto" w:sz="4" w:space="0"/>
              <w:bottom w:val="single" w:color="auto" w:sz="4" w:space="0"/>
              <w:right w:val="single" w:color="auto" w:sz="8" w:space="0"/>
            </w:tcBorders>
            <w:vAlign w:val="center"/>
          </w:tcPr>
          <w:p w14:paraId="3A279943">
            <w:pPr>
              <w:widowControl/>
              <w:numPr>
                <w:ilvl w:val="0"/>
                <w:numId w:val="3"/>
              </w:numPr>
              <w:spacing w:line="360" w:lineRule="auto"/>
              <w:ind w:firstLine="482" w:firstLineChars="200"/>
              <w:jc w:val="left"/>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与《亦庄新城规划（国土空间规划）》（2017年-2035年）的符合性分析</w:t>
            </w:r>
          </w:p>
          <w:p w14:paraId="1C2F67CC">
            <w:pPr>
              <w:widowControl/>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根据《亦庄新城分区规划（2017年-2035年）》，亦庄新城功能定位是建设具有全球影响力的创新型产业集群和科技服务中心；首都东南部区域创新发展协同区；战略性新兴产业基地及制造业转型升级示范区；宜业宜居绿色城区。</w:t>
            </w:r>
          </w:p>
          <w:p w14:paraId="53D4B3A8">
            <w:pPr>
              <w:widowControl/>
              <w:spacing w:line="360" w:lineRule="auto"/>
              <w:ind w:firstLine="480" w:firstLineChars="200"/>
              <w:jc w:val="left"/>
              <w:rPr>
                <w:rFonts w:hint="default"/>
                <w:color w:val="auto"/>
                <w:szCs w:val="21"/>
                <w:lang w:val="en-US" w:eastAsia="zh-CN"/>
              </w:rPr>
            </w:pPr>
            <w:r>
              <w:rPr>
                <w:rFonts w:hint="default" w:ascii="Times New Roman" w:hAnsi="Times New Roman" w:eastAsia="宋体" w:cs="Times New Roman"/>
                <w:color w:val="auto"/>
                <w:kern w:val="0"/>
                <w:sz w:val="24"/>
                <w:highlight w:val="none"/>
                <w:lang w:bidi="ar"/>
              </w:rPr>
              <w:t>规划中要求</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提升医药产业技术创新能力，加快医疗器械产业集聚发展</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促进医药医疗融合发展，完善健康产业创新生态建设，打造具有世界影响力的新一代健康诊疗与服务产业集群。聚焦生物技术、高端医疗器械、医学健康服务等重点领域</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推动生物技术和大健康产业智能化、服务化、生态化、高端化发展，在分子诊断和分子影像、生物信息、中医药现代化等产业前沿方向进行技术探索</w:t>
            </w:r>
            <w:r>
              <w:rPr>
                <w:rFonts w:hint="eastAsia" w:ascii="Times New Roman" w:hAnsi="Times New Roman" w:eastAsia="宋体" w:cs="Times New Roman"/>
                <w:color w:val="auto"/>
                <w:kern w:val="0"/>
                <w:sz w:val="24"/>
                <w:highlight w:val="none"/>
                <w:lang w:eastAsia="zh-CN" w:bidi="ar"/>
              </w:rPr>
              <w:t>”。</w:t>
            </w:r>
          </w:p>
          <w:p w14:paraId="60FF2A14">
            <w:pPr>
              <w:widowControl/>
              <w:spacing w:line="360" w:lineRule="auto"/>
              <w:ind w:firstLine="480" w:firstLineChars="200"/>
              <w:jc w:val="left"/>
              <w:rPr>
                <w:rFonts w:hint="eastAsia" w:ascii="Times New Roman" w:hAnsi="Times New Roman"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bidi="ar"/>
              </w:rPr>
              <w:t>本项目</w:t>
            </w:r>
            <w:r>
              <w:rPr>
                <w:rFonts w:hint="eastAsia" w:ascii="Times New Roman" w:hAnsi="Times New Roman" w:eastAsia="宋体" w:cs="Times New Roman"/>
                <w:color w:val="auto"/>
                <w:kern w:val="0"/>
                <w:sz w:val="24"/>
                <w:highlight w:val="none"/>
                <w:lang w:val="en-US" w:eastAsia="zh-CN" w:bidi="ar"/>
              </w:rPr>
              <w:t>位于</w:t>
            </w:r>
            <w:r>
              <w:rPr>
                <w:rFonts w:hint="eastAsia" w:ascii="Times New Roman" w:hAnsi="Times New Roman" w:eastAsia="宋体" w:cs="Times New Roman"/>
                <w:color w:val="auto"/>
                <w:kern w:val="0"/>
                <w:sz w:val="24"/>
                <w:highlight w:val="none"/>
                <w:lang w:eastAsia="zh-CN" w:bidi="ar"/>
              </w:rPr>
              <w:t>北京经济技术开发区(通州)景盛南二街10号院10号楼3层301</w:t>
            </w:r>
            <w:r>
              <w:rPr>
                <w:rFonts w:hint="eastAsia" w:ascii="Times New Roman" w:hAnsi="Times New Roman" w:eastAsia="宋体"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bidi="ar"/>
              </w:rPr>
              <w:t>属于亦庄新城范围内</w:t>
            </w:r>
            <w:r>
              <w:rPr>
                <w:rFonts w:hint="eastAsia"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val="en-US" w:eastAsia="zh-CN" w:bidi="ar"/>
              </w:rPr>
              <w:t>行业类别为</w:t>
            </w:r>
            <w:r>
              <w:rPr>
                <w:rFonts w:hint="eastAsia" w:ascii="Times New Roman" w:hAnsi="Times New Roman" w:eastAsia="宋体" w:cs="Times New Roman"/>
                <w:color w:val="auto"/>
                <w:kern w:val="0"/>
                <w:sz w:val="24"/>
                <w:highlight w:val="none"/>
                <w:lang w:val="en-US" w:eastAsia="zh-CN" w:bidi="ar"/>
              </w:rPr>
              <w:t>“</w:t>
            </w:r>
            <w:r>
              <w:rPr>
                <w:rFonts w:hint="default" w:ascii="Times New Roman" w:hAnsi="Times New Roman" w:eastAsia="宋体" w:cs="Times New Roman"/>
                <w:color w:val="auto"/>
                <w:sz w:val="24"/>
                <w:highlight w:val="none"/>
                <w:lang w:val="en-US" w:eastAsia="zh-CN"/>
              </w:rPr>
              <w:t>医疗实验室及医用消毒设备和器具制造</w:t>
            </w:r>
            <w:r>
              <w:rPr>
                <w:rFonts w:hint="eastAsia" w:cs="Times New Roman"/>
                <w:color w:val="auto"/>
                <w:kern w:val="0"/>
                <w:sz w:val="24"/>
                <w:highlight w:val="none"/>
                <w:lang w:val="en-US" w:eastAsia="zh-CN" w:bidi="ar"/>
              </w:rPr>
              <w:t>”</w:t>
            </w:r>
            <w:r>
              <w:rPr>
                <w:rFonts w:hint="eastAsia" w:ascii="Times New Roman" w:hAnsi="Times New Roman"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bidi="ar"/>
              </w:rPr>
              <w:t>符合《亦庄新城规划（国土空间规划）（2017年-2035年）》</w:t>
            </w:r>
            <w:r>
              <w:rPr>
                <w:rFonts w:hint="eastAsia" w:ascii="Times New Roman" w:hAnsi="Times New Roman" w:eastAsia="宋体" w:cs="Times New Roman"/>
                <w:color w:val="auto"/>
                <w:kern w:val="0"/>
                <w:sz w:val="24"/>
                <w:highlight w:val="none"/>
                <w:lang w:val="en-US" w:eastAsia="zh-CN" w:bidi="ar"/>
              </w:rPr>
              <w:t>要求</w:t>
            </w:r>
            <w:r>
              <w:rPr>
                <w:rFonts w:hint="eastAsia"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eastAsia="zh-CN" w:bidi="ar"/>
              </w:rPr>
              <w:t>本项目在亦庄新城规划图</w:t>
            </w:r>
            <w:r>
              <w:rPr>
                <w:rFonts w:hint="eastAsia" w:ascii="Times New Roman" w:hAnsi="Times New Roman" w:eastAsia="宋体" w:cs="Times New Roman"/>
                <w:color w:val="auto"/>
                <w:kern w:val="0"/>
                <w:sz w:val="24"/>
                <w:highlight w:val="none"/>
                <w:lang w:val="en-US" w:eastAsia="zh-CN" w:bidi="ar"/>
              </w:rPr>
              <w:t>中</w:t>
            </w:r>
            <w:r>
              <w:rPr>
                <w:rFonts w:hint="default" w:ascii="Times New Roman" w:hAnsi="Times New Roman" w:eastAsia="宋体" w:cs="Times New Roman"/>
                <w:color w:val="auto"/>
                <w:kern w:val="0"/>
                <w:sz w:val="24"/>
                <w:highlight w:val="none"/>
                <w:lang w:eastAsia="zh-CN" w:bidi="ar"/>
              </w:rPr>
              <w:t>的位置示意图见</w:t>
            </w:r>
            <w:r>
              <w:rPr>
                <w:rFonts w:hint="default" w:ascii="Times New Roman" w:hAnsi="Times New Roman" w:eastAsia="宋体" w:cs="Times New Roman"/>
                <w:color w:val="auto"/>
                <w:kern w:val="0"/>
                <w:sz w:val="24"/>
                <w:highlight w:val="none"/>
                <w:lang w:val="en-US" w:eastAsia="zh-CN" w:bidi="ar"/>
              </w:rPr>
              <w:t>下</w:t>
            </w:r>
            <w:r>
              <w:rPr>
                <w:rFonts w:hint="default" w:ascii="Times New Roman" w:hAnsi="Times New Roman" w:eastAsia="宋体" w:cs="Times New Roman"/>
                <w:color w:val="auto"/>
                <w:kern w:val="0"/>
                <w:sz w:val="24"/>
                <w:highlight w:val="none"/>
                <w:lang w:eastAsia="zh-CN" w:bidi="ar"/>
              </w:rPr>
              <w:t>图。</w:t>
            </w:r>
          </w:p>
          <w:p w14:paraId="39F6035E">
            <w:pPr>
              <w:widowControl/>
              <w:spacing w:line="360" w:lineRule="auto"/>
              <w:jc w:val="left"/>
              <w:rPr>
                <w:rFonts w:hint="eastAsia" w:ascii="Times New Roman" w:hAnsi="Times New Roman" w:cs="Times New Roman"/>
                <w:color w:val="auto"/>
                <w:kern w:val="0"/>
                <w:sz w:val="24"/>
                <w:highlight w:val="none"/>
                <w:lang w:val="en-US" w:eastAsia="zh-CN" w:bidi="ar"/>
              </w:rPr>
            </w:pPr>
            <w:r>
              <w:rPr>
                <w:sz w:val="21"/>
              </w:rPr>
              <mc:AlternateContent>
                <mc:Choice Requires="wps">
                  <w:drawing>
                    <wp:anchor distT="0" distB="0" distL="114300" distR="114300" simplePos="0" relativeHeight="251668480" behindDoc="0" locked="0" layoutInCell="1" allowOverlap="1">
                      <wp:simplePos x="0" y="0"/>
                      <wp:positionH relativeFrom="column">
                        <wp:posOffset>2045335</wp:posOffset>
                      </wp:positionH>
                      <wp:positionV relativeFrom="paragraph">
                        <wp:posOffset>2491740</wp:posOffset>
                      </wp:positionV>
                      <wp:extent cx="75565" cy="75565"/>
                      <wp:effectExtent l="6350" t="6350" r="9525" b="9525"/>
                      <wp:wrapNone/>
                      <wp:docPr id="16" name="椭圆 16"/>
                      <wp:cNvGraphicFramePr/>
                      <a:graphic xmlns:a="http://schemas.openxmlformats.org/drawingml/2006/main">
                        <a:graphicData uri="http://schemas.microsoft.com/office/word/2010/wordprocessingShape">
                          <wps:wsp>
                            <wps:cNvSpPr/>
                            <wps:spPr>
                              <a:xfrm>
                                <a:off x="4320540" y="3320415"/>
                                <a:ext cx="75565" cy="75565"/>
                              </a:xfrm>
                              <a:prstGeom prst="ellipse">
                                <a:avLst/>
                              </a:prstGeom>
                              <a:solidFill>
                                <a:srgbClr val="FFFF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1.05pt;margin-top:196.2pt;height:5.95pt;width:5.95pt;z-index:251668480;v-text-anchor:middle;mso-width-relative:page;mso-height-relative:page;" fillcolor="#FFFF00" filled="t" stroked="t" coordsize="21600,21600" o:gfxdata="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wloxE2AAAAAsB&#10;AAAPAAAAAAAAAAEAIAAAACIAAABkcnMvZG93bnJldi54bWxQSwECFAAUAAAACACHTuJAZcdO9Y0C&#10;AAAkBQAADgAAAAAAAAABACAAAAAnAQAAZHJzL2Uyb0RvYy54bWxQSwUGAAAAAAYABgBZAQAAJgYA&#10;AAAA&#1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2552700</wp:posOffset>
                      </wp:positionH>
                      <wp:positionV relativeFrom="paragraph">
                        <wp:posOffset>1950720</wp:posOffset>
                      </wp:positionV>
                      <wp:extent cx="781050" cy="290195"/>
                      <wp:effectExtent l="483235" t="6350" r="15875" b="328295"/>
                      <wp:wrapNone/>
                      <wp:docPr id="17" name="矩形标注 17"/>
                      <wp:cNvGraphicFramePr/>
                      <a:graphic xmlns:a="http://schemas.openxmlformats.org/drawingml/2006/main">
                        <a:graphicData uri="http://schemas.microsoft.com/office/word/2010/wordprocessingShape">
                          <wps:wsp>
                            <wps:cNvSpPr/>
                            <wps:spPr>
                              <a:xfrm>
                                <a:off x="4777740" y="2863215"/>
                                <a:ext cx="781050" cy="290195"/>
                              </a:xfrm>
                              <a:prstGeom prst="wedgeRectCallout">
                                <a:avLst>
                                  <a:gd name="adj1" fmla="val -105772"/>
                                  <a:gd name="adj2" fmla="val 150437"/>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16F53144">
                                  <w:pPr>
                                    <w:jc w:val="center"/>
                                    <w:rPr>
                                      <w:rFonts w:hint="default" w:eastAsia="宋体"/>
                                      <w:lang w:val="en-US" w:eastAsia="zh-CN"/>
                                    </w:rPr>
                                  </w:pPr>
                                  <w:r>
                                    <w:rPr>
                                      <w:rFonts w:hint="eastAsia"/>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1pt;margin-top:153.6pt;height:22.85pt;width:61.5pt;z-index:251669504;v-text-anchor:middle;mso-width-relative:page;mso-height-relative:page;" fillcolor="#5B9BD5 [3204]" filled="t" stroked="t" coordsize="21600,21600" o:gfxdata="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i548w2QAAAAsBAAAPAAAAAAAAAAEAIAAAACIAAABkcnMvZG93bnJldi54bWxQSwECFAAUAAAA&#10;CACHTuJAH72RJ9ECAACUBQAADgAAAAAAAAABACAAAAAoAQAAZHJzL2Uyb0RvYy54bWxQSwUGAAAA&#10;AAYABgBZAQAAawYAAAAA&#10;" adj="-12047,43294">
                      <v:fill on="t" focussize="0,0"/>
                      <v:stroke weight="1pt" color="#2E75B6 [2404]" miterlimit="8" joinstyle="miter"/>
                      <v:imagedata o:title=""/>
                      <o:lock v:ext="edit" aspectratio="f"/>
                      <v:textbox>
                        <w:txbxContent>
                          <w:p w14:paraId="16F53144">
                            <w:pPr>
                              <w:jc w:val="center"/>
                              <w:rPr>
                                <w:rFonts w:hint="default" w:eastAsia="宋体"/>
                                <w:lang w:val="en-US" w:eastAsia="zh-CN"/>
                              </w:rPr>
                            </w:pPr>
                            <w:r>
                              <w:rPr>
                                <w:rFonts w:hint="eastAsia"/>
                                <w:lang w:val="en-US" w:eastAsia="zh-CN"/>
                              </w:rPr>
                              <w:t>本项目</w:t>
                            </w:r>
                          </w:p>
                        </w:txbxContent>
                      </v:textbox>
                    </v:shape>
                  </w:pict>
                </mc:Fallback>
              </mc:AlternateContent>
            </w:r>
            <w:r>
              <w:drawing>
                <wp:inline distT="0" distB="0" distL="114300" distR="114300">
                  <wp:extent cx="4142105" cy="5833110"/>
                  <wp:effectExtent l="0" t="0" r="3175" b="381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7"/>
                          <a:stretch>
                            <a:fillRect/>
                          </a:stretch>
                        </pic:blipFill>
                        <pic:spPr>
                          <a:xfrm>
                            <a:off x="0" y="0"/>
                            <a:ext cx="4142105" cy="5833110"/>
                          </a:xfrm>
                          <a:prstGeom prst="rect">
                            <a:avLst/>
                          </a:prstGeom>
                          <a:noFill/>
                          <a:ln>
                            <a:noFill/>
                          </a:ln>
                        </pic:spPr>
                      </pic:pic>
                    </a:graphicData>
                  </a:graphic>
                </wp:inline>
              </w:drawing>
            </w:r>
          </w:p>
          <w:p w14:paraId="40E44A4C">
            <w:pPr>
              <w:widowControl/>
              <w:numPr>
                <w:ilvl w:val="0"/>
                <w:numId w:val="4"/>
              </w:numPr>
              <w:spacing w:line="360" w:lineRule="auto"/>
              <w:ind w:left="425" w:leftChars="0" w:hanging="425" w:firstLineChars="0"/>
              <w:jc w:val="center"/>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eastAsia="zh-CN" w:bidi="ar"/>
              </w:rPr>
              <w:t>项目在亦庄新城规划图</w:t>
            </w:r>
            <w:r>
              <w:rPr>
                <w:rFonts w:hint="eastAsia" w:cs="Times New Roman"/>
                <w:b/>
                <w:bCs/>
                <w:color w:val="auto"/>
                <w:kern w:val="0"/>
                <w:sz w:val="24"/>
                <w:highlight w:val="none"/>
                <w:lang w:val="en-US" w:eastAsia="zh-CN" w:bidi="ar"/>
              </w:rPr>
              <w:t>中</w:t>
            </w:r>
            <w:r>
              <w:rPr>
                <w:rFonts w:hint="default" w:ascii="Times New Roman" w:hAnsi="Times New Roman" w:eastAsia="宋体" w:cs="Times New Roman"/>
                <w:b/>
                <w:bCs/>
                <w:color w:val="auto"/>
                <w:kern w:val="0"/>
                <w:sz w:val="24"/>
                <w:highlight w:val="none"/>
                <w:lang w:eastAsia="zh-CN" w:bidi="ar"/>
              </w:rPr>
              <w:t>的位置</w:t>
            </w:r>
          </w:p>
          <w:p w14:paraId="3A07997B">
            <w:pPr>
              <w:widowControl/>
              <w:numPr>
                <w:ilvl w:val="0"/>
                <w:numId w:val="3"/>
              </w:numPr>
              <w:spacing w:line="360" w:lineRule="auto"/>
              <w:ind w:firstLine="482"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b/>
                <w:bCs/>
                <w:color w:val="auto"/>
                <w:kern w:val="0"/>
                <w:sz w:val="24"/>
                <w:highlight w:val="none"/>
                <w:lang w:val="en-US" w:eastAsia="zh-CN" w:bidi="ar"/>
              </w:rPr>
              <w:t>与《落实</w:t>
            </w:r>
            <w:r>
              <w:rPr>
                <w:rFonts w:hint="eastAsia" w:cs="Times New Roman"/>
                <w:b/>
                <w:bCs/>
                <w:color w:val="auto"/>
                <w:kern w:val="0"/>
                <w:sz w:val="24"/>
                <w:highlight w:val="none"/>
                <w:lang w:val="en-US" w:eastAsia="zh-CN" w:bidi="ar"/>
              </w:rPr>
              <w:t>“</w:t>
            </w:r>
            <w:r>
              <w:rPr>
                <w:rFonts w:hint="default" w:ascii="Times New Roman" w:hAnsi="Times New Roman" w:eastAsia="宋体" w:cs="Times New Roman"/>
                <w:b/>
                <w:bCs/>
                <w:color w:val="auto"/>
                <w:kern w:val="0"/>
                <w:sz w:val="24"/>
                <w:highlight w:val="none"/>
                <w:lang w:val="en-US" w:eastAsia="zh-CN" w:bidi="ar"/>
              </w:rPr>
              <w:t>三区三线</w:t>
            </w:r>
            <w:r>
              <w:rPr>
                <w:rFonts w:hint="eastAsia" w:cs="Times New Roman"/>
                <w:b/>
                <w:bCs/>
                <w:color w:val="auto"/>
                <w:kern w:val="0"/>
                <w:sz w:val="24"/>
                <w:highlight w:val="none"/>
                <w:lang w:val="en-US" w:eastAsia="zh-CN" w:bidi="ar"/>
              </w:rPr>
              <w:t>”</w:t>
            </w:r>
            <w:r>
              <w:rPr>
                <w:rFonts w:hint="default" w:ascii="Times New Roman" w:hAnsi="Times New Roman" w:eastAsia="宋体" w:cs="Times New Roman"/>
                <w:b/>
                <w:bCs/>
                <w:color w:val="auto"/>
                <w:kern w:val="0"/>
                <w:sz w:val="24"/>
                <w:highlight w:val="none"/>
                <w:lang w:val="en-US" w:eastAsia="zh-CN" w:bidi="ar"/>
              </w:rPr>
              <w:t>&lt;亦庄新城规划（2017年-2035年）&gt;修改成果》符合性分析</w:t>
            </w:r>
          </w:p>
          <w:p w14:paraId="25285B08">
            <w:pPr>
              <w:widowControl/>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highlight w:val="none"/>
                <w:lang w:val="en-US" w:eastAsia="zh-CN" w:bidi="ar"/>
              </w:rPr>
              <w:t>根据《落实</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三区三线</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lt;北京市人民政府关于朝阳等13个区分区规划及亦庄新城规划修改方案的批复&gt;修改成果》及北京市人民政府《关于朝阳等13个区分区规划及亦庄新城规划修改方案的批复》（2023年3月25日），亦庄新城规划（2017年-2035年）修改后，亦庄新城不再涉及生态保护红线，</w:t>
            </w:r>
            <w:r>
              <w:rPr>
                <w:rFonts w:hint="default" w:ascii="Times New Roman" w:hAnsi="Times New Roman" w:eastAsia="宋体" w:cs="Times New Roman"/>
                <w:color w:val="auto"/>
                <w:kern w:val="0"/>
                <w:sz w:val="24"/>
                <w:szCs w:val="24"/>
                <w:lang w:val="en-US" w:eastAsia="zh-CN" w:bidi="ar"/>
              </w:rPr>
              <w:t>两线三区规划图、国土空间规划分区图亦进行更新。对照修改成果，本项目位于亦庄新城规划区的集中建设区，用地性质为工业用地，符合《落实</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三区三线</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&lt;北京市人民政府关于朝阳等13个区分区规划及亦庄新城规划修改方案的批复&gt;修改成果》及其批复的要求。项目在亦庄新城两线三区规划图(修改版)中位置见下图。</w:t>
            </w:r>
          </w:p>
          <w:p w14:paraId="1F368011">
            <w:pPr>
              <w:widowControl/>
              <w:spacing w:line="360" w:lineRule="auto"/>
              <w:jc w:val="left"/>
              <w:rPr>
                <w:rFonts w:hint="default" w:ascii="Times New Roman" w:hAnsi="Times New Roman" w:eastAsia="宋体" w:cs="Times New Roman"/>
                <w:color w:val="auto"/>
                <w:kern w:val="0"/>
                <w:sz w:val="24"/>
                <w:szCs w:val="24"/>
                <w:lang w:val="en-US" w:eastAsia="zh-CN" w:bidi="ar"/>
              </w:rPr>
            </w:pPr>
            <w:r>
              <w:rPr>
                <w:sz w:val="21"/>
              </w:rPr>
              <mc:AlternateContent>
                <mc:Choice Requires="wpg">
                  <w:drawing>
                    <wp:anchor distT="0" distB="0" distL="114300" distR="114300" simplePos="0" relativeHeight="251667456" behindDoc="0" locked="0" layoutInCell="1" allowOverlap="1">
                      <wp:simplePos x="0" y="0"/>
                      <wp:positionH relativeFrom="column">
                        <wp:posOffset>2040255</wp:posOffset>
                      </wp:positionH>
                      <wp:positionV relativeFrom="paragraph">
                        <wp:posOffset>1906270</wp:posOffset>
                      </wp:positionV>
                      <wp:extent cx="1066800" cy="640080"/>
                      <wp:effectExtent l="6350" t="4445" r="8890" b="10795"/>
                      <wp:wrapNone/>
                      <wp:docPr id="44" name="组合 240"/>
                      <wp:cNvGraphicFramePr/>
                      <a:graphic xmlns:a="http://schemas.openxmlformats.org/drawingml/2006/main">
                        <a:graphicData uri="http://schemas.microsoft.com/office/word/2010/wordprocessingGroup">
                          <wpg:wgp>
                            <wpg:cNvGrpSpPr/>
                            <wpg:grpSpPr>
                              <a:xfrm rot="0">
                                <a:off x="4224655" y="1937385"/>
                                <a:ext cx="1066702" cy="639868"/>
                                <a:chOff x="4509" y="237731"/>
                                <a:chExt cx="2250" cy="1688"/>
                              </a:xfrm>
                            </wpg:grpSpPr>
                            <wps:wsp>
                              <wps:cNvPr id="46" name="文本框 17"/>
                              <wps:cNvSpPr txBox="1"/>
                              <wps:spPr>
                                <a:xfrm>
                                  <a:off x="5254" y="237731"/>
                                  <a:ext cx="1505" cy="762"/>
                                </a:xfrm>
                                <a:prstGeom prst="wedgeRectCallout">
                                  <a:avLst>
                                    <a:gd name="adj1" fmla="val -93450"/>
                                    <a:gd name="adj2" fmla="val 155039"/>
                                  </a:avLst>
                                </a:prstGeom>
                                <a:solidFill>
                                  <a:schemeClr val="bg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501B8B5A">
                                    <w:pPr>
                                      <w:ind w:left="0" w:leftChars="0" w:firstLine="0" w:firstLineChars="0"/>
                                      <w:jc w:val="center"/>
                                      <w:rPr>
                                        <w:rFonts w:hint="eastAsia"/>
                                        <w:color w:val="auto"/>
                                        <w:lang w:eastAsia="zh-CN"/>
                                      </w:rPr>
                                    </w:pPr>
                                    <w:r>
                                      <w:rPr>
                                        <w:rFonts w:hint="eastAsia"/>
                                        <w:color w:val="auto"/>
                                        <w:lang w:eastAsia="zh-CN"/>
                                      </w:rPr>
                                      <w:t>本项目</w:t>
                                    </w:r>
                                  </w:p>
                                  <w:p w14:paraId="3006CCB5">
                                    <w:pPr>
                                      <w:pStyle w:val="6"/>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五角星 13"/>
                              <wps:cNvSpPr/>
                              <wps:spPr>
                                <a:xfrm>
                                  <a:off x="4509" y="239243"/>
                                  <a:ext cx="165" cy="176"/>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40" o:spid="_x0000_s1026" o:spt="203" style="position:absolute;left:0pt;margin-left:160.65pt;margin-top:150.1pt;height:50.4pt;width:84pt;z-index:251667456;mso-width-relative:page;mso-height-relative:page;" coordorigin="4509,237731" coordsize="2250,1688" o:gfxdata="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">
                      <o:lock v:ext="edit" aspectratio="f"/>
                      <v:shape id="文本框 17" o:spid="_x0000_s1026" o:spt="61" type="#_x0000_t61" style="position:absolute;left:5254;top:237731;height:762;width:1505;" fillcolor="#FFFFFF [3212]" filled="t" stroked="t" coordsize="21600,21600" o:gfxdata="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jmGFvQAA&#10;ANsAAAAPAAAAAAAAAAEAIAAAACIAAABkcnMvZG93bnJldi54bWxQSwECFAAUAAAACACHTuJAMy8F&#10;njsAAAA5AAAAEAAAAAAAAAABACAAAAAMAQAAZHJzL3NoYXBleG1sLnhtbFBLBQYAAAAABgAGAFsB&#10;AAC2AwAAAAA=&#10;" adj="-9385,44288">
                        <v:fill on="t" focussize="0,0"/>
                        <v:stroke weight="0.5pt" color="#FF0000 [3204]" joinstyle="round"/>
                        <v:imagedata o:title=""/>
                        <o:lock v:ext="edit" aspectratio="f"/>
                        <v:textbox>
                          <w:txbxContent>
                            <w:p w14:paraId="501B8B5A">
                              <w:pPr>
                                <w:ind w:left="0" w:leftChars="0" w:firstLine="0" w:firstLineChars="0"/>
                                <w:jc w:val="center"/>
                                <w:rPr>
                                  <w:rFonts w:hint="eastAsia"/>
                                  <w:color w:val="auto"/>
                                  <w:lang w:eastAsia="zh-CN"/>
                                </w:rPr>
                              </w:pPr>
                              <w:r>
                                <w:rPr>
                                  <w:rFonts w:hint="eastAsia"/>
                                  <w:color w:val="auto"/>
                                  <w:lang w:eastAsia="zh-CN"/>
                                </w:rPr>
                                <w:t>本项目</w:t>
                              </w:r>
                            </w:p>
                            <w:p w14:paraId="3006CCB5">
                              <w:pPr>
                                <w:pStyle w:val="6"/>
                                <w:rPr>
                                  <w:rFonts w:hint="eastAsia"/>
                                  <w:lang w:eastAsia="zh-CN"/>
                                </w:rPr>
                              </w:pPr>
                            </w:p>
                          </w:txbxContent>
                        </v:textbox>
                      </v:shape>
                      <v:shape id="五角星 13" o:spid="_x0000_s1026" o:spt="3" type="#_x0000_t3" style="position:absolute;left:4509;top:239243;height:176;width:165;v-text-anchor:middle;" fillcolor="#FF0000" filled="t" stroked="t" coordsize="21600,21600" o:gfxdata="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cKfy8AAAA&#10;2wAAAA8AAAAAAAAAAQAgAAAAIgAAAGRycy9kb3ducmV2LnhtbFBLAQIUABQAAAAIAIdO4kAzLwWe&#10;OwAAADkAAAAQAAAAAAAAAAEAIAAAAAsBAABkcnMvc2hhcGV4bWwueG1sUEsFBgAAAAAGAAYAWwEA&#10;ALUDAAAAAA==&#10;">
                        <v:fill on="t" focussize="0,0"/>
                        <v:stroke weight="1pt" color="#FF0000 [3204]" miterlimit="8" joinstyle="miter"/>
                        <v:imagedata o:title=""/>
                        <o:lock v:ext="edit" aspectratio="f"/>
                      </v:shape>
                    </v:group>
                  </w:pict>
                </mc:Fallback>
              </mc:AlternateContent>
            </w:r>
            <w:r>
              <w:drawing>
                <wp:inline distT="0" distB="0" distL="114300" distR="114300">
                  <wp:extent cx="4140200" cy="5814060"/>
                  <wp:effectExtent l="0" t="0" r="508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4140200" cy="5814060"/>
                          </a:xfrm>
                          <a:prstGeom prst="rect">
                            <a:avLst/>
                          </a:prstGeom>
                          <a:noFill/>
                          <a:ln>
                            <a:noFill/>
                          </a:ln>
                        </pic:spPr>
                      </pic:pic>
                    </a:graphicData>
                  </a:graphic>
                </wp:inline>
              </w:drawing>
            </w:r>
          </w:p>
          <w:p w14:paraId="2DC3BEC0">
            <w:pPr>
              <w:widowControl/>
              <w:numPr>
                <w:ilvl w:val="0"/>
                <w:numId w:val="4"/>
              </w:numPr>
              <w:spacing w:line="360" w:lineRule="auto"/>
              <w:ind w:left="425" w:leftChars="0" w:hanging="425" w:firstLineChars="0"/>
              <w:jc w:val="center"/>
              <w:rPr>
                <w:rFonts w:hint="default" w:ascii="Times New Roman" w:hAnsi="Times New Roman" w:eastAsia="宋体" w:cs="Times New Roman"/>
                <w:b/>
                <w:bCs/>
                <w:color w:val="auto"/>
                <w:kern w:val="0"/>
                <w:sz w:val="24"/>
                <w:highlight w:val="none"/>
                <w:lang w:val="en-US" w:eastAsia="zh-CN" w:bidi="ar"/>
              </w:rPr>
            </w:pPr>
            <w:r>
              <w:rPr>
                <w:rFonts w:hint="default" w:ascii="Times New Roman" w:hAnsi="Times New Roman" w:eastAsia="宋体" w:cs="Times New Roman"/>
                <w:b/>
                <w:bCs/>
                <w:color w:val="auto"/>
                <w:kern w:val="0"/>
                <w:sz w:val="24"/>
                <w:highlight w:val="none"/>
                <w:lang w:val="en-US" w:eastAsia="zh-CN" w:bidi="ar"/>
              </w:rPr>
              <w:t>项目在亦庄新城两线三区规划图(修改版)中位置</w:t>
            </w:r>
          </w:p>
          <w:p w14:paraId="778881D7">
            <w:pPr>
              <w:widowControl/>
              <w:numPr>
                <w:ilvl w:val="0"/>
                <w:numId w:val="3"/>
              </w:numPr>
              <w:spacing w:line="360" w:lineRule="auto"/>
              <w:ind w:firstLine="482" w:firstLineChars="200"/>
              <w:jc w:val="left"/>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w:t>
            </w:r>
            <w:r>
              <w:rPr>
                <w:rFonts w:hint="eastAsia" w:cs="Times New Roman"/>
                <w:b/>
                <w:bCs/>
                <w:color w:val="auto"/>
                <w:kern w:val="0"/>
                <w:sz w:val="24"/>
                <w:highlight w:val="none"/>
                <w:lang w:eastAsia="zh-CN" w:bidi="ar"/>
              </w:rPr>
              <w:t>“</w:t>
            </w:r>
            <w:r>
              <w:rPr>
                <w:rFonts w:hint="default" w:ascii="Times New Roman" w:hAnsi="Times New Roman" w:eastAsia="宋体" w:cs="Times New Roman"/>
                <w:b/>
                <w:bCs/>
                <w:color w:val="auto"/>
                <w:kern w:val="0"/>
                <w:sz w:val="24"/>
                <w:highlight w:val="none"/>
                <w:lang w:bidi="ar"/>
              </w:rPr>
              <w:t>十四五</w:t>
            </w:r>
            <w:r>
              <w:rPr>
                <w:rFonts w:hint="eastAsia" w:cs="Times New Roman"/>
                <w:b/>
                <w:bCs/>
                <w:color w:val="auto"/>
                <w:kern w:val="0"/>
                <w:sz w:val="24"/>
                <w:highlight w:val="none"/>
                <w:lang w:eastAsia="zh-CN" w:bidi="ar"/>
              </w:rPr>
              <w:t>”</w:t>
            </w:r>
            <w:r>
              <w:rPr>
                <w:rFonts w:hint="default" w:ascii="Times New Roman" w:hAnsi="Times New Roman" w:eastAsia="宋体" w:cs="Times New Roman"/>
                <w:b/>
                <w:bCs/>
                <w:color w:val="auto"/>
                <w:kern w:val="0"/>
                <w:sz w:val="24"/>
                <w:highlight w:val="none"/>
                <w:lang w:bidi="ar"/>
              </w:rPr>
              <w:t>时期北京经济技术开发区发展建设和</w:t>
            </w:r>
            <w:r>
              <w:rPr>
                <w:rFonts w:hint="default" w:ascii="Times New Roman" w:hAnsi="Times New Roman" w:eastAsia="宋体" w:cs="Times New Roman"/>
                <w:b/>
                <w:bCs/>
                <w:color w:val="auto"/>
                <w:kern w:val="0"/>
                <w:sz w:val="24"/>
                <w:highlight w:val="none"/>
                <w:lang w:val="en-US" w:eastAsia="zh-CN" w:bidi="ar"/>
              </w:rPr>
              <w:t>二〇三五年</w:t>
            </w:r>
            <w:r>
              <w:rPr>
                <w:rFonts w:hint="default" w:ascii="Times New Roman" w:hAnsi="Times New Roman" w:eastAsia="宋体" w:cs="Times New Roman"/>
                <w:b/>
                <w:bCs/>
                <w:color w:val="auto"/>
                <w:kern w:val="0"/>
                <w:sz w:val="24"/>
                <w:highlight w:val="none"/>
                <w:lang w:bidi="ar"/>
              </w:rPr>
              <w:t>年远景目标规划》符合性分析</w:t>
            </w:r>
          </w:p>
          <w:p w14:paraId="2EFF62E9">
            <w:pPr>
              <w:widowControl/>
              <w:spacing w:line="360" w:lineRule="auto"/>
              <w:ind w:firstLine="480" w:firstLineChars="200"/>
              <w:jc w:val="left"/>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十四五</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时期北京经济技术开发区发展建设和二〇三五年远景目标规划》提出：以医学临床应用为出发点和落脚点，从人民生命健康急迫需求和长远需要出发，聚焦疫苗、细胞治疗、基因治疗、肿瘤靶向药物、高端医疗器械和人工智能大健康，依托北京国际科技创新中心建设，融入</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两区</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建设和京津冀一体化战略，积极引导</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三城</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创新成果落地经开区，打造创新生态体系，建立研发、临床、审批、产业化紧密衔接的服务机制，实行</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揭榜挂帅</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赛马</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等制度，打造具有全球影响力的医药健康产业创新策源地。</w:t>
            </w:r>
          </w:p>
          <w:p w14:paraId="413553C2">
            <w:pPr>
              <w:widowControl/>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val="en-US" w:eastAsia="zh-CN" w:bidi="ar"/>
              </w:rPr>
              <w:t>本项目的行业类别为</w:t>
            </w:r>
            <w:r>
              <w:rPr>
                <w:rFonts w:hint="default" w:ascii="Times New Roman" w:hAnsi="Times New Roman" w:eastAsia="宋体" w:cs="Times New Roman"/>
                <w:color w:val="auto"/>
                <w:sz w:val="24"/>
                <w:highlight w:val="none"/>
                <w:lang w:val="en-US" w:eastAsia="zh-CN"/>
              </w:rPr>
              <w:t>医疗实验室及医用消毒设备和器具制造</w:t>
            </w:r>
            <w:r>
              <w:rPr>
                <w:rFonts w:hint="default" w:ascii="Times New Roman" w:hAnsi="Times New Roman" w:eastAsia="宋体" w:cs="Times New Roman"/>
                <w:color w:val="auto"/>
                <w:kern w:val="0"/>
                <w:sz w:val="24"/>
                <w:highlight w:val="none"/>
                <w:lang w:val="en-US" w:eastAsia="zh-CN" w:bidi="ar"/>
              </w:rPr>
              <w:t>，符合《</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十四五</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时期北京经济技术开发区发展建设和二〇三五年远景目标规划》的要求。</w:t>
            </w:r>
          </w:p>
          <w:p w14:paraId="4570DEEB">
            <w:pPr>
              <w:widowControl/>
              <w:numPr>
                <w:ilvl w:val="0"/>
                <w:numId w:val="3"/>
              </w:numPr>
              <w:spacing w:line="360" w:lineRule="auto"/>
              <w:ind w:firstLine="482" w:firstLineChars="200"/>
              <w:jc w:val="left"/>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与《北京经济技术开发区区域环境影响报告书》及其审查意见的符合性分析</w:t>
            </w:r>
          </w:p>
          <w:p w14:paraId="52715160">
            <w:pPr>
              <w:widowControl/>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本项目与《北京经济技术开发区区域环境影响报告书》及其审查意见的符合性分析见下表。</w:t>
            </w:r>
          </w:p>
          <w:p w14:paraId="08666A26">
            <w:pPr>
              <w:widowControl/>
              <w:numPr>
                <w:ilvl w:val="0"/>
                <w:numId w:val="5"/>
              </w:numPr>
              <w:spacing w:line="360" w:lineRule="auto"/>
              <w:ind w:left="425" w:leftChars="0" w:hanging="425" w:firstLineChars="0"/>
              <w:jc w:val="center"/>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与《北京经济技术开发区区域环境影响报告书》及批复的符合性分析</w:t>
            </w:r>
          </w:p>
          <w:tbl>
            <w:tblPr>
              <w:tblStyle w:val="24"/>
              <w:tblW w:w="66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5"/>
              <w:gridCol w:w="3466"/>
              <w:gridCol w:w="1353"/>
              <w:gridCol w:w="874"/>
            </w:tblGrid>
            <w:tr w14:paraId="0958D4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65" w:type="dxa"/>
                  <w:tcBorders>
                    <w:tl2br w:val="nil"/>
                    <w:tr2bl w:val="nil"/>
                  </w:tcBorders>
                  <w:vAlign w:val="center"/>
                </w:tcPr>
                <w:p w14:paraId="043281CC">
                  <w:pPr>
                    <w:widowControl/>
                    <w:spacing w:line="240" w:lineRule="auto"/>
                    <w:jc w:val="center"/>
                    <w:rPr>
                      <w:rFonts w:hint="default" w:ascii="Times New Roman" w:hAnsi="Times New Roman" w:eastAsia="宋体" w:cs="Times New Roman"/>
                      <w:b/>
                      <w:bCs/>
                      <w:color w:val="auto"/>
                      <w:kern w:val="0"/>
                      <w:szCs w:val="21"/>
                      <w:highlight w:val="none"/>
                      <w:lang w:bidi="ar"/>
                    </w:rPr>
                  </w:pPr>
                  <w:r>
                    <w:rPr>
                      <w:rFonts w:hint="default" w:ascii="Times New Roman" w:hAnsi="Times New Roman" w:eastAsia="宋体" w:cs="Times New Roman"/>
                      <w:b/>
                      <w:bCs/>
                      <w:color w:val="auto"/>
                      <w:kern w:val="0"/>
                      <w:szCs w:val="21"/>
                      <w:highlight w:val="none"/>
                      <w:lang w:bidi="ar"/>
                    </w:rPr>
                    <w:t>类别</w:t>
                  </w:r>
                </w:p>
              </w:tc>
              <w:tc>
                <w:tcPr>
                  <w:tcW w:w="3466" w:type="dxa"/>
                  <w:tcBorders>
                    <w:tl2br w:val="nil"/>
                    <w:tr2bl w:val="nil"/>
                  </w:tcBorders>
                  <w:vAlign w:val="center"/>
                </w:tcPr>
                <w:p w14:paraId="76FFE796">
                  <w:pPr>
                    <w:widowControl/>
                    <w:spacing w:line="240" w:lineRule="auto"/>
                    <w:jc w:val="center"/>
                    <w:rPr>
                      <w:rFonts w:hint="default" w:ascii="Times New Roman" w:hAnsi="Times New Roman" w:eastAsia="宋体" w:cs="Times New Roman"/>
                      <w:b/>
                      <w:bCs/>
                      <w:color w:val="auto"/>
                      <w:kern w:val="0"/>
                      <w:szCs w:val="21"/>
                      <w:highlight w:val="none"/>
                      <w:lang w:bidi="ar"/>
                    </w:rPr>
                  </w:pPr>
                  <w:r>
                    <w:rPr>
                      <w:rFonts w:hint="default" w:ascii="Times New Roman" w:hAnsi="Times New Roman" w:eastAsia="宋体" w:cs="Times New Roman"/>
                      <w:b/>
                      <w:bCs/>
                      <w:color w:val="auto"/>
                      <w:kern w:val="0"/>
                      <w:szCs w:val="21"/>
                      <w:highlight w:val="none"/>
                      <w:lang w:bidi="ar"/>
                    </w:rPr>
                    <w:t>《北京经济技术开发区区域环境影响报告书》及其审查意见</w:t>
                  </w:r>
                </w:p>
              </w:tc>
              <w:tc>
                <w:tcPr>
                  <w:tcW w:w="1353" w:type="dxa"/>
                  <w:tcBorders>
                    <w:tl2br w:val="nil"/>
                    <w:tr2bl w:val="nil"/>
                  </w:tcBorders>
                  <w:vAlign w:val="center"/>
                </w:tcPr>
                <w:p w14:paraId="6F55CEBA">
                  <w:pPr>
                    <w:widowControl/>
                    <w:spacing w:line="240" w:lineRule="auto"/>
                    <w:jc w:val="center"/>
                    <w:rPr>
                      <w:rFonts w:hint="default" w:ascii="Times New Roman" w:hAnsi="Times New Roman" w:eastAsia="宋体" w:cs="Times New Roman"/>
                      <w:b/>
                      <w:bCs/>
                      <w:color w:val="auto"/>
                      <w:kern w:val="0"/>
                      <w:szCs w:val="21"/>
                      <w:highlight w:val="none"/>
                      <w:lang w:bidi="ar"/>
                    </w:rPr>
                  </w:pPr>
                  <w:r>
                    <w:rPr>
                      <w:rFonts w:hint="default" w:ascii="Times New Roman" w:hAnsi="Times New Roman" w:eastAsia="宋体" w:cs="Times New Roman"/>
                      <w:b/>
                      <w:bCs/>
                      <w:color w:val="auto"/>
                      <w:kern w:val="0"/>
                      <w:szCs w:val="21"/>
                      <w:highlight w:val="none"/>
                      <w:lang w:bidi="ar"/>
                    </w:rPr>
                    <w:t>拟建项目基本情况</w:t>
                  </w:r>
                </w:p>
              </w:tc>
              <w:tc>
                <w:tcPr>
                  <w:tcW w:w="874" w:type="dxa"/>
                  <w:tcBorders>
                    <w:tl2br w:val="nil"/>
                    <w:tr2bl w:val="nil"/>
                  </w:tcBorders>
                  <w:vAlign w:val="center"/>
                </w:tcPr>
                <w:p w14:paraId="683F4D54">
                  <w:pPr>
                    <w:widowControl/>
                    <w:spacing w:line="240" w:lineRule="auto"/>
                    <w:jc w:val="center"/>
                    <w:rPr>
                      <w:rFonts w:hint="default" w:ascii="Times New Roman" w:hAnsi="Times New Roman" w:eastAsia="宋体" w:cs="Times New Roman"/>
                      <w:b/>
                      <w:bCs/>
                      <w:color w:val="auto"/>
                      <w:kern w:val="0"/>
                      <w:szCs w:val="21"/>
                      <w:highlight w:val="none"/>
                      <w:lang w:bidi="ar"/>
                    </w:rPr>
                  </w:pPr>
                  <w:r>
                    <w:rPr>
                      <w:rFonts w:hint="default" w:ascii="Times New Roman" w:hAnsi="Times New Roman" w:eastAsia="宋体" w:cs="Times New Roman"/>
                      <w:b/>
                      <w:bCs/>
                      <w:color w:val="auto"/>
                      <w:kern w:val="0"/>
                      <w:szCs w:val="21"/>
                      <w:highlight w:val="none"/>
                      <w:lang w:bidi="ar"/>
                    </w:rPr>
                    <w:t>符合性分析</w:t>
                  </w:r>
                </w:p>
              </w:tc>
            </w:tr>
            <w:tr w14:paraId="50AF91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965" w:type="dxa"/>
                  <w:tcBorders>
                    <w:tl2br w:val="nil"/>
                    <w:tr2bl w:val="nil"/>
                  </w:tcBorders>
                  <w:vAlign w:val="center"/>
                </w:tcPr>
                <w:p w14:paraId="0BC6ECDE">
                  <w:pPr>
                    <w:widowControl/>
                    <w:spacing w:line="240" w:lineRule="auto"/>
                    <w:jc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对入区工业项目类型的环保要求</w:t>
                  </w:r>
                </w:p>
              </w:tc>
              <w:tc>
                <w:tcPr>
                  <w:tcW w:w="3466" w:type="dxa"/>
                  <w:tcBorders>
                    <w:tl2br w:val="nil"/>
                    <w:tr2bl w:val="nil"/>
                  </w:tcBorders>
                  <w:vAlign w:val="center"/>
                </w:tcPr>
                <w:p w14:paraId="5893A6E0">
                  <w:pPr>
                    <w:widowControl/>
                    <w:spacing w:line="240" w:lineRule="auto"/>
                    <w:jc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开发区重点发展的五大支柱产业，即电子信息产业、生物技术和新医药产业、新材料与新能源产业、现代制造业。从环境保护角度对入区企业提出如下限制原则：不发展北京市明令禁止发展的企业；不发展与其他开发区定位相冲突的行业；不发展与北京市不能形成产业链条和不具备资源优势的产业；不发展劳动密集型企业；不发展其他高耗水企业和水污染严重企业；不发展与饮食食品相关的行业。</w:t>
                  </w:r>
                </w:p>
              </w:tc>
              <w:tc>
                <w:tcPr>
                  <w:tcW w:w="1353" w:type="dxa"/>
                  <w:tcBorders>
                    <w:tl2br w:val="nil"/>
                    <w:tr2bl w:val="nil"/>
                  </w:tcBorders>
                  <w:vAlign w:val="center"/>
                </w:tcPr>
                <w:p w14:paraId="6D02D595">
                  <w:pPr>
                    <w:widowControl/>
                    <w:spacing w:line="240" w:lineRule="auto"/>
                    <w:jc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本项目</w:t>
                  </w:r>
                  <w:r>
                    <w:rPr>
                      <w:rFonts w:hint="eastAsia" w:eastAsia="宋体" w:cs="Times New Roman"/>
                      <w:color w:val="auto"/>
                      <w:kern w:val="0"/>
                      <w:szCs w:val="21"/>
                      <w:highlight w:val="none"/>
                      <w:lang w:val="en-US" w:eastAsia="zh-CN" w:bidi="ar"/>
                    </w:rPr>
                    <w:t>生产消毒</w:t>
                  </w:r>
                  <w:r>
                    <w:rPr>
                      <w:rFonts w:hint="eastAsia" w:cs="Times New Roman"/>
                      <w:color w:val="auto"/>
                      <w:kern w:val="0"/>
                      <w:szCs w:val="21"/>
                      <w:highlight w:val="none"/>
                      <w:lang w:val="en-US" w:eastAsia="zh-CN" w:bidi="ar"/>
                    </w:rPr>
                    <w:t>用</w:t>
                  </w:r>
                  <w:r>
                    <w:rPr>
                      <w:rFonts w:hint="eastAsia" w:eastAsia="宋体" w:cs="Times New Roman"/>
                      <w:color w:val="auto"/>
                      <w:kern w:val="0"/>
                      <w:szCs w:val="21"/>
                      <w:highlight w:val="none"/>
                      <w:lang w:val="en-US" w:eastAsia="zh-CN" w:bidi="ar"/>
                    </w:rPr>
                    <w:t>生物指示剂，属于五大支柱产业的生物技术产业，</w:t>
                  </w:r>
                  <w:r>
                    <w:rPr>
                      <w:rFonts w:hint="default" w:ascii="Times New Roman" w:hAnsi="Times New Roman" w:eastAsia="宋体" w:cs="Times New Roman"/>
                      <w:color w:val="auto"/>
                      <w:kern w:val="0"/>
                      <w:szCs w:val="21"/>
                      <w:highlight w:val="none"/>
                      <w:lang w:val="en-US" w:eastAsia="zh-CN" w:bidi="ar"/>
                    </w:rPr>
                    <w:t>符合产业定位</w:t>
                  </w:r>
                  <w:r>
                    <w:rPr>
                      <w:rFonts w:hint="default" w:ascii="Times New Roman" w:hAnsi="Times New Roman" w:eastAsia="宋体" w:cs="Times New Roman"/>
                      <w:color w:val="auto"/>
                      <w:kern w:val="0"/>
                      <w:szCs w:val="21"/>
                      <w:highlight w:val="none"/>
                      <w:lang w:bidi="ar"/>
                    </w:rPr>
                    <w:t>。</w:t>
                  </w:r>
                </w:p>
              </w:tc>
              <w:tc>
                <w:tcPr>
                  <w:tcW w:w="874" w:type="dxa"/>
                  <w:tcBorders>
                    <w:tl2br w:val="nil"/>
                    <w:tr2bl w:val="nil"/>
                  </w:tcBorders>
                  <w:vAlign w:val="center"/>
                </w:tcPr>
                <w:p w14:paraId="03199455">
                  <w:pPr>
                    <w:widowControl/>
                    <w:spacing w:line="240" w:lineRule="auto"/>
                    <w:jc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符合</w:t>
                  </w:r>
                </w:p>
              </w:tc>
            </w:tr>
            <w:tr w14:paraId="7E5A21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965" w:type="dxa"/>
                  <w:tcBorders>
                    <w:tl2br w:val="nil"/>
                    <w:tr2bl w:val="nil"/>
                  </w:tcBorders>
                  <w:vAlign w:val="center"/>
                </w:tcPr>
                <w:p w14:paraId="6674DF00">
                  <w:pPr>
                    <w:widowControl/>
                    <w:spacing w:line="240" w:lineRule="auto"/>
                    <w:jc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对入区项目环境影响评价的要求</w:t>
                  </w:r>
                </w:p>
              </w:tc>
              <w:tc>
                <w:tcPr>
                  <w:tcW w:w="3466" w:type="dxa"/>
                  <w:tcBorders>
                    <w:tl2br w:val="nil"/>
                    <w:tr2bl w:val="nil"/>
                  </w:tcBorders>
                  <w:vAlign w:val="center"/>
                </w:tcPr>
                <w:p w14:paraId="46DFFF80">
                  <w:pPr>
                    <w:widowControl/>
                    <w:spacing w:line="240" w:lineRule="auto"/>
                    <w:jc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对符合</w:t>
                  </w:r>
                  <w:r>
                    <w:rPr>
                      <w:rFonts w:hint="eastAsia" w:cs="Times New Roman"/>
                      <w:color w:val="auto"/>
                      <w:kern w:val="0"/>
                      <w:szCs w:val="21"/>
                      <w:highlight w:val="none"/>
                      <w:lang w:eastAsia="zh-CN" w:bidi="ar"/>
                    </w:rPr>
                    <w:t>“</w:t>
                  </w:r>
                  <w:r>
                    <w:rPr>
                      <w:rFonts w:hint="default" w:ascii="Times New Roman" w:hAnsi="Times New Roman" w:eastAsia="宋体" w:cs="Times New Roman"/>
                      <w:color w:val="auto"/>
                      <w:kern w:val="0"/>
                      <w:szCs w:val="21"/>
                      <w:highlight w:val="none"/>
                      <w:lang w:bidi="ar"/>
                    </w:rPr>
                    <w:t>五大支柱产业</w:t>
                  </w:r>
                  <w:r>
                    <w:rPr>
                      <w:rFonts w:hint="eastAsia" w:cs="Times New Roman"/>
                      <w:color w:val="auto"/>
                      <w:kern w:val="0"/>
                      <w:szCs w:val="21"/>
                      <w:highlight w:val="none"/>
                      <w:lang w:eastAsia="zh-CN" w:bidi="ar"/>
                    </w:rPr>
                    <w:t>”</w:t>
                  </w:r>
                  <w:r>
                    <w:rPr>
                      <w:rFonts w:hint="default" w:ascii="Times New Roman" w:hAnsi="Times New Roman" w:eastAsia="宋体" w:cs="Times New Roman"/>
                      <w:color w:val="auto"/>
                      <w:kern w:val="0"/>
                      <w:szCs w:val="21"/>
                      <w:highlight w:val="none"/>
                      <w:lang w:bidi="ar"/>
                    </w:rPr>
                    <w:t>，但目前尚未预计到的高新技术类型项目，要求严格按照国家环境保护总局颁布的《建设项目环境保护分类管理名录》进行环境影响评价。</w:t>
                  </w:r>
                </w:p>
              </w:tc>
              <w:tc>
                <w:tcPr>
                  <w:tcW w:w="1353" w:type="dxa"/>
                  <w:tcBorders>
                    <w:tl2br w:val="nil"/>
                    <w:tr2bl w:val="nil"/>
                  </w:tcBorders>
                  <w:vAlign w:val="center"/>
                </w:tcPr>
                <w:p w14:paraId="77EEB6AA">
                  <w:pPr>
                    <w:widowControl/>
                    <w:spacing w:line="240" w:lineRule="auto"/>
                    <w:jc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项目严格按照相关要求，编制环境影响报告进行评价。</w:t>
                  </w:r>
                </w:p>
              </w:tc>
              <w:tc>
                <w:tcPr>
                  <w:tcW w:w="874" w:type="dxa"/>
                  <w:tcBorders>
                    <w:tl2br w:val="nil"/>
                    <w:tr2bl w:val="nil"/>
                  </w:tcBorders>
                  <w:vAlign w:val="center"/>
                </w:tcPr>
                <w:p w14:paraId="16170919">
                  <w:pPr>
                    <w:widowControl/>
                    <w:spacing w:line="240" w:lineRule="auto"/>
                    <w:jc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符合</w:t>
                  </w:r>
                </w:p>
              </w:tc>
            </w:tr>
          </w:tbl>
          <w:p w14:paraId="126B872B">
            <w:pPr>
              <w:widowControl/>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根据上表分析结果，本项目符合《北京经济技术开发区区域环境影响报告书》及其审查意见的相关要求。</w:t>
            </w:r>
          </w:p>
          <w:p w14:paraId="422D4048">
            <w:pPr>
              <w:widowControl/>
              <w:numPr>
                <w:ilvl w:val="0"/>
                <w:numId w:val="3"/>
              </w:numPr>
              <w:spacing w:line="360" w:lineRule="auto"/>
              <w:ind w:firstLine="482" w:firstLineChars="200"/>
              <w:jc w:val="left"/>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与《北京经济技术开发区</w:t>
            </w:r>
            <w:r>
              <w:rPr>
                <w:rFonts w:hint="eastAsia" w:cs="Times New Roman"/>
                <w:b/>
                <w:bCs/>
                <w:color w:val="auto"/>
                <w:kern w:val="0"/>
                <w:sz w:val="24"/>
                <w:highlight w:val="none"/>
                <w:lang w:eastAsia="zh-CN" w:bidi="ar"/>
              </w:rPr>
              <w:t>“</w:t>
            </w:r>
            <w:r>
              <w:rPr>
                <w:rFonts w:hint="default" w:ascii="Times New Roman" w:hAnsi="Times New Roman" w:eastAsia="宋体" w:cs="Times New Roman"/>
                <w:b/>
                <w:bCs/>
                <w:color w:val="auto"/>
                <w:kern w:val="0"/>
                <w:sz w:val="24"/>
                <w:highlight w:val="none"/>
                <w:lang w:bidi="ar"/>
              </w:rPr>
              <w:t>十三五</w:t>
            </w:r>
            <w:r>
              <w:rPr>
                <w:rFonts w:hint="eastAsia" w:cs="Times New Roman"/>
                <w:b/>
                <w:bCs/>
                <w:color w:val="auto"/>
                <w:kern w:val="0"/>
                <w:sz w:val="24"/>
                <w:highlight w:val="none"/>
                <w:lang w:eastAsia="zh-CN" w:bidi="ar"/>
              </w:rPr>
              <w:t>”</w:t>
            </w:r>
            <w:r>
              <w:rPr>
                <w:rFonts w:hint="default" w:ascii="Times New Roman" w:hAnsi="Times New Roman" w:eastAsia="宋体" w:cs="Times New Roman"/>
                <w:b/>
                <w:bCs/>
                <w:color w:val="auto"/>
                <w:kern w:val="0"/>
                <w:sz w:val="24"/>
                <w:highlight w:val="none"/>
                <w:lang w:bidi="ar"/>
              </w:rPr>
              <w:t>时期创新发展规划环境影响篇章》（2016）的符合性分析</w:t>
            </w:r>
          </w:p>
          <w:p w14:paraId="5D07E4D1">
            <w:pPr>
              <w:widowControl/>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本项目与《北京经济技术开发区</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十三五</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时期创新发展规划环境影响篇章》的符合性分析见下表。</w:t>
            </w:r>
          </w:p>
          <w:p w14:paraId="12E21DE4">
            <w:pPr>
              <w:widowControl/>
              <w:numPr>
                <w:ilvl w:val="0"/>
                <w:numId w:val="5"/>
              </w:numPr>
              <w:spacing w:line="360" w:lineRule="auto"/>
              <w:ind w:left="425" w:leftChars="0" w:hanging="425" w:firstLineChars="0"/>
              <w:jc w:val="center"/>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与《北京经济技术开发区</w:t>
            </w:r>
            <w:r>
              <w:rPr>
                <w:rFonts w:hint="eastAsia" w:cs="Times New Roman"/>
                <w:b/>
                <w:bCs/>
                <w:color w:val="auto"/>
                <w:kern w:val="0"/>
                <w:sz w:val="24"/>
                <w:highlight w:val="none"/>
                <w:lang w:eastAsia="zh-CN" w:bidi="ar"/>
              </w:rPr>
              <w:t>“</w:t>
            </w:r>
            <w:r>
              <w:rPr>
                <w:rFonts w:hint="default" w:ascii="Times New Roman" w:hAnsi="Times New Roman" w:eastAsia="宋体" w:cs="Times New Roman"/>
                <w:b/>
                <w:bCs/>
                <w:color w:val="auto"/>
                <w:kern w:val="0"/>
                <w:sz w:val="24"/>
                <w:highlight w:val="none"/>
                <w:lang w:bidi="ar"/>
              </w:rPr>
              <w:t>十三五</w:t>
            </w:r>
            <w:r>
              <w:rPr>
                <w:rFonts w:hint="eastAsia" w:cs="Times New Roman"/>
                <w:b/>
                <w:bCs/>
                <w:color w:val="auto"/>
                <w:kern w:val="0"/>
                <w:sz w:val="24"/>
                <w:highlight w:val="none"/>
                <w:lang w:eastAsia="zh-CN" w:bidi="ar"/>
              </w:rPr>
              <w:t>”</w:t>
            </w:r>
            <w:r>
              <w:rPr>
                <w:rFonts w:hint="default" w:ascii="Times New Roman" w:hAnsi="Times New Roman" w:eastAsia="宋体" w:cs="Times New Roman"/>
                <w:b/>
                <w:bCs/>
                <w:color w:val="auto"/>
                <w:kern w:val="0"/>
                <w:sz w:val="24"/>
                <w:highlight w:val="none"/>
                <w:lang w:bidi="ar"/>
              </w:rPr>
              <w:t>时期创新发展规划环境影响篇章》的符合性分析</w:t>
            </w:r>
          </w:p>
          <w:tbl>
            <w:tblPr>
              <w:tblStyle w:val="50"/>
              <w:tblW w:w="66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3"/>
              <w:gridCol w:w="622"/>
              <w:gridCol w:w="2914"/>
              <w:gridCol w:w="2749"/>
            </w:tblGrid>
            <w:tr w14:paraId="1C36B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jc w:val="center"/>
              </w:trPr>
              <w:tc>
                <w:tcPr>
                  <w:tcW w:w="393" w:type="dxa"/>
                  <w:tcBorders>
                    <w:top w:val="single" w:color="000000" w:sz="10" w:space="0"/>
                    <w:left w:val="nil"/>
                  </w:tcBorders>
                  <w:vAlign w:val="center"/>
                </w:tcPr>
                <w:p w14:paraId="07A15FE4">
                  <w:pPr>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622" w:type="dxa"/>
                  <w:tcBorders>
                    <w:top w:val="single" w:color="000000" w:sz="10" w:space="0"/>
                  </w:tcBorders>
                  <w:vAlign w:val="center"/>
                </w:tcPr>
                <w:p w14:paraId="54E859CF">
                  <w:pPr>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2914" w:type="dxa"/>
                  <w:tcBorders>
                    <w:top w:val="single" w:color="000000" w:sz="10" w:space="0"/>
                  </w:tcBorders>
                  <w:vAlign w:val="center"/>
                </w:tcPr>
                <w:p w14:paraId="70CA4BF0">
                  <w:pPr>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与本项目相关的开发区</w:t>
                  </w:r>
                  <w:r>
                    <w:rPr>
                      <w:rFonts w:hint="eastAsia" w:cs="Times New Roman"/>
                      <w:b/>
                      <w:bCs/>
                      <w:color w:val="auto"/>
                      <w:szCs w:val="21"/>
                      <w:highlight w:val="none"/>
                      <w:lang w:eastAsia="zh-CN"/>
                    </w:rPr>
                    <w:t>“</w:t>
                  </w:r>
                  <w:r>
                    <w:rPr>
                      <w:rFonts w:hint="default" w:ascii="Times New Roman" w:hAnsi="Times New Roman" w:eastAsia="宋体" w:cs="Times New Roman"/>
                      <w:b/>
                      <w:bCs/>
                      <w:color w:val="auto"/>
                      <w:szCs w:val="21"/>
                      <w:highlight w:val="none"/>
                    </w:rPr>
                    <w:t>十三五</w:t>
                  </w:r>
                  <w:r>
                    <w:rPr>
                      <w:rFonts w:hint="eastAsia" w:cs="Times New Roman"/>
                      <w:b/>
                      <w:bCs/>
                      <w:color w:val="auto"/>
                      <w:szCs w:val="21"/>
                      <w:highlight w:val="none"/>
                      <w:lang w:eastAsia="zh-CN"/>
                    </w:rPr>
                    <w:t>”</w:t>
                  </w:r>
                  <w:r>
                    <w:rPr>
                      <w:rFonts w:hint="default" w:ascii="Times New Roman" w:hAnsi="Times New Roman" w:eastAsia="宋体" w:cs="Times New Roman"/>
                      <w:b/>
                      <w:bCs/>
                      <w:color w:val="auto"/>
                      <w:szCs w:val="21"/>
                      <w:highlight w:val="none"/>
                    </w:rPr>
                    <w:t>规划内容</w:t>
                  </w:r>
                </w:p>
              </w:tc>
              <w:tc>
                <w:tcPr>
                  <w:tcW w:w="2749" w:type="dxa"/>
                  <w:tcBorders>
                    <w:top w:val="single" w:color="000000" w:sz="10" w:space="0"/>
                    <w:right w:val="nil"/>
                  </w:tcBorders>
                  <w:vAlign w:val="center"/>
                </w:tcPr>
                <w:p w14:paraId="1BD02C0D">
                  <w:pPr>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本项目符合性分析</w:t>
                  </w:r>
                </w:p>
              </w:tc>
            </w:tr>
            <w:tr w14:paraId="5ECAA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jc w:val="center"/>
              </w:trPr>
              <w:tc>
                <w:tcPr>
                  <w:tcW w:w="393" w:type="dxa"/>
                  <w:tcBorders>
                    <w:left w:val="nil"/>
                  </w:tcBorders>
                  <w:vAlign w:val="center"/>
                </w:tcPr>
                <w:p w14:paraId="7B20E058">
                  <w:pPr>
                    <w:autoSpaceDE w:val="0"/>
                    <w:autoSpaceDN w:val="0"/>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622" w:type="dxa"/>
                  <w:vAlign w:val="center"/>
                </w:tcPr>
                <w:p w14:paraId="374B9977">
                  <w:pPr>
                    <w:autoSpaceDE w:val="0"/>
                    <w:autoSpaceDN w:val="0"/>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规划目标</w:t>
                  </w:r>
                </w:p>
              </w:tc>
              <w:tc>
                <w:tcPr>
                  <w:tcW w:w="2914" w:type="dxa"/>
                  <w:vAlign w:val="center"/>
                </w:tcPr>
                <w:p w14:paraId="6A4B29B1">
                  <w:pPr>
                    <w:autoSpaceDE w:val="0"/>
                    <w:autoSpaceDN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产业发展高端化进一步强化，打造千亿级以上产业集群5个，科技创新生态体系初具规模。以产品创新为核心的科技创新生态体系基本形成，创新要素加速聚集，人民生活更加公平和谐。就业保障能力进一步提高。</w:t>
                  </w:r>
                </w:p>
              </w:tc>
              <w:tc>
                <w:tcPr>
                  <w:tcW w:w="2749" w:type="dxa"/>
                  <w:tcBorders>
                    <w:right w:val="nil"/>
                  </w:tcBorders>
                  <w:vAlign w:val="center"/>
                </w:tcPr>
                <w:p w14:paraId="608B65BB">
                  <w:pPr>
                    <w:autoSpaceDE w:val="0"/>
                    <w:autoSpaceDN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w:t>
                  </w:r>
                  <w:r>
                    <w:rPr>
                      <w:rFonts w:hint="default" w:ascii="Times New Roman" w:hAnsi="Times New Roman" w:eastAsia="宋体" w:cs="Times New Roman"/>
                      <w:color w:val="auto"/>
                      <w:szCs w:val="21"/>
                      <w:highlight w:val="none"/>
                      <w:lang w:val="en-US" w:eastAsia="zh-CN"/>
                    </w:rPr>
                    <w:t>从事</w:t>
                  </w:r>
                  <w:r>
                    <w:rPr>
                      <w:rFonts w:hint="eastAsia" w:cs="Times New Roman"/>
                      <w:color w:val="auto"/>
                      <w:szCs w:val="21"/>
                      <w:highlight w:val="none"/>
                      <w:lang w:val="en-US" w:eastAsia="zh-CN"/>
                    </w:rPr>
                    <w:t>消毒器械的研发生产</w:t>
                  </w:r>
                  <w:r>
                    <w:rPr>
                      <w:rFonts w:hint="default" w:ascii="Times New Roman" w:hAnsi="Times New Roman" w:eastAsia="宋体" w:cs="Times New Roman"/>
                      <w:color w:val="auto"/>
                      <w:szCs w:val="21"/>
                      <w:highlight w:val="none"/>
                    </w:rPr>
                    <w:t>，有利于促进开发区科技创新生态系统的形成，符合规划目标。</w:t>
                  </w:r>
                </w:p>
              </w:tc>
            </w:tr>
            <w:tr w14:paraId="01908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jc w:val="center"/>
              </w:trPr>
              <w:tc>
                <w:tcPr>
                  <w:tcW w:w="393" w:type="dxa"/>
                  <w:tcBorders>
                    <w:left w:val="nil"/>
                  </w:tcBorders>
                  <w:vAlign w:val="center"/>
                </w:tcPr>
                <w:p w14:paraId="20BB5895">
                  <w:pPr>
                    <w:autoSpaceDE w:val="0"/>
                    <w:autoSpaceDN w:val="0"/>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622" w:type="dxa"/>
                  <w:vAlign w:val="center"/>
                </w:tcPr>
                <w:p w14:paraId="4E41FD82">
                  <w:pPr>
                    <w:autoSpaceDE w:val="0"/>
                    <w:autoSpaceDN w:val="0"/>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产业发展方向</w:t>
                  </w:r>
                </w:p>
              </w:tc>
              <w:tc>
                <w:tcPr>
                  <w:tcW w:w="2914" w:type="dxa"/>
                  <w:vAlign w:val="center"/>
                </w:tcPr>
                <w:p w14:paraId="54A7329A">
                  <w:pPr>
                    <w:autoSpaceDE w:val="0"/>
                    <w:autoSpaceDN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立足开发区高端产业的发展基础，持续做强电子信息、生物医药、装备产业、汽车产业的总装集成、系统集成、总部经济等高端业态。</w:t>
                  </w:r>
                </w:p>
              </w:tc>
              <w:tc>
                <w:tcPr>
                  <w:tcW w:w="2749" w:type="dxa"/>
                  <w:tcBorders>
                    <w:right w:val="nil"/>
                  </w:tcBorders>
                  <w:vAlign w:val="center"/>
                </w:tcPr>
                <w:p w14:paraId="2D4D17A3">
                  <w:pPr>
                    <w:keepNext w:val="0"/>
                    <w:keepLines w:val="0"/>
                    <w:widowControl/>
                    <w:suppressLineNumbers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w:t>
                  </w:r>
                  <w:r>
                    <w:rPr>
                      <w:rFonts w:hint="default" w:ascii="Times New Roman" w:hAnsi="Times New Roman" w:eastAsia="宋体" w:cs="Times New Roman"/>
                      <w:color w:val="auto"/>
                      <w:szCs w:val="21"/>
                      <w:highlight w:val="none"/>
                      <w:lang w:val="en-US" w:eastAsia="zh-CN"/>
                    </w:rPr>
                    <w:t>从事</w:t>
                  </w:r>
                  <w:r>
                    <w:rPr>
                      <w:rFonts w:hint="eastAsia" w:cs="Times New Roman"/>
                      <w:color w:val="auto"/>
                      <w:szCs w:val="21"/>
                      <w:highlight w:val="none"/>
                      <w:lang w:val="en-US" w:eastAsia="zh-CN"/>
                    </w:rPr>
                    <w:t>消毒器械的研发生产</w:t>
                  </w:r>
                  <w:r>
                    <w:rPr>
                      <w:rFonts w:hint="default" w:ascii="Times New Roman" w:hAnsi="Times New Roman" w:eastAsia="宋体" w:cs="Times New Roman"/>
                      <w:color w:val="auto"/>
                      <w:szCs w:val="21"/>
                      <w:highlight w:val="none"/>
                    </w:rPr>
                    <w:t>，</w:t>
                  </w:r>
                  <w:r>
                    <w:rPr>
                      <w:rFonts w:hint="eastAsia" w:eastAsia="宋体" w:cs="Times New Roman"/>
                      <w:color w:val="auto"/>
                      <w:szCs w:val="21"/>
                      <w:highlight w:val="none"/>
                      <w:lang w:val="en-US" w:eastAsia="zh-CN"/>
                    </w:rPr>
                    <w:t>产品为消毒</w:t>
                  </w:r>
                  <w:r>
                    <w:rPr>
                      <w:rFonts w:hint="eastAsia" w:cs="Times New Roman"/>
                      <w:color w:val="auto"/>
                      <w:szCs w:val="21"/>
                      <w:highlight w:val="none"/>
                      <w:lang w:val="en-US" w:eastAsia="zh-CN"/>
                    </w:rPr>
                    <w:t>用</w:t>
                  </w:r>
                  <w:r>
                    <w:rPr>
                      <w:rFonts w:hint="eastAsia" w:eastAsia="宋体" w:cs="Times New Roman"/>
                      <w:color w:val="auto"/>
                      <w:szCs w:val="21"/>
                      <w:highlight w:val="none"/>
                      <w:lang w:val="en-US" w:eastAsia="zh-CN"/>
                    </w:rPr>
                    <w:t>生物质指示剂，</w:t>
                  </w:r>
                  <w:r>
                    <w:rPr>
                      <w:rFonts w:hint="default" w:ascii="Times New Roman" w:hAnsi="Times New Roman" w:eastAsia="宋体" w:cs="Times New Roman"/>
                      <w:color w:val="auto"/>
                      <w:szCs w:val="21"/>
                      <w:highlight w:val="none"/>
                    </w:rPr>
                    <w:t>符合产业发展方向。</w:t>
                  </w:r>
                </w:p>
              </w:tc>
            </w:tr>
            <w:tr w14:paraId="6C2DF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93" w:type="dxa"/>
                  <w:tcBorders>
                    <w:left w:val="nil"/>
                  </w:tcBorders>
                  <w:vAlign w:val="center"/>
                </w:tcPr>
                <w:p w14:paraId="2155CAE9">
                  <w:pPr>
                    <w:autoSpaceDE w:val="0"/>
                    <w:autoSpaceDN w:val="0"/>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622" w:type="dxa"/>
                  <w:vAlign w:val="center"/>
                </w:tcPr>
                <w:p w14:paraId="73561A1E">
                  <w:pPr>
                    <w:autoSpaceDE w:val="0"/>
                    <w:autoSpaceDN w:val="0"/>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大气污染防治措施</w:t>
                  </w:r>
                </w:p>
              </w:tc>
              <w:tc>
                <w:tcPr>
                  <w:tcW w:w="2914" w:type="dxa"/>
                  <w:vAlign w:val="center"/>
                </w:tcPr>
                <w:p w14:paraId="4934F58F">
                  <w:pPr>
                    <w:autoSpaceDE w:val="0"/>
                    <w:autoSpaceDN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在</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十三五</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期间，要求对产生挥发性有机物的企业根据其行业特点继续采取相应的处理措施并进行处理。</w:t>
                  </w:r>
                </w:p>
              </w:tc>
              <w:tc>
                <w:tcPr>
                  <w:tcW w:w="2749" w:type="dxa"/>
                  <w:tcBorders>
                    <w:right w:val="nil"/>
                  </w:tcBorders>
                  <w:vAlign w:val="center"/>
                </w:tcPr>
                <w:p w14:paraId="0FBD4C8A">
                  <w:pPr>
                    <w:autoSpaceDE w:val="0"/>
                    <w:autoSpaceDN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w:t>
                  </w:r>
                  <w:r>
                    <w:rPr>
                      <w:rFonts w:hint="eastAsia" w:cs="Times New Roman"/>
                      <w:color w:val="auto"/>
                      <w:szCs w:val="21"/>
                      <w:highlight w:val="none"/>
                      <w:lang w:val="en-US" w:eastAsia="zh-CN"/>
                    </w:rPr>
                    <w:t>研发生产过程不涉及挥发性有机物的使用，不产生挥发性有机物</w:t>
                  </w:r>
                  <w:r>
                    <w:rPr>
                      <w:rFonts w:hint="default" w:ascii="Times New Roman" w:hAnsi="Times New Roman" w:eastAsia="宋体" w:cs="Times New Roman"/>
                      <w:color w:val="auto"/>
                      <w:szCs w:val="21"/>
                      <w:highlight w:val="none"/>
                    </w:rPr>
                    <w:t>。</w:t>
                  </w:r>
                </w:p>
              </w:tc>
            </w:tr>
            <w:tr w14:paraId="56BF1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93" w:type="dxa"/>
                  <w:tcBorders>
                    <w:left w:val="nil"/>
                  </w:tcBorders>
                  <w:vAlign w:val="center"/>
                </w:tcPr>
                <w:p w14:paraId="3AA68402">
                  <w:pPr>
                    <w:autoSpaceDE w:val="0"/>
                    <w:autoSpaceDN w:val="0"/>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622" w:type="dxa"/>
                  <w:vAlign w:val="center"/>
                </w:tcPr>
                <w:p w14:paraId="212321C3">
                  <w:pPr>
                    <w:autoSpaceDE w:val="0"/>
                    <w:autoSpaceDN w:val="0"/>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水污染防治措施</w:t>
                  </w:r>
                </w:p>
              </w:tc>
              <w:tc>
                <w:tcPr>
                  <w:tcW w:w="2914" w:type="dxa"/>
                  <w:vAlign w:val="center"/>
                </w:tcPr>
                <w:p w14:paraId="5BD2F1EE">
                  <w:pPr>
                    <w:autoSpaceDE w:val="0"/>
                    <w:autoSpaceDN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预计到2020年开发区全年的污水排放量将达到4977.8万m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（约13.6万t/d）。</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十三五</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期间北京经济技术开发区将达到20万t/d的污水处理能力，因此可以实现本规划提出的污水处理率始终为100%并达标排放的目标。</w:t>
                  </w:r>
                </w:p>
              </w:tc>
              <w:tc>
                <w:tcPr>
                  <w:tcW w:w="2749" w:type="dxa"/>
                  <w:tcBorders>
                    <w:right w:val="nil"/>
                  </w:tcBorders>
                  <w:vAlign w:val="center"/>
                </w:tcPr>
                <w:p w14:paraId="46982B3A">
                  <w:pPr>
                    <w:autoSpaceDE w:val="0"/>
                    <w:autoSpaceDN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本项目位于</w:t>
                  </w:r>
                  <w:r>
                    <w:rPr>
                      <w:rFonts w:hint="eastAsia" w:cs="Times New Roman"/>
                      <w:color w:val="auto"/>
                      <w:kern w:val="0"/>
                      <w:szCs w:val="21"/>
                      <w:highlight w:val="none"/>
                      <w:lang w:val="en-US" w:eastAsia="zh-CN" w:bidi="ar"/>
                    </w:rPr>
                    <w:t>金桥基地第一污水处理厂</w:t>
                  </w:r>
                  <w:r>
                    <w:rPr>
                      <w:rFonts w:hint="default" w:ascii="Times New Roman" w:hAnsi="Times New Roman" w:eastAsia="宋体" w:cs="Times New Roman"/>
                      <w:color w:val="auto"/>
                      <w:szCs w:val="21"/>
                      <w:highlight w:val="none"/>
                    </w:rPr>
                    <w:t>的收水范围内，项目污水能够经污水处理厂处理后达标排放</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项目废水排放符合开发区水污染防治措施要求。</w:t>
                  </w:r>
                </w:p>
              </w:tc>
            </w:tr>
            <w:tr w14:paraId="2E54D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1" w:hRule="atLeast"/>
                <w:jc w:val="center"/>
              </w:trPr>
              <w:tc>
                <w:tcPr>
                  <w:tcW w:w="393" w:type="dxa"/>
                  <w:tcBorders>
                    <w:left w:val="nil"/>
                    <w:bottom w:val="single" w:color="000000" w:sz="10" w:space="0"/>
                  </w:tcBorders>
                  <w:vAlign w:val="center"/>
                </w:tcPr>
                <w:p w14:paraId="7C9E197F">
                  <w:pPr>
                    <w:autoSpaceDE w:val="0"/>
                    <w:autoSpaceDN w:val="0"/>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622" w:type="dxa"/>
                  <w:tcBorders>
                    <w:bottom w:val="single" w:color="000000" w:sz="10" w:space="0"/>
                  </w:tcBorders>
                  <w:vAlign w:val="center"/>
                </w:tcPr>
                <w:p w14:paraId="58452043">
                  <w:pPr>
                    <w:autoSpaceDE w:val="0"/>
                    <w:autoSpaceDN w:val="0"/>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固体废物治理措施</w:t>
                  </w:r>
                </w:p>
              </w:tc>
              <w:tc>
                <w:tcPr>
                  <w:tcW w:w="2914" w:type="dxa"/>
                  <w:tcBorders>
                    <w:bottom w:val="single" w:color="000000" w:sz="10" w:space="0"/>
                  </w:tcBorders>
                  <w:vAlign w:val="center"/>
                </w:tcPr>
                <w:p w14:paraId="6EF37F62">
                  <w:pPr>
                    <w:autoSpaceDE w:val="0"/>
                    <w:autoSpaceDN w:val="0"/>
                    <w:ind w:firstLine="210" w:firstLineChars="1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加强源头控制，实现固体废物减量化。提升综合利用水平和综合利用率。</w:t>
                  </w:r>
                </w:p>
              </w:tc>
              <w:tc>
                <w:tcPr>
                  <w:tcW w:w="2749" w:type="dxa"/>
                  <w:tcBorders>
                    <w:bottom w:val="single" w:color="000000" w:sz="10" w:space="0"/>
                    <w:right w:val="nil"/>
                  </w:tcBorders>
                  <w:vAlign w:val="center"/>
                </w:tcPr>
                <w:p w14:paraId="0E6AB2AA">
                  <w:pPr>
                    <w:autoSpaceDE w:val="0"/>
                    <w:autoSpaceDN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szCs w:val="21"/>
                      <w:highlight w:val="none"/>
                      <w:lang w:val="en-US" w:eastAsia="zh-CN"/>
                    </w:rPr>
                    <w:t>严格执行固体废物相关法规、标准要求，源头控制，加强过程管理，减少固废产生量，对产生的固体废物分类收集、贮存、</w:t>
                  </w:r>
                  <w:r>
                    <w:rPr>
                      <w:rFonts w:hint="eastAsia" w:cs="Times New Roman"/>
                      <w:color w:val="auto"/>
                      <w:szCs w:val="21"/>
                      <w:highlight w:val="none"/>
                      <w:lang w:val="en-US" w:eastAsia="zh-CN"/>
                    </w:rPr>
                    <w:t>由专业资质单位合理</w:t>
                  </w:r>
                  <w:r>
                    <w:rPr>
                      <w:rFonts w:hint="default" w:ascii="Times New Roman" w:hAnsi="Times New Roman" w:eastAsia="宋体" w:cs="Times New Roman"/>
                      <w:color w:val="auto"/>
                      <w:szCs w:val="21"/>
                      <w:highlight w:val="none"/>
                      <w:lang w:val="en-US" w:eastAsia="zh-CN"/>
                    </w:rPr>
                    <w:t>处理</w:t>
                  </w:r>
                  <w:r>
                    <w:rPr>
                      <w:rFonts w:hint="default" w:ascii="Times New Roman" w:hAnsi="Times New Roman" w:eastAsia="宋体" w:cs="Times New Roman"/>
                      <w:color w:val="auto"/>
                      <w:szCs w:val="21"/>
                      <w:highlight w:val="none"/>
                    </w:rPr>
                    <w:t>。</w:t>
                  </w:r>
                </w:p>
              </w:tc>
            </w:tr>
          </w:tbl>
          <w:p w14:paraId="032D8162">
            <w:pPr>
              <w:widowControl/>
              <w:numPr>
                <w:ilvl w:val="0"/>
                <w:numId w:val="0"/>
              </w:numPr>
              <w:spacing w:line="360" w:lineRule="auto"/>
              <w:ind w:firstLine="480" w:firstLineChars="200"/>
              <w:jc w:val="left"/>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color w:val="auto"/>
                <w:kern w:val="0"/>
                <w:sz w:val="24"/>
                <w:highlight w:val="none"/>
                <w:lang w:bidi="ar"/>
              </w:rPr>
              <w:t>由上述分析可知，本项目符合《北京经济技术开发区</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十三五</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时期创新发展规划环境影响篇章》的相关要求。</w:t>
            </w:r>
          </w:p>
          <w:p w14:paraId="6A3160CC">
            <w:pPr>
              <w:widowControl/>
              <w:numPr>
                <w:ilvl w:val="0"/>
                <w:numId w:val="3"/>
              </w:numPr>
              <w:spacing w:line="360" w:lineRule="auto"/>
              <w:ind w:firstLine="482" w:firstLineChars="200"/>
              <w:jc w:val="left"/>
              <w:rPr>
                <w:rFonts w:hint="default" w:ascii="Times New Roman" w:hAnsi="Times New Roman" w:eastAsia="宋体" w:cs="Times New Roman"/>
                <w:b/>
                <w:bCs/>
                <w:color w:val="auto"/>
                <w:kern w:val="0"/>
                <w:sz w:val="24"/>
                <w:highlight w:val="none"/>
                <w:lang w:bidi="ar"/>
              </w:rPr>
            </w:pPr>
            <w:r>
              <w:rPr>
                <w:rFonts w:hint="eastAsia" w:ascii="Times New Roman" w:hAnsi="Times New Roman" w:eastAsia="宋体" w:cs="Times New Roman"/>
                <w:b/>
                <w:bCs/>
                <w:color w:val="auto"/>
                <w:kern w:val="0"/>
                <w:sz w:val="24"/>
                <w:highlight w:val="none"/>
                <w:lang w:val="en-US" w:eastAsia="zh-CN" w:bidi="ar"/>
              </w:rPr>
              <w:t>与中关村科技园区通州园金桥科技产业基地相关规划环境影响跟踪评价及审查意见的符合性分析</w:t>
            </w:r>
          </w:p>
          <w:p w14:paraId="1624AC6C">
            <w:pPr>
              <w:widowControl/>
              <w:spacing w:line="360" w:lineRule="auto"/>
              <w:ind w:firstLine="480" w:firstLineChars="200"/>
              <w:jc w:val="left"/>
              <w:rPr>
                <w:rFonts w:hint="default" w:ascii="Times New Roman" w:hAnsi="Times New Roman" w:eastAsia="宋体" w:cs="Times New Roman"/>
                <w:color w:val="auto"/>
                <w:kern w:val="0"/>
                <w:sz w:val="24"/>
                <w:highlight w:val="none"/>
                <w:lang w:val="en-US" w:eastAsia="zh-CN" w:bidi="ar"/>
              </w:rPr>
            </w:pPr>
            <w:r>
              <w:rPr>
                <w:rFonts w:hint="eastAsia" w:ascii="Times New Roman" w:hAnsi="Times New Roman" w:eastAsia="宋体" w:cs="Times New Roman"/>
                <w:color w:val="auto"/>
                <w:kern w:val="0"/>
                <w:sz w:val="24"/>
                <w:highlight w:val="none"/>
                <w:lang w:val="en-US" w:eastAsia="zh-CN" w:bidi="ar"/>
              </w:rPr>
              <w:t>本项目与中关村科技园区通州园金桥科技产业基地相关规划环境影响跟踪评价及审查意见的符合性分析见下表。</w:t>
            </w:r>
          </w:p>
          <w:p w14:paraId="17F776EA">
            <w:pPr>
              <w:widowControl/>
              <w:numPr>
                <w:ilvl w:val="0"/>
                <w:numId w:val="5"/>
              </w:numPr>
              <w:spacing w:line="360" w:lineRule="auto"/>
              <w:ind w:left="425" w:leftChars="0" w:hanging="425" w:firstLineChars="0"/>
              <w:jc w:val="center"/>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与</w:t>
            </w:r>
            <w:r>
              <w:rPr>
                <w:rFonts w:hint="eastAsia" w:ascii="Times New Roman" w:hAnsi="Times New Roman" w:eastAsia="宋体" w:cs="Times New Roman"/>
                <w:b/>
                <w:bCs/>
                <w:color w:val="auto"/>
                <w:kern w:val="0"/>
                <w:sz w:val="24"/>
                <w:highlight w:val="none"/>
                <w:lang w:val="en-US" w:eastAsia="zh-CN" w:bidi="ar"/>
              </w:rPr>
              <w:t>中关村科技园区通州园金桥科技产业基地相关规划环境影响跟踪评价及审查意见</w:t>
            </w:r>
            <w:r>
              <w:rPr>
                <w:rFonts w:hint="default" w:ascii="Times New Roman" w:hAnsi="Times New Roman" w:eastAsia="宋体" w:cs="Times New Roman"/>
                <w:b/>
                <w:bCs/>
                <w:color w:val="auto"/>
                <w:kern w:val="0"/>
                <w:sz w:val="24"/>
                <w:highlight w:val="none"/>
                <w:lang w:bidi="ar"/>
              </w:rPr>
              <w:t>的符合性分析</w:t>
            </w:r>
          </w:p>
          <w:tbl>
            <w:tblPr>
              <w:tblStyle w:val="24"/>
              <w:tblW w:w="66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7"/>
              <w:gridCol w:w="3348"/>
              <w:gridCol w:w="2016"/>
              <w:gridCol w:w="697"/>
            </w:tblGrid>
            <w:tr w14:paraId="25A6B6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597" w:type="dxa"/>
                  <w:tcBorders>
                    <w:tl2br w:val="nil"/>
                    <w:tr2bl w:val="nil"/>
                  </w:tcBorders>
                  <w:vAlign w:val="center"/>
                </w:tcPr>
                <w:p w14:paraId="0B99B405">
                  <w:pPr>
                    <w:widowControl/>
                    <w:spacing w:line="240" w:lineRule="auto"/>
                    <w:jc w:val="center"/>
                    <w:rPr>
                      <w:rFonts w:hint="default" w:ascii="Times New Roman" w:hAnsi="Times New Roman" w:eastAsia="宋体" w:cs="Times New Roman"/>
                      <w:b/>
                      <w:bCs/>
                      <w:color w:val="auto"/>
                      <w:kern w:val="0"/>
                      <w:szCs w:val="21"/>
                      <w:highlight w:val="none"/>
                      <w:lang w:bidi="ar"/>
                    </w:rPr>
                  </w:pPr>
                  <w:r>
                    <w:rPr>
                      <w:rFonts w:hint="default" w:ascii="Times New Roman" w:hAnsi="Times New Roman" w:eastAsia="宋体" w:cs="Times New Roman"/>
                      <w:b/>
                      <w:bCs/>
                      <w:color w:val="auto"/>
                      <w:kern w:val="0"/>
                      <w:szCs w:val="21"/>
                      <w:highlight w:val="none"/>
                      <w:lang w:bidi="ar"/>
                    </w:rPr>
                    <w:t>类别</w:t>
                  </w:r>
                </w:p>
              </w:tc>
              <w:tc>
                <w:tcPr>
                  <w:tcW w:w="3348" w:type="dxa"/>
                  <w:tcBorders>
                    <w:tl2br w:val="nil"/>
                    <w:tr2bl w:val="nil"/>
                  </w:tcBorders>
                  <w:vAlign w:val="center"/>
                </w:tcPr>
                <w:p w14:paraId="229BE275">
                  <w:pPr>
                    <w:widowControl/>
                    <w:spacing w:line="240" w:lineRule="auto"/>
                    <w:jc w:val="center"/>
                    <w:rPr>
                      <w:rFonts w:hint="default" w:ascii="Times New Roman" w:hAnsi="Times New Roman" w:eastAsia="宋体" w:cs="Times New Roman"/>
                      <w:b/>
                      <w:bCs/>
                      <w:color w:val="auto"/>
                      <w:kern w:val="0"/>
                      <w:szCs w:val="21"/>
                      <w:highlight w:val="none"/>
                      <w:lang w:bidi="ar"/>
                    </w:rPr>
                  </w:pPr>
                  <w:r>
                    <w:rPr>
                      <w:rFonts w:hint="eastAsia" w:ascii="Times New Roman" w:hAnsi="Times New Roman" w:eastAsia="宋体" w:cs="Times New Roman"/>
                      <w:b/>
                      <w:bCs/>
                      <w:color w:val="auto"/>
                      <w:kern w:val="0"/>
                      <w:szCs w:val="21"/>
                      <w:highlight w:val="none"/>
                      <w:lang w:val="en-US" w:eastAsia="zh-CN" w:bidi="ar"/>
                    </w:rPr>
                    <w:t>规划与规划环评相关内容</w:t>
                  </w:r>
                </w:p>
              </w:tc>
              <w:tc>
                <w:tcPr>
                  <w:tcW w:w="2016" w:type="dxa"/>
                  <w:tcBorders>
                    <w:tl2br w:val="nil"/>
                    <w:tr2bl w:val="nil"/>
                  </w:tcBorders>
                  <w:vAlign w:val="center"/>
                </w:tcPr>
                <w:p w14:paraId="5FAF5962">
                  <w:pPr>
                    <w:widowControl/>
                    <w:spacing w:line="240" w:lineRule="auto"/>
                    <w:jc w:val="center"/>
                    <w:rPr>
                      <w:rFonts w:hint="eastAsia" w:ascii="Times New Roman" w:hAnsi="Times New Roman" w:eastAsia="宋体" w:cs="Times New Roman"/>
                      <w:b/>
                      <w:bCs/>
                      <w:color w:val="auto"/>
                      <w:kern w:val="0"/>
                      <w:szCs w:val="21"/>
                      <w:highlight w:val="none"/>
                      <w:lang w:val="en-US" w:eastAsia="zh-CN" w:bidi="ar"/>
                    </w:rPr>
                  </w:pPr>
                  <w:r>
                    <w:rPr>
                      <w:rFonts w:hint="eastAsia" w:ascii="Times New Roman" w:hAnsi="Times New Roman" w:eastAsia="宋体" w:cs="Times New Roman"/>
                      <w:b/>
                      <w:bCs/>
                      <w:color w:val="auto"/>
                      <w:kern w:val="0"/>
                      <w:szCs w:val="21"/>
                      <w:highlight w:val="none"/>
                      <w:lang w:val="en-US" w:eastAsia="zh-CN" w:bidi="ar"/>
                    </w:rPr>
                    <w:t>本</w:t>
                  </w:r>
                  <w:r>
                    <w:rPr>
                      <w:rFonts w:hint="default" w:ascii="Times New Roman" w:hAnsi="Times New Roman" w:eastAsia="宋体" w:cs="Times New Roman"/>
                      <w:b/>
                      <w:bCs/>
                      <w:color w:val="auto"/>
                      <w:kern w:val="0"/>
                      <w:szCs w:val="21"/>
                      <w:highlight w:val="none"/>
                      <w:lang w:bidi="ar"/>
                    </w:rPr>
                    <w:t>项目</w:t>
                  </w:r>
                  <w:r>
                    <w:rPr>
                      <w:rFonts w:hint="eastAsia" w:ascii="Times New Roman" w:hAnsi="Times New Roman" w:eastAsia="宋体" w:cs="Times New Roman"/>
                      <w:b/>
                      <w:bCs/>
                      <w:color w:val="auto"/>
                      <w:kern w:val="0"/>
                      <w:szCs w:val="21"/>
                      <w:highlight w:val="none"/>
                      <w:lang w:val="en-US" w:eastAsia="zh-CN" w:bidi="ar"/>
                    </w:rPr>
                    <w:t>符合性</w:t>
                  </w:r>
                </w:p>
                <w:p w14:paraId="514B76A6">
                  <w:pPr>
                    <w:widowControl/>
                    <w:spacing w:line="240" w:lineRule="auto"/>
                    <w:jc w:val="center"/>
                    <w:rPr>
                      <w:rFonts w:hint="default" w:ascii="Times New Roman" w:hAnsi="Times New Roman" w:eastAsia="宋体" w:cs="Times New Roman"/>
                      <w:b/>
                      <w:bCs/>
                      <w:color w:val="auto"/>
                      <w:kern w:val="0"/>
                      <w:szCs w:val="21"/>
                      <w:highlight w:val="none"/>
                      <w:lang w:val="en-US" w:eastAsia="zh-CN" w:bidi="ar"/>
                    </w:rPr>
                  </w:pPr>
                  <w:r>
                    <w:rPr>
                      <w:rFonts w:hint="eastAsia" w:ascii="Times New Roman" w:hAnsi="Times New Roman" w:eastAsia="宋体" w:cs="Times New Roman"/>
                      <w:b/>
                      <w:bCs/>
                      <w:color w:val="auto"/>
                      <w:kern w:val="0"/>
                      <w:szCs w:val="21"/>
                      <w:highlight w:val="none"/>
                      <w:lang w:val="en-US" w:eastAsia="zh-CN" w:bidi="ar"/>
                    </w:rPr>
                    <w:t>分析</w:t>
                  </w:r>
                </w:p>
              </w:tc>
              <w:tc>
                <w:tcPr>
                  <w:tcW w:w="697" w:type="dxa"/>
                  <w:tcBorders>
                    <w:tl2br w:val="nil"/>
                    <w:tr2bl w:val="nil"/>
                  </w:tcBorders>
                  <w:vAlign w:val="center"/>
                </w:tcPr>
                <w:p w14:paraId="57139778">
                  <w:pPr>
                    <w:widowControl/>
                    <w:spacing w:line="240" w:lineRule="auto"/>
                    <w:jc w:val="center"/>
                    <w:rPr>
                      <w:rFonts w:hint="default" w:ascii="Times New Roman" w:hAnsi="Times New Roman" w:eastAsia="宋体" w:cs="Times New Roman"/>
                      <w:b/>
                      <w:bCs/>
                      <w:color w:val="auto"/>
                      <w:kern w:val="0"/>
                      <w:szCs w:val="21"/>
                      <w:highlight w:val="none"/>
                      <w:lang w:val="en-US" w:eastAsia="zh-CN" w:bidi="ar"/>
                    </w:rPr>
                  </w:pPr>
                  <w:r>
                    <w:rPr>
                      <w:rFonts w:hint="eastAsia" w:ascii="Times New Roman" w:hAnsi="Times New Roman" w:eastAsia="宋体" w:cs="Times New Roman"/>
                      <w:b/>
                      <w:bCs/>
                      <w:color w:val="auto"/>
                      <w:kern w:val="0"/>
                      <w:szCs w:val="21"/>
                      <w:highlight w:val="none"/>
                      <w:lang w:val="en-US" w:eastAsia="zh-CN" w:bidi="ar"/>
                    </w:rPr>
                    <w:t>是否符合</w:t>
                  </w:r>
                </w:p>
              </w:tc>
            </w:tr>
            <w:tr w14:paraId="4BD932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597" w:type="dxa"/>
                  <w:tcBorders>
                    <w:tl2br w:val="nil"/>
                    <w:tr2bl w:val="nil"/>
                  </w:tcBorders>
                  <w:vAlign w:val="center"/>
                </w:tcPr>
                <w:p w14:paraId="6FDDF550">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空间</w:t>
                  </w:r>
                </w:p>
                <w:p w14:paraId="620597BB">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功能</w:t>
                  </w:r>
                </w:p>
                <w:p w14:paraId="07AB99EA">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结构</w:t>
                  </w:r>
                </w:p>
              </w:tc>
              <w:tc>
                <w:tcPr>
                  <w:tcW w:w="3348" w:type="dxa"/>
                  <w:tcBorders>
                    <w:tl2br w:val="nil"/>
                    <w:tr2bl w:val="nil"/>
                  </w:tcBorders>
                  <w:vAlign w:val="center"/>
                </w:tcPr>
                <w:p w14:paraId="5D3C4A7F">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基地规划按产业基地、展示交易中心、管理商务中心、生活区、研发基地五大块布局，布局以可持续发展为重要原则，东部为产业区、西部为生活区，并采用由北向南滚动开发的模式，相对应规划各项建设用地大体呈南向北带状布局，呈现出可生长的形态。</w:t>
                  </w:r>
                </w:p>
              </w:tc>
              <w:tc>
                <w:tcPr>
                  <w:tcW w:w="2016" w:type="dxa"/>
                  <w:tcBorders>
                    <w:tl2br w:val="nil"/>
                    <w:tr2bl w:val="nil"/>
                  </w:tcBorders>
                  <w:vAlign w:val="center"/>
                </w:tcPr>
                <w:p w14:paraId="5B478673">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本项目位于中关村科技园区通州园金桥科技产业基地规划的东部产业区内，符合基地空间功能结构规划。</w:t>
                  </w:r>
                </w:p>
              </w:tc>
              <w:tc>
                <w:tcPr>
                  <w:tcW w:w="697" w:type="dxa"/>
                  <w:tcBorders>
                    <w:tl2br w:val="nil"/>
                    <w:tr2bl w:val="nil"/>
                  </w:tcBorders>
                  <w:vAlign w:val="center"/>
                </w:tcPr>
                <w:p w14:paraId="20C8A11A">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5C6E66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2006054B">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产业</w:t>
                  </w:r>
                </w:p>
                <w:p w14:paraId="1558795D">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定位</w:t>
                  </w:r>
                </w:p>
                <w:p w14:paraId="31E138B8">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348" w:type="dxa"/>
                  <w:tcBorders>
                    <w:tl2br w:val="nil"/>
                    <w:tr2bl w:val="nil"/>
                  </w:tcBorders>
                  <w:vAlign w:val="center"/>
                </w:tcPr>
                <w:p w14:paraId="2C9C0168">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基地定位为“中关村能源环保产业总部基地”，重点发展能源环保专业服务业、能源环保制造业环保产业和基地发展相配套的金融、会计、咨询、会展等商务服务。在建设过程中，基地逐步形成以环保新能源、汽车零部件、生物医药和新型都市产业为主导的产业结构，并努力成为高科技领域技术创新、高薪技术产业化、国际合作的新型产业基地和示范园区。</w:t>
                  </w:r>
                </w:p>
              </w:tc>
              <w:tc>
                <w:tcPr>
                  <w:tcW w:w="2016" w:type="dxa"/>
                  <w:tcBorders>
                    <w:tl2br w:val="nil"/>
                    <w:tr2bl w:val="nil"/>
                  </w:tcBorders>
                  <w:vAlign w:val="center"/>
                </w:tcPr>
                <w:p w14:paraId="0D7DF1AF">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本项目从事</w:t>
                  </w:r>
                  <w:r>
                    <w:rPr>
                      <w:rFonts w:hint="eastAsia" w:cs="Times New Roman"/>
                      <w:color w:val="auto"/>
                      <w:kern w:val="0"/>
                      <w:szCs w:val="21"/>
                      <w:highlight w:val="none"/>
                      <w:lang w:val="en-US" w:eastAsia="zh-CN" w:bidi="ar"/>
                    </w:rPr>
                    <w:t>消毒器械的研发生产</w:t>
                  </w:r>
                  <w:r>
                    <w:rPr>
                      <w:rFonts w:hint="eastAsia" w:ascii="Times New Roman" w:hAnsi="Times New Roman" w:cs="Times New Roman"/>
                      <w:color w:val="auto"/>
                      <w:kern w:val="0"/>
                      <w:szCs w:val="21"/>
                      <w:highlight w:val="none"/>
                      <w:lang w:val="en-US" w:eastAsia="zh-CN" w:bidi="ar"/>
                    </w:rPr>
                    <w:t>，</w:t>
                  </w:r>
                  <w:r>
                    <w:rPr>
                      <w:rFonts w:hint="eastAsia" w:cs="Times New Roman"/>
                      <w:color w:val="auto"/>
                      <w:kern w:val="0"/>
                      <w:szCs w:val="21"/>
                      <w:highlight w:val="none"/>
                      <w:lang w:val="en-US" w:eastAsia="zh-CN" w:bidi="ar"/>
                    </w:rPr>
                    <w:t>产品为消毒用生物质试剂，</w:t>
                  </w:r>
                  <w:r>
                    <w:rPr>
                      <w:rFonts w:hint="eastAsia" w:ascii="Times New Roman" w:hAnsi="Times New Roman" w:cs="Times New Roman"/>
                      <w:color w:val="auto"/>
                      <w:kern w:val="0"/>
                      <w:szCs w:val="21"/>
                      <w:highlight w:val="none"/>
                      <w:lang w:val="en-US" w:eastAsia="zh-CN" w:bidi="ar"/>
                    </w:rPr>
                    <w:t>属于</w:t>
                  </w:r>
                  <w:r>
                    <w:rPr>
                      <w:rFonts w:hint="eastAsia" w:cs="Times New Roman"/>
                      <w:color w:val="auto"/>
                      <w:kern w:val="0"/>
                      <w:szCs w:val="21"/>
                      <w:highlight w:val="none"/>
                      <w:lang w:val="en-US" w:eastAsia="zh-CN" w:bidi="ar"/>
                    </w:rPr>
                    <w:t>生物医药业</w:t>
                  </w:r>
                  <w:r>
                    <w:rPr>
                      <w:rFonts w:hint="eastAsia" w:ascii="Times New Roman" w:hAnsi="Times New Roman" w:cs="Times New Roman"/>
                      <w:color w:val="auto"/>
                      <w:kern w:val="0"/>
                      <w:szCs w:val="21"/>
                      <w:highlight w:val="none"/>
                      <w:lang w:val="en-US" w:eastAsia="zh-CN" w:bidi="ar"/>
                    </w:rPr>
                    <w:t>，符合基地产业定位。</w:t>
                  </w:r>
                </w:p>
                <w:p w14:paraId="3520D913">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697" w:type="dxa"/>
                  <w:tcBorders>
                    <w:tl2br w:val="nil"/>
                    <w:tr2bl w:val="nil"/>
                  </w:tcBorders>
                  <w:vAlign w:val="center"/>
                </w:tcPr>
                <w:p w14:paraId="1BE28754">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3282E3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597" w:type="dxa"/>
                  <w:tcBorders>
                    <w:tl2br w:val="nil"/>
                    <w:tr2bl w:val="nil"/>
                  </w:tcBorders>
                  <w:vAlign w:val="center"/>
                </w:tcPr>
                <w:p w14:paraId="63736DD4">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供水</w:t>
                  </w:r>
                </w:p>
                <w:p w14:paraId="2578A9A9">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348" w:type="dxa"/>
                  <w:tcBorders>
                    <w:tl2br w:val="nil"/>
                    <w:tr2bl w:val="nil"/>
                  </w:tcBorders>
                  <w:vAlign w:val="center"/>
                </w:tcPr>
                <w:p w14:paraId="494C518D">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规划供水由基地自建水厂、亦庄水厂、地下水和再生水四部分组成，基地现状生产和生活用水仅由基地水厂供给。</w:t>
                  </w:r>
                </w:p>
              </w:tc>
              <w:tc>
                <w:tcPr>
                  <w:tcW w:w="2016" w:type="dxa"/>
                  <w:tcBorders>
                    <w:tl2br w:val="nil"/>
                    <w:tr2bl w:val="nil"/>
                  </w:tcBorders>
                  <w:vAlign w:val="center"/>
                </w:tcPr>
                <w:p w14:paraId="18D89967">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本项目用水均采用市政供水，不自采地下水，符合基地供水规划。</w:t>
                  </w:r>
                </w:p>
              </w:tc>
              <w:tc>
                <w:tcPr>
                  <w:tcW w:w="697" w:type="dxa"/>
                  <w:tcBorders>
                    <w:tl2br w:val="nil"/>
                    <w:tr2bl w:val="nil"/>
                  </w:tcBorders>
                  <w:vAlign w:val="center"/>
                </w:tcPr>
                <w:p w14:paraId="66C8F8EE">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38D93C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78448062">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排水</w:t>
                  </w:r>
                </w:p>
                <w:p w14:paraId="5EA98990">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348" w:type="dxa"/>
                  <w:tcBorders>
                    <w:tl2br w:val="nil"/>
                    <w:tr2bl w:val="nil"/>
                  </w:tcBorders>
                  <w:vAlign w:val="center"/>
                </w:tcPr>
                <w:p w14:paraId="3611D6CB">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基地内有两座污水处理厂，分别是第一污水处理厂和第三污水处理厂，污水经处理后出水排入</w:t>
                  </w:r>
                  <w:r>
                    <w:rPr>
                      <w:rFonts w:hint="eastAsia" w:cs="Times New Roman"/>
                      <w:color w:val="auto"/>
                      <w:kern w:val="0"/>
                      <w:szCs w:val="21"/>
                      <w:highlight w:val="none"/>
                      <w:lang w:val="en-US" w:eastAsia="zh-CN" w:bidi="ar"/>
                    </w:rPr>
                    <w:t>凤港减河</w:t>
                  </w:r>
                  <w:r>
                    <w:rPr>
                      <w:rFonts w:hint="eastAsia" w:ascii="Times New Roman" w:hAnsi="Times New Roman" w:cs="Times New Roman"/>
                      <w:color w:val="auto"/>
                      <w:kern w:val="0"/>
                      <w:szCs w:val="21"/>
                      <w:highlight w:val="none"/>
                      <w:lang w:val="en-US" w:eastAsia="zh-CN" w:bidi="ar"/>
                    </w:rPr>
                    <w:t>，为河道补水，净化河道环境。</w:t>
                  </w:r>
                </w:p>
                <w:p w14:paraId="13DE3845">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2016" w:type="dxa"/>
                  <w:tcBorders>
                    <w:tl2br w:val="nil"/>
                    <w:tr2bl w:val="nil"/>
                  </w:tcBorders>
                  <w:vAlign w:val="center"/>
                </w:tcPr>
                <w:p w14:paraId="5D48E1EE">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生活污水、容器第三遍及以后清洗废水、高压蒸汽灭菌废水</w:t>
                  </w:r>
                  <w:r>
                    <w:rPr>
                      <w:rFonts w:hint="eastAsia" w:cs="Times New Roman"/>
                      <w:color w:val="auto"/>
                      <w:kern w:val="0"/>
                      <w:szCs w:val="21"/>
                      <w:highlight w:val="none"/>
                      <w:lang w:val="en-US" w:eastAsia="zh-CN" w:bidi="ar"/>
                    </w:rPr>
                    <w:t>、纯水制备废水</w:t>
                  </w:r>
                  <w:r>
                    <w:rPr>
                      <w:rFonts w:hint="eastAsia" w:ascii="Times New Roman" w:hAnsi="Times New Roman" w:cs="Times New Roman"/>
                      <w:color w:val="auto"/>
                      <w:kern w:val="0"/>
                      <w:szCs w:val="21"/>
                      <w:highlight w:val="none"/>
                      <w:lang w:val="en-US" w:eastAsia="zh-CN" w:bidi="ar"/>
                    </w:rPr>
                    <w:t>经市政污水管网进入金桥基地第一污水处理厂处理，符合基地排水规划。</w:t>
                  </w:r>
                </w:p>
              </w:tc>
              <w:tc>
                <w:tcPr>
                  <w:tcW w:w="697" w:type="dxa"/>
                  <w:tcBorders>
                    <w:tl2br w:val="nil"/>
                    <w:tr2bl w:val="nil"/>
                  </w:tcBorders>
                  <w:vAlign w:val="center"/>
                </w:tcPr>
                <w:p w14:paraId="77DF9BAC">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7F0DEC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597" w:type="dxa"/>
                  <w:tcBorders>
                    <w:tl2br w:val="nil"/>
                    <w:tr2bl w:val="nil"/>
                  </w:tcBorders>
                  <w:vAlign w:val="center"/>
                </w:tcPr>
                <w:p w14:paraId="6851ADA9">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供热</w:t>
                  </w:r>
                </w:p>
              </w:tc>
              <w:tc>
                <w:tcPr>
                  <w:tcW w:w="3348" w:type="dxa"/>
                  <w:tcBorders>
                    <w:tl2br w:val="nil"/>
                    <w:tr2bl w:val="nil"/>
                  </w:tcBorders>
                  <w:vAlign w:val="center"/>
                </w:tcPr>
                <w:p w14:paraId="3BDD13C6">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基地采用集中燃气锅炉房供热，供热能源采用</w:t>
                  </w:r>
                  <w:r>
                    <w:rPr>
                      <w:rFonts w:hint="eastAsia" w:ascii="Times New Roman" w:hAnsi="Times New Roman" w:cs="Times New Roman"/>
                      <w:color w:val="auto"/>
                      <w:kern w:val="0"/>
                      <w:szCs w:val="21"/>
                      <w:highlight w:val="darkCyan"/>
                      <w:lang w:val="en-US" w:eastAsia="zh-CN" w:bidi="ar"/>
                    </w:rPr>
                    <w:t>天燃气。根据园区热负荷分布，供热划分为</w:t>
                  </w:r>
                  <w:r>
                    <w:rPr>
                      <w:rFonts w:hint="default" w:ascii="Times New Roman" w:hAnsi="Times New Roman" w:cs="Times New Roman"/>
                      <w:color w:val="auto"/>
                      <w:kern w:val="0"/>
                      <w:szCs w:val="21"/>
                      <w:highlight w:val="darkCyan"/>
                      <w:lang w:val="en-US" w:eastAsia="zh-CN" w:bidi="ar"/>
                    </w:rPr>
                    <w:t>9</w:t>
                  </w:r>
                  <w:r>
                    <w:rPr>
                      <w:rFonts w:hint="eastAsia" w:ascii="Times New Roman" w:hAnsi="Times New Roman" w:cs="Times New Roman"/>
                      <w:color w:val="auto"/>
                      <w:kern w:val="0"/>
                      <w:szCs w:val="21"/>
                      <w:highlight w:val="darkCyan"/>
                      <w:lang w:val="en-US" w:eastAsia="zh-CN" w:bidi="ar"/>
                    </w:rPr>
                    <w:t>个供热区，规划设置</w:t>
                  </w:r>
                  <w:r>
                    <w:rPr>
                      <w:rFonts w:hint="default" w:ascii="Times New Roman" w:hAnsi="Times New Roman" w:cs="Times New Roman"/>
                      <w:color w:val="auto"/>
                      <w:kern w:val="0"/>
                      <w:szCs w:val="21"/>
                      <w:highlight w:val="darkCyan"/>
                      <w:lang w:val="en-US" w:eastAsia="zh-CN" w:bidi="ar"/>
                    </w:rPr>
                    <w:t>9</w:t>
                  </w:r>
                  <w:r>
                    <w:rPr>
                      <w:rFonts w:hint="eastAsia" w:ascii="Times New Roman" w:hAnsi="Times New Roman" w:cs="Times New Roman"/>
                      <w:color w:val="auto"/>
                      <w:kern w:val="0"/>
                      <w:szCs w:val="21"/>
                      <w:highlight w:val="darkCyan"/>
                      <w:lang w:val="en-US" w:eastAsia="zh-CN" w:bidi="ar"/>
                    </w:rPr>
                    <w:t>座热水锅炉房</w:t>
                  </w:r>
                  <w:r>
                    <w:rPr>
                      <w:rFonts w:hint="eastAsia" w:ascii="Times New Roman" w:hAnsi="Times New Roman" w:cs="Times New Roman"/>
                      <w:color w:val="auto"/>
                      <w:kern w:val="0"/>
                      <w:szCs w:val="21"/>
                      <w:highlight w:val="none"/>
                      <w:lang w:val="en-US" w:eastAsia="zh-CN" w:bidi="ar"/>
                    </w:rPr>
                    <w:t>。</w:t>
                  </w:r>
                </w:p>
              </w:tc>
              <w:tc>
                <w:tcPr>
                  <w:tcW w:w="2016" w:type="dxa"/>
                  <w:tcBorders>
                    <w:tl2br w:val="nil"/>
                    <w:tr2bl w:val="nil"/>
                  </w:tcBorders>
                  <w:vAlign w:val="center"/>
                </w:tcPr>
                <w:p w14:paraId="02F33A35">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本项目冬季供暖</w:t>
                  </w:r>
                  <w:r>
                    <w:rPr>
                      <w:rFonts w:hint="eastAsia" w:cs="Times New Roman"/>
                      <w:color w:val="auto"/>
                      <w:kern w:val="0"/>
                      <w:szCs w:val="21"/>
                      <w:highlight w:val="none"/>
                      <w:lang w:val="en-US" w:eastAsia="zh-CN" w:bidi="ar"/>
                    </w:rPr>
                    <w:t>采用市政集中供热</w:t>
                  </w:r>
                  <w:r>
                    <w:rPr>
                      <w:rFonts w:hint="eastAsia" w:ascii="Times New Roman" w:hAnsi="Times New Roman" w:cs="Times New Roman"/>
                      <w:color w:val="auto"/>
                      <w:kern w:val="0"/>
                      <w:szCs w:val="21"/>
                      <w:highlight w:val="none"/>
                      <w:lang w:val="en-US" w:eastAsia="zh-CN" w:bidi="ar"/>
                    </w:rPr>
                    <w:t>。</w:t>
                  </w:r>
                </w:p>
              </w:tc>
              <w:tc>
                <w:tcPr>
                  <w:tcW w:w="697" w:type="dxa"/>
                  <w:tcBorders>
                    <w:tl2br w:val="nil"/>
                    <w:tr2bl w:val="nil"/>
                  </w:tcBorders>
                  <w:vAlign w:val="center"/>
                </w:tcPr>
                <w:p w14:paraId="092128FC">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5230B7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97" w:type="dxa"/>
                  <w:tcBorders>
                    <w:tl2br w:val="nil"/>
                    <w:tr2bl w:val="nil"/>
                  </w:tcBorders>
                  <w:vAlign w:val="center"/>
                </w:tcPr>
                <w:p w14:paraId="3C51397C">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大气</w:t>
                  </w:r>
                </w:p>
                <w:p w14:paraId="258F40A7">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污染</w:t>
                  </w:r>
                </w:p>
                <w:p w14:paraId="04A4DDB5">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防治</w:t>
                  </w:r>
                </w:p>
                <w:p w14:paraId="5FC577FB">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措施</w:t>
                  </w:r>
                </w:p>
              </w:tc>
              <w:tc>
                <w:tcPr>
                  <w:tcW w:w="3348" w:type="dxa"/>
                  <w:tcBorders>
                    <w:tl2br w:val="nil"/>
                    <w:tr2bl w:val="nil"/>
                  </w:tcBorders>
                  <w:vAlign w:val="center"/>
                </w:tcPr>
                <w:p w14:paraId="03A611D7">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加强对入区项目的环境管理，严格污染治理措施，控制园区大气污染物排放总量；禁止铸造等重金属污染的生产工序进入园区；积极进行绿化建设，提高绿地覆盖率，防治地面扬尘；加强施工期对现场、道路、堆场的管理；加强园区环境清扫，减少二次扬尘。</w:t>
                  </w:r>
                </w:p>
              </w:tc>
              <w:tc>
                <w:tcPr>
                  <w:tcW w:w="2016" w:type="dxa"/>
                  <w:tcBorders>
                    <w:tl2br w:val="nil"/>
                    <w:tr2bl w:val="nil"/>
                  </w:tcBorders>
                  <w:vAlign w:val="center"/>
                </w:tcPr>
                <w:p w14:paraId="39BDAE0F">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本项目不涉及铸造等重污染的生产工序；项目</w:t>
                  </w:r>
                  <w:r>
                    <w:rPr>
                      <w:rFonts w:hint="eastAsia" w:cs="Times New Roman"/>
                      <w:color w:val="auto"/>
                      <w:kern w:val="0"/>
                      <w:szCs w:val="21"/>
                      <w:highlight w:val="none"/>
                      <w:lang w:val="en-US" w:eastAsia="zh-CN" w:bidi="ar"/>
                    </w:rPr>
                    <w:t>无大气污染物</w:t>
                  </w:r>
                  <w:r>
                    <w:rPr>
                      <w:rFonts w:hint="eastAsia" w:ascii="Times New Roman" w:hAnsi="Times New Roman" w:cs="Times New Roman"/>
                      <w:color w:val="auto"/>
                      <w:kern w:val="0"/>
                      <w:szCs w:val="21"/>
                      <w:highlight w:val="none"/>
                      <w:lang w:val="en-US" w:eastAsia="zh-CN" w:bidi="ar"/>
                    </w:rPr>
                    <w:t>排放；符合基地大气污染防治要求。</w:t>
                  </w:r>
                </w:p>
              </w:tc>
              <w:tc>
                <w:tcPr>
                  <w:tcW w:w="697" w:type="dxa"/>
                  <w:tcBorders>
                    <w:tl2br w:val="nil"/>
                    <w:tr2bl w:val="nil"/>
                  </w:tcBorders>
                  <w:vAlign w:val="center"/>
                </w:tcPr>
                <w:p w14:paraId="2CFCC1C7">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174921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0" w:hRule="atLeast"/>
                <w:jc w:val="center"/>
              </w:trPr>
              <w:tc>
                <w:tcPr>
                  <w:tcW w:w="597" w:type="dxa"/>
                  <w:tcBorders>
                    <w:tl2br w:val="nil"/>
                    <w:tr2bl w:val="nil"/>
                  </w:tcBorders>
                  <w:vAlign w:val="center"/>
                </w:tcPr>
                <w:p w14:paraId="47D34D35">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水污</w:t>
                  </w:r>
                </w:p>
                <w:p w14:paraId="69FFC39A">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染防</w:t>
                  </w:r>
                </w:p>
                <w:p w14:paraId="2FD496D6">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治措</w:t>
                  </w:r>
                </w:p>
                <w:p w14:paraId="6CE529E4">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施</w:t>
                  </w:r>
                </w:p>
                <w:p w14:paraId="642E2640">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348" w:type="dxa"/>
                  <w:tcBorders>
                    <w:tl2br w:val="nil"/>
                    <w:tr2bl w:val="nil"/>
                  </w:tcBorders>
                  <w:vAlign w:val="center"/>
                </w:tcPr>
                <w:p w14:paraId="408061E3">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对入区项目严格把关，优先选择轻污染、节水型产业入园；采用单项治理和综合治理相结合、局部分散处理与园区集中处理相结合的方针；与园区建设同步落实园区污水管网和污水处理厂的规划、设计，确保污水处理达标后排往收纳水体。</w:t>
                  </w:r>
                </w:p>
              </w:tc>
              <w:tc>
                <w:tcPr>
                  <w:tcW w:w="2016" w:type="dxa"/>
                  <w:tcBorders>
                    <w:tl2br w:val="nil"/>
                    <w:tr2bl w:val="nil"/>
                  </w:tcBorders>
                  <w:vAlign w:val="center"/>
                </w:tcPr>
                <w:p w14:paraId="55BEB93F">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本项目不属于高污染、高耗水行业；</w:t>
                  </w:r>
                  <w:r>
                    <w:rPr>
                      <w:rFonts w:hint="eastAsia" w:cs="Times New Roman"/>
                      <w:color w:val="auto"/>
                      <w:kern w:val="0"/>
                      <w:szCs w:val="21"/>
                      <w:highlight w:val="none"/>
                      <w:lang w:val="en-US" w:eastAsia="zh-CN" w:bidi="ar"/>
                    </w:rPr>
                    <w:t>运行过程废水经园区化粪池处理后</w:t>
                  </w:r>
                  <w:r>
                    <w:rPr>
                      <w:rFonts w:hint="eastAsia" w:ascii="Times New Roman" w:hAnsi="Times New Roman" w:cs="Times New Roman"/>
                      <w:color w:val="auto"/>
                      <w:kern w:val="0"/>
                      <w:szCs w:val="21"/>
                      <w:highlight w:val="none"/>
                      <w:lang w:val="en-US" w:eastAsia="zh-CN" w:bidi="ar"/>
                    </w:rPr>
                    <w:t>进入</w:t>
                  </w:r>
                  <w:r>
                    <w:rPr>
                      <w:rFonts w:hint="eastAsia" w:cs="Times New Roman"/>
                      <w:color w:val="auto"/>
                      <w:kern w:val="0"/>
                      <w:szCs w:val="21"/>
                      <w:highlight w:val="none"/>
                      <w:lang w:val="en-US" w:eastAsia="zh-CN" w:bidi="ar"/>
                    </w:rPr>
                    <w:t>金桥基地第一污水处理厂</w:t>
                  </w:r>
                  <w:r>
                    <w:rPr>
                      <w:rFonts w:hint="eastAsia" w:ascii="Times New Roman" w:hAnsi="Times New Roman" w:cs="Times New Roman"/>
                      <w:color w:val="auto"/>
                      <w:kern w:val="0"/>
                      <w:szCs w:val="21"/>
                      <w:highlight w:val="none"/>
                      <w:lang w:val="en-US" w:eastAsia="zh-CN" w:bidi="ar"/>
                    </w:rPr>
                    <w:t>处理，符合基地水污染防治要求。</w:t>
                  </w:r>
                </w:p>
              </w:tc>
              <w:tc>
                <w:tcPr>
                  <w:tcW w:w="697" w:type="dxa"/>
                  <w:tcBorders>
                    <w:tl2br w:val="nil"/>
                    <w:tr2bl w:val="nil"/>
                  </w:tcBorders>
                  <w:vAlign w:val="center"/>
                </w:tcPr>
                <w:p w14:paraId="778D9750">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7D89ED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3D158ABE">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声环</w:t>
                  </w:r>
                </w:p>
                <w:p w14:paraId="7FBD3B82">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境</w:t>
                  </w:r>
                </w:p>
                <w:p w14:paraId="40C61F89">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348" w:type="dxa"/>
                  <w:tcBorders>
                    <w:tl2br w:val="nil"/>
                    <w:tr2bl w:val="nil"/>
                  </w:tcBorders>
                  <w:vAlign w:val="center"/>
                </w:tcPr>
                <w:p w14:paraId="7320C07E">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园区工业用地内的工厂合理布局；产业园合理布局，环境噪声敏感建筑设置在远离道路、锅炉房等噪声污染的地方；在产业园内道路附近建设噪声敏感建筑物，设置足够的防护距离。</w:t>
                  </w:r>
                </w:p>
              </w:tc>
              <w:tc>
                <w:tcPr>
                  <w:tcW w:w="2016" w:type="dxa"/>
                  <w:tcBorders>
                    <w:tl2br w:val="nil"/>
                    <w:tr2bl w:val="nil"/>
                  </w:tcBorders>
                  <w:vAlign w:val="center"/>
                </w:tcPr>
                <w:p w14:paraId="191AF922">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本项目选用低噪音设备，采取降噪措施，确保厂界噪声达标排放，符合基地声环境要求。</w:t>
                  </w:r>
                </w:p>
              </w:tc>
              <w:tc>
                <w:tcPr>
                  <w:tcW w:w="697" w:type="dxa"/>
                  <w:tcBorders>
                    <w:tl2br w:val="nil"/>
                    <w:tr2bl w:val="nil"/>
                  </w:tcBorders>
                  <w:vAlign w:val="center"/>
                </w:tcPr>
                <w:p w14:paraId="2D3BEFB4">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59AA54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597" w:type="dxa"/>
                  <w:tcBorders>
                    <w:tl2br w:val="nil"/>
                    <w:tr2bl w:val="nil"/>
                  </w:tcBorders>
                  <w:vAlign w:val="center"/>
                </w:tcPr>
                <w:p w14:paraId="27D0FEE6">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固体</w:t>
                  </w:r>
                </w:p>
                <w:p w14:paraId="338FED4E">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废物</w:t>
                  </w:r>
                </w:p>
              </w:tc>
              <w:tc>
                <w:tcPr>
                  <w:tcW w:w="3348" w:type="dxa"/>
                  <w:tcBorders>
                    <w:tl2br w:val="nil"/>
                    <w:tr2bl w:val="nil"/>
                  </w:tcBorders>
                  <w:vAlign w:val="center"/>
                </w:tcPr>
                <w:p w14:paraId="7AF07A11">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设置园区环卫管理站，并设置垃圾收集转运站。</w:t>
                  </w:r>
                </w:p>
              </w:tc>
              <w:tc>
                <w:tcPr>
                  <w:tcW w:w="2016" w:type="dxa"/>
                  <w:tcBorders>
                    <w:tl2br w:val="nil"/>
                    <w:tr2bl w:val="nil"/>
                  </w:tcBorders>
                  <w:vAlign w:val="center"/>
                </w:tcPr>
                <w:p w14:paraId="6600D3A5">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生活垃圾统一收集后由环卫部门期清运。</w:t>
                  </w:r>
                </w:p>
              </w:tc>
              <w:tc>
                <w:tcPr>
                  <w:tcW w:w="697" w:type="dxa"/>
                  <w:tcBorders>
                    <w:tl2br w:val="nil"/>
                    <w:tr2bl w:val="nil"/>
                  </w:tcBorders>
                  <w:vAlign w:val="center"/>
                </w:tcPr>
                <w:p w14:paraId="1FC07277">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22BD4A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658" w:type="dxa"/>
                  <w:gridSpan w:val="4"/>
                  <w:tcBorders>
                    <w:tl2br w:val="nil"/>
                    <w:tr2bl w:val="nil"/>
                  </w:tcBorders>
                  <w:vAlign w:val="center"/>
                </w:tcPr>
                <w:p w14:paraId="13D3C990">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b/>
                      <w:bCs/>
                      <w:color w:val="auto"/>
                      <w:kern w:val="0"/>
                      <w:szCs w:val="21"/>
                      <w:highlight w:val="none"/>
                      <w:lang w:val="en-US" w:eastAsia="zh-CN" w:bidi="ar"/>
                    </w:rPr>
                    <w:t>与规划环评审查意见的符合性</w:t>
                  </w:r>
                </w:p>
              </w:tc>
            </w:tr>
            <w:tr w14:paraId="1C5F40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597" w:type="dxa"/>
                  <w:tcBorders>
                    <w:tl2br w:val="nil"/>
                    <w:tr2bl w:val="nil"/>
                  </w:tcBorders>
                  <w:shd w:val="clear" w:color="auto" w:fill="auto"/>
                  <w:vAlign w:val="center"/>
                </w:tcPr>
                <w:p w14:paraId="4265248A">
                  <w:pPr>
                    <w:widowControl/>
                    <w:spacing w:line="240" w:lineRule="auto"/>
                    <w:jc w:val="center"/>
                    <w:rPr>
                      <w:rFonts w:hint="eastAsia"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Cs w:val="21"/>
                      <w:highlight w:val="none"/>
                      <w:lang w:bidi="ar"/>
                    </w:rPr>
                    <w:t>类别</w:t>
                  </w:r>
                </w:p>
              </w:tc>
              <w:tc>
                <w:tcPr>
                  <w:tcW w:w="3348" w:type="dxa"/>
                  <w:tcBorders>
                    <w:tl2br w:val="nil"/>
                    <w:tr2bl w:val="nil"/>
                  </w:tcBorders>
                  <w:shd w:val="clear" w:color="auto" w:fill="auto"/>
                  <w:vAlign w:val="center"/>
                </w:tcPr>
                <w:p w14:paraId="7DA055A2">
                  <w:pPr>
                    <w:widowControl/>
                    <w:spacing w:line="240" w:lineRule="auto"/>
                    <w:jc w:val="center"/>
                    <w:rPr>
                      <w:rFonts w:hint="eastAsia"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cs="Times New Roman"/>
                      <w:b/>
                      <w:bCs/>
                      <w:color w:val="auto"/>
                      <w:kern w:val="0"/>
                      <w:szCs w:val="21"/>
                      <w:highlight w:val="none"/>
                      <w:lang w:val="en-US" w:eastAsia="zh-CN" w:bidi="ar"/>
                    </w:rPr>
                    <w:t>规划环评审查意见</w:t>
                  </w:r>
                  <w:r>
                    <w:rPr>
                      <w:rFonts w:hint="eastAsia" w:ascii="Times New Roman" w:hAnsi="Times New Roman" w:eastAsia="宋体" w:cs="Times New Roman"/>
                      <w:b/>
                      <w:bCs/>
                      <w:color w:val="auto"/>
                      <w:kern w:val="0"/>
                      <w:szCs w:val="21"/>
                      <w:highlight w:val="none"/>
                      <w:lang w:val="en-US" w:eastAsia="zh-CN" w:bidi="ar"/>
                    </w:rPr>
                    <w:t>相关内容</w:t>
                  </w:r>
                </w:p>
              </w:tc>
              <w:tc>
                <w:tcPr>
                  <w:tcW w:w="2016" w:type="dxa"/>
                  <w:tcBorders>
                    <w:tl2br w:val="nil"/>
                    <w:tr2bl w:val="nil"/>
                  </w:tcBorders>
                  <w:shd w:val="clear" w:color="auto" w:fill="auto"/>
                  <w:vAlign w:val="center"/>
                </w:tcPr>
                <w:p w14:paraId="39A5E659">
                  <w:pPr>
                    <w:widowControl/>
                    <w:spacing w:line="240" w:lineRule="auto"/>
                    <w:jc w:val="center"/>
                    <w:rPr>
                      <w:rFonts w:hint="eastAsia" w:ascii="Times New Roman" w:hAnsi="Times New Roman" w:eastAsia="宋体" w:cs="Times New Roman"/>
                      <w:b/>
                      <w:bCs/>
                      <w:color w:val="auto"/>
                      <w:kern w:val="0"/>
                      <w:szCs w:val="21"/>
                      <w:highlight w:val="none"/>
                      <w:lang w:val="en-US" w:eastAsia="zh-CN" w:bidi="ar"/>
                    </w:rPr>
                  </w:pPr>
                  <w:r>
                    <w:rPr>
                      <w:rFonts w:hint="eastAsia" w:ascii="Times New Roman" w:hAnsi="Times New Roman" w:eastAsia="宋体" w:cs="Times New Roman"/>
                      <w:b/>
                      <w:bCs/>
                      <w:color w:val="auto"/>
                      <w:kern w:val="0"/>
                      <w:szCs w:val="21"/>
                      <w:highlight w:val="none"/>
                      <w:lang w:val="en-US" w:eastAsia="zh-CN" w:bidi="ar"/>
                    </w:rPr>
                    <w:t>本</w:t>
                  </w:r>
                  <w:r>
                    <w:rPr>
                      <w:rFonts w:hint="default" w:ascii="Times New Roman" w:hAnsi="Times New Roman" w:eastAsia="宋体" w:cs="Times New Roman"/>
                      <w:b/>
                      <w:bCs/>
                      <w:color w:val="auto"/>
                      <w:kern w:val="0"/>
                      <w:szCs w:val="21"/>
                      <w:highlight w:val="none"/>
                      <w:lang w:bidi="ar"/>
                    </w:rPr>
                    <w:t>项目</w:t>
                  </w:r>
                  <w:r>
                    <w:rPr>
                      <w:rFonts w:hint="eastAsia" w:ascii="Times New Roman" w:hAnsi="Times New Roman" w:eastAsia="宋体" w:cs="Times New Roman"/>
                      <w:b/>
                      <w:bCs/>
                      <w:color w:val="auto"/>
                      <w:kern w:val="0"/>
                      <w:szCs w:val="21"/>
                      <w:highlight w:val="none"/>
                      <w:lang w:val="en-US" w:eastAsia="zh-CN" w:bidi="ar"/>
                    </w:rPr>
                    <w:t>符合性</w:t>
                  </w:r>
                </w:p>
                <w:p w14:paraId="790C4FAE">
                  <w:pPr>
                    <w:widowControl/>
                    <w:spacing w:line="240" w:lineRule="auto"/>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Cs w:val="21"/>
                      <w:highlight w:val="none"/>
                      <w:lang w:val="en-US" w:eastAsia="zh-CN" w:bidi="ar"/>
                    </w:rPr>
                    <w:t>分析</w:t>
                  </w:r>
                </w:p>
              </w:tc>
              <w:tc>
                <w:tcPr>
                  <w:tcW w:w="697" w:type="dxa"/>
                  <w:tcBorders>
                    <w:tl2br w:val="nil"/>
                    <w:tr2bl w:val="nil"/>
                  </w:tcBorders>
                  <w:shd w:val="clear" w:color="auto" w:fill="auto"/>
                  <w:vAlign w:val="center"/>
                </w:tcPr>
                <w:p w14:paraId="1654D3B6">
                  <w:pPr>
                    <w:widowControl/>
                    <w:spacing w:line="240" w:lineRule="auto"/>
                    <w:jc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Cs w:val="21"/>
                      <w:highlight w:val="none"/>
                      <w:lang w:val="en-US" w:eastAsia="zh-CN" w:bidi="ar"/>
                    </w:rPr>
                    <w:t>是否符合</w:t>
                  </w:r>
                </w:p>
              </w:tc>
            </w:tr>
            <w:tr w14:paraId="2F5A90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tcBorders>
                    <w:tl2br w:val="nil"/>
                    <w:tr2bl w:val="nil"/>
                  </w:tcBorders>
                  <w:vAlign w:val="center"/>
                </w:tcPr>
                <w:p w14:paraId="66E06AE3">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大气</w:t>
                  </w:r>
                </w:p>
                <w:p w14:paraId="3A742DDC">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污染</w:t>
                  </w:r>
                </w:p>
                <w:p w14:paraId="7EDE7B57">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防治</w:t>
                  </w:r>
                </w:p>
                <w:p w14:paraId="5332B82E">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措施</w:t>
                  </w:r>
                </w:p>
              </w:tc>
              <w:tc>
                <w:tcPr>
                  <w:tcW w:w="3348" w:type="dxa"/>
                  <w:tcBorders>
                    <w:tl2br w:val="nil"/>
                    <w:tr2bl w:val="nil"/>
                  </w:tcBorders>
                  <w:vAlign w:val="center"/>
                </w:tcPr>
                <w:p w14:paraId="2296E7B5">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1</w:t>
                  </w:r>
                  <w:r>
                    <w:rPr>
                      <w:rFonts w:hint="eastAsia" w:ascii="Times New Roman" w:hAnsi="Times New Roman" w:cs="Times New Roman"/>
                      <w:color w:val="auto"/>
                      <w:kern w:val="0"/>
                      <w:szCs w:val="21"/>
                      <w:highlight w:val="none"/>
                      <w:lang w:val="en-US" w:eastAsia="zh-CN" w:bidi="ar"/>
                    </w:rPr>
                    <w:t>）园区内新建的生产、采暖设施采用清洁能源，燃气锅炉须达到北京市《锅炉污染物综合排放标准》（</w:t>
                  </w:r>
                  <w:r>
                    <w:rPr>
                      <w:rFonts w:hint="default" w:ascii="Times New Roman" w:hAnsi="Times New Roman" w:cs="Times New Roman"/>
                      <w:color w:val="auto"/>
                      <w:kern w:val="0"/>
                      <w:szCs w:val="21"/>
                      <w:highlight w:val="none"/>
                      <w:lang w:val="en-US" w:eastAsia="zh-CN" w:bidi="ar"/>
                    </w:rPr>
                    <w:t>DB11/139-2002</w:t>
                  </w:r>
                  <w:r>
                    <w:rPr>
                      <w:rFonts w:hint="eastAsia" w:ascii="Times New Roman" w:hAnsi="Times New Roman" w:cs="Times New Roman"/>
                      <w:color w:val="auto"/>
                      <w:kern w:val="0"/>
                      <w:szCs w:val="21"/>
                      <w:highlight w:val="none"/>
                      <w:lang w:val="en-US" w:eastAsia="zh-CN" w:bidi="ar"/>
                    </w:rPr>
                    <w:t>）中的限值；</w:t>
                  </w:r>
                </w:p>
                <w:p w14:paraId="4B4B3E8F">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2</w:t>
                  </w:r>
                  <w:r>
                    <w:rPr>
                      <w:rFonts w:hint="eastAsia" w:ascii="Times New Roman" w:hAnsi="Times New Roman" w:cs="Times New Roman"/>
                      <w:color w:val="auto"/>
                      <w:kern w:val="0"/>
                      <w:szCs w:val="21"/>
                      <w:highlight w:val="none"/>
                      <w:lang w:val="en-US" w:eastAsia="zh-CN" w:bidi="ar"/>
                    </w:rPr>
                    <w:t>）施工期间须执行《北京市建设工程施工现场环境保护标准》（京建施</w:t>
                  </w:r>
                  <w:r>
                    <w:rPr>
                      <w:rFonts w:hint="default" w:ascii="Times New Roman" w:hAnsi="Times New Roman" w:cs="Times New Roman"/>
                      <w:color w:val="auto"/>
                      <w:kern w:val="0"/>
                      <w:szCs w:val="21"/>
                      <w:highlight w:val="none"/>
                      <w:lang w:val="en-US" w:eastAsia="zh-CN" w:bidi="ar"/>
                    </w:rPr>
                    <w:t>[2003]3</w:t>
                  </w:r>
                  <w:r>
                    <w:rPr>
                      <w:rFonts w:hint="eastAsia" w:ascii="Times New Roman" w:hAnsi="Times New Roman" w:cs="Times New Roman"/>
                      <w:color w:val="auto"/>
                      <w:kern w:val="0"/>
                      <w:szCs w:val="21"/>
                      <w:highlight w:val="none"/>
                      <w:lang w:val="en-US" w:eastAsia="zh-CN" w:bidi="ar"/>
                    </w:rPr>
                    <w:t>号）中的规定，做好防尘降尘工作。</w:t>
                  </w:r>
                </w:p>
              </w:tc>
              <w:tc>
                <w:tcPr>
                  <w:tcW w:w="2016" w:type="dxa"/>
                  <w:tcBorders>
                    <w:tl2br w:val="nil"/>
                    <w:tr2bl w:val="nil"/>
                  </w:tcBorders>
                  <w:vAlign w:val="center"/>
                </w:tcPr>
                <w:p w14:paraId="6E507B36">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1.</w:t>
                  </w:r>
                  <w:r>
                    <w:rPr>
                      <w:rFonts w:hint="eastAsia" w:ascii="Times New Roman" w:hAnsi="Times New Roman" w:cs="Times New Roman"/>
                      <w:color w:val="auto"/>
                      <w:kern w:val="0"/>
                      <w:szCs w:val="21"/>
                      <w:highlight w:val="none"/>
                      <w:lang w:val="en-US" w:eastAsia="zh-CN" w:bidi="ar"/>
                    </w:rPr>
                    <w:t>本项目冬季</w:t>
                  </w:r>
                  <w:r>
                    <w:rPr>
                      <w:rFonts w:hint="eastAsia" w:cs="Times New Roman"/>
                      <w:color w:val="auto"/>
                      <w:kern w:val="0"/>
                      <w:szCs w:val="21"/>
                      <w:highlight w:val="none"/>
                      <w:lang w:val="en-US" w:eastAsia="zh-CN" w:bidi="ar"/>
                    </w:rPr>
                    <w:t>采用市政集中供热</w:t>
                  </w:r>
                  <w:r>
                    <w:rPr>
                      <w:rFonts w:hint="eastAsia" w:ascii="Times New Roman" w:hAnsi="Times New Roman" w:cs="Times New Roman"/>
                      <w:color w:val="auto"/>
                      <w:kern w:val="0"/>
                      <w:szCs w:val="21"/>
                      <w:highlight w:val="none"/>
                      <w:lang w:val="en-US" w:eastAsia="zh-CN" w:bidi="ar"/>
                    </w:rPr>
                    <w:t>，不涉及锅炉烟气排放；</w:t>
                  </w:r>
                </w:p>
                <w:p w14:paraId="46C85EA5">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2.</w:t>
                  </w:r>
                  <w:r>
                    <w:rPr>
                      <w:rFonts w:hint="eastAsia" w:ascii="Times New Roman" w:hAnsi="Times New Roman" w:cs="Times New Roman"/>
                      <w:color w:val="auto"/>
                      <w:kern w:val="0"/>
                      <w:szCs w:val="21"/>
                      <w:highlight w:val="none"/>
                      <w:lang w:val="en-US" w:eastAsia="zh-CN" w:bidi="ar"/>
                    </w:rPr>
                    <w:t>项目使用</w:t>
                  </w:r>
                  <w:r>
                    <w:rPr>
                      <w:rFonts w:hint="eastAsia" w:cs="Times New Roman"/>
                      <w:color w:val="auto"/>
                      <w:kern w:val="0"/>
                      <w:szCs w:val="21"/>
                      <w:highlight w:val="none"/>
                      <w:lang w:val="en-US" w:eastAsia="zh-CN" w:bidi="ar"/>
                    </w:rPr>
                    <w:t>现有</w:t>
                  </w:r>
                  <w:r>
                    <w:rPr>
                      <w:rFonts w:hint="eastAsia" w:ascii="Times New Roman" w:hAnsi="Times New Roman" w:cs="Times New Roman"/>
                      <w:color w:val="auto"/>
                      <w:kern w:val="0"/>
                      <w:szCs w:val="21"/>
                      <w:highlight w:val="none"/>
                      <w:lang w:val="en-US" w:eastAsia="zh-CN" w:bidi="ar"/>
                    </w:rPr>
                    <w:t>厂房，仪器设备安装过程中严格对施工现场进行管理；符合大气污染防治要求。</w:t>
                  </w:r>
                </w:p>
              </w:tc>
              <w:tc>
                <w:tcPr>
                  <w:tcW w:w="697" w:type="dxa"/>
                  <w:tcBorders>
                    <w:tl2br w:val="nil"/>
                    <w:tr2bl w:val="nil"/>
                  </w:tcBorders>
                  <w:vAlign w:val="center"/>
                </w:tcPr>
                <w:p w14:paraId="0940CD0F">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687F6B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15CB1660">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水污</w:t>
                  </w:r>
                </w:p>
                <w:p w14:paraId="1D294A83">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染防</w:t>
                  </w:r>
                </w:p>
                <w:p w14:paraId="5BFCA6BA">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治措</w:t>
                  </w:r>
                </w:p>
                <w:p w14:paraId="7C4151AE">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施</w:t>
                  </w:r>
                </w:p>
                <w:p w14:paraId="3BF03CCF">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348" w:type="dxa"/>
                  <w:tcBorders>
                    <w:tl2br w:val="nil"/>
                    <w:tr2bl w:val="nil"/>
                  </w:tcBorders>
                  <w:vAlign w:val="center"/>
                </w:tcPr>
                <w:p w14:paraId="2F8B5AA9">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园区内须建设完善的雨、污分流系统。园区生活污水和生产废水排入园区集中污水处理厂，经处理后的污水排入凤港减河，排放执行《北京市水污染物排放标准》（试行）中“排入地表水体”新建三级标准。</w:t>
                  </w:r>
                </w:p>
              </w:tc>
              <w:tc>
                <w:tcPr>
                  <w:tcW w:w="2016" w:type="dxa"/>
                  <w:tcBorders>
                    <w:tl2br w:val="nil"/>
                    <w:tr2bl w:val="nil"/>
                  </w:tcBorders>
                  <w:vAlign w:val="center"/>
                </w:tcPr>
                <w:p w14:paraId="0475AFEE">
                  <w:pPr>
                    <w:keepNext w:val="0"/>
                    <w:keepLines w:val="0"/>
                    <w:pageBreakBefore w:val="0"/>
                    <w:widowControl/>
                    <w:kinsoku/>
                    <w:wordWrap w:val="0"/>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本项目污水经化粪池预处理后经市政污水管网排入金桥基地第一污水处理厂，符合北京市《水污染物综合排放标准》（DB11/3072013）中“排入公共污水处理系统的水污染物排放限值”要求，符合水污染防治要求。</w:t>
                  </w:r>
                </w:p>
              </w:tc>
              <w:tc>
                <w:tcPr>
                  <w:tcW w:w="697" w:type="dxa"/>
                  <w:tcBorders>
                    <w:tl2br w:val="nil"/>
                    <w:tr2bl w:val="nil"/>
                  </w:tcBorders>
                  <w:vAlign w:val="center"/>
                </w:tcPr>
                <w:p w14:paraId="090DFCEB">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57BEC7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74E56590">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声环</w:t>
                  </w:r>
                </w:p>
                <w:p w14:paraId="7685C61A">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境</w:t>
                  </w:r>
                </w:p>
                <w:p w14:paraId="680EFA90">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348" w:type="dxa"/>
                  <w:tcBorders>
                    <w:tl2br w:val="nil"/>
                    <w:tr2bl w:val="nil"/>
                  </w:tcBorders>
                  <w:vAlign w:val="center"/>
                </w:tcPr>
                <w:p w14:paraId="461F8FDA">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1.</w:t>
                  </w:r>
                  <w:r>
                    <w:rPr>
                      <w:rFonts w:hint="eastAsia" w:ascii="Times New Roman" w:hAnsi="Times New Roman" w:cs="Times New Roman"/>
                      <w:color w:val="auto"/>
                      <w:kern w:val="0"/>
                      <w:szCs w:val="21"/>
                      <w:highlight w:val="none"/>
                      <w:lang w:val="en-US" w:eastAsia="zh-CN" w:bidi="ar"/>
                    </w:rPr>
                    <w:t>调压站、燃气锅炉等设备须采取降噪措施，厂界噪声执行《工业企业厂界噪声标准》（</w:t>
                  </w:r>
                  <w:r>
                    <w:rPr>
                      <w:rFonts w:hint="default" w:ascii="Times New Roman" w:hAnsi="Times New Roman" w:cs="Times New Roman"/>
                      <w:color w:val="auto"/>
                      <w:kern w:val="0"/>
                      <w:szCs w:val="21"/>
                      <w:highlight w:val="none"/>
                      <w:lang w:val="en-US" w:eastAsia="zh-CN" w:bidi="ar"/>
                    </w:rPr>
                    <w:t>GB12348-90</w:t>
                  </w:r>
                  <w:r>
                    <w:rPr>
                      <w:rFonts w:hint="eastAsia" w:ascii="Times New Roman" w:hAnsi="Times New Roman" w:cs="Times New Roman"/>
                      <w:color w:val="auto"/>
                      <w:kern w:val="0"/>
                      <w:szCs w:val="21"/>
                      <w:highlight w:val="none"/>
                      <w:lang w:val="en-US" w:eastAsia="zh-CN" w:bidi="ar"/>
                    </w:rPr>
                    <w:t>）中三类标准。</w:t>
                  </w:r>
                </w:p>
                <w:p w14:paraId="02551C89">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2.</w:t>
                  </w:r>
                  <w:r>
                    <w:rPr>
                      <w:rFonts w:hint="eastAsia" w:ascii="Times New Roman" w:hAnsi="Times New Roman" w:cs="Times New Roman"/>
                      <w:color w:val="auto"/>
                      <w:kern w:val="0"/>
                      <w:szCs w:val="21"/>
                      <w:highlight w:val="none"/>
                      <w:lang w:val="en-US" w:eastAsia="zh-CN" w:bidi="ar"/>
                    </w:rPr>
                    <w:t>为减少六环路居民的噪声影响，六环路南侧</w:t>
                  </w:r>
                  <w:r>
                    <w:rPr>
                      <w:rFonts w:hint="default" w:ascii="Times New Roman" w:hAnsi="Times New Roman" w:cs="Times New Roman"/>
                      <w:color w:val="auto"/>
                      <w:kern w:val="0"/>
                      <w:szCs w:val="21"/>
                      <w:highlight w:val="none"/>
                      <w:lang w:val="en-US" w:eastAsia="zh-CN" w:bidi="ar"/>
                    </w:rPr>
                    <w:t>100</w:t>
                  </w:r>
                  <w:r>
                    <w:rPr>
                      <w:rFonts w:hint="eastAsia" w:ascii="Times New Roman" w:hAnsi="Times New Roman" w:cs="Times New Roman"/>
                      <w:color w:val="auto"/>
                      <w:kern w:val="0"/>
                      <w:szCs w:val="21"/>
                      <w:highlight w:val="none"/>
                      <w:lang w:val="en-US" w:eastAsia="zh-CN" w:bidi="ar"/>
                    </w:rPr>
                    <w:t>米内不得建设住宅、学校、医院等噪声敏感建筑物。</w:t>
                  </w:r>
                </w:p>
                <w:p w14:paraId="59D707BE">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3.</w:t>
                  </w:r>
                  <w:r>
                    <w:rPr>
                      <w:rFonts w:hint="eastAsia" w:ascii="Times New Roman" w:hAnsi="Times New Roman" w:cs="Times New Roman"/>
                      <w:color w:val="auto"/>
                      <w:kern w:val="0"/>
                      <w:szCs w:val="21"/>
                      <w:highlight w:val="none"/>
                      <w:lang w:val="en-US" w:eastAsia="zh-CN" w:bidi="ar"/>
                    </w:rPr>
                    <w:t>施工期噪声执行《建筑施工场界噪声限值》（</w:t>
                  </w:r>
                  <w:r>
                    <w:rPr>
                      <w:rFonts w:hint="default" w:ascii="Times New Roman" w:hAnsi="Times New Roman" w:cs="Times New Roman"/>
                      <w:color w:val="auto"/>
                      <w:kern w:val="0"/>
                      <w:szCs w:val="21"/>
                      <w:highlight w:val="none"/>
                      <w:lang w:val="en-US" w:eastAsia="zh-CN" w:bidi="ar"/>
                    </w:rPr>
                    <w:t>GB12523-90</w:t>
                  </w:r>
                  <w:r>
                    <w:rPr>
                      <w:rFonts w:hint="eastAsia" w:ascii="Times New Roman" w:hAnsi="Times New Roman" w:cs="Times New Roman"/>
                      <w:color w:val="auto"/>
                      <w:kern w:val="0"/>
                      <w:szCs w:val="21"/>
                      <w:highlight w:val="none"/>
                      <w:lang w:val="en-US" w:eastAsia="zh-CN" w:bidi="ar"/>
                    </w:rPr>
                    <w:t>）的规定。</w:t>
                  </w:r>
                </w:p>
                <w:p w14:paraId="0A6BAE54">
                  <w:pPr>
                    <w:widowControl/>
                    <w:spacing w:line="240" w:lineRule="auto"/>
                    <w:jc w:val="both"/>
                    <w:rPr>
                      <w:rFonts w:hint="default" w:ascii="Times New Roman" w:hAnsi="Times New Roman" w:cs="Times New Roman"/>
                      <w:color w:val="auto"/>
                      <w:kern w:val="0"/>
                      <w:szCs w:val="21"/>
                      <w:highlight w:val="none"/>
                      <w:lang w:val="en-US" w:eastAsia="zh-CN" w:bidi="ar"/>
                    </w:rPr>
                  </w:pPr>
                </w:p>
              </w:tc>
              <w:tc>
                <w:tcPr>
                  <w:tcW w:w="2016" w:type="dxa"/>
                  <w:tcBorders>
                    <w:tl2br w:val="nil"/>
                    <w:tr2bl w:val="nil"/>
                  </w:tcBorders>
                  <w:vAlign w:val="center"/>
                </w:tcPr>
                <w:p w14:paraId="106263D3">
                  <w:pPr>
                    <w:keepNext w:val="0"/>
                    <w:keepLines w:val="0"/>
                    <w:pageBreakBefore w:val="0"/>
                    <w:widowControl/>
                    <w:kinsoku/>
                    <w:wordWrap w:val="0"/>
                    <w:overflowPunct/>
                    <w:topLinePunct w:val="0"/>
                    <w:autoSpaceDE/>
                    <w:autoSpaceDN/>
                    <w:bidi w:val="0"/>
                    <w:adjustRightInd/>
                    <w:snapToGrid/>
                    <w:spacing w:line="240" w:lineRule="auto"/>
                    <w:jc w:val="both"/>
                    <w:textAlignment w:val="auto"/>
                    <w:rPr>
                      <w:rFonts w:hint="eastAsia" w:ascii="Times New Roman" w:hAnsi="Times New Roman"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1.</w:t>
                  </w:r>
                  <w:r>
                    <w:rPr>
                      <w:rFonts w:hint="eastAsia" w:ascii="Times New Roman" w:hAnsi="Times New Roman" w:cs="Times New Roman"/>
                      <w:color w:val="auto"/>
                      <w:kern w:val="0"/>
                      <w:szCs w:val="21"/>
                      <w:highlight w:val="none"/>
                      <w:lang w:val="en-US" w:eastAsia="zh-CN" w:bidi="ar"/>
                    </w:rPr>
                    <w:t>本项目运营期</w:t>
                  </w:r>
                  <w:r>
                    <w:rPr>
                      <w:rFonts w:hint="eastAsia" w:cs="Times New Roman"/>
                      <w:color w:val="auto"/>
                      <w:kern w:val="0"/>
                      <w:szCs w:val="21"/>
                      <w:highlight w:val="none"/>
                      <w:lang w:val="en-US" w:eastAsia="zh-CN" w:bidi="ar"/>
                    </w:rPr>
                    <w:t>使用低噪设备，</w:t>
                  </w:r>
                  <w:r>
                    <w:rPr>
                      <w:rFonts w:hint="eastAsia" w:ascii="Times New Roman" w:hAnsi="Times New Roman" w:cs="Times New Roman"/>
                      <w:color w:val="auto"/>
                      <w:kern w:val="0"/>
                      <w:szCs w:val="21"/>
                      <w:highlight w:val="none"/>
                      <w:lang w:val="en-US" w:eastAsia="zh-CN" w:bidi="ar"/>
                    </w:rPr>
                    <w:t>厂界噪声执行《工业企业厂界环境噪声排放标准》（</w:t>
                  </w:r>
                  <w:r>
                    <w:rPr>
                      <w:rFonts w:hint="default" w:ascii="Times New Roman" w:hAnsi="Times New Roman" w:cs="Times New Roman"/>
                      <w:color w:val="auto"/>
                      <w:kern w:val="0"/>
                      <w:szCs w:val="21"/>
                      <w:highlight w:val="none"/>
                      <w:lang w:val="en-US" w:eastAsia="zh-CN" w:bidi="ar"/>
                    </w:rPr>
                    <w:t>GB12348-2008</w:t>
                  </w:r>
                  <w:r>
                    <w:rPr>
                      <w:rFonts w:hint="eastAsia" w:ascii="Times New Roman" w:hAnsi="Times New Roman" w:cs="Times New Roman"/>
                      <w:color w:val="auto"/>
                      <w:kern w:val="0"/>
                      <w:szCs w:val="21"/>
                      <w:highlight w:val="none"/>
                      <w:lang w:val="en-US" w:eastAsia="zh-CN" w:bidi="ar"/>
                    </w:rPr>
                    <w:t>）中的</w:t>
                  </w:r>
                  <w:r>
                    <w:rPr>
                      <w:rFonts w:hint="default" w:ascii="Times New Roman" w:hAnsi="Times New Roman" w:cs="Times New Roman"/>
                      <w:color w:val="auto"/>
                      <w:kern w:val="0"/>
                      <w:szCs w:val="21"/>
                      <w:highlight w:val="none"/>
                      <w:lang w:val="en-US" w:eastAsia="zh-CN" w:bidi="ar"/>
                    </w:rPr>
                    <w:t>3</w:t>
                  </w:r>
                  <w:r>
                    <w:rPr>
                      <w:rFonts w:hint="eastAsia" w:ascii="Times New Roman" w:hAnsi="Times New Roman" w:cs="Times New Roman"/>
                      <w:color w:val="auto"/>
                      <w:kern w:val="0"/>
                      <w:szCs w:val="21"/>
                      <w:highlight w:val="none"/>
                      <w:lang w:val="en-US" w:eastAsia="zh-CN" w:bidi="ar"/>
                    </w:rPr>
                    <w:t>类标准。</w:t>
                  </w:r>
                </w:p>
                <w:p w14:paraId="0FED0840">
                  <w:pPr>
                    <w:keepNext w:val="0"/>
                    <w:keepLines w:val="0"/>
                    <w:pageBreakBefore w:val="0"/>
                    <w:widowControl/>
                    <w:numPr>
                      <w:ilvl w:val="0"/>
                      <w:numId w:val="0"/>
                    </w:numPr>
                    <w:kinsoku/>
                    <w:wordWrap w:val="0"/>
                    <w:overflowPunct/>
                    <w:topLinePunct w:val="0"/>
                    <w:autoSpaceDE/>
                    <w:autoSpaceDN/>
                    <w:bidi w:val="0"/>
                    <w:adjustRightInd/>
                    <w:snapToGrid/>
                    <w:spacing w:line="240" w:lineRule="auto"/>
                    <w:jc w:val="both"/>
                    <w:textAlignment w:val="auto"/>
                    <w:rPr>
                      <w:rFonts w:hint="eastAsia" w:ascii="Times New Roman" w:hAnsi="Times New Roman"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2.</w:t>
                  </w:r>
                  <w:r>
                    <w:rPr>
                      <w:rFonts w:hint="eastAsia" w:ascii="Times New Roman" w:hAnsi="Times New Roman" w:cs="Times New Roman"/>
                      <w:color w:val="auto"/>
                      <w:kern w:val="0"/>
                      <w:szCs w:val="21"/>
                      <w:highlight w:val="none"/>
                      <w:lang w:val="en-US" w:eastAsia="zh-CN" w:bidi="ar"/>
                    </w:rPr>
                    <w:t>本项目位于金桥科技产业基地，不涉及此项目。</w:t>
                  </w:r>
                </w:p>
                <w:p w14:paraId="347EEB94">
                  <w:pPr>
                    <w:keepNext w:val="0"/>
                    <w:keepLines w:val="0"/>
                    <w:pageBreakBefore w:val="0"/>
                    <w:widowControl/>
                    <w:numPr>
                      <w:ilvl w:val="0"/>
                      <w:numId w:val="0"/>
                    </w:numPr>
                    <w:kinsoku/>
                    <w:wordWrap w:val="0"/>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3.</w:t>
                  </w:r>
                  <w:r>
                    <w:rPr>
                      <w:rFonts w:hint="eastAsia" w:ascii="Times New Roman" w:hAnsi="Times New Roman" w:cs="Times New Roman"/>
                      <w:color w:val="auto"/>
                      <w:kern w:val="0"/>
                      <w:szCs w:val="21"/>
                      <w:highlight w:val="none"/>
                      <w:lang w:val="en-US" w:eastAsia="zh-CN" w:bidi="ar"/>
                    </w:rPr>
                    <w:t>施工期厂界噪声执行《建筑施工场界环境噪声排放标准》（</w:t>
                  </w:r>
                  <w:r>
                    <w:rPr>
                      <w:rFonts w:hint="default" w:ascii="Times New Roman" w:hAnsi="Times New Roman" w:cs="Times New Roman"/>
                      <w:color w:val="auto"/>
                      <w:kern w:val="0"/>
                      <w:szCs w:val="21"/>
                      <w:highlight w:val="none"/>
                      <w:lang w:val="en-US" w:eastAsia="zh-CN" w:bidi="ar"/>
                    </w:rPr>
                    <w:t>GB12523-20</w:t>
                  </w:r>
                  <w:r>
                    <w:rPr>
                      <w:rFonts w:hint="eastAsia" w:cs="Times New Roman"/>
                      <w:color w:val="auto"/>
                      <w:kern w:val="0"/>
                      <w:szCs w:val="21"/>
                      <w:highlight w:val="none"/>
                      <w:lang w:val="en-US" w:eastAsia="zh-CN" w:bidi="ar"/>
                    </w:rPr>
                    <w:t>25</w:t>
                  </w:r>
                  <w:r>
                    <w:rPr>
                      <w:rFonts w:hint="eastAsia" w:ascii="Times New Roman" w:hAnsi="Times New Roman" w:cs="Times New Roman"/>
                      <w:color w:val="auto"/>
                      <w:kern w:val="0"/>
                      <w:szCs w:val="21"/>
                      <w:highlight w:val="none"/>
                      <w:lang w:val="en-US" w:eastAsia="zh-CN" w:bidi="ar"/>
                    </w:rPr>
                    <w:t>）中的限值</w:t>
                  </w:r>
                  <w:r>
                    <w:rPr>
                      <w:rFonts w:hint="eastAsia" w:cs="Times New Roman"/>
                      <w:color w:val="auto"/>
                      <w:kern w:val="0"/>
                      <w:szCs w:val="21"/>
                      <w:highlight w:val="none"/>
                      <w:lang w:val="en-US" w:eastAsia="zh-CN" w:bidi="ar"/>
                    </w:rPr>
                    <w:t>要求。</w:t>
                  </w:r>
                </w:p>
              </w:tc>
              <w:tc>
                <w:tcPr>
                  <w:tcW w:w="697" w:type="dxa"/>
                  <w:tcBorders>
                    <w:tl2br w:val="nil"/>
                    <w:tr2bl w:val="nil"/>
                  </w:tcBorders>
                  <w:vAlign w:val="center"/>
                </w:tcPr>
                <w:p w14:paraId="5DB16375">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344854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6027E5A3">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固体</w:t>
                  </w:r>
                </w:p>
                <w:p w14:paraId="00E640F4">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废物</w:t>
                  </w:r>
                </w:p>
              </w:tc>
              <w:tc>
                <w:tcPr>
                  <w:tcW w:w="3348" w:type="dxa"/>
                  <w:tcBorders>
                    <w:tl2br w:val="nil"/>
                    <w:tr2bl w:val="nil"/>
                  </w:tcBorders>
                  <w:vAlign w:val="center"/>
                </w:tcPr>
                <w:p w14:paraId="2BF7FB2F">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园区产生的生产、生活垃圾须集中密闭收集处理。</w:t>
                  </w:r>
                </w:p>
                <w:p w14:paraId="0F4C1216">
                  <w:pPr>
                    <w:widowControl/>
                    <w:spacing w:line="240" w:lineRule="auto"/>
                    <w:jc w:val="both"/>
                    <w:rPr>
                      <w:rFonts w:hint="default" w:ascii="Times New Roman" w:hAnsi="Times New Roman" w:cs="Times New Roman"/>
                      <w:color w:val="auto"/>
                      <w:kern w:val="0"/>
                      <w:szCs w:val="21"/>
                      <w:highlight w:val="none"/>
                      <w:lang w:val="en-US" w:eastAsia="zh-CN" w:bidi="ar"/>
                    </w:rPr>
                  </w:pPr>
                </w:p>
              </w:tc>
              <w:tc>
                <w:tcPr>
                  <w:tcW w:w="2016" w:type="dxa"/>
                  <w:tcBorders>
                    <w:tl2br w:val="nil"/>
                    <w:tr2bl w:val="nil"/>
                  </w:tcBorders>
                  <w:vAlign w:val="center"/>
                </w:tcPr>
                <w:p w14:paraId="5D35CAFE">
                  <w:pPr>
                    <w:keepNext w:val="0"/>
                    <w:keepLines w:val="0"/>
                    <w:pageBreakBefore w:val="0"/>
                    <w:widowControl/>
                    <w:numPr>
                      <w:ilvl w:val="0"/>
                      <w:numId w:val="0"/>
                    </w:numPr>
                    <w:kinsoku/>
                    <w:wordWrap w:val="0"/>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本项目建设一般固废间、危险废物间，危险废物委托资质处置；一般工业固体废物中的废包装物由物资回收单位回收</w:t>
                  </w:r>
                  <w:r>
                    <w:rPr>
                      <w:rFonts w:hint="eastAsia" w:cs="Times New Roman"/>
                      <w:color w:val="auto"/>
                      <w:kern w:val="0"/>
                      <w:szCs w:val="21"/>
                      <w:highlight w:val="none"/>
                      <w:lang w:val="en-US" w:eastAsia="zh-CN" w:bidi="ar"/>
                    </w:rPr>
                    <w:t>，纯水制备废滤芯、废反渗透膜、空气滤芯由厂家回收</w:t>
                  </w:r>
                  <w:r>
                    <w:rPr>
                      <w:rFonts w:hint="eastAsia" w:ascii="Times New Roman" w:hAnsi="Times New Roman" w:cs="Times New Roman"/>
                      <w:color w:val="auto"/>
                      <w:kern w:val="0"/>
                      <w:szCs w:val="21"/>
                      <w:highlight w:val="none"/>
                      <w:lang w:val="en-US" w:eastAsia="zh-CN" w:bidi="ar"/>
                    </w:rPr>
                    <w:t>；生活垃圾由环卫部门定期清运。</w:t>
                  </w:r>
                </w:p>
              </w:tc>
              <w:tc>
                <w:tcPr>
                  <w:tcW w:w="697" w:type="dxa"/>
                  <w:tcBorders>
                    <w:tl2br w:val="nil"/>
                    <w:tr2bl w:val="nil"/>
                  </w:tcBorders>
                  <w:vAlign w:val="center"/>
                </w:tcPr>
                <w:p w14:paraId="09F85D21">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bl>
          <w:p w14:paraId="070E7344">
            <w:pPr>
              <w:widowControl/>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根据上表分析结果，本项目符合</w:t>
            </w:r>
            <w:r>
              <w:rPr>
                <w:rFonts w:hint="eastAsia" w:ascii="Times New Roman" w:hAnsi="Times New Roman" w:eastAsia="宋体" w:cs="Times New Roman"/>
                <w:color w:val="auto"/>
                <w:kern w:val="0"/>
                <w:sz w:val="24"/>
                <w:highlight w:val="none"/>
                <w:lang w:val="en-US" w:eastAsia="zh-CN" w:bidi="ar"/>
              </w:rPr>
              <w:t>中关村科技园区通州园金桥科技产业基地相关规划环境影响跟踪评价</w:t>
            </w:r>
            <w:r>
              <w:rPr>
                <w:rFonts w:hint="default" w:ascii="Times New Roman" w:hAnsi="Times New Roman" w:eastAsia="宋体" w:cs="Times New Roman"/>
                <w:color w:val="auto"/>
                <w:kern w:val="0"/>
                <w:sz w:val="24"/>
                <w:highlight w:val="none"/>
                <w:lang w:bidi="ar"/>
              </w:rPr>
              <w:t>及其审查意见的相关要求。</w:t>
            </w:r>
          </w:p>
        </w:tc>
      </w:tr>
      <w:tr w14:paraId="641DA9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8" w:hRule="atLeast"/>
          <w:jc w:val="center"/>
        </w:trPr>
        <w:tc>
          <w:tcPr>
            <w:tcW w:w="2129" w:type="dxa"/>
            <w:tcBorders>
              <w:top w:val="single" w:color="auto" w:sz="4" w:space="0"/>
              <w:left w:val="single" w:color="auto" w:sz="8" w:space="0"/>
              <w:bottom w:val="single" w:color="auto" w:sz="4" w:space="0"/>
              <w:right w:val="single" w:color="auto" w:sz="4" w:space="0"/>
            </w:tcBorders>
            <w:vAlign w:val="center"/>
          </w:tcPr>
          <w:p w14:paraId="5C2B01FC">
            <w:pPr>
              <w:autoSpaceDE w:val="0"/>
              <w:autoSpaceDN w:val="0"/>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其他符合性分析</w:t>
            </w:r>
          </w:p>
        </w:tc>
        <w:tc>
          <w:tcPr>
            <w:tcW w:w="6741" w:type="dxa"/>
            <w:gridSpan w:val="3"/>
            <w:tcBorders>
              <w:top w:val="single" w:color="auto" w:sz="4" w:space="0"/>
              <w:left w:val="single" w:color="auto" w:sz="4" w:space="0"/>
              <w:bottom w:val="single" w:color="auto" w:sz="4" w:space="0"/>
              <w:right w:val="single" w:color="auto" w:sz="8" w:space="0"/>
            </w:tcBorders>
          </w:tcPr>
          <w:p w14:paraId="78F7F596">
            <w:pPr>
              <w:numPr>
                <w:ilvl w:val="0"/>
                <w:numId w:val="6"/>
              </w:numPr>
              <w:spacing w:line="360" w:lineRule="auto"/>
              <w:ind w:firstLine="482"/>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产业政策符合性分析：</w:t>
            </w:r>
          </w:p>
          <w:p w14:paraId="5B9581EA">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eastAsia" w:ascii="Times New Roman" w:hAnsi="Times New Roman" w:eastAsia="宋体" w:cs="Times New Roman"/>
                <w:color w:val="auto"/>
                <w:kern w:val="0"/>
                <w:sz w:val="24"/>
                <w:highlight w:val="none"/>
                <w:lang w:bidi="ar"/>
              </w:rPr>
              <w:t>本项目为</w:t>
            </w:r>
            <w:r>
              <w:rPr>
                <w:rFonts w:hint="eastAsia" w:cs="Times New Roman"/>
                <w:color w:val="auto"/>
                <w:kern w:val="0"/>
                <w:sz w:val="24"/>
                <w:highlight w:val="none"/>
                <w:lang w:val="en-US" w:eastAsia="zh-CN" w:bidi="ar"/>
              </w:rPr>
              <w:t>消毒器械</w:t>
            </w:r>
            <w:r>
              <w:rPr>
                <w:rFonts w:hint="eastAsia" w:ascii="Times New Roman" w:hAnsi="Times New Roman" w:eastAsia="宋体" w:cs="Times New Roman"/>
                <w:color w:val="auto"/>
                <w:kern w:val="0"/>
                <w:sz w:val="24"/>
                <w:highlight w:val="none"/>
                <w:lang w:val="en-US" w:eastAsia="zh-CN" w:bidi="ar"/>
              </w:rPr>
              <w:t>的研发生产</w:t>
            </w:r>
            <w:r>
              <w:rPr>
                <w:rFonts w:hint="eastAsia" w:ascii="Times New Roman" w:hAnsi="Times New Roman" w:eastAsia="宋体" w:cs="Times New Roman"/>
                <w:color w:val="auto"/>
                <w:kern w:val="0"/>
                <w:sz w:val="24"/>
                <w:highlight w:val="none"/>
                <w:lang w:bidi="ar"/>
              </w:rPr>
              <w:t>项目，根据《产业结构调整指导目录（2024年本）》（国家发展和改革委员会，发改委2023年12月1日修订），项目</w:t>
            </w:r>
            <w:r>
              <w:rPr>
                <w:rFonts w:hint="eastAsia" w:ascii="Times New Roman" w:hAnsi="Times New Roman" w:eastAsia="宋体" w:cs="Times New Roman"/>
                <w:color w:val="auto"/>
                <w:kern w:val="0"/>
                <w:sz w:val="24"/>
                <w:highlight w:val="none"/>
                <w:lang w:val="en-US" w:eastAsia="zh-CN" w:bidi="ar"/>
              </w:rPr>
              <w:t>不属于鼓励类、限制类和淘汰类，属于允许类项目</w:t>
            </w:r>
            <w:r>
              <w:rPr>
                <w:rFonts w:hint="eastAsia" w:ascii="Times New Roman" w:hAnsi="Times New Roman" w:eastAsia="宋体" w:cs="Times New Roman"/>
                <w:color w:val="auto"/>
                <w:kern w:val="0"/>
                <w:sz w:val="24"/>
                <w:highlight w:val="none"/>
                <w:lang w:bidi="ar"/>
              </w:rPr>
              <w:t>。</w:t>
            </w:r>
          </w:p>
          <w:p w14:paraId="3096C8DC">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本项目为</w:t>
            </w:r>
            <w:r>
              <w:rPr>
                <w:rFonts w:hint="eastAsia" w:cs="Times New Roman"/>
                <w:color w:val="auto"/>
                <w:kern w:val="0"/>
                <w:sz w:val="24"/>
                <w:highlight w:val="none"/>
                <w:lang w:val="en-US" w:eastAsia="zh-CN" w:bidi="ar"/>
              </w:rPr>
              <w:t>消毒</w:t>
            </w:r>
            <w:r>
              <w:rPr>
                <w:rFonts w:hint="default" w:ascii="Times New Roman" w:hAnsi="Times New Roman" w:eastAsia="宋体" w:cs="Times New Roman"/>
                <w:color w:val="auto"/>
                <w:kern w:val="0"/>
                <w:sz w:val="24"/>
                <w:highlight w:val="none"/>
                <w:lang w:bidi="ar"/>
              </w:rPr>
              <w:t>器械</w:t>
            </w:r>
            <w:r>
              <w:rPr>
                <w:rFonts w:hint="eastAsia" w:cs="Times New Roman"/>
                <w:color w:val="auto"/>
                <w:kern w:val="0"/>
                <w:sz w:val="24"/>
                <w:highlight w:val="none"/>
                <w:lang w:val="en-US" w:eastAsia="zh-CN" w:bidi="ar"/>
              </w:rPr>
              <w:t>研发</w:t>
            </w:r>
            <w:r>
              <w:rPr>
                <w:rFonts w:hint="default" w:ascii="Times New Roman" w:hAnsi="Times New Roman" w:eastAsia="宋体" w:cs="Times New Roman"/>
                <w:color w:val="auto"/>
                <w:kern w:val="0"/>
                <w:sz w:val="24"/>
                <w:highlight w:val="none"/>
                <w:lang w:bidi="ar"/>
              </w:rPr>
              <w:t>生产项目，根据《北京市人民政府办公厅关于印发市发展改革委等部门制定的&lt;北京市新增产业的禁止和限制目录（2022年版）&gt;的通知》京政办发（〔2022〕5号），本项目行业</w:t>
            </w:r>
            <w:r>
              <w:rPr>
                <w:rFonts w:hint="eastAsia" w:cs="Times New Roman"/>
                <w:color w:val="auto"/>
                <w:kern w:val="0"/>
                <w:sz w:val="24"/>
                <w:highlight w:val="none"/>
                <w:lang w:val="en-US" w:eastAsia="zh-CN" w:bidi="ar"/>
              </w:rPr>
              <w:t>类别</w:t>
            </w:r>
            <w:r>
              <w:rPr>
                <w:rFonts w:hint="default" w:ascii="Times New Roman" w:hAnsi="Times New Roman" w:eastAsia="宋体" w:cs="Times New Roman"/>
                <w:color w:val="auto"/>
                <w:kern w:val="0"/>
                <w:sz w:val="24"/>
                <w:highlight w:val="none"/>
                <w:lang w:bidi="ar"/>
              </w:rPr>
              <w:t>为</w:t>
            </w:r>
            <w:r>
              <w:rPr>
                <w:rFonts w:hint="eastAsia" w:ascii="Times New Roman" w:hAnsi="Times New Roman" w:eastAsia="宋体"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val="en-US" w:eastAsia="zh-CN" w:bidi="ar"/>
              </w:rPr>
              <w:t>C3583医疗实验室及医用消毒设备和器具</w:t>
            </w:r>
            <w:r>
              <w:rPr>
                <w:rFonts w:hint="default" w:ascii="Times New Roman" w:hAnsi="Times New Roman" w:eastAsia="宋体" w:cs="Times New Roman"/>
                <w:color w:val="auto"/>
                <w:kern w:val="0"/>
                <w:sz w:val="24"/>
                <w:highlight w:val="none"/>
                <w:lang w:val="en-US" w:eastAsia="zh-CN" w:bidi="ar"/>
              </w:rPr>
              <w:t>制造</w:t>
            </w:r>
            <w:r>
              <w:rPr>
                <w:rFonts w:hint="eastAsia"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属于《北京市新增产业的禁止和限制目录（一）（适用于全市范围）》中</w:t>
            </w:r>
            <w:r>
              <w:rPr>
                <w:rFonts w:hint="eastAsia"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（358）医疗仪器设备及器械制造除外</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因此不在《北京市新增产业的禁止和限制目录（一）（适用于全市范围）》的禁止限制范围内。本项目已在北京经济技术开发区行政审批局完成备案，</w:t>
            </w:r>
            <w:r>
              <w:rPr>
                <w:rFonts w:hint="default" w:ascii="Times New Roman" w:hAnsi="Times New Roman" w:eastAsia="宋体" w:cs="Times New Roman"/>
                <w:color w:val="FF0000"/>
                <w:kern w:val="0"/>
                <w:sz w:val="24"/>
                <w:highlight w:val="none"/>
                <w:lang w:bidi="ar"/>
              </w:rPr>
              <w:t>项目备案号（京技审项（备）〔2025〕103号）</w:t>
            </w:r>
            <w:r>
              <w:rPr>
                <w:rFonts w:hint="default" w:ascii="Times New Roman" w:hAnsi="Times New Roman" w:eastAsia="宋体" w:cs="Times New Roman"/>
                <w:color w:val="auto"/>
                <w:kern w:val="0"/>
                <w:sz w:val="24"/>
                <w:highlight w:val="none"/>
                <w:lang w:bidi="ar"/>
              </w:rPr>
              <w:t>。</w:t>
            </w:r>
          </w:p>
          <w:p w14:paraId="696CABD2">
            <w:pPr>
              <w:spacing w:line="360" w:lineRule="auto"/>
              <w:ind w:firstLine="480" w:firstLineChars="200"/>
              <w:rPr>
                <w:rFonts w:hint="default" w:ascii="Times New Roman" w:hAnsi="Times New Roman" w:eastAsia="宋体" w:cs="Times New Roman"/>
                <w:color w:val="auto"/>
                <w:kern w:val="0"/>
                <w:sz w:val="24"/>
                <w:highlight w:val="none"/>
                <w:lang w:eastAsia="zh-CN" w:bidi="ar"/>
              </w:rPr>
            </w:pPr>
            <w:r>
              <w:rPr>
                <w:rFonts w:hint="default" w:ascii="Times New Roman" w:hAnsi="Times New Roman" w:eastAsia="宋体" w:cs="Times New Roman"/>
                <w:color w:val="auto"/>
                <w:kern w:val="0"/>
                <w:sz w:val="24"/>
                <w:highlight w:val="none"/>
                <w:lang w:bidi="ar"/>
              </w:rPr>
              <w:t>本项目不属于《北京市新增产业的禁止和限制目录（2022年版）》中禁止和限制类中所列的项目</w:t>
            </w:r>
            <w:r>
              <w:rPr>
                <w:rFonts w:hint="default" w:ascii="Times New Roman" w:hAnsi="Times New Roman" w:eastAsia="宋体" w:cs="Times New Roman"/>
                <w:color w:val="auto"/>
                <w:kern w:val="0"/>
                <w:sz w:val="24"/>
                <w:highlight w:val="none"/>
                <w:lang w:eastAsia="zh-CN" w:bidi="ar"/>
              </w:rPr>
              <w:t>。</w:t>
            </w:r>
          </w:p>
          <w:p w14:paraId="0ACE11D9">
            <w:pPr>
              <w:spacing w:line="360" w:lineRule="auto"/>
              <w:ind w:firstLine="480" w:firstLineChars="200"/>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本项目</w:t>
            </w:r>
            <w:r>
              <w:rPr>
                <w:rFonts w:hint="eastAsia" w:cs="Times New Roman"/>
                <w:color w:val="auto"/>
                <w:kern w:val="0"/>
                <w:sz w:val="24"/>
                <w:highlight w:val="none"/>
                <w:lang w:val="en-US" w:eastAsia="zh-CN" w:bidi="ar"/>
              </w:rPr>
              <w:t>从事消毒器械的研发生产，不属于</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市场准入负面清单（2025年版）</w:t>
            </w:r>
            <w:r>
              <w:rPr>
                <w:rFonts w:hint="default" w:ascii="Times New Roman" w:hAnsi="Times New Roman" w:eastAsia="宋体" w:cs="Times New Roman"/>
                <w:color w:val="auto"/>
                <w:kern w:val="0"/>
                <w:sz w:val="24"/>
                <w:highlight w:val="none"/>
                <w:lang w:eastAsia="zh-CN" w:bidi="ar"/>
              </w:rPr>
              <w:t>》</w:t>
            </w:r>
            <w:r>
              <w:rPr>
                <w:rFonts w:hint="eastAsia" w:cs="Times New Roman"/>
                <w:color w:val="auto"/>
                <w:kern w:val="0"/>
                <w:sz w:val="24"/>
                <w:highlight w:val="none"/>
                <w:lang w:val="en-US" w:eastAsia="zh-CN" w:bidi="ar"/>
              </w:rPr>
              <w:t>禁止类事项</w:t>
            </w:r>
            <w:r>
              <w:rPr>
                <w:rFonts w:hint="default" w:ascii="Times New Roman" w:hAnsi="Times New Roman" w:eastAsia="宋体" w:cs="Times New Roman"/>
                <w:color w:val="auto"/>
                <w:kern w:val="0"/>
                <w:sz w:val="24"/>
                <w:highlight w:val="none"/>
                <w:lang w:val="en-US" w:eastAsia="zh-CN" w:bidi="ar"/>
              </w:rPr>
              <w:t>。</w:t>
            </w:r>
          </w:p>
          <w:p w14:paraId="328B9A70">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val="en-US" w:eastAsia="zh-CN" w:bidi="ar"/>
              </w:rPr>
              <w:t>综上，</w:t>
            </w:r>
            <w:r>
              <w:rPr>
                <w:rFonts w:hint="default" w:ascii="Times New Roman" w:hAnsi="Times New Roman" w:eastAsia="宋体" w:cs="Times New Roman"/>
                <w:color w:val="auto"/>
                <w:kern w:val="0"/>
                <w:sz w:val="24"/>
                <w:highlight w:val="none"/>
                <w:lang w:bidi="ar"/>
              </w:rPr>
              <w:t>本项目符合产业政策</w:t>
            </w:r>
            <w:r>
              <w:rPr>
                <w:rFonts w:hint="default" w:ascii="Times New Roman" w:hAnsi="Times New Roman" w:eastAsia="宋体" w:cs="Times New Roman"/>
                <w:color w:val="auto"/>
                <w:kern w:val="0"/>
                <w:sz w:val="24"/>
                <w:highlight w:val="none"/>
                <w:lang w:val="en-US" w:eastAsia="zh-CN" w:bidi="ar"/>
              </w:rPr>
              <w:t>的要求</w:t>
            </w:r>
            <w:r>
              <w:rPr>
                <w:rFonts w:hint="default" w:ascii="Times New Roman" w:hAnsi="Times New Roman" w:eastAsia="宋体" w:cs="Times New Roman"/>
                <w:color w:val="auto"/>
                <w:kern w:val="0"/>
                <w:sz w:val="24"/>
                <w:highlight w:val="none"/>
                <w:lang w:bidi="ar"/>
              </w:rPr>
              <w:t>。</w:t>
            </w:r>
          </w:p>
          <w:p w14:paraId="30B081A5">
            <w:pPr>
              <w:numPr>
                <w:ilvl w:val="0"/>
                <w:numId w:val="6"/>
              </w:numPr>
              <w:spacing w:line="360" w:lineRule="auto"/>
              <w:ind w:firstLine="482"/>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选址合理性分析</w:t>
            </w:r>
          </w:p>
          <w:p w14:paraId="7E6A714D">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本项目</w:t>
            </w:r>
            <w:r>
              <w:rPr>
                <w:rFonts w:hint="eastAsia" w:ascii="Times New Roman" w:hAnsi="Times New Roman" w:eastAsia="宋体" w:cs="Times New Roman"/>
                <w:color w:val="auto"/>
                <w:kern w:val="0"/>
                <w:sz w:val="24"/>
                <w:highlight w:val="none"/>
                <w:lang w:val="en-US" w:eastAsia="zh-CN" w:bidi="ar"/>
              </w:rPr>
              <w:t>租用</w:t>
            </w:r>
            <w:r>
              <w:rPr>
                <w:rFonts w:hint="default" w:ascii="Times New Roman" w:hAnsi="Times New Roman" w:eastAsia="宋体" w:cs="Times New Roman"/>
                <w:color w:val="auto"/>
                <w:kern w:val="0"/>
                <w:sz w:val="24"/>
                <w:highlight w:val="none"/>
                <w:lang w:bidi="ar"/>
              </w:rPr>
              <w:t>现有房屋进行建设，不新建房屋，</w:t>
            </w:r>
            <w:r>
              <w:rPr>
                <w:rFonts w:hint="eastAsia" w:ascii="Times New Roman" w:hAnsi="Times New Roman" w:eastAsia="宋体" w:cs="Times New Roman"/>
                <w:color w:val="auto"/>
                <w:kern w:val="0"/>
                <w:sz w:val="24"/>
                <w:highlight w:val="none"/>
                <w:lang w:val="en-US" w:eastAsia="zh-CN" w:bidi="ar"/>
              </w:rPr>
              <w:t>房屋所有权人：北京联东金桥置业有限责任公司，房屋所有权证号：“京（2020）通不动产权第0007800号”</w:t>
            </w:r>
            <w:r>
              <w:rPr>
                <w:rFonts w:hint="default" w:ascii="Times New Roman" w:hAnsi="Times New Roman" w:eastAsia="宋体"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bidi="ar"/>
              </w:rPr>
              <w:t>房屋</w:t>
            </w:r>
            <w:r>
              <w:rPr>
                <w:rFonts w:hint="default" w:ascii="Times New Roman" w:hAnsi="Times New Roman" w:eastAsia="宋体" w:cs="Times New Roman"/>
                <w:color w:val="auto"/>
                <w:kern w:val="0"/>
                <w:sz w:val="24"/>
                <w:highlight w:val="none"/>
                <w:lang w:eastAsia="zh-CN" w:bidi="ar"/>
              </w:rPr>
              <w:t>用途</w:t>
            </w:r>
            <w:r>
              <w:rPr>
                <w:rFonts w:hint="default" w:ascii="Times New Roman" w:hAnsi="Times New Roman" w:eastAsia="宋体" w:cs="Times New Roman"/>
                <w:color w:val="auto"/>
                <w:kern w:val="0"/>
                <w:sz w:val="24"/>
                <w:highlight w:val="none"/>
                <w:lang w:bidi="ar"/>
              </w:rPr>
              <w:t>为</w:t>
            </w:r>
            <w:r>
              <w:rPr>
                <w:rFonts w:hint="eastAsia" w:cs="Times New Roman"/>
                <w:color w:val="auto"/>
                <w:kern w:val="0"/>
                <w:sz w:val="24"/>
                <w:highlight w:val="none"/>
                <w:lang w:val="en-US" w:eastAsia="zh-CN" w:bidi="ar"/>
              </w:rPr>
              <w:t>工业用地/</w:t>
            </w:r>
            <w:r>
              <w:rPr>
                <w:rFonts w:hint="eastAsia" w:ascii="Times New Roman" w:hAnsi="Times New Roman" w:eastAsia="宋体" w:cs="Times New Roman"/>
                <w:color w:val="auto"/>
                <w:kern w:val="0"/>
                <w:sz w:val="24"/>
                <w:highlight w:val="none"/>
                <w:lang w:val="en-US" w:eastAsia="zh-CN" w:bidi="ar"/>
              </w:rPr>
              <w:t>厂房</w:t>
            </w:r>
            <w:r>
              <w:rPr>
                <w:rFonts w:hint="eastAsia"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val="en-US" w:eastAsia="zh-CN" w:bidi="ar"/>
              </w:rPr>
              <w:t>本单位已与房屋所有权人签订房屋租赁合同，合同约定租赁用途为“办公、</w:t>
            </w:r>
            <w:r>
              <w:rPr>
                <w:rFonts w:hint="eastAsia" w:cs="Times New Roman"/>
                <w:color w:val="auto"/>
                <w:kern w:val="0"/>
                <w:sz w:val="24"/>
                <w:highlight w:val="none"/>
                <w:lang w:val="en-US" w:eastAsia="zh-CN" w:bidi="ar"/>
              </w:rPr>
              <w:t>仓储</w:t>
            </w:r>
            <w:r>
              <w:rPr>
                <w:rFonts w:hint="eastAsia" w:ascii="Times New Roman" w:hAnsi="Times New Roman" w:eastAsia="宋体" w:cs="Times New Roman"/>
                <w:color w:val="auto"/>
                <w:kern w:val="0"/>
                <w:sz w:val="24"/>
                <w:highlight w:val="none"/>
                <w:lang w:val="en-US" w:eastAsia="zh-CN" w:bidi="ar"/>
              </w:rPr>
              <w:t>、</w:t>
            </w:r>
            <w:r>
              <w:rPr>
                <w:rFonts w:hint="eastAsia" w:cs="Times New Roman"/>
                <w:color w:val="auto"/>
                <w:kern w:val="0"/>
                <w:sz w:val="24"/>
                <w:highlight w:val="none"/>
                <w:lang w:val="en-US" w:eastAsia="zh-CN" w:bidi="ar"/>
              </w:rPr>
              <w:t>研发、</w:t>
            </w:r>
            <w:r>
              <w:rPr>
                <w:rFonts w:hint="eastAsia" w:ascii="Times New Roman" w:hAnsi="Times New Roman" w:eastAsia="宋体" w:cs="Times New Roman"/>
                <w:color w:val="auto"/>
                <w:kern w:val="0"/>
                <w:sz w:val="24"/>
                <w:highlight w:val="none"/>
                <w:lang w:val="en-US" w:eastAsia="zh-CN" w:bidi="ar"/>
              </w:rPr>
              <w:t>生产”。</w:t>
            </w:r>
            <w:r>
              <w:rPr>
                <w:rFonts w:hint="default" w:ascii="Times New Roman" w:hAnsi="Times New Roman" w:eastAsia="宋体" w:cs="Times New Roman"/>
                <w:color w:val="auto"/>
                <w:kern w:val="0"/>
                <w:sz w:val="24"/>
                <w:highlight w:val="none"/>
                <w:lang w:val="en-US" w:eastAsia="zh-CN" w:bidi="ar"/>
              </w:rPr>
              <w:t>本项目</w:t>
            </w:r>
            <w:r>
              <w:rPr>
                <w:rFonts w:hint="eastAsia" w:ascii="Times New Roman" w:hAnsi="Times New Roman" w:eastAsia="宋体" w:cs="Times New Roman"/>
                <w:color w:val="auto"/>
                <w:kern w:val="0"/>
                <w:sz w:val="24"/>
                <w:highlight w:val="none"/>
                <w:lang w:val="en-US" w:eastAsia="zh-CN" w:bidi="ar"/>
              </w:rPr>
              <w:t>符合房屋规划用途，符合租赁用途约定，项目</w:t>
            </w:r>
            <w:r>
              <w:rPr>
                <w:rFonts w:hint="default" w:ascii="Times New Roman" w:hAnsi="Times New Roman" w:eastAsia="宋体" w:cs="Times New Roman"/>
                <w:color w:val="auto"/>
                <w:kern w:val="0"/>
                <w:sz w:val="24"/>
                <w:highlight w:val="none"/>
                <w:lang w:val="en-US" w:eastAsia="zh-CN" w:bidi="ar"/>
              </w:rPr>
              <w:t>选址合理可行</w:t>
            </w:r>
            <w:r>
              <w:rPr>
                <w:rFonts w:hint="eastAsia" w:ascii="Times New Roman" w:hAnsi="Times New Roman" w:eastAsia="宋体" w:cs="Times New Roman"/>
                <w:color w:val="auto"/>
                <w:kern w:val="0"/>
                <w:sz w:val="24"/>
                <w:highlight w:val="none"/>
                <w:lang w:val="en-US" w:eastAsia="zh-CN" w:bidi="ar"/>
              </w:rPr>
              <w:t>、符合合同约定用途</w:t>
            </w:r>
            <w:r>
              <w:rPr>
                <w:rFonts w:hint="default" w:ascii="Times New Roman" w:hAnsi="Times New Roman" w:eastAsia="宋体" w:cs="Times New Roman"/>
                <w:color w:val="auto"/>
                <w:kern w:val="0"/>
                <w:sz w:val="24"/>
                <w:highlight w:val="none"/>
                <w:lang w:val="en-US" w:eastAsia="zh-CN" w:bidi="ar"/>
              </w:rPr>
              <w:t>。</w:t>
            </w:r>
          </w:p>
          <w:p w14:paraId="5489996C">
            <w:pPr>
              <w:numPr>
                <w:ilvl w:val="0"/>
                <w:numId w:val="6"/>
              </w:numPr>
              <w:spacing w:line="360" w:lineRule="auto"/>
              <w:ind w:firstLine="482"/>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与</w:t>
            </w:r>
            <w:r>
              <w:rPr>
                <w:rFonts w:hint="eastAsia" w:cs="Times New Roman"/>
                <w:b/>
                <w:bCs/>
                <w:color w:val="auto"/>
                <w:kern w:val="0"/>
                <w:sz w:val="24"/>
                <w:highlight w:val="none"/>
                <w:lang w:eastAsia="zh-CN" w:bidi="ar"/>
              </w:rPr>
              <w:t>“</w:t>
            </w:r>
            <w:r>
              <w:rPr>
                <w:rFonts w:hint="default" w:ascii="Times New Roman" w:hAnsi="Times New Roman" w:eastAsia="宋体" w:cs="Times New Roman"/>
                <w:b/>
                <w:bCs/>
                <w:color w:val="auto"/>
                <w:kern w:val="0"/>
                <w:sz w:val="24"/>
                <w:highlight w:val="none"/>
                <w:lang w:bidi="ar"/>
              </w:rPr>
              <w:t>三线一单</w:t>
            </w:r>
            <w:r>
              <w:rPr>
                <w:rFonts w:hint="eastAsia" w:cs="Times New Roman"/>
                <w:b/>
                <w:bCs/>
                <w:color w:val="auto"/>
                <w:kern w:val="0"/>
                <w:sz w:val="24"/>
                <w:highlight w:val="none"/>
                <w:lang w:eastAsia="zh-CN" w:bidi="ar"/>
              </w:rPr>
              <w:t>”</w:t>
            </w:r>
            <w:r>
              <w:rPr>
                <w:rFonts w:hint="default" w:ascii="Times New Roman" w:hAnsi="Times New Roman" w:eastAsia="宋体" w:cs="Times New Roman"/>
                <w:b/>
                <w:bCs/>
                <w:color w:val="auto"/>
                <w:kern w:val="0"/>
                <w:sz w:val="24"/>
                <w:highlight w:val="none"/>
                <w:lang w:bidi="ar"/>
              </w:rPr>
              <w:t>符合性分析</w:t>
            </w:r>
          </w:p>
          <w:p w14:paraId="624EC0CB">
            <w:pPr>
              <w:numPr>
                <w:ilvl w:val="0"/>
                <w:numId w:val="7"/>
              </w:numPr>
              <w:spacing w:line="360" w:lineRule="auto"/>
              <w:ind w:firstLine="482" w:firstLineChars="200"/>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生态保护红线符合性分析</w:t>
            </w:r>
          </w:p>
          <w:p w14:paraId="3E9EDE53">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根据《北京市人民政府关于发布北京市生态保护红线的通知》(京政发(2018)18号)，全市生态保护红线包括水源涵养、水土保持和生物多样性维护的生态功能重要区、水土流失生态敏感区以及市级以上禁止开发区域和有必要严格保护的其他各类保护地。</w:t>
            </w:r>
          </w:p>
          <w:p w14:paraId="7EC162B5">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本项目位于</w:t>
            </w:r>
            <w:r>
              <w:rPr>
                <w:rFonts w:hint="eastAsia" w:cs="Times New Roman"/>
                <w:color w:val="auto"/>
                <w:sz w:val="24"/>
                <w:highlight w:val="none"/>
                <w:lang w:val="en-US" w:eastAsia="zh-CN"/>
              </w:rPr>
              <w:t>北京经济技术开发区(通州)景盛南二街10号院10号楼3层301</w:t>
            </w:r>
            <w:r>
              <w:rPr>
                <w:rFonts w:hint="default" w:ascii="Times New Roman" w:hAnsi="Times New Roman" w:eastAsia="宋体" w:cs="Times New Roman"/>
                <w:color w:val="auto"/>
                <w:sz w:val="24"/>
                <w:highlight w:val="none"/>
                <w:lang w:val="en-US" w:eastAsia="zh-CN"/>
              </w:rPr>
              <w:t>，根据《北京市人民政府关于发布北京市生态保护红线的通知》（京政发〔2018〕18号），本项目所在区域无重点生态功能区、生态敏感区、生态脆弱区、生物多样性保护优先区和自然保护区，未触及北京市生态保护红线</w:t>
            </w:r>
            <w:r>
              <w:rPr>
                <w:rFonts w:hint="default" w:ascii="Times New Roman" w:hAnsi="Times New Roman" w:eastAsia="宋体" w:cs="Times New Roman"/>
                <w:color w:val="auto"/>
                <w:kern w:val="0"/>
                <w:sz w:val="24"/>
                <w:highlight w:val="none"/>
                <w:lang w:bidi="ar"/>
              </w:rPr>
              <w:t>，符合生态保护红线的要求。本项目与北京市生态红线位置关系见</w:t>
            </w:r>
            <w:r>
              <w:rPr>
                <w:rFonts w:hint="default" w:ascii="Times New Roman" w:hAnsi="Times New Roman" w:eastAsia="宋体" w:cs="Times New Roman"/>
                <w:color w:val="auto"/>
                <w:kern w:val="0"/>
                <w:sz w:val="24"/>
                <w:highlight w:val="none"/>
                <w:lang w:val="en-US" w:eastAsia="zh-CN" w:bidi="ar"/>
              </w:rPr>
              <w:t>下图</w:t>
            </w:r>
            <w:r>
              <w:rPr>
                <w:rFonts w:hint="default" w:ascii="Times New Roman" w:hAnsi="Times New Roman" w:eastAsia="宋体" w:cs="Times New Roman"/>
                <w:color w:val="auto"/>
                <w:kern w:val="0"/>
                <w:sz w:val="24"/>
                <w:highlight w:val="none"/>
                <w:lang w:bidi="ar"/>
              </w:rPr>
              <w:t>。</w:t>
            </w:r>
          </w:p>
          <w:p w14:paraId="5BF4A43A">
            <w:pPr>
              <w:spacing w:line="360" w:lineRule="auto"/>
              <w:jc w:val="both"/>
              <w:rPr>
                <w:rFonts w:hint="eastAsia" w:ascii="Times New Roman" w:hAnsi="Times New Roman" w:eastAsia="宋体" w:cs="Times New Roman"/>
                <w:color w:val="auto"/>
                <w:kern w:val="0"/>
                <w:sz w:val="24"/>
                <w:highlight w:val="none"/>
                <w:lang w:eastAsia="zh-CN" w:bidi="ar"/>
              </w:rPr>
            </w:pPr>
            <w:r>
              <w:rPr>
                <w:sz w:val="24"/>
              </w:rPr>
              <mc:AlternateContent>
                <mc:Choice Requires="wps">
                  <w:drawing>
                    <wp:anchor distT="0" distB="0" distL="114300" distR="114300" simplePos="0" relativeHeight="251671552" behindDoc="0" locked="0" layoutInCell="1" allowOverlap="1">
                      <wp:simplePos x="0" y="0"/>
                      <wp:positionH relativeFrom="column">
                        <wp:posOffset>2926715</wp:posOffset>
                      </wp:positionH>
                      <wp:positionV relativeFrom="paragraph">
                        <wp:posOffset>2620645</wp:posOffset>
                      </wp:positionV>
                      <wp:extent cx="692785" cy="311785"/>
                      <wp:effectExtent l="657225" t="6350" r="6350" b="169545"/>
                      <wp:wrapNone/>
                      <wp:docPr id="28" name="矩形标注 28"/>
                      <wp:cNvGraphicFramePr/>
                      <a:graphic xmlns:a="http://schemas.openxmlformats.org/drawingml/2006/main">
                        <a:graphicData uri="http://schemas.microsoft.com/office/word/2010/wordprocessingShape">
                          <wps:wsp>
                            <wps:cNvSpPr/>
                            <wps:spPr>
                              <a:xfrm>
                                <a:off x="5311140" y="3707130"/>
                                <a:ext cx="692785" cy="311785"/>
                              </a:xfrm>
                              <a:prstGeom prst="wedgeRectCallout">
                                <a:avLst>
                                  <a:gd name="adj1" fmla="val -137809"/>
                                  <a:gd name="adj2" fmla="val 93584"/>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78C0AFC9">
                                  <w:pPr>
                                    <w:jc w:val="center"/>
                                    <w:rPr>
                                      <w:rFonts w:hint="eastAsia" w:eastAsia="宋体"/>
                                      <w:b/>
                                      <w:bCs/>
                                      <w:lang w:val="en-US" w:eastAsia="zh-CN"/>
                                    </w:rPr>
                                  </w:pPr>
                                  <w:r>
                                    <w:rPr>
                                      <w:rFonts w:hint="eastAsia"/>
                                      <w:b/>
                                      <w:bCs/>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0.45pt;margin-top:206.35pt;height:24.55pt;width:54.55pt;z-index:251671552;v-text-anchor:middle;mso-width-relative:page;mso-height-relative:page;" fillcolor="#5B9BD5 [3204]" filled="t" stroked="t" coordsize="21600,21600" o:gfxdata="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Jjc6xPcAAAACwEAAA8AAAAAAAAAAQAgAAAAIgAAAGRycy9kb3ducmV2LnhtbFBLAQIUABQA&#10;AAAIAIdO4kASYIqd0AIAAJMFAAAOAAAAAAAAAAEAIAAAACsBAABkcnMvZTJvRG9jLnhtbFBLBQYA&#10;AAAABgAGAFkBAABtBgAAAAA=&#10;" adj="-18967,31014">
                      <v:fill on="t" focussize="0,0"/>
                      <v:stroke weight="1pt" color="#2E75B6 [2404]" miterlimit="8" joinstyle="miter"/>
                      <v:imagedata o:title=""/>
                      <o:lock v:ext="edit" aspectratio="f"/>
                      <v:textbox>
                        <w:txbxContent>
                          <w:p w14:paraId="78C0AFC9">
                            <w:pPr>
                              <w:jc w:val="center"/>
                              <w:rPr>
                                <w:rFonts w:hint="eastAsia" w:eastAsia="宋体"/>
                                <w:b/>
                                <w:bCs/>
                                <w:lang w:val="en-US" w:eastAsia="zh-CN"/>
                              </w:rPr>
                            </w:pPr>
                            <w:r>
                              <w:rPr>
                                <w:rFonts w:hint="eastAsia"/>
                                <w:b/>
                                <w:bCs/>
                                <w:lang w:val="en-US" w:eastAsia="zh-CN"/>
                              </w:rPr>
                              <w:t>本项目</w:t>
                            </w: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2193925</wp:posOffset>
                      </wp:positionH>
                      <wp:positionV relativeFrom="paragraph">
                        <wp:posOffset>3049905</wp:posOffset>
                      </wp:positionV>
                      <wp:extent cx="75565" cy="75565"/>
                      <wp:effectExtent l="6350" t="6350" r="9525" b="9525"/>
                      <wp:wrapNone/>
                      <wp:docPr id="27" name="椭圆 27"/>
                      <wp:cNvGraphicFramePr/>
                      <a:graphic xmlns:a="http://schemas.openxmlformats.org/drawingml/2006/main">
                        <a:graphicData uri="http://schemas.microsoft.com/office/word/2010/wordprocessingShape">
                          <wps:wsp>
                            <wps:cNvSpPr/>
                            <wps:spPr>
                              <a:xfrm>
                                <a:off x="4597400" y="4136390"/>
                                <a:ext cx="75565" cy="75565"/>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2.75pt;margin-top:240.15pt;height:5.95pt;width:5.95pt;z-index:251670528;v-text-anchor:middle;mso-width-relative:page;mso-height-relative:page;" fillcolor="#FF0000" filled="t" stroked="t" coordsize="21600,21600" o:gfxdata="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U8UvdcAAAALAQAADwAAAAAAAAABACAAAAAiAAAAZHJz&#10;L2Rvd25yZXYueG1sUEsBAhQAFAAAAAgAh07iQNNvB9h3AgAAAgUAAA4AAAAAAAAAAQAgAAAAJgEA&#10;AGRycy9lMm9Eb2MueG1sUEsFBgAAAAAGAAYAWQEAAA8GAAAAAA==&#10;">
                      <v:fill on="t" focussize="0,0"/>
                      <v:stroke weight="1pt" color="#FF0000 [2404]" miterlimit="8" joinstyle="miter"/>
                      <v:imagedata o:title=""/>
                      <o:lock v:ext="edit" aspectratio="f"/>
                    </v:shape>
                  </w:pict>
                </mc:Fallback>
              </mc:AlternateContent>
            </w:r>
            <w:r>
              <w:rPr>
                <w:rFonts w:hint="eastAsia" w:ascii="Times New Roman" w:hAnsi="Times New Roman" w:eastAsia="宋体" w:cs="Times New Roman"/>
                <w:color w:val="auto"/>
                <w:kern w:val="0"/>
                <w:sz w:val="24"/>
                <w:highlight w:val="none"/>
                <w:lang w:eastAsia="zh-CN" w:bidi="ar"/>
              </w:rPr>
              <w:drawing>
                <wp:inline distT="0" distB="0" distL="114300" distR="114300">
                  <wp:extent cx="4140200" cy="4127500"/>
                  <wp:effectExtent l="0" t="0" r="5080" b="2540"/>
                  <wp:docPr id="25" name="图片 25" descr="176162856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61628562470"/>
                          <pic:cNvPicPr>
                            <a:picLocks noChangeAspect="1"/>
                          </pic:cNvPicPr>
                        </pic:nvPicPr>
                        <pic:blipFill>
                          <a:blip r:embed="rId9"/>
                          <a:stretch>
                            <a:fillRect/>
                          </a:stretch>
                        </pic:blipFill>
                        <pic:spPr>
                          <a:xfrm>
                            <a:off x="0" y="0"/>
                            <a:ext cx="4140200" cy="4127500"/>
                          </a:xfrm>
                          <a:prstGeom prst="rect">
                            <a:avLst/>
                          </a:prstGeom>
                        </pic:spPr>
                      </pic:pic>
                    </a:graphicData>
                  </a:graphic>
                </wp:inline>
              </w:drawing>
            </w:r>
          </w:p>
          <w:p w14:paraId="534D3A2F">
            <w:pPr>
              <w:widowControl/>
              <w:numPr>
                <w:ilvl w:val="0"/>
                <w:numId w:val="4"/>
              </w:numPr>
              <w:spacing w:line="360" w:lineRule="auto"/>
              <w:ind w:left="425" w:leftChars="0" w:hanging="425" w:firstLineChars="0"/>
              <w:jc w:val="center"/>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本项目与北京市生态保护红线位置关系图</w:t>
            </w:r>
          </w:p>
          <w:p w14:paraId="54BDF33E">
            <w:pPr>
              <w:numPr>
                <w:ilvl w:val="0"/>
                <w:numId w:val="7"/>
              </w:numPr>
              <w:spacing w:line="360" w:lineRule="auto"/>
              <w:ind w:firstLine="482" w:firstLineChars="200"/>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环境质量底线符合性分析</w:t>
            </w:r>
          </w:p>
          <w:p w14:paraId="16296705">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根据北京市生态环境局发布的《2024年北京市生态环境状况公报》(2025年5月9日发布)，2024年</w:t>
            </w:r>
            <w:r>
              <w:rPr>
                <w:rFonts w:hint="eastAsia" w:cs="Times New Roman"/>
                <w:color w:val="auto"/>
                <w:kern w:val="0"/>
                <w:sz w:val="24"/>
                <w:highlight w:val="none"/>
                <w:lang w:val="en-US" w:eastAsia="zh-CN" w:bidi="ar"/>
              </w:rPr>
              <w:t>通州</w:t>
            </w:r>
            <w:r>
              <w:rPr>
                <w:rFonts w:hint="default" w:ascii="Times New Roman" w:hAnsi="Times New Roman" w:eastAsia="宋体" w:cs="Times New Roman"/>
                <w:color w:val="auto"/>
                <w:kern w:val="0"/>
                <w:sz w:val="24"/>
                <w:highlight w:val="none"/>
                <w:lang w:bidi="ar"/>
              </w:rPr>
              <w:t>区各污染物浓度均达到《环境空气质量标准》(GB3095-2012)限值要求，北京市</w:t>
            </w:r>
            <w:r>
              <w:rPr>
                <w:rFonts w:hint="eastAsia" w:ascii="Times New Roman" w:hAnsi="Times New Roman" w:eastAsia="宋体" w:cs="Times New Roman"/>
                <w:color w:val="auto"/>
                <w:kern w:val="0"/>
                <w:sz w:val="24"/>
                <w:highlight w:val="none"/>
                <w:lang w:val="en-US" w:eastAsia="zh-CN" w:bidi="ar"/>
              </w:rPr>
              <w:t>O</w:t>
            </w:r>
            <w:r>
              <w:rPr>
                <w:rFonts w:hint="default" w:ascii="Times New Roman" w:hAnsi="Times New Roman" w:eastAsia="宋体" w:cs="Times New Roman"/>
                <w:color w:val="auto"/>
                <w:kern w:val="0"/>
                <w:sz w:val="24"/>
                <w:highlight w:val="none"/>
                <w:vertAlign w:val="subscript"/>
                <w:lang w:val="en-US" w:eastAsia="zh-CN" w:bidi="ar"/>
              </w:rPr>
              <w:t>3</w:t>
            </w:r>
            <w:r>
              <w:rPr>
                <w:rFonts w:hint="default" w:ascii="Times New Roman" w:hAnsi="Times New Roman" w:eastAsia="宋体" w:cs="Times New Roman"/>
                <w:color w:val="auto"/>
                <w:kern w:val="0"/>
                <w:sz w:val="24"/>
                <w:highlight w:val="none"/>
                <w:lang w:bidi="ar"/>
              </w:rPr>
              <w:t>日最大8小时平均浓度未能达到《环境空气质量标准》(GB3095-2012)限值要求，其他污染物现状浓度达到上述标准要求，判定项目</w:t>
            </w:r>
            <w:r>
              <w:rPr>
                <w:rFonts w:hint="eastAsia" w:ascii="Times New Roman" w:hAnsi="Times New Roman" w:eastAsia="宋体" w:cs="Times New Roman"/>
                <w:color w:val="auto"/>
                <w:kern w:val="0"/>
                <w:sz w:val="24"/>
                <w:highlight w:val="none"/>
                <w:lang w:val="en-US" w:eastAsia="zh-CN" w:bidi="ar"/>
              </w:rPr>
              <w:t>所在区</w:t>
            </w:r>
            <w:r>
              <w:rPr>
                <w:rFonts w:hint="default" w:ascii="Times New Roman" w:hAnsi="Times New Roman" w:eastAsia="宋体" w:cs="Times New Roman"/>
                <w:color w:val="auto"/>
                <w:kern w:val="0"/>
                <w:sz w:val="24"/>
                <w:highlight w:val="none"/>
                <w:lang w:bidi="ar"/>
              </w:rPr>
              <w:t>为环境空气质量不达标区。本项目</w:t>
            </w:r>
            <w:r>
              <w:rPr>
                <w:rFonts w:hint="eastAsia" w:ascii="Times New Roman" w:hAnsi="Times New Roman" w:eastAsia="宋体" w:cs="Times New Roman"/>
                <w:color w:val="auto"/>
                <w:kern w:val="0"/>
                <w:sz w:val="24"/>
                <w:highlight w:val="none"/>
                <w:lang w:val="en-US" w:eastAsia="zh-CN" w:bidi="ar"/>
              </w:rPr>
              <w:t>研发生产过程不产生大气污染物</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本项目的实施不会突破大气环境质量底线。</w:t>
            </w:r>
          </w:p>
          <w:p w14:paraId="4D61E7F5">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项目所在地附近地表水体为</w:t>
            </w:r>
            <w:r>
              <w:rPr>
                <w:rFonts w:hint="eastAsia" w:cs="Times New Roman"/>
                <w:color w:val="auto"/>
                <w:kern w:val="0"/>
                <w:sz w:val="24"/>
                <w:highlight w:val="none"/>
                <w:lang w:val="en-US" w:eastAsia="zh-CN" w:bidi="ar"/>
              </w:rPr>
              <w:t>南侧的</w:t>
            </w:r>
            <w:r>
              <w:rPr>
                <w:rFonts w:hint="eastAsia" w:cs="Times New Roman"/>
                <w:color w:val="auto"/>
                <w:sz w:val="24"/>
                <w:szCs w:val="24"/>
                <w:lang w:val="en-US" w:eastAsia="zh-CN"/>
              </w:rPr>
              <w:t>1.8</w:t>
            </w:r>
            <w:r>
              <w:rPr>
                <w:rFonts w:ascii="宋体" w:hAnsi="宋体" w:eastAsia="宋体" w:cs="宋体"/>
                <w:color w:val="auto"/>
                <w:sz w:val="24"/>
                <w:szCs w:val="24"/>
              </w:rPr>
              <w:t>km处的</w:t>
            </w:r>
            <w:r>
              <w:rPr>
                <w:rFonts w:hint="eastAsia" w:ascii="宋体" w:hAnsi="宋体" w:cs="宋体"/>
                <w:color w:val="auto"/>
                <w:sz w:val="24"/>
                <w:szCs w:val="24"/>
                <w:lang w:val="en-US" w:eastAsia="zh-CN"/>
              </w:rPr>
              <w:t>凤港减河</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highlight w:val="none"/>
                <w:lang w:bidi="ar"/>
              </w:rPr>
              <w:t>根据北京市五大水系各河流、水库水体功能划分与水质分类，</w:t>
            </w:r>
            <w:r>
              <w:rPr>
                <w:rFonts w:hint="eastAsia" w:ascii="宋体" w:hAnsi="宋体" w:cs="宋体"/>
                <w:color w:val="auto"/>
                <w:sz w:val="24"/>
                <w:szCs w:val="24"/>
                <w:lang w:eastAsia="zh-CN"/>
              </w:rPr>
              <w:t>凤港减河</w:t>
            </w:r>
            <w:r>
              <w:rPr>
                <w:rFonts w:hint="default" w:ascii="Times New Roman" w:hAnsi="Times New Roman" w:eastAsia="宋体" w:cs="Times New Roman"/>
                <w:color w:val="auto"/>
                <w:kern w:val="0"/>
                <w:sz w:val="24"/>
                <w:highlight w:val="none"/>
                <w:lang w:bidi="ar"/>
              </w:rPr>
              <w:t>水体功能为Ⅴ类。根据北京市生态环境局网站公布的</w:t>
            </w:r>
            <w:r>
              <w:rPr>
                <w:rFonts w:hint="default" w:ascii="Times New Roman" w:hAnsi="Times New Roman" w:eastAsia="宋体" w:cs="Times New Roman"/>
                <w:color w:val="auto"/>
                <w:kern w:val="0"/>
                <w:sz w:val="24"/>
                <w:highlight w:val="none"/>
                <w:lang w:val="en-US" w:eastAsia="zh-CN" w:bidi="ar"/>
              </w:rPr>
              <w:t>近一</w:t>
            </w:r>
            <w:r>
              <w:rPr>
                <w:rFonts w:hint="default" w:ascii="Times New Roman" w:hAnsi="Times New Roman" w:eastAsia="宋体" w:cs="Times New Roman"/>
                <w:color w:val="auto"/>
                <w:kern w:val="0"/>
                <w:sz w:val="24"/>
                <w:highlight w:val="none"/>
                <w:lang w:bidi="ar"/>
              </w:rPr>
              <w:t>年河流水质状况，</w:t>
            </w:r>
            <w:r>
              <w:rPr>
                <w:rFonts w:hint="eastAsia" w:ascii="宋体" w:hAnsi="宋体" w:cs="宋体"/>
                <w:color w:val="auto"/>
                <w:sz w:val="24"/>
                <w:szCs w:val="24"/>
                <w:lang w:eastAsia="zh-CN"/>
              </w:rPr>
              <w:t>凤港减河</w:t>
            </w:r>
            <w:r>
              <w:rPr>
                <w:rFonts w:hint="default" w:ascii="Times New Roman" w:hAnsi="Times New Roman" w:eastAsia="宋体" w:cs="Times New Roman"/>
                <w:color w:val="auto"/>
                <w:kern w:val="0"/>
                <w:sz w:val="24"/>
                <w:highlight w:val="none"/>
                <w:lang w:bidi="ar"/>
              </w:rPr>
              <w:t>现状水质均能够达到《地表水环境质量标准》（GB3838-2002）中Ⅴ类标准限值。</w:t>
            </w:r>
            <w:r>
              <w:rPr>
                <w:rFonts w:hint="default" w:ascii="Times New Roman" w:hAnsi="Times New Roman" w:eastAsia="宋体" w:cs="Times New Roman"/>
                <w:color w:val="auto"/>
                <w:kern w:val="0"/>
                <w:sz w:val="24"/>
                <w:highlight w:val="none"/>
                <w:lang w:eastAsia="zh-CN" w:bidi="ar"/>
              </w:rPr>
              <w:t>项目废水</w:t>
            </w:r>
            <w:r>
              <w:rPr>
                <w:rFonts w:hint="default" w:ascii="Times New Roman" w:hAnsi="Times New Roman" w:eastAsia="宋体" w:cs="Times New Roman"/>
                <w:color w:val="auto"/>
                <w:kern w:val="0"/>
                <w:sz w:val="24"/>
                <w:highlight w:val="none"/>
                <w:lang w:val="en-US" w:eastAsia="zh-CN" w:bidi="ar"/>
              </w:rPr>
              <w:t>包括生活污水、</w:t>
            </w:r>
            <w:r>
              <w:rPr>
                <w:rFonts w:hint="eastAsia" w:ascii="Times New Roman" w:hAnsi="Times New Roman" w:eastAsia="宋体" w:cs="Times New Roman"/>
                <w:color w:val="auto"/>
                <w:kern w:val="0"/>
                <w:sz w:val="24"/>
                <w:highlight w:val="none"/>
                <w:lang w:val="en-US" w:eastAsia="zh-CN" w:bidi="ar"/>
              </w:rPr>
              <w:t>高压蒸汽灭菌废水、容器第三遍及以后</w:t>
            </w:r>
            <w:r>
              <w:rPr>
                <w:rFonts w:hint="default" w:ascii="Times New Roman" w:hAnsi="Times New Roman" w:eastAsia="宋体" w:cs="Times New Roman"/>
                <w:color w:val="auto"/>
                <w:kern w:val="0"/>
                <w:sz w:val="24"/>
                <w:highlight w:val="none"/>
                <w:lang w:val="en-US" w:eastAsia="zh-CN" w:bidi="ar"/>
              </w:rPr>
              <w:t>清洗废水</w:t>
            </w:r>
            <w:r>
              <w:rPr>
                <w:rFonts w:hint="eastAsia" w:ascii="Times New Roman" w:hAnsi="Times New Roman" w:eastAsia="宋体" w:cs="Times New Roman"/>
                <w:color w:val="auto"/>
                <w:kern w:val="0"/>
                <w:sz w:val="24"/>
                <w:highlight w:val="none"/>
                <w:lang w:val="en-US" w:eastAsia="zh-CN" w:bidi="ar"/>
              </w:rPr>
              <w:t>、纯水制备废水</w:t>
            </w:r>
            <w:r>
              <w:rPr>
                <w:rFonts w:hint="default" w:ascii="Times New Roman" w:hAnsi="Times New Roman" w:eastAsia="宋体"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以上废水一起进</w:t>
            </w:r>
            <w:r>
              <w:rPr>
                <w:rFonts w:hint="default" w:ascii="Times New Roman" w:hAnsi="Times New Roman" w:eastAsia="宋体" w:cs="Times New Roman"/>
                <w:color w:val="auto"/>
                <w:kern w:val="0"/>
                <w:sz w:val="24"/>
                <w:highlight w:val="none"/>
                <w:lang w:val="en-US" w:eastAsia="zh-CN" w:bidi="ar"/>
              </w:rPr>
              <w:t>园区化粪池处理</w:t>
            </w:r>
            <w:r>
              <w:rPr>
                <w:rFonts w:hint="eastAsia" w:ascii="Times New Roman" w:hAnsi="Times New Roman" w:eastAsia="宋体" w:cs="Times New Roman"/>
                <w:color w:val="auto"/>
                <w:kern w:val="0"/>
                <w:sz w:val="24"/>
                <w:highlight w:val="none"/>
                <w:lang w:val="en-US" w:eastAsia="zh-CN" w:bidi="ar"/>
              </w:rPr>
              <w:t>，最后通过</w:t>
            </w:r>
            <w:r>
              <w:rPr>
                <w:rFonts w:hint="default" w:ascii="Times New Roman" w:hAnsi="Times New Roman" w:eastAsia="宋体" w:cs="Times New Roman"/>
                <w:color w:val="auto"/>
                <w:kern w:val="0"/>
                <w:sz w:val="24"/>
                <w:highlight w:val="none"/>
                <w:lang w:val="en-US" w:eastAsia="zh-CN" w:bidi="ar"/>
              </w:rPr>
              <w:t>市政管网排入</w:t>
            </w:r>
            <w:r>
              <w:rPr>
                <w:rFonts w:hint="eastAsia" w:ascii="Times New Roman" w:hAnsi="Times New Roman" w:eastAsia="宋体" w:cs="Times New Roman"/>
                <w:color w:val="auto"/>
                <w:kern w:val="0"/>
                <w:sz w:val="24"/>
                <w:highlight w:val="none"/>
                <w:lang w:val="en-US" w:eastAsia="zh-CN" w:bidi="ar"/>
              </w:rPr>
              <w:t>金桥基地第一污水处理厂</w:t>
            </w:r>
            <w:r>
              <w:rPr>
                <w:rFonts w:hint="default" w:ascii="Times New Roman" w:hAnsi="Times New Roman" w:eastAsia="宋体" w:cs="Times New Roman"/>
                <w:color w:val="auto"/>
                <w:kern w:val="0"/>
                <w:sz w:val="24"/>
                <w:highlight w:val="none"/>
                <w:lang w:val="en-US" w:eastAsia="zh-CN" w:bidi="ar"/>
              </w:rPr>
              <w:t>处理，不直接</w:t>
            </w:r>
            <w:r>
              <w:rPr>
                <w:rFonts w:hint="default" w:cs="Times New Roman"/>
                <w:color w:val="auto"/>
                <w:kern w:val="0"/>
                <w:sz w:val="24"/>
                <w:highlight w:val="none"/>
                <w:lang w:val="en-US" w:eastAsia="zh-CN" w:bidi="ar"/>
              </w:rPr>
              <w:t>排入地表水体，不会突破</w:t>
            </w:r>
            <w:r>
              <w:rPr>
                <w:rFonts w:hint="default" w:ascii="Times New Roman" w:hAnsi="Times New Roman" w:eastAsia="宋体" w:cs="Times New Roman"/>
                <w:color w:val="auto"/>
                <w:kern w:val="0"/>
                <w:sz w:val="24"/>
                <w:highlight w:val="none"/>
                <w:lang w:bidi="ar"/>
              </w:rPr>
              <w:t>水环境质量底线。</w:t>
            </w:r>
          </w:p>
          <w:p w14:paraId="400C843C">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本项目</w:t>
            </w:r>
            <w:r>
              <w:rPr>
                <w:rFonts w:hint="eastAsia" w:cs="Times New Roman"/>
                <w:color w:val="auto"/>
                <w:kern w:val="0"/>
                <w:sz w:val="24"/>
                <w:highlight w:val="none"/>
                <w:lang w:val="en-US" w:eastAsia="zh-CN" w:bidi="ar"/>
              </w:rPr>
              <w:t>研发生产</w:t>
            </w:r>
            <w:r>
              <w:rPr>
                <w:rFonts w:hint="default" w:ascii="Times New Roman" w:hAnsi="Times New Roman" w:eastAsia="宋体" w:cs="Times New Roman"/>
                <w:color w:val="auto"/>
                <w:kern w:val="0"/>
                <w:sz w:val="24"/>
                <w:highlight w:val="none"/>
                <w:lang w:bidi="ar"/>
              </w:rPr>
              <w:t>设备均为低噪声设备，且采取了</w:t>
            </w:r>
            <w:r>
              <w:rPr>
                <w:rFonts w:hint="eastAsia" w:cs="Times New Roman"/>
                <w:color w:val="auto"/>
                <w:kern w:val="0"/>
                <w:sz w:val="24"/>
                <w:highlight w:val="none"/>
                <w:lang w:val="en-US" w:eastAsia="zh-CN" w:bidi="ar"/>
              </w:rPr>
              <w:t>减振、</w:t>
            </w:r>
            <w:r>
              <w:rPr>
                <w:rFonts w:hint="default" w:ascii="Times New Roman" w:hAnsi="Times New Roman" w:eastAsia="宋体" w:cs="Times New Roman"/>
                <w:color w:val="auto"/>
                <w:kern w:val="0"/>
                <w:sz w:val="24"/>
                <w:highlight w:val="none"/>
                <w:lang w:bidi="ar"/>
              </w:rPr>
              <w:t>隔声</w:t>
            </w:r>
            <w:r>
              <w:rPr>
                <w:rFonts w:hint="eastAsia" w:cs="Times New Roman"/>
                <w:color w:val="auto"/>
                <w:kern w:val="0"/>
                <w:sz w:val="24"/>
                <w:highlight w:val="none"/>
                <w:lang w:val="en-US" w:eastAsia="zh-CN" w:bidi="ar"/>
              </w:rPr>
              <w:t>等</w:t>
            </w:r>
            <w:r>
              <w:rPr>
                <w:rFonts w:hint="default" w:ascii="Times New Roman" w:hAnsi="Times New Roman" w:eastAsia="宋体" w:cs="Times New Roman"/>
                <w:color w:val="auto"/>
                <w:kern w:val="0"/>
                <w:sz w:val="24"/>
                <w:highlight w:val="none"/>
                <w:lang w:bidi="ar"/>
              </w:rPr>
              <w:t>措施，厂界噪声</w:t>
            </w:r>
            <w:r>
              <w:rPr>
                <w:rFonts w:hint="eastAsia" w:cs="Times New Roman"/>
                <w:color w:val="auto"/>
                <w:kern w:val="0"/>
                <w:sz w:val="24"/>
                <w:highlight w:val="none"/>
                <w:lang w:val="en-US" w:eastAsia="zh-CN" w:bidi="ar"/>
              </w:rPr>
              <w:t>预测值</w:t>
            </w:r>
            <w:r>
              <w:rPr>
                <w:rFonts w:hint="default" w:ascii="Times New Roman" w:hAnsi="Times New Roman" w:eastAsia="宋体" w:cs="Times New Roman"/>
                <w:color w:val="auto"/>
                <w:kern w:val="0"/>
                <w:sz w:val="24"/>
                <w:highlight w:val="none"/>
                <w:lang w:bidi="ar"/>
              </w:rPr>
              <w:t>达标，不会突破声环境质量底线。</w:t>
            </w:r>
          </w:p>
          <w:p w14:paraId="3B39D0A8">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项目产生的</w:t>
            </w:r>
            <w:r>
              <w:rPr>
                <w:rFonts w:hint="default" w:ascii="Times New Roman" w:hAnsi="Times New Roman" w:eastAsia="宋体" w:cs="Times New Roman"/>
                <w:color w:val="auto"/>
                <w:kern w:val="0"/>
                <w:sz w:val="24"/>
                <w:highlight w:val="none"/>
                <w:lang w:val="en-US" w:eastAsia="zh-CN" w:bidi="ar"/>
              </w:rPr>
              <w:t>固体废物分类收集，建设规范的</w:t>
            </w:r>
            <w:r>
              <w:rPr>
                <w:rFonts w:hint="eastAsia" w:cs="Times New Roman"/>
                <w:color w:val="auto"/>
                <w:kern w:val="0"/>
                <w:sz w:val="24"/>
                <w:highlight w:val="none"/>
                <w:lang w:val="en-US" w:eastAsia="zh-CN" w:bidi="ar"/>
              </w:rPr>
              <w:t>固体废物</w:t>
            </w:r>
            <w:r>
              <w:rPr>
                <w:rFonts w:hint="default" w:ascii="Times New Roman" w:hAnsi="Times New Roman" w:eastAsia="宋体" w:cs="Times New Roman"/>
                <w:color w:val="auto"/>
                <w:kern w:val="0"/>
                <w:sz w:val="24"/>
                <w:highlight w:val="none"/>
                <w:lang w:val="en-US" w:eastAsia="zh-CN" w:bidi="ar"/>
              </w:rPr>
              <w:t>暂存间，所有固体废物</w:t>
            </w:r>
            <w:r>
              <w:rPr>
                <w:rFonts w:hint="default" w:ascii="Times New Roman" w:hAnsi="Times New Roman" w:eastAsia="宋体" w:cs="Times New Roman"/>
                <w:color w:val="auto"/>
                <w:kern w:val="0"/>
                <w:sz w:val="24"/>
                <w:highlight w:val="none"/>
                <w:lang w:bidi="ar"/>
              </w:rPr>
              <w:t>定期委托有资质的单位处置。</w:t>
            </w:r>
          </w:p>
          <w:p w14:paraId="0E84F6F5">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val="en-US" w:eastAsia="zh-CN" w:bidi="ar"/>
              </w:rPr>
              <w:t>项目运营期废气、废水、噪声等达标排放，</w:t>
            </w:r>
            <w:r>
              <w:rPr>
                <w:rFonts w:hint="eastAsia" w:cs="Times New Roman"/>
                <w:color w:val="auto"/>
                <w:kern w:val="0"/>
                <w:sz w:val="24"/>
                <w:highlight w:val="none"/>
                <w:lang w:val="en-US" w:eastAsia="zh-CN" w:bidi="ar"/>
              </w:rPr>
              <w:t>固体废物</w:t>
            </w:r>
            <w:r>
              <w:rPr>
                <w:rFonts w:hint="default" w:ascii="Times New Roman" w:hAnsi="Times New Roman" w:eastAsia="宋体" w:cs="Times New Roman"/>
                <w:color w:val="auto"/>
                <w:kern w:val="0"/>
                <w:sz w:val="24"/>
                <w:highlight w:val="none"/>
                <w:lang w:val="en-US" w:eastAsia="zh-CN" w:bidi="ar"/>
              </w:rPr>
              <w:t>合理处置，不会突破环境质量底线。</w:t>
            </w:r>
          </w:p>
          <w:p w14:paraId="34069539">
            <w:pPr>
              <w:numPr>
                <w:ilvl w:val="0"/>
                <w:numId w:val="7"/>
              </w:numPr>
              <w:spacing w:line="360" w:lineRule="auto"/>
              <w:ind w:firstLine="482" w:firstLineChars="200"/>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资源利用上线符合性分析</w:t>
            </w:r>
          </w:p>
          <w:p w14:paraId="7B977D87">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eastAsia" w:ascii="Times New Roman" w:hAnsi="Times New Roman" w:eastAsia="宋体" w:cs="Times New Roman"/>
                <w:color w:val="auto"/>
                <w:kern w:val="0"/>
                <w:sz w:val="24"/>
                <w:highlight w:val="none"/>
                <w:lang w:val="en-US" w:eastAsia="zh-CN" w:bidi="ar"/>
              </w:rPr>
              <w:t>本项目</w:t>
            </w:r>
            <w:r>
              <w:rPr>
                <w:rFonts w:hint="default" w:ascii="Times New Roman" w:hAnsi="Times New Roman" w:eastAsia="宋体" w:cs="Times New Roman"/>
                <w:color w:val="auto"/>
                <w:kern w:val="0"/>
                <w:sz w:val="24"/>
                <w:highlight w:val="none"/>
                <w:lang w:bidi="ar"/>
              </w:rPr>
              <w:t>电力及水资源消耗量相对于区域资源利用总量很少</w:t>
            </w:r>
            <w:r>
              <w:rPr>
                <w:rFonts w:hint="eastAsia" w:cs="Times New Roman"/>
                <w:color w:val="auto"/>
                <w:kern w:val="0"/>
                <w:sz w:val="24"/>
                <w:highlight w:val="none"/>
                <w:lang w:eastAsia="zh-CN" w:bidi="ar"/>
              </w:rPr>
              <w:t>，</w:t>
            </w:r>
            <w:r>
              <w:rPr>
                <w:rFonts w:hint="eastAsia" w:cs="Times New Roman"/>
                <w:color w:val="auto"/>
                <w:kern w:val="0"/>
                <w:sz w:val="24"/>
                <w:highlight w:val="none"/>
                <w:lang w:val="en-US" w:eastAsia="zh-CN" w:bidi="ar"/>
              </w:rPr>
              <w:t>电力及水资源有保证</w:t>
            </w:r>
            <w:r>
              <w:rPr>
                <w:rFonts w:hint="default" w:ascii="Times New Roman" w:hAnsi="Times New Roman" w:eastAsia="宋体" w:cs="Times New Roman"/>
                <w:color w:val="auto"/>
                <w:kern w:val="0"/>
                <w:sz w:val="24"/>
                <w:highlight w:val="none"/>
                <w:lang w:bidi="ar"/>
              </w:rPr>
              <w:t>；项目不新增用地，租用现有厂房，用地符合规划要求。因此项目资源利用情况不会突破区域资源利用上线，符合资源利用上线的要求。</w:t>
            </w:r>
          </w:p>
          <w:p w14:paraId="7DB78B5E">
            <w:pPr>
              <w:numPr>
                <w:ilvl w:val="0"/>
                <w:numId w:val="7"/>
              </w:numPr>
              <w:spacing w:line="360" w:lineRule="auto"/>
              <w:ind w:firstLine="482" w:firstLineChars="200"/>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环境准入负面清单</w:t>
            </w:r>
          </w:p>
          <w:p w14:paraId="68EA28BF">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根据《关于北京市生态环境分区管控(</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三线一单</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)的实施意见》，北京市生态环境管控分为优先保护单元、重点管控单元和一般管控单元三类区域。</w:t>
            </w:r>
          </w:p>
          <w:p w14:paraId="61F99195">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2024年12月25日，北京市生态环境局发布了《北京市生态环境局关于生态环境分区管控动态更新成果的通告》(通告(2024)33号)，发布了北京市生态环境分区管控动态更新成果，根据该成果，本项目位于重点管控单元，本项目在《北京市生态环境管控分区图》中的位置示意图见</w:t>
            </w:r>
            <w:r>
              <w:rPr>
                <w:rFonts w:hint="default" w:ascii="Times New Roman" w:hAnsi="Times New Roman" w:eastAsia="宋体" w:cs="Times New Roman"/>
                <w:color w:val="auto"/>
                <w:kern w:val="0"/>
                <w:sz w:val="24"/>
                <w:highlight w:val="none"/>
                <w:lang w:val="en-US" w:eastAsia="zh-CN" w:bidi="ar"/>
              </w:rPr>
              <w:t>下</w:t>
            </w:r>
            <w:r>
              <w:rPr>
                <w:rFonts w:hint="default" w:ascii="Times New Roman" w:hAnsi="Times New Roman" w:eastAsia="宋体" w:cs="Times New Roman"/>
                <w:color w:val="auto"/>
                <w:kern w:val="0"/>
                <w:sz w:val="24"/>
                <w:highlight w:val="none"/>
                <w:lang w:bidi="ar"/>
              </w:rPr>
              <w:t>图。</w:t>
            </w:r>
          </w:p>
          <w:p w14:paraId="6C5ECFA7">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1"/>
              </w:rPr>
              <mc:AlternateContent>
                <mc:Choice Requires="wps">
                  <w:drawing>
                    <wp:anchor distT="0" distB="0" distL="114300" distR="114300" simplePos="0" relativeHeight="251662336" behindDoc="0" locked="0" layoutInCell="1" allowOverlap="1">
                      <wp:simplePos x="0" y="0"/>
                      <wp:positionH relativeFrom="column">
                        <wp:posOffset>2040255</wp:posOffset>
                      </wp:positionH>
                      <wp:positionV relativeFrom="paragraph">
                        <wp:posOffset>2473960</wp:posOffset>
                      </wp:positionV>
                      <wp:extent cx="75565" cy="75565"/>
                      <wp:effectExtent l="6350" t="6350" r="9525" b="9525"/>
                      <wp:wrapNone/>
                      <wp:docPr id="15" name="椭圆 15"/>
                      <wp:cNvGraphicFramePr/>
                      <a:graphic xmlns:a="http://schemas.openxmlformats.org/drawingml/2006/main">
                        <a:graphicData uri="http://schemas.microsoft.com/office/word/2010/wordprocessingShape">
                          <wps:wsp>
                            <wps:cNvSpPr/>
                            <wps:spPr>
                              <a:xfrm>
                                <a:off x="4424680" y="5042535"/>
                                <a:ext cx="75565" cy="75565"/>
                              </a:xfrm>
                              <a:prstGeom prst="ellipse">
                                <a:avLst/>
                              </a:prstGeom>
                              <a:solidFill>
                                <a:schemeClr val="tx1"/>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0.65pt;margin-top:194.8pt;height:5.95pt;width:5.95pt;z-index:251662336;v-text-anchor:middle;mso-width-relative:page;mso-height-relative:page;" fillcolor="#000000 [3213]" filled="t" stroked="t" coordsize="21600,21600" o:gfxdata="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8RatraAAAACwEAAA8AAAAAAAAAAQAgAAAA&#10;IgAAAGRycy9kb3ducmV2LnhtbFBLAQIUABQAAAAIAIdO4kAizzM7ewIAAAIFAAAOAAAAAAAAAAEA&#10;IAAAACkBAABkcnMvZTJvRG9jLnhtbFBLBQYAAAAABgAGAFkBAAAWBgAAAAA=&#10;">
                      <v:fill on="t" focussize="0,0"/>
                      <v:stroke weight="1pt" color="#FFFF00 [2404]" miterlimit="8" joinstyle="miter"/>
                      <v:imagedata o:title=""/>
                      <o:lock v:ext="edit" aspectratio="f"/>
                    </v:shape>
                  </w:pict>
                </mc:Fallback>
              </mc:AlternateContent>
            </w:r>
            <w:r>
              <w:rPr>
                <w:rFonts w:hint="default" w:ascii="Times New Roman" w:hAnsi="Times New Roman" w:eastAsia="宋体" w:cs="Times New Roman"/>
                <w:color w:val="auto"/>
              </w:rPr>
              <w:drawing>
                <wp:inline distT="0" distB="0" distL="114300" distR="114300">
                  <wp:extent cx="3314700" cy="3246120"/>
                  <wp:effectExtent l="0" t="0" r="7620" b="0"/>
                  <wp:docPr id="1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
                          <pic:cNvPicPr>
                            <a:picLocks noChangeAspect="1"/>
                          </pic:cNvPicPr>
                        </pic:nvPicPr>
                        <pic:blipFill>
                          <a:blip r:embed="rId10"/>
                          <a:stretch>
                            <a:fillRect/>
                          </a:stretch>
                        </pic:blipFill>
                        <pic:spPr>
                          <a:xfrm>
                            <a:off x="0" y="0"/>
                            <a:ext cx="3314700" cy="3246120"/>
                          </a:xfrm>
                          <a:prstGeom prst="rect">
                            <a:avLst/>
                          </a:prstGeom>
                          <a:noFill/>
                          <a:ln>
                            <a:noFill/>
                          </a:ln>
                        </pic:spPr>
                      </pic:pic>
                    </a:graphicData>
                  </a:graphic>
                </wp:inline>
              </w:drawing>
            </w:r>
          </w:p>
          <w:p w14:paraId="21F3436F">
            <w:pPr>
              <w:widowControl/>
              <w:numPr>
                <w:ilvl w:val="0"/>
                <w:numId w:val="4"/>
              </w:numPr>
              <w:spacing w:line="360" w:lineRule="auto"/>
              <w:ind w:left="425" w:leftChars="0" w:hanging="425" w:firstLineChars="0"/>
              <w:jc w:val="center"/>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rPr>
              <w:t>本项目在北京市生态环境管控分区图中的位置示意图</w:t>
            </w:r>
          </w:p>
          <w:p w14:paraId="646EE07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lang w:eastAsia="zh-CN" w:bidi="ar"/>
              </w:rPr>
            </w:pPr>
            <w:r>
              <w:rPr>
                <w:rFonts w:hint="default" w:ascii="Times New Roman" w:hAnsi="Times New Roman" w:eastAsia="宋体" w:cs="Times New Roman"/>
                <w:color w:val="auto"/>
                <w:kern w:val="0"/>
                <w:sz w:val="24"/>
                <w:highlight w:val="none"/>
                <w:lang w:bidi="ar"/>
              </w:rPr>
              <w:t>根据北京市生态环境局</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北京市生态环境局政府网站-政务服务-生态环境分区管控(</w:t>
            </w:r>
            <w:r>
              <w:rPr>
                <w:rFonts w:hint="default" w:ascii="Times New Roman" w:hAnsi="Times New Roman" w:eastAsia="宋体"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bidi="ar"/>
              </w:rPr>
              <w:t>三线一单’)系统</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，本项目属于</w:t>
            </w:r>
            <w:r>
              <w:rPr>
                <w:rFonts w:hint="eastAsia" w:cs="Times New Roman"/>
                <w:color w:val="auto"/>
                <w:kern w:val="0"/>
                <w:sz w:val="24"/>
                <w:highlight w:val="none"/>
                <w:lang w:eastAsia="zh-CN" w:bidi="ar"/>
              </w:rPr>
              <w:t>金桥科技产业基地</w:t>
            </w:r>
            <w:r>
              <w:rPr>
                <w:rFonts w:hint="default" w:ascii="Times New Roman" w:hAnsi="Times New Roman" w:eastAsia="宋体" w:cs="Times New Roman"/>
                <w:color w:val="auto"/>
                <w:kern w:val="0"/>
                <w:sz w:val="24"/>
                <w:highlight w:val="none"/>
                <w:lang w:bidi="ar"/>
              </w:rPr>
              <w:t>重点管控单元，环境管控单元编码为</w:t>
            </w:r>
            <w:r>
              <w:rPr>
                <w:rFonts w:hint="eastAsia" w:cs="Times New Roman"/>
                <w:color w:val="auto"/>
                <w:kern w:val="0"/>
                <w:sz w:val="24"/>
                <w:highlight w:val="none"/>
                <w:lang w:val="en-US" w:eastAsia="zh-CN" w:bidi="ar"/>
              </w:rPr>
              <w:t>ZH11011220002</w:t>
            </w:r>
            <w:r>
              <w:rPr>
                <w:rFonts w:hint="default" w:ascii="Times New Roman" w:hAnsi="Times New Roman" w:eastAsia="宋体" w:cs="Times New Roman"/>
                <w:color w:val="auto"/>
                <w:kern w:val="0"/>
                <w:sz w:val="24"/>
                <w:highlight w:val="none"/>
                <w:lang w:bidi="ar"/>
              </w:rPr>
              <w:t>，本项目在</w:t>
            </w:r>
            <w:r>
              <w:rPr>
                <w:rFonts w:hint="eastAsia" w:cs="Times New Roman"/>
                <w:color w:val="auto"/>
                <w:kern w:val="0"/>
                <w:sz w:val="24"/>
                <w:highlight w:val="none"/>
                <w:lang w:eastAsia="zh-CN" w:bidi="ar"/>
              </w:rPr>
              <w:t>金桥科技产业基地</w:t>
            </w:r>
            <w:r>
              <w:rPr>
                <w:rFonts w:hint="default" w:ascii="Times New Roman" w:hAnsi="Times New Roman" w:eastAsia="宋体" w:cs="Times New Roman"/>
                <w:color w:val="auto"/>
                <w:kern w:val="0"/>
                <w:sz w:val="24"/>
                <w:highlight w:val="none"/>
                <w:lang w:bidi="ar"/>
              </w:rPr>
              <w:t>重点管控单元图中位置见</w:t>
            </w:r>
            <w:r>
              <w:rPr>
                <w:rFonts w:hint="default" w:ascii="Times New Roman" w:hAnsi="Times New Roman" w:eastAsia="宋体" w:cs="Times New Roman"/>
                <w:color w:val="auto"/>
                <w:kern w:val="0"/>
                <w:sz w:val="24"/>
                <w:highlight w:val="none"/>
                <w:lang w:val="en-US" w:eastAsia="zh-CN" w:bidi="ar"/>
              </w:rPr>
              <w:t>下</w:t>
            </w:r>
            <w:r>
              <w:rPr>
                <w:rFonts w:hint="default" w:ascii="Times New Roman" w:hAnsi="Times New Roman" w:eastAsia="宋体" w:cs="Times New Roman"/>
                <w:color w:val="auto"/>
                <w:kern w:val="0"/>
                <w:sz w:val="24"/>
                <w:highlight w:val="none"/>
                <w:lang w:bidi="ar"/>
              </w:rPr>
              <w:t>图</w:t>
            </w:r>
            <w:r>
              <w:rPr>
                <w:rFonts w:hint="default" w:ascii="Times New Roman" w:hAnsi="Times New Roman" w:eastAsia="宋体" w:cs="Times New Roman"/>
                <w:color w:val="auto"/>
                <w:kern w:val="0"/>
                <w:sz w:val="24"/>
                <w:highlight w:val="none"/>
                <w:lang w:eastAsia="zh-CN" w:bidi="ar"/>
              </w:rPr>
              <w:t>。</w:t>
            </w:r>
          </w:p>
          <w:p w14:paraId="457B2961">
            <w:pPr>
              <w:spacing w:line="360" w:lineRule="auto"/>
              <w:rPr>
                <w:rFonts w:hint="default" w:ascii="Times New Roman" w:hAnsi="Times New Roman" w:eastAsia="宋体" w:cs="Times New Roman"/>
                <w:color w:val="auto"/>
                <w:kern w:val="0"/>
                <w:sz w:val="24"/>
                <w:highlight w:val="none"/>
                <w:lang w:eastAsia="zh-CN" w:bidi="ar"/>
              </w:rPr>
            </w:pPr>
            <w:r>
              <w:rPr>
                <w:sz w:val="21"/>
              </w:rPr>
              <mc:AlternateContent>
                <mc:Choice Requires="wps">
                  <w:drawing>
                    <wp:anchor distT="0" distB="0" distL="114300" distR="114300" simplePos="0" relativeHeight="251666432" behindDoc="0" locked="0" layoutInCell="1" allowOverlap="1">
                      <wp:simplePos x="0" y="0"/>
                      <wp:positionH relativeFrom="column">
                        <wp:posOffset>3005455</wp:posOffset>
                      </wp:positionH>
                      <wp:positionV relativeFrom="paragraph">
                        <wp:posOffset>1285240</wp:posOffset>
                      </wp:positionV>
                      <wp:extent cx="957580" cy="391160"/>
                      <wp:effectExtent l="810260" t="6350" r="15240" b="410210"/>
                      <wp:wrapNone/>
                      <wp:docPr id="155" name="矩形标注 155"/>
                      <wp:cNvGraphicFramePr/>
                      <a:graphic xmlns:a="http://schemas.openxmlformats.org/drawingml/2006/main">
                        <a:graphicData uri="http://schemas.microsoft.com/office/word/2010/wordprocessingShape">
                          <wps:wsp>
                            <wps:cNvSpPr/>
                            <wps:spPr>
                              <a:xfrm>
                                <a:off x="5448935" y="2291080"/>
                                <a:ext cx="957580" cy="391160"/>
                              </a:xfrm>
                              <a:prstGeom prst="wedgeRectCallout">
                                <a:avLst>
                                  <a:gd name="adj1" fmla="val -129509"/>
                                  <a:gd name="adj2" fmla="val 148214"/>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76F2A199">
                                  <w:pPr>
                                    <w:jc w:val="center"/>
                                    <w:rPr>
                                      <w:rFonts w:hint="default" w:eastAsia="宋体"/>
                                      <w:b/>
                                      <w:bCs/>
                                      <w:lang w:val="en-US" w:eastAsia="zh-CN"/>
                                    </w:rPr>
                                  </w:pPr>
                                  <w:r>
                                    <w:rPr>
                                      <w:rFonts w:hint="eastAsia"/>
                                      <w:b/>
                                      <w:bCs/>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6.65pt;margin-top:101.2pt;height:30.8pt;width:75.4pt;z-index:251666432;v-text-anchor:middle;mso-width-relative:page;mso-height-relative:page;" fillcolor="#5B9BD5 [3204]" filled="t" stroked="t" coordsize="21600,21600" o:gfxdata="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YaMYb3AAAAAsBAAAPAAAAAAAAAAEAIAAAACIAAABkcnMvZG93bnJldi54bWxQSwEC&#10;FAAUAAAACACHTuJAqXHfutQCAACWBQAADgAAAAAAAAABACAAAAArAQAAZHJzL2Uyb0RvYy54bWxQ&#10;SwUGAAAAAAYABgBZAQAAcQYAAAAA&#10;" adj="-17174,42814">
                      <v:fill on="t" focussize="0,0"/>
                      <v:stroke weight="1pt" color="#2E75B6 [2404]" miterlimit="8" joinstyle="miter"/>
                      <v:imagedata o:title=""/>
                      <o:lock v:ext="edit" aspectratio="f"/>
                      <v:textbox>
                        <w:txbxContent>
                          <w:p w14:paraId="76F2A199">
                            <w:pPr>
                              <w:jc w:val="center"/>
                              <w:rPr>
                                <w:rFonts w:hint="default" w:eastAsia="宋体"/>
                                <w:b/>
                                <w:bCs/>
                                <w:lang w:val="en-US" w:eastAsia="zh-CN"/>
                              </w:rPr>
                            </w:pPr>
                            <w:r>
                              <w:rPr>
                                <w:rFonts w:hint="eastAsia"/>
                                <w:b/>
                                <w:bCs/>
                                <w:lang w:val="en-US" w:eastAsia="zh-CN"/>
                              </w:rPr>
                              <w:t>本项目</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2125345</wp:posOffset>
                      </wp:positionH>
                      <wp:positionV relativeFrom="paragraph">
                        <wp:posOffset>1990090</wp:posOffset>
                      </wp:positionV>
                      <wp:extent cx="76200" cy="75565"/>
                      <wp:effectExtent l="10160" t="13970" r="20320" b="17145"/>
                      <wp:wrapNone/>
                      <wp:docPr id="154" name="等腰三角形 154"/>
                      <wp:cNvGraphicFramePr/>
                      <a:graphic xmlns:a="http://schemas.openxmlformats.org/drawingml/2006/main">
                        <a:graphicData uri="http://schemas.microsoft.com/office/word/2010/wordprocessingShape">
                          <wps:wsp>
                            <wps:cNvSpPr/>
                            <wps:spPr>
                              <a:xfrm>
                                <a:off x="4938395" y="2816860"/>
                                <a:ext cx="76200" cy="75565"/>
                              </a:xfrm>
                              <a:prstGeom prst="triangle">
                                <a:avLst/>
                              </a:prstGeom>
                              <a:solidFill>
                                <a:srgbClr val="FFFF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67.35pt;margin-top:156.7pt;height:5.95pt;width:6pt;z-index:251665408;v-text-anchor:middle;mso-width-relative:page;mso-height-relative:page;" fillcolor="#FFFF00" filled="t" stroked="t" coordsize="21600,21600" o:gfxdata="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OypBxDZAAAACwEAAA8AAAAAAAAAAQAgAAAAIgAAAGRycy9kb3ducmV2&#10;LnhtbFBLAQIUABQAAAAIAIdO4kAb2QyepgIAADAFAAAOAAAAAAAAAAEAIAAAACgBAABkcnMvZTJv&#10;RG9jLnhtbFBLBQYAAAAABgAGAFkBAABABgAAAAA=&#10;" adj="10800">
                      <v:fill on="t" focussize="0,0"/>
                      <v:stroke weight="1pt" color="#2E75B6 [2404]" miterlimit="8" joinstyle="miter"/>
                      <v:imagedata o:title=""/>
                      <o:lock v:ext="edit" aspectratio="f"/>
                    </v:shape>
                  </w:pict>
                </mc:Fallback>
              </mc:AlternateContent>
            </w:r>
            <w:r>
              <w:drawing>
                <wp:inline distT="0" distB="0" distL="114300" distR="114300">
                  <wp:extent cx="4141470" cy="5498465"/>
                  <wp:effectExtent l="0" t="0" r="3810" b="3175"/>
                  <wp:docPr id="1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9"/>
                          <pic:cNvPicPr>
                            <a:picLocks noChangeAspect="1"/>
                          </pic:cNvPicPr>
                        </pic:nvPicPr>
                        <pic:blipFill>
                          <a:blip r:embed="rId11"/>
                          <a:stretch>
                            <a:fillRect/>
                          </a:stretch>
                        </pic:blipFill>
                        <pic:spPr>
                          <a:xfrm>
                            <a:off x="0" y="0"/>
                            <a:ext cx="4141470" cy="5498465"/>
                          </a:xfrm>
                          <a:prstGeom prst="rect">
                            <a:avLst/>
                          </a:prstGeom>
                          <a:noFill/>
                          <a:ln>
                            <a:noFill/>
                          </a:ln>
                        </pic:spPr>
                      </pic:pic>
                    </a:graphicData>
                  </a:graphic>
                </wp:inline>
              </w:drawing>
            </w:r>
          </w:p>
          <w:p w14:paraId="15431A60">
            <w:pPr>
              <w:widowControl/>
              <w:numPr>
                <w:ilvl w:val="0"/>
                <w:numId w:val="4"/>
              </w:numPr>
              <w:spacing w:line="360" w:lineRule="auto"/>
              <w:ind w:left="425" w:leftChars="0" w:hanging="425" w:firstLineChars="0"/>
              <w:jc w:val="center"/>
            </w:pPr>
            <w:r>
              <w:rPr>
                <w:rFonts w:hint="eastAsia" w:ascii="宋体" w:hAnsi="宋体" w:eastAsia="宋体" w:cs="宋体"/>
                <w:b/>
                <w:bCs/>
                <w:color w:val="000000"/>
                <w:kern w:val="0"/>
                <w:sz w:val="24"/>
                <w:szCs w:val="24"/>
                <w:lang w:val="en-US" w:eastAsia="zh-CN" w:bidi="ar"/>
              </w:rPr>
              <w:t>本项目与金桥科技产业基地管控单元位置关系图</w:t>
            </w:r>
          </w:p>
          <w:p w14:paraId="101745A2">
            <w:pPr>
              <w:widowControl/>
              <w:numPr>
                <w:ilvl w:val="0"/>
                <w:numId w:val="0"/>
              </w:numPr>
              <w:spacing w:line="360" w:lineRule="auto"/>
              <w:ind w:leftChars="0" w:firstLine="480" w:firstLineChars="200"/>
              <w:jc w:val="both"/>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现就全市总体环境准入清单、五大功能区环境准入清单及环境管控单元环境准入清单的符合性进行分析。</w:t>
            </w:r>
          </w:p>
        </w:tc>
      </w:tr>
    </w:tbl>
    <w:p w14:paraId="62C22A72">
      <w:pPr>
        <w:pStyle w:val="8"/>
        <w:rPr>
          <w:rFonts w:hint="default" w:ascii="Times New Roman" w:hAnsi="Times New Roman" w:eastAsia="宋体" w:cs="Times New Roman"/>
          <w:color w:val="auto"/>
          <w:sz w:val="21"/>
          <w:szCs w:val="22"/>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13197"/>
      </w:tblGrid>
      <w:tr w14:paraId="0D89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1" w:hRule="atLeast"/>
          <w:jc w:val="center"/>
        </w:trPr>
        <w:tc>
          <w:tcPr>
            <w:tcW w:w="456" w:type="dxa"/>
            <w:vAlign w:val="center"/>
          </w:tcPr>
          <w:p w14:paraId="7756D829">
            <w:pPr>
              <w:autoSpaceDE w:val="0"/>
              <w:autoSpaceDN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rPr>
              <w:t>其他符合性分析</w:t>
            </w:r>
          </w:p>
        </w:tc>
        <w:tc>
          <w:tcPr>
            <w:tcW w:w="13196" w:type="dxa"/>
          </w:tcPr>
          <w:p w14:paraId="59AFA03E">
            <w:pPr>
              <w:pStyle w:val="9"/>
              <w:spacing w:line="360" w:lineRule="auto"/>
              <w:ind w:firstLine="482" w:firstLineChars="200"/>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1）全市总体生态环境准入清单</w:t>
            </w:r>
          </w:p>
          <w:p w14:paraId="41A35466">
            <w:pPr>
              <w:pStyle w:val="9"/>
              <w:spacing w:line="360" w:lineRule="auto"/>
              <w:ind w:firstLine="480" w:firstLineChars="200"/>
              <w:rPr>
                <w:rFonts w:hint="default" w:ascii="Times New Roman" w:hAnsi="Times New Roman" w:eastAsia="宋体" w:cs="Times New Roman"/>
                <w:color w:val="auto"/>
                <w:kern w:val="0"/>
                <w:sz w:val="24"/>
                <w:highlight w:val="none"/>
                <w:lang w:eastAsia="zh-CN" w:bidi="ar"/>
              </w:rPr>
            </w:pPr>
            <w:r>
              <w:rPr>
                <w:rFonts w:hint="default" w:ascii="Times New Roman" w:hAnsi="Times New Roman" w:eastAsia="宋体" w:cs="Times New Roman"/>
                <w:color w:val="auto"/>
                <w:kern w:val="0"/>
                <w:sz w:val="24"/>
                <w:highlight w:val="none"/>
                <w:lang w:bidi="ar"/>
              </w:rPr>
              <w:t>本项目属于重点管控类单元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重点产业园区</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highlight w:val="none"/>
                <w:lang w:val="en-US" w:eastAsia="zh-CN" w:bidi="ar"/>
              </w:rPr>
              <w:t>具体</w:t>
            </w:r>
            <w:r>
              <w:rPr>
                <w:rFonts w:hint="eastAsia" w:ascii="Times New Roman" w:hAnsi="Times New Roman" w:eastAsia="宋体" w:cs="Times New Roman"/>
                <w:color w:val="auto"/>
                <w:kern w:val="0"/>
                <w:sz w:val="24"/>
                <w:highlight w:val="none"/>
                <w:lang w:val="en-US" w:eastAsia="zh-CN" w:bidi="ar"/>
              </w:rPr>
              <w:t>符合</w:t>
            </w:r>
            <w:r>
              <w:rPr>
                <w:rFonts w:hint="default" w:ascii="Times New Roman" w:hAnsi="Times New Roman" w:eastAsia="宋体" w:cs="Times New Roman"/>
                <w:color w:val="auto"/>
                <w:kern w:val="0"/>
                <w:sz w:val="24"/>
                <w:highlight w:val="none"/>
                <w:lang w:val="en-US" w:eastAsia="zh-CN" w:bidi="ar"/>
              </w:rPr>
              <w:t>性分析</w:t>
            </w:r>
            <w:r>
              <w:rPr>
                <w:rFonts w:hint="default" w:ascii="Times New Roman" w:hAnsi="Times New Roman" w:eastAsia="宋体" w:cs="Times New Roman"/>
                <w:color w:val="auto"/>
                <w:kern w:val="0"/>
                <w:sz w:val="24"/>
                <w:highlight w:val="none"/>
                <w:lang w:bidi="ar"/>
              </w:rPr>
              <w:t>见下表</w:t>
            </w:r>
            <w:r>
              <w:rPr>
                <w:rFonts w:hint="default" w:ascii="Times New Roman" w:hAnsi="Times New Roman" w:eastAsia="宋体" w:cs="Times New Roman"/>
                <w:color w:val="auto"/>
                <w:kern w:val="0"/>
                <w:sz w:val="24"/>
                <w:highlight w:val="none"/>
                <w:lang w:eastAsia="zh-CN" w:bidi="ar"/>
              </w:rPr>
              <w:t>。</w:t>
            </w:r>
          </w:p>
          <w:p w14:paraId="31E999C8">
            <w:pPr>
              <w:widowControl/>
              <w:numPr>
                <w:ilvl w:val="0"/>
                <w:numId w:val="5"/>
              </w:numPr>
              <w:spacing w:line="360" w:lineRule="auto"/>
              <w:ind w:left="425" w:leftChars="0" w:hanging="425" w:firstLineChars="0"/>
              <w:jc w:val="center"/>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项目与</w:t>
            </w:r>
            <w:r>
              <w:rPr>
                <w:rFonts w:hint="eastAsia" w:ascii="Times New Roman" w:hAnsi="Times New Roman" w:eastAsia="宋体" w:cs="Times New Roman"/>
                <w:b/>
                <w:bCs/>
                <w:color w:val="auto"/>
                <w:kern w:val="0"/>
                <w:sz w:val="24"/>
                <w:highlight w:val="none"/>
                <w:lang w:val="en-US" w:eastAsia="zh-CN" w:bidi="ar"/>
              </w:rPr>
              <w:t>重点管控类（重点产业园区）生态环境总体准入清单管控要求符合性分析一览表</w:t>
            </w:r>
          </w:p>
          <w:tbl>
            <w:tblPr>
              <w:tblStyle w:val="24"/>
              <w:tblW w:w="1305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6495"/>
              <w:gridCol w:w="4980"/>
              <w:gridCol w:w="746"/>
            </w:tblGrid>
            <w:tr w14:paraId="710809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38" w:type="dxa"/>
                  <w:tcBorders>
                    <w:tl2br w:val="nil"/>
                    <w:tr2bl w:val="nil"/>
                  </w:tcBorders>
                  <w:shd w:val="clear" w:color="auto" w:fill="auto"/>
                  <w:vAlign w:val="center"/>
                </w:tcPr>
                <w:p w14:paraId="69BD677E">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管控类别</w:t>
                  </w:r>
                </w:p>
              </w:tc>
              <w:tc>
                <w:tcPr>
                  <w:tcW w:w="6495" w:type="dxa"/>
                  <w:tcBorders>
                    <w:tl2br w:val="nil"/>
                    <w:tr2bl w:val="nil"/>
                  </w:tcBorders>
                  <w:shd w:val="clear" w:color="auto" w:fill="auto"/>
                  <w:vAlign w:val="center"/>
                </w:tcPr>
                <w:p w14:paraId="223844D0">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重点管控要求</w:t>
                  </w:r>
                </w:p>
              </w:tc>
              <w:tc>
                <w:tcPr>
                  <w:tcW w:w="4980" w:type="dxa"/>
                  <w:tcBorders>
                    <w:tl2br w:val="nil"/>
                    <w:tr2bl w:val="nil"/>
                  </w:tcBorders>
                  <w:shd w:val="clear" w:color="auto" w:fill="auto"/>
                  <w:vAlign w:val="center"/>
                </w:tcPr>
                <w:p w14:paraId="63B49296">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本项目符合性</w:t>
                  </w:r>
                </w:p>
              </w:tc>
              <w:tc>
                <w:tcPr>
                  <w:tcW w:w="746" w:type="dxa"/>
                  <w:tcBorders>
                    <w:tl2br w:val="nil"/>
                    <w:tr2bl w:val="nil"/>
                  </w:tcBorders>
                  <w:shd w:val="clear" w:color="auto" w:fill="auto"/>
                  <w:vAlign w:val="center"/>
                </w:tcPr>
                <w:p w14:paraId="21687915">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w:t>
                  </w:r>
                </w:p>
                <w:p w14:paraId="3FF9E662">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w:t>
                  </w:r>
                </w:p>
              </w:tc>
            </w:tr>
            <w:tr w14:paraId="4917F1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4" w:hRule="atLeast"/>
                <w:jc w:val="center"/>
              </w:trPr>
              <w:tc>
                <w:tcPr>
                  <w:tcW w:w="838" w:type="dxa"/>
                  <w:tcBorders>
                    <w:tl2br w:val="nil"/>
                    <w:tr2bl w:val="nil"/>
                  </w:tcBorders>
                  <w:shd w:val="clear" w:color="auto" w:fill="auto"/>
                  <w:vAlign w:val="center"/>
                </w:tcPr>
                <w:p w14:paraId="5C6453A6">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空间布局约束</w:t>
                  </w:r>
                </w:p>
              </w:tc>
              <w:tc>
                <w:tcPr>
                  <w:tcW w:w="6495" w:type="dxa"/>
                  <w:tcBorders>
                    <w:tl2br w:val="nil"/>
                    <w:tr2bl w:val="nil"/>
                  </w:tcBorders>
                  <w:shd w:val="clear" w:color="auto" w:fill="auto"/>
                  <w:vAlign w:val="center"/>
                </w:tcPr>
                <w:p w14:paraId="0D248A0D">
                  <w:pPr>
                    <w:pStyle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严格执行《北京市新增产业的禁止和限制目录（2022年版）》、北京市《建设项目规划使用性质正面和负面清单》《外商投资准入特别管理措施(负面清单)（2021年版）》《自由贸易试验区外商投资准入特别管理措施（负面清单）（2021年版）》。</w:t>
                  </w:r>
                  <w:r>
                    <w:rPr>
                      <w:rFonts w:hint="eastAsia" w:ascii="Times New Roman" w:hAnsi="Times New Roman" w:eastAsia="宋体" w:cs="Times New Roman"/>
                      <w:color w:val="auto"/>
                      <w:sz w:val="21"/>
                      <w:szCs w:val="21"/>
                      <w:highlight w:val="none"/>
                    </w:rPr>
                    <w:br w:type="textWrapping"/>
                  </w:r>
                  <w:r>
                    <w:rPr>
                      <w:rFonts w:hint="eastAsia" w:ascii="Times New Roman" w:hAnsi="Times New Roman" w:eastAsia="宋体" w:cs="Times New Roman"/>
                      <w:color w:val="auto"/>
                      <w:sz w:val="21"/>
                      <w:szCs w:val="21"/>
                      <w:highlight w:val="none"/>
                    </w:rPr>
                    <w:t>2.严格执行《北京市工业污染行业生产工艺调整退出及设备淘汰目录（202</w:t>
                  </w: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rPr>
                    <w:t>年版）》。</w:t>
                  </w:r>
                  <w:r>
                    <w:rPr>
                      <w:rFonts w:hint="eastAsia" w:ascii="Times New Roman" w:hAnsi="Times New Roman" w:eastAsia="宋体" w:cs="Times New Roman"/>
                      <w:color w:val="auto"/>
                      <w:sz w:val="21"/>
                      <w:szCs w:val="21"/>
                      <w:highlight w:val="none"/>
                    </w:rPr>
                    <w:br w:type="textWrapping"/>
                  </w:r>
                  <w:r>
                    <w:rPr>
                      <w:rFonts w:hint="eastAsia" w:ascii="Times New Roman" w:hAnsi="Times New Roman" w:eastAsia="宋体" w:cs="Times New Roman"/>
                      <w:color w:val="auto"/>
                      <w:sz w:val="21"/>
                      <w:szCs w:val="21"/>
                      <w:highlight w:val="none"/>
                    </w:rPr>
                    <w:t>3.严格执行《北京市水污染防治条例》，采取措施，对高污染、高耗水行业加以限制。禁止新建、扩建制浆、制革、电镀、印染、有色冶炼、氯碱、农药合成、炼焦等对水体有严重污染的项目。</w:t>
                  </w:r>
                  <w:r>
                    <w:rPr>
                      <w:rFonts w:hint="eastAsia" w:ascii="Times New Roman" w:hAnsi="Times New Roman" w:eastAsia="宋体" w:cs="Times New Roman"/>
                      <w:color w:val="auto"/>
                      <w:sz w:val="21"/>
                      <w:szCs w:val="21"/>
                      <w:highlight w:val="none"/>
                    </w:rPr>
                    <w:br w:type="textWrapping"/>
                  </w:r>
                  <w:r>
                    <w:rPr>
                      <w:rFonts w:hint="eastAsia" w:ascii="Times New Roman" w:hAnsi="Times New Roman" w:eastAsia="宋体" w:cs="Times New Roman"/>
                      <w:color w:val="auto"/>
                      <w:sz w:val="21"/>
                      <w:szCs w:val="21"/>
                      <w:highlight w:val="none"/>
                    </w:rPr>
                    <w:t>4.严格执行《北京市大气污染防治条例》，禁止新建、扩建高污染工业项目，新建排放大气污染物的工业项目，应当按照环保规定进入工业园区。</w:t>
                  </w:r>
                  <w:r>
                    <w:rPr>
                      <w:rFonts w:hint="eastAsia" w:ascii="Times New Roman" w:hAnsi="Times New Roman" w:eastAsia="宋体" w:cs="Times New Roman"/>
                      <w:color w:val="auto"/>
                      <w:sz w:val="21"/>
                      <w:szCs w:val="21"/>
                      <w:highlight w:val="none"/>
                    </w:rPr>
                    <w:br w:type="textWrapping"/>
                  </w:r>
                  <w:r>
                    <w:rPr>
                      <w:rFonts w:hint="eastAsia" w:ascii="Times New Roman" w:hAnsi="Times New Roman" w:eastAsia="宋体" w:cs="Times New Roman"/>
                      <w:color w:val="auto"/>
                      <w:sz w:val="21"/>
                      <w:szCs w:val="21"/>
                      <w:highlight w:val="none"/>
                    </w:rPr>
                    <w:t>5.严格执行《北京城市总体规划(2016年-2035年)》《北京市国土空间近期规划(2021年—2025年)》及分区规划中的空间布局约束管控要求。</w:t>
                  </w:r>
                  <w:r>
                    <w:rPr>
                      <w:rFonts w:hint="eastAsia" w:ascii="Times New Roman" w:hAnsi="Times New Roman" w:eastAsia="宋体" w:cs="Times New Roman"/>
                      <w:color w:val="auto"/>
                      <w:sz w:val="21"/>
                      <w:szCs w:val="21"/>
                      <w:highlight w:val="none"/>
                    </w:rPr>
                    <w:br w:type="textWrapping"/>
                  </w:r>
                  <w:r>
                    <w:rPr>
                      <w:rFonts w:hint="eastAsia" w:ascii="Times New Roman" w:hAnsi="Times New Roman" w:eastAsia="宋体" w:cs="Times New Roman"/>
                      <w:color w:val="auto"/>
                      <w:sz w:val="21"/>
                      <w:szCs w:val="21"/>
                      <w:highlight w:val="none"/>
                    </w:rPr>
                    <w:t>6.严格执行《关于进一步加强产业园区规划环境影响评价工作的意见》。</w:t>
                  </w:r>
                  <w:r>
                    <w:rPr>
                      <w:rFonts w:hint="eastAsia" w:ascii="Times New Roman" w:hAnsi="Times New Roman" w:eastAsia="宋体" w:cs="Times New Roman"/>
                      <w:color w:val="auto"/>
                      <w:sz w:val="21"/>
                      <w:szCs w:val="21"/>
                      <w:highlight w:val="none"/>
                    </w:rPr>
                    <w:br w:type="textWrapping"/>
                  </w:r>
                  <w:r>
                    <w:rPr>
                      <w:rFonts w:hint="eastAsia" w:ascii="Times New Roman" w:hAnsi="Times New Roman" w:eastAsia="宋体" w:cs="Times New Roman"/>
                      <w:color w:val="auto"/>
                      <w:sz w:val="21"/>
                      <w:szCs w:val="21"/>
                      <w:highlight w:val="none"/>
                    </w:rPr>
                    <w:t>7.严格执行《北京市高污染燃料禁燃区划定方案（试行）》，高污染燃料禁燃区内任何单位不得新建、扩建高污染燃料燃用设施，不得将其他燃料燃用设施改造为高污染燃料燃用设施。</w:t>
                  </w:r>
                  <w:r>
                    <w:rPr>
                      <w:rFonts w:hint="eastAsia" w:ascii="Times New Roman" w:hAnsi="Times New Roman" w:eastAsia="宋体" w:cs="Times New Roman"/>
                      <w:color w:val="auto"/>
                      <w:sz w:val="21"/>
                      <w:szCs w:val="21"/>
                      <w:highlight w:val="none"/>
                    </w:rPr>
                    <w:br w:type="textWrapping"/>
                  </w:r>
                  <w:r>
                    <w:rPr>
                      <w:rFonts w:hint="eastAsia" w:ascii="Times New Roman" w:hAnsi="Times New Roman" w:eastAsia="宋体" w:cs="Times New Roman"/>
                      <w:color w:val="auto"/>
                      <w:sz w:val="21"/>
                      <w:szCs w:val="21"/>
                      <w:highlight w:val="none"/>
                    </w:rPr>
                    <w:t>8.贯彻落实《北京市“十四五”时期高精尖产业发展规划》《北京市“十四五”时期生态环境保护规划》，加快产业绿色低碳转型，全面建设绿色制造体系。</w:t>
                  </w:r>
                </w:p>
              </w:tc>
              <w:tc>
                <w:tcPr>
                  <w:tcW w:w="4980" w:type="dxa"/>
                  <w:tcBorders>
                    <w:tl2br w:val="nil"/>
                    <w:tr2bl w:val="nil"/>
                  </w:tcBorders>
                  <w:shd w:val="clear" w:color="auto" w:fill="auto"/>
                  <w:vAlign w:val="center"/>
                </w:tcPr>
                <w:p w14:paraId="6BDF9C5C">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1、本项目不属于《北京市新增产业的禁止和限制目录（202</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年版）》中禁止和限制类项目；</w:t>
                  </w:r>
                  <w:r>
                    <w:rPr>
                      <w:rFonts w:hint="eastAsia" w:cs="Times New Roman"/>
                      <w:color w:val="auto"/>
                      <w:sz w:val="21"/>
                      <w:szCs w:val="21"/>
                      <w:highlight w:val="none"/>
                      <w:lang w:val="en-US" w:eastAsia="zh-CN"/>
                    </w:rPr>
                    <w:t>项目不在</w:t>
                  </w:r>
                  <w:r>
                    <w:rPr>
                      <w:rFonts w:hint="default" w:ascii="Times New Roman" w:hAnsi="Times New Roman" w:eastAsia="宋体" w:cs="Times New Roman"/>
                      <w:color w:val="auto"/>
                      <w:sz w:val="21"/>
                      <w:szCs w:val="21"/>
                      <w:highlight w:val="none"/>
                    </w:rPr>
                    <w:t>本</w:t>
                  </w:r>
                  <w:r>
                    <w:rPr>
                      <w:rFonts w:hint="eastAsia" w:ascii="Times New Roman" w:hAnsi="Times New Roman" w:eastAsia="宋体" w:cs="Times New Roman"/>
                      <w:color w:val="auto"/>
                      <w:sz w:val="21"/>
                      <w:szCs w:val="21"/>
                      <w:highlight w:val="none"/>
                    </w:rPr>
                    <w:t>北京市《建设项目规划使用性质正面和负面清单》</w:t>
                  </w:r>
                  <w:r>
                    <w:rPr>
                      <w:rFonts w:hint="eastAsia" w:cs="Times New Roman"/>
                      <w:color w:val="auto"/>
                      <w:sz w:val="21"/>
                      <w:szCs w:val="21"/>
                      <w:highlight w:val="none"/>
                      <w:lang w:val="en-US" w:eastAsia="zh-CN"/>
                    </w:rPr>
                    <w:t>中；</w:t>
                  </w:r>
                  <w:r>
                    <w:rPr>
                      <w:rFonts w:hint="default" w:ascii="Times New Roman" w:hAnsi="Times New Roman" w:eastAsia="宋体" w:cs="Times New Roman"/>
                      <w:color w:val="auto"/>
                      <w:sz w:val="21"/>
                      <w:szCs w:val="21"/>
                      <w:highlight w:val="none"/>
                    </w:rPr>
                    <w:t>项目不属于外商投资和自由贸易类项目。</w:t>
                  </w:r>
                </w:p>
                <w:p w14:paraId="7A916D67">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2、本项目的生产工艺和设备未列入《北京市工业污染行业生产工艺调整退出及设备淘汰目录（202</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年版）》。</w:t>
                  </w:r>
                </w:p>
                <w:p w14:paraId="6F1B8AC4">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3.本项目用水量较少，</w:t>
                  </w:r>
                  <w:r>
                    <w:rPr>
                      <w:rFonts w:hint="eastAsia" w:cs="Times New Roman"/>
                      <w:color w:val="auto"/>
                      <w:sz w:val="21"/>
                      <w:szCs w:val="21"/>
                      <w:highlight w:val="none"/>
                      <w:lang w:val="en-US" w:eastAsia="zh-CN"/>
                    </w:rPr>
                    <w:t>企业制定节水制度，</w:t>
                  </w:r>
                  <w:r>
                    <w:rPr>
                      <w:rFonts w:hint="default" w:ascii="Times New Roman" w:hAnsi="Times New Roman" w:eastAsia="宋体" w:cs="Times New Roman"/>
                      <w:color w:val="auto"/>
                      <w:sz w:val="21"/>
                      <w:szCs w:val="21"/>
                      <w:highlight w:val="none"/>
                    </w:rPr>
                    <w:t>严格执行《北京市水污染防治条例》</w:t>
                  </w:r>
                  <w:r>
                    <w:rPr>
                      <w:rFonts w:hint="eastAsia" w:cs="Times New Roman"/>
                      <w:color w:val="auto"/>
                      <w:sz w:val="21"/>
                      <w:szCs w:val="21"/>
                      <w:highlight w:val="none"/>
                      <w:lang w:val="en-US" w:eastAsia="zh-CN"/>
                    </w:rPr>
                    <w:t>要求，项目不属于</w:t>
                  </w:r>
                  <w:r>
                    <w:rPr>
                      <w:rFonts w:hint="eastAsia" w:ascii="Times New Roman" w:hAnsi="Times New Roman" w:eastAsia="宋体" w:cs="Times New Roman"/>
                      <w:color w:val="auto"/>
                      <w:sz w:val="21"/>
                      <w:szCs w:val="21"/>
                      <w:highlight w:val="none"/>
                    </w:rPr>
                    <w:t>对水体有严重污染的项目</w:t>
                  </w:r>
                  <w:r>
                    <w:rPr>
                      <w:rFonts w:hint="default" w:ascii="Times New Roman" w:hAnsi="Times New Roman" w:eastAsia="宋体" w:cs="Times New Roman"/>
                      <w:color w:val="auto"/>
                      <w:sz w:val="21"/>
                      <w:szCs w:val="21"/>
                      <w:highlight w:val="none"/>
                    </w:rPr>
                    <w:t>。</w:t>
                  </w:r>
                </w:p>
                <w:p w14:paraId="02489CC2">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val="en-US" w:eastAsia="zh-CN"/>
                    </w:rPr>
                    <w:t>项目</w:t>
                  </w:r>
                  <w:r>
                    <w:rPr>
                      <w:rFonts w:hint="eastAsia" w:ascii="Times New Roman" w:hAnsi="Times New Roman" w:eastAsia="宋体" w:cs="Times New Roman"/>
                      <w:color w:val="auto"/>
                      <w:sz w:val="21"/>
                      <w:szCs w:val="21"/>
                      <w:highlight w:val="none"/>
                    </w:rPr>
                    <w:t>严格执行《北京市大气污染防治条例》</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项目不属于</w:t>
                  </w:r>
                  <w:r>
                    <w:rPr>
                      <w:rFonts w:hint="eastAsia" w:ascii="Times New Roman" w:hAnsi="Times New Roman" w:eastAsia="宋体" w:cs="Times New Roman"/>
                      <w:color w:val="auto"/>
                      <w:sz w:val="21"/>
                      <w:szCs w:val="21"/>
                      <w:highlight w:val="none"/>
                    </w:rPr>
                    <w:t>高污染工业项目</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项目入驻园区</w:t>
                  </w:r>
                  <w:r>
                    <w:rPr>
                      <w:rFonts w:hint="default" w:ascii="Times New Roman" w:hAnsi="Times New Roman" w:eastAsia="宋体" w:cs="Times New Roman"/>
                      <w:color w:val="auto"/>
                      <w:sz w:val="21"/>
                      <w:szCs w:val="21"/>
                      <w:highlight w:val="none"/>
                    </w:rPr>
                    <w:t>。</w:t>
                  </w:r>
                </w:p>
                <w:p w14:paraId="6336DA75">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5.本项目严格执行《北京城市总体规划(2016年-2035年)》《北京市国土空间近期规划(2021年—2025年)》及分区规划中的空间布局约束管控要求。</w:t>
                  </w:r>
                </w:p>
                <w:p w14:paraId="280B5862">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6.本项目不涉及产业园区规划环境影响评价工作。</w:t>
                  </w:r>
                </w:p>
                <w:p w14:paraId="46550F68">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7.本项目不涉及</w:t>
                  </w:r>
                  <w:r>
                    <w:rPr>
                      <w:rFonts w:hint="eastAsia" w:ascii="Times New Roman" w:hAnsi="Times New Roman" w:eastAsia="宋体" w:cs="Times New Roman"/>
                      <w:color w:val="auto"/>
                      <w:sz w:val="21"/>
                      <w:szCs w:val="21"/>
                      <w:highlight w:val="none"/>
                    </w:rPr>
                    <w:t>高污染燃料燃用设施</w:t>
                  </w:r>
                  <w:r>
                    <w:rPr>
                      <w:rFonts w:hint="default" w:ascii="Times New Roman" w:hAnsi="Times New Roman" w:eastAsia="宋体" w:cs="Times New Roman"/>
                      <w:color w:val="auto"/>
                      <w:sz w:val="21"/>
                      <w:szCs w:val="21"/>
                      <w:highlight w:val="none"/>
                    </w:rPr>
                    <w:t>。</w:t>
                  </w:r>
                </w:p>
                <w:p w14:paraId="4816AF11">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8.本项目贯彻落实《北京市“十四五”时期高精尖产业发展规划》《北京市“十四五”时期生态环境保护规划》</w:t>
                  </w:r>
                  <w:r>
                    <w:rPr>
                      <w:rFonts w:hint="eastAsia" w:cs="Times New Roman"/>
                      <w:color w:val="auto"/>
                      <w:sz w:val="21"/>
                      <w:szCs w:val="21"/>
                      <w:highlight w:val="none"/>
                      <w:lang w:val="en-US" w:eastAsia="zh-CN"/>
                    </w:rPr>
                    <w:t>要求</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加强管理，严格管控污染物排放</w:t>
                  </w:r>
                  <w:r>
                    <w:rPr>
                      <w:rFonts w:hint="default" w:ascii="Times New Roman" w:hAnsi="Times New Roman" w:eastAsia="宋体" w:cs="Times New Roman"/>
                      <w:color w:val="auto"/>
                      <w:sz w:val="21"/>
                      <w:szCs w:val="21"/>
                      <w:highlight w:val="none"/>
                    </w:rPr>
                    <w:t>。</w:t>
                  </w:r>
                </w:p>
              </w:tc>
              <w:tc>
                <w:tcPr>
                  <w:tcW w:w="746" w:type="dxa"/>
                  <w:tcBorders>
                    <w:tl2br w:val="nil"/>
                    <w:tr2bl w:val="nil"/>
                  </w:tcBorders>
                  <w:shd w:val="clear" w:color="auto" w:fill="auto"/>
                  <w:vAlign w:val="center"/>
                </w:tcPr>
                <w:p w14:paraId="421F62A3">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D01E0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8" w:hRule="atLeast"/>
                <w:jc w:val="center"/>
              </w:trPr>
              <w:tc>
                <w:tcPr>
                  <w:tcW w:w="838" w:type="dxa"/>
                  <w:tcBorders>
                    <w:tl2br w:val="nil"/>
                    <w:tr2bl w:val="nil"/>
                  </w:tcBorders>
                  <w:shd w:val="clear" w:color="auto" w:fill="auto"/>
                  <w:vAlign w:val="center"/>
                </w:tcPr>
                <w:p w14:paraId="3688CC15">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污染物排放管控</w:t>
                  </w:r>
                </w:p>
              </w:tc>
              <w:tc>
                <w:tcPr>
                  <w:tcW w:w="6495" w:type="dxa"/>
                  <w:tcBorders>
                    <w:tl2br w:val="nil"/>
                    <w:tr2bl w:val="nil"/>
                  </w:tcBorders>
                  <w:shd w:val="clear" w:color="auto" w:fill="auto"/>
                </w:tcPr>
                <w:p w14:paraId="390A1B78">
                  <w:pPr>
                    <w:pStyle w:val="9"/>
                    <w:numPr>
                      <w:ilvl w:val="0"/>
                      <w:numId w:val="8"/>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中华人民共和国环境保护法》《中华人民共和国大气污染防治法》《中华人民共和国水污染防治法》《中华人民共和国土壤污染防治法》《中华人民共和国固体废物污染环境防治法》《排污许可管理条例》《北京市大气污染防治条例》《北京市水污染防治条例》《北京市土壤污染防治条例》等法律法规以及国家、地方环境质量标准。</w:t>
                  </w:r>
                </w:p>
                <w:p w14:paraId="53CC9C44">
                  <w:pPr>
                    <w:pStyle w:val="9"/>
                    <w:numPr>
                      <w:ilvl w:val="0"/>
                      <w:numId w:val="8"/>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严格执行《中华人民共和国清洁生产促进法》《中华人民共和国循环经济促进法》。</w:t>
                  </w:r>
                </w:p>
                <w:p w14:paraId="6B93B617">
                  <w:pPr>
                    <w:pStyle w:val="9"/>
                    <w:numPr>
                      <w:ilvl w:val="0"/>
                      <w:numId w:val="8"/>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严格执行《建设项目主要污染物排放总量指标审核及管理暂行办法》《原北京市环境保护局关于建设项目主要污染物排放总量指标审核及管理的补充通知》。</w:t>
                  </w:r>
                </w:p>
                <w:p w14:paraId="1CBD84F2">
                  <w:pPr>
                    <w:pStyle w:val="9"/>
                    <w:numPr>
                      <w:ilvl w:val="0"/>
                      <w:numId w:val="8"/>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严格执行废气、废水、噪声、固体废物等国家地方污染物排放标准；严格执行锅炉、餐饮、印刷业、木质家具制造业、汽车维修业等地方大气污染物排放标准，强化重点领域大气污染管控。</w:t>
                  </w:r>
                </w:p>
                <w:p w14:paraId="2DA203AB">
                  <w:pPr>
                    <w:pStyle w:val="9"/>
                    <w:numPr>
                      <w:ilvl w:val="0"/>
                      <w:numId w:val="8"/>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严格执行《北京市烟花爆竹安全管理规定》，五环路以内（含五环路）及各区人民政府划定的禁放区域禁止燃放烟花爆竹。</w:t>
                  </w:r>
                </w:p>
                <w:p w14:paraId="3B738319">
                  <w:pPr>
                    <w:pStyle w:val="9"/>
                    <w:numPr>
                      <w:ilvl w:val="0"/>
                      <w:numId w:val="8"/>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中共中央国务院关于深入打好污染防治攻坚战的意见》《中共北京市委北京市人民政府关于深入打好北京市污染防治攻坚战的实施意见》，推动工业园区和产业集群升级、挥发性有机物和氮氧化物协同减排。</w:t>
                  </w:r>
                </w:p>
                <w:p w14:paraId="597936F7">
                  <w:pPr>
                    <w:pStyle w:val="9"/>
                    <w:numPr>
                      <w:ilvl w:val="0"/>
                      <w:numId w:val="8"/>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时期生态环境保护规划》、《北京市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时期土壤污染防治规划》。</w:t>
                  </w:r>
                </w:p>
                <w:p w14:paraId="1A3E7641">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8.严格执行《北京市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时期应对气候变化和节能规划》《北京市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时期能源发展规划》《北京市碳达峰实施方案》《北京市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时期制造业绿色低碳发展行动方案》，坚决控制高耗能、高排放项目新建和改扩建，严格控制新建项目能耗和碳排放水平。</w:t>
                  </w:r>
                </w:p>
              </w:tc>
              <w:tc>
                <w:tcPr>
                  <w:tcW w:w="4980" w:type="dxa"/>
                  <w:tcBorders>
                    <w:tl2br w:val="nil"/>
                    <w:tr2bl w:val="nil"/>
                  </w:tcBorders>
                  <w:shd w:val="clear" w:color="auto" w:fill="auto"/>
                </w:tcPr>
                <w:p w14:paraId="694B4AE4">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严格执行《中华人民共和国环境保护法》《中华人民共和国大气污染防治法》《中华人民共和国水污染防治法》《中华人民共和国土壤污染防治法》《中华人民共和国固体废物污染环境防治法》《排污许可管理条例》《北京市大气污染防治条例》《北京市水污染防治条例》《北京市土壤污染防治条例》等法律法规以及国家、地方环境质量标准要求。</w:t>
                  </w:r>
                </w:p>
                <w:p w14:paraId="0884FE4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2.本项目严格执行《中华人民共和国清洁生产促进法》《中华人民共和国循环经济促进法》</w:t>
                  </w:r>
                  <w:r>
                    <w:rPr>
                      <w:rFonts w:hint="eastAsia" w:cs="Times New Roman"/>
                      <w:color w:val="auto"/>
                      <w:sz w:val="21"/>
                      <w:szCs w:val="21"/>
                      <w:highlight w:val="none"/>
                      <w:lang w:val="en-US" w:eastAsia="zh-CN"/>
                    </w:rPr>
                    <w:t>要求</w:t>
                  </w:r>
                  <w:r>
                    <w:rPr>
                      <w:rFonts w:hint="default" w:ascii="Times New Roman" w:hAnsi="Times New Roman" w:eastAsia="宋体" w:cs="Times New Roman"/>
                      <w:color w:val="auto"/>
                      <w:sz w:val="21"/>
                      <w:szCs w:val="21"/>
                      <w:highlight w:val="none"/>
                    </w:rPr>
                    <w:t>。</w:t>
                  </w:r>
                </w:p>
                <w:p w14:paraId="711B770D">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总量控制指标为化学需氧量、氨氮，严格执行《建设项目主要污染物排放总量指标审核及管理暂行办法（环发[2014]197号）》、《原北京市环境保护局关于建设项目主要污染物排放总量指标审核及管理的补充通知》</w:t>
                  </w:r>
                  <w:r>
                    <w:rPr>
                      <w:rFonts w:hint="eastAsia" w:cs="Times New Roman"/>
                      <w:color w:val="auto"/>
                      <w:sz w:val="21"/>
                      <w:szCs w:val="21"/>
                      <w:highlight w:val="none"/>
                      <w:lang w:val="en-US" w:eastAsia="zh-CN"/>
                    </w:rPr>
                    <w:t>要求</w:t>
                  </w:r>
                  <w:r>
                    <w:rPr>
                      <w:rFonts w:hint="default" w:ascii="Times New Roman" w:hAnsi="Times New Roman" w:eastAsia="宋体" w:cs="Times New Roman"/>
                      <w:color w:val="auto"/>
                      <w:sz w:val="21"/>
                      <w:szCs w:val="21"/>
                      <w:highlight w:val="none"/>
                    </w:rPr>
                    <w:t>。</w:t>
                  </w:r>
                </w:p>
                <w:p w14:paraId="45B333B2">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4.本项目废水、噪声均满足国家地方污染物排放标准，固体废物合理处置，满足国家、地方相关要求。</w:t>
                  </w:r>
                </w:p>
                <w:p w14:paraId="06D304D1">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5.本项目不涉及烟花爆竹的使用。</w:t>
                  </w:r>
                </w:p>
                <w:p w14:paraId="686C6E89">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6.项目严格执行《中共中央国务院关于深入打好污染防治攻坚战的意见》《中共北京市委北京市人民政府关于深入打好北京市污染防治攻坚战的实施意见》</w:t>
                  </w:r>
                  <w:r>
                    <w:rPr>
                      <w:rFonts w:hint="eastAsia" w:cs="Times New Roman"/>
                      <w:color w:val="auto"/>
                      <w:sz w:val="21"/>
                      <w:szCs w:val="21"/>
                      <w:highlight w:val="none"/>
                      <w:lang w:val="en-US" w:eastAsia="zh-CN"/>
                    </w:rPr>
                    <w:t>要求，严格管控污染物排放</w:t>
                  </w:r>
                  <w:r>
                    <w:rPr>
                      <w:rFonts w:hint="default" w:ascii="Times New Roman" w:hAnsi="Times New Roman" w:eastAsia="宋体" w:cs="Times New Roman"/>
                      <w:color w:val="auto"/>
                      <w:sz w:val="21"/>
                      <w:szCs w:val="21"/>
                      <w:highlight w:val="none"/>
                    </w:rPr>
                    <w:t>。</w:t>
                  </w:r>
                </w:p>
                <w:p w14:paraId="22D968D8">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7.项目严格执行《北京市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时期生态环境保护规划》、《北京市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时期土壤污染防治规划》</w:t>
                  </w:r>
                  <w:r>
                    <w:rPr>
                      <w:rFonts w:hint="eastAsia" w:cs="Times New Roman"/>
                      <w:color w:val="auto"/>
                      <w:sz w:val="21"/>
                      <w:szCs w:val="21"/>
                      <w:highlight w:val="none"/>
                      <w:lang w:val="en-US" w:eastAsia="zh-CN"/>
                    </w:rPr>
                    <w:t>要求</w:t>
                  </w:r>
                  <w:r>
                    <w:rPr>
                      <w:rFonts w:hint="default" w:ascii="Times New Roman" w:hAnsi="Times New Roman" w:eastAsia="宋体" w:cs="Times New Roman"/>
                      <w:color w:val="auto"/>
                      <w:sz w:val="21"/>
                      <w:szCs w:val="21"/>
                      <w:highlight w:val="none"/>
                    </w:rPr>
                    <w:t>。</w:t>
                  </w:r>
                </w:p>
                <w:p w14:paraId="0997EF9A">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8.项目严格执行《北京市</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时期应对气候变化和节能规划》</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《北京市</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时期能源发展规划》</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《北京市碳达峰实施方案》</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《北京市</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时期制造业绿色低碳发展行动方案》</w:t>
                  </w:r>
                  <w:r>
                    <w:rPr>
                      <w:rFonts w:hint="eastAsia" w:eastAsia="宋体" w:cs="Times New Roman"/>
                      <w:color w:val="auto"/>
                      <w:sz w:val="21"/>
                      <w:szCs w:val="21"/>
                      <w:highlight w:val="none"/>
                      <w:lang w:eastAsia="zh-CN"/>
                    </w:rPr>
                    <w:t>，</w:t>
                  </w:r>
                  <w:r>
                    <w:rPr>
                      <w:rFonts w:hint="eastAsia"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不属于高耗能</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高排放</w:t>
                  </w:r>
                  <w:r>
                    <w:rPr>
                      <w:rFonts w:hint="default" w:ascii="Times New Roman" w:hAnsi="Times New Roman" w:eastAsia="宋体" w:cs="Times New Roman"/>
                      <w:color w:val="auto"/>
                      <w:sz w:val="21"/>
                      <w:szCs w:val="21"/>
                      <w:highlight w:val="none"/>
                    </w:rPr>
                    <w:t>行业</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项目严格管理，进一步降低能耗和碳排放</w:t>
                  </w:r>
                  <w:r>
                    <w:rPr>
                      <w:rFonts w:hint="default" w:ascii="Times New Roman" w:hAnsi="Times New Roman" w:eastAsia="宋体" w:cs="Times New Roman"/>
                      <w:color w:val="auto"/>
                      <w:sz w:val="21"/>
                      <w:szCs w:val="21"/>
                      <w:highlight w:val="none"/>
                    </w:rPr>
                    <w:t>。</w:t>
                  </w:r>
                </w:p>
              </w:tc>
              <w:tc>
                <w:tcPr>
                  <w:tcW w:w="746" w:type="dxa"/>
                  <w:tcBorders>
                    <w:tl2br w:val="nil"/>
                    <w:tr2bl w:val="nil"/>
                  </w:tcBorders>
                  <w:shd w:val="clear" w:color="auto" w:fill="auto"/>
                  <w:vAlign w:val="center"/>
                </w:tcPr>
                <w:p w14:paraId="24CFA536">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D3775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38" w:type="dxa"/>
                  <w:tcBorders>
                    <w:tl2br w:val="nil"/>
                    <w:tr2bl w:val="nil"/>
                  </w:tcBorders>
                  <w:shd w:val="clear" w:color="auto" w:fill="auto"/>
                  <w:vAlign w:val="center"/>
                </w:tcPr>
                <w:p w14:paraId="5C0617ED">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环境风险防控</w:t>
                  </w:r>
                </w:p>
              </w:tc>
              <w:tc>
                <w:tcPr>
                  <w:tcW w:w="6495" w:type="dxa"/>
                  <w:tcBorders>
                    <w:tl2br w:val="nil"/>
                    <w:tr2bl w:val="nil"/>
                  </w:tcBorders>
                  <w:shd w:val="clear" w:color="auto" w:fill="auto"/>
                </w:tcPr>
                <w:p w14:paraId="70D0BCE8">
                  <w:pPr>
                    <w:pStyle w:val="9"/>
                    <w:numPr>
                      <w:ilvl w:val="0"/>
                      <w:numId w:val="9"/>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中华人民共和国环境保护法》《中华人民共和国大气污染防治法》《中华人民共和国水污染防治法》《中华人民共和国土壤污染防治法》《中华人民共和国固体废物污染环境防治法》《北京市大气污染防治条例》《北京市水污染防治条例》《中华人民共和国水土保持法》《国家突发环境事件应急预案》《企业事业单位突发环境事件应急预案备案管理办法（试行）》《北京市突发环境事件应急预案》《北京市空气重污染应急预案（2023年修订）》等法律法规文件要求，完善环境风险防控体系，提高区域环境风险防范能力。</w:t>
                  </w:r>
                </w:p>
                <w:p w14:paraId="12EBFA02">
                  <w:pPr>
                    <w:pStyle w:val="9"/>
                    <w:numPr>
                      <w:ilvl w:val="0"/>
                      <w:numId w:val="9"/>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污染地块土壤环境管理办法（试行）》《工矿用地土壤环境管理办法（试行）》相关要求，重点单位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有毒有害物质名录以生态环境部公布为准。</w:t>
                  </w:r>
                </w:p>
                <w:p w14:paraId="01E2DD98">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3.工业园区管理机构应当统筹组织园区内产废量较小的工业企业产生的危险废物的收集、贮存、转运。</w:t>
                  </w:r>
                </w:p>
              </w:tc>
              <w:tc>
                <w:tcPr>
                  <w:tcW w:w="4980" w:type="dxa"/>
                  <w:tcBorders>
                    <w:tl2br w:val="nil"/>
                    <w:tr2bl w:val="nil"/>
                  </w:tcBorders>
                  <w:shd w:val="clear" w:color="auto" w:fill="auto"/>
                </w:tcPr>
                <w:p w14:paraId="775BD2E7">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严格执行《中华人民共和国环境保护法》《中华人民共和国大气污染防治法》《中华人民共和国水污染防治法》《中华人民共和国土壤污染防治法》《中华人民共和国固体废物污染环境防治法》《北京市大气污染防治条例》《北京市水污染防治条例》《中华人民共和国水土保持法》《国家突发环境事件应急预案》、《企业事业单位突发环境事件应急预案备案管理办法（试行）》等法律法规文件要求。本项目针对风险物质使用储存等风险环节，提出风险防范措施。</w:t>
                  </w:r>
                </w:p>
                <w:p w14:paraId="18B6DB1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2.本项目废水能达标排放，固体废物能得到安全贮存和处置，且采取了满足标准要求的防渗措施，对地下水和土壤环境影响可控。</w:t>
                  </w:r>
                </w:p>
                <w:p w14:paraId="39FFAC71">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3.项目</w:t>
                  </w:r>
                  <w:r>
                    <w:rPr>
                      <w:rFonts w:hint="eastAsia" w:ascii="Times New Roman" w:hAnsi="Times New Roman" w:eastAsia="宋体" w:cs="Times New Roman"/>
                      <w:color w:val="auto"/>
                      <w:sz w:val="21"/>
                      <w:szCs w:val="21"/>
                      <w:highlight w:val="none"/>
                      <w:lang w:val="en-US" w:eastAsia="zh-CN"/>
                    </w:rPr>
                    <w:t>建设规范的危险废物暂存间，合理合规收集、贮存、处置危险废物</w:t>
                  </w:r>
                  <w:r>
                    <w:rPr>
                      <w:rFonts w:hint="default" w:ascii="Times New Roman" w:hAnsi="Times New Roman" w:eastAsia="宋体" w:cs="Times New Roman"/>
                      <w:color w:val="auto"/>
                      <w:sz w:val="21"/>
                      <w:szCs w:val="21"/>
                      <w:highlight w:val="none"/>
                    </w:rPr>
                    <w:t>。</w:t>
                  </w:r>
                </w:p>
              </w:tc>
              <w:tc>
                <w:tcPr>
                  <w:tcW w:w="746" w:type="dxa"/>
                  <w:tcBorders>
                    <w:tl2br w:val="nil"/>
                    <w:tr2bl w:val="nil"/>
                  </w:tcBorders>
                  <w:shd w:val="clear" w:color="auto" w:fill="auto"/>
                  <w:vAlign w:val="center"/>
                </w:tcPr>
                <w:p w14:paraId="20872F8A">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11E07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9" w:hRule="atLeast"/>
                <w:jc w:val="center"/>
              </w:trPr>
              <w:tc>
                <w:tcPr>
                  <w:tcW w:w="838" w:type="dxa"/>
                  <w:tcBorders>
                    <w:tl2br w:val="nil"/>
                    <w:tr2bl w:val="nil"/>
                  </w:tcBorders>
                  <w:shd w:val="clear" w:color="auto" w:fill="auto"/>
                  <w:vAlign w:val="center"/>
                </w:tcPr>
                <w:p w14:paraId="539E150D">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资源利用效率</w:t>
                  </w:r>
                </w:p>
              </w:tc>
              <w:tc>
                <w:tcPr>
                  <w:tcW w:w="6495" w:type="dxa"/>
                  <w:tcBorders>
                    <w:tl2br w:val="nil"/>
                    <w:tr2bl w:val="nil"/>
                  </w:tcBorders>
                  <w:shd w:val="clear" w:color="auto" w:fill="auto"/>
                </w:tcPr>
                <w:p w14:paraId="729A6A43">
                  <w:pPr>
                    <w:pStyle w:val="9"/>
                    <w:numPr>
                      <w:ilvl w:val="0"/>
                      <w:numId w:val="10"/>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严格执行《中华人民共和国水法》《北京市节水条例》《北京市人民政府关于实行最严格水资源管理制度的意见》《北京市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节水型社会建设规划》《关于北京市加强水生态空间管控工作的意见》，加强用水管控，推动再生水多元利用。</w:t>
                  </w:r>
                </w:p>
                <w:p w14:paraId="28EB84AD">
                  <w:pPr>
                    <w:pStyle w:val="9"/>
                    <w:numPr>
                      <w:ilvl w:val="0"/>
                      <w:numId w:val="10"/>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落实《北京城市总体规划(2016年-2035年)》《北京市国土空间近期规划(2021年—2025年)》要求，坚守建设用地规模底线，提高产业用地利用效率。</w:t>
                  </w:r>
                </w:p>
                <w:p w14:paraId="6E4DAFE5">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3.执行《中华人民共和国节约能源法》以及北京市单位产品能源消耗限额系列行业标准《供热锅炉综合能源消耗限额》《北京市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时期能源发展规划》《北京市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时期应对气候变化和节能规划》。</w:t>
                  </w:r>
                </w:p>
              </w:tc>
              <w:tc>
                <w:tcPr>
                  <w:tcW w:w="4980" w:type="dxa"/>
                  <w:tcBorders>
                    <w:tl2br w:val="nil"/>
                    <w:tr2bl w:val="nil"/>
                  </w:tcBorders>
                  <w:shd w:val="clear" w:color="auto" w:fill="auto"/>
                </w:tcPr>
                <w:p w14:paraId="3561D63C">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1.本项目用水由市政给水管网提供，严格执行《中华人民共和国水法》《北京市节水条例》《北京市人民政府关于实行最严格水资源管理制度的意见》《北京市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节水型社会建设规划》《关于北京市加强水生态空间管控工作的意见》，加强用水管控。</w:t>
                  </w:r>
                </w:p>
                <w:p w14:paraId="056480F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2.本项目租用现有建筑物，不新增用地，符合《北京城市总体规划(2016年-2035年)》《北京市国土空间近期规划(2021年</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2025年)》要求。</w:t>
                  </w:r>
                </w:p>
                <w:p w14:paraId="7BB40394">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3.项目不属于高耗能行业，且项目不涉及锅炉，项目能耗和碳排放满足要求。项目严格执行《中华人民共和国节约能源法》以及《北京市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时期能源发展规划》《北京市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时期应对气候变化和节能规划》。</w:t>
                  </w:r>
                </w:p>
              </w:tc>
              <w:tc>
                <w:tcPr>
                  <w:tcW w:w="746" w:type="dxa"/>
                  <w:tcBorders>
                    <w:tl2br w:val="nil"/>
                    <w:tr2bl w:val="nil"/>
                  </w:tcBorders>
                  <w:shd w:val="clear" w:color="auto" w:fill="auto"/>
                  <w:vAlign w:val="center"/>
                </w:tcPr>
                <w:p w14:paraId="43FA3708">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507EA482">
            <w:pPr>
              <w:rPr>
                <w:rFonts w:hint="default" w:ascii="Times New Roman" w:hAnsi="Times New Roman" w:eastAsia="宋体" w:cs="Times New Roman"/>
                <w:b/>
                <w:bCs/>
                <w:color w:val="auto"/>
                <w:kern w:val="0"/>
                <w:sz w:val="24"/>
                <w:highlight w:val="none"/>
                <w:lang w:bidi="ar"/>
              </w:rPr>
            </w:pPr>
          </w:p>
          <w:p w14:paraId="312E789F">
            <w:pPr>
              <w:pStyle w:val="9"/>
              <w:numPr>
                <w:ilvl w:val="0"/>
                <w:numId w:val="11"/>
              </w:num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五大功能区生态环境准入清单</w:t>
            </w:r>
          </w:p>
          <w:p w14:paraId="5ED63ABC">
            <w:pPr>
              <w:pStyle w:val="9"/>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本项目与城市副中心生态环境准入清单的符合性分析见下表。</w:t>
            </w:r>
          </w:p>
          <w:p w14:paraId="5B98295E">
            <w:pPr>
              <w:widowControl/>
              <w:numPr>
                <w:ilvl w:val="0"/>
                <w:numId w:val="5"/>
              </w:numPr>
              <w:spacing w:line="360" w:lineRule="auto"/>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城市副中心生态环境准入清单</w:t>
            </w:r>
          </w:p>
          <w:tbl>
            <w:tblPr>
              <w:tblStyle w:val="24"/>
              <w:tblW w:w="1281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5875"/>
              <w:gridCol w:w="5225"/>
              <w:gridCol w:w="697"/>
            </w:tblGrid>
            <w:tr w14:paraId="1FD487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2" w:type="dxa"/>
                  <w:tcBorders>
                    <w:tl2br w:val="nil"/>
                    <w:tr2bl w:val="nil"/>
                  </w:tcBorders>
                  <w:shd w:val="clear" w:color="auto" w:fill="auto"/>
                  <w:vAlign w:val="center"/>
                </w:tcPr>
                <w:p w14:paraId="7777EAA4">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管控类别</w:t>
                  </w:r>
                </w:p>
              </w:tc>
              <w:tc>
                <w:tcPr>
                  <w:tcW w:w="5875" w:type="dxa"/>
                  <w:tcBorders>
                    <w:tl2br w:val="nil"/>
                    <w:tr2bl w:val="nil"/>
                  </w:tcBorders>
                  <w:shd w:val="clear" w:color="auto" w:fill="auto"/>
                  <w:vAlign w:val="center"/>
                </w:tcPr>
                <w:p w14:paraId="4E717A35">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重点管控要求</w:t>
                  </w:r>
                </w:p>
              </w:tc>
              <w:tc>
                <w:tcPr>
                  <w:tcW w:w="5225" w:type="dxa"/>
                  <w:tcBorders>
                    <w:tl2br w:val="nil"/>
                    <w:tr2bl w:val="nil"/>
                  </w:tcBorders>
                  <w:shd w:val="clear" w:color="auto" w:fill="auto"/>
                  <w:vAlign w:val="center"/>
                </w:tcPr>
                <w:p w14:paraId="726A1AFE">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本项目符合性</w:t>
                  </w:r>
                </w:p>
              </w:tc>
              <w:tc>
                <w:tcPr>
                  <w:tcW w:w="697" w:type="dxa"/>
                  <w:tcBorders>
                    <w:tl2br w:val="nil"/>
                    <w:tr2bl w:val="nil"/>
                  </w:tcBorders>
                  <w:shd w:val="clear" w:color="auto" w:fill="auto"/>
                  <w:vAlign w:val="center"/>
                </w:tcPr>
                <w:p w14:paraId="6B9A7702">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是否符合</w:t>
                  </w:r>
                </w:p>
              </w:tc>
            </w:tr>
            <w:tr w14:paraId="417AC7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2" w:type="dxa"/>
                  <w:tcBorders>
                    <w:tl2br w:val="nil"/>
                    <w:tr2bl w:val="nil"/>
                  </w:tcBorders>
                  <w:shd w:val="clear" w:color="auto" w:fill="auto"/>
                  <w:vAlign w:val="center"/>
                </w:tcPr>
                <w:p w14:paraId="376F8735">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空间布局约束</w:t>
                  </w:r>
                </w:p>
              </w:tc>
              <w:tc>
                <w:tcPr>
                  <w:tcW w:w="5875" w:type="dxa"/>
                  <w:tcBorders>
                    <w:tl2br w:val="nil"/>
                    <w:tr2bl w:val="nil"/>
                  </w:tcBorders>
                  <w:shd w:val="clear" w:color="auto" w:fill="auto"/>
                </w:tcPr>
                <w:p w14:paraId="4CA2DC9C">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执行《北京市新增产业的禁止和限制目录（2022年版）》适用于北京城市副中心的管控要求。</w:t>
                  </w:r>
                </w:p>
                <w:p w14:paraId="1EF63D24">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执行《建设项目规划使用性质正面和负面清单》适用于城市副中心的管控要求。</w:t>
                  </w:r>
                </w:p>
                <w:p w14:paraId="67945A34">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执行《北京城市副中心（通州区）</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时期产业发展规划》《北京城市副中心（通州区）</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时期城市治理规划）》《北京市城市副中心（通州区）</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时期交通发展建设规划》的管控要求。</w:t>
                  </w:r>
                </w:p>
                <w:p w14:paraId="41556BB6">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4.涉及生态保护红线及相关法定保护空间的应执行优先保护类总体准入清单。</w:t>
                  </w:r>
                </w:p>
              </w:tc>
              <w:tc>
                <w:tcPr>
                  <w:tcW w:w="5225" w:type="dxa"/>
                  <w:tcBorders>
                    <w:tl2br w:val="nil"/>
                    <w:tr2bl w:val="nil"/>
                  </w:tcBorders>
                  <w:shd w:val="clear" w:color="auto" w:fill="auto"/>
                  <w:vAlign w:val="center"/>
                </w:tcPr>
                <w:p w14:paraId="0511F166">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1.对照《北京市新增产业的禁止和限制目录（2022年版）》中适用于中心城区、北京城市副中心以外的平原地区的目录(二)，本项目不属于禁止和限制项目。</w:t>
                  </w:r>
                </w:p>
                <w:p w14:paraId="1C668616">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w:t>
                  </w:r>
                  <w:r>
                    <w:rPr>
                      <w:rFonts w:hint="eastAsia" w:cs="Times New Roman"/>
                      <w:color w:val="auto"/>
                      <w:sz w:val="21"/>
                      <w:szCs w:val="21"/>
                      <w:highlight w:val="none"/>
                      <w:lang w:val="en-US" w:eastAsia="zh-CN"/>
                    </w:rPr>
                    <w:t>不在</w:t>
                  </w:r>
                  <w:r>
                    <w:rPr>
                      <w:rFonts w:hint="default" w:ascii="Times New Roman" w:hAnsi="Times New Roman" w:eastAsia="宋体" w:cs="Times New Roman"/>
                      <w:color w:val="auto"/>
                      <w:sz w:val="21"/>
                      <w:szCs w:val="21"/>
                      <w:highlight w:val="none"/>
                    </w:rPr>
                    <w:t>北京市《建设项目规划使用性质正面和负面清单》中。</w:t>
                  </w:r>
                </w:p>
                <w:p w14:paraId="2432BE07">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3.项目符合《北京城市副中心（通州区）</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时期产业发展规划》《北京城市副中心（通州区）</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时期城市治理规划）》《北京市城市副中心（通州区）</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时期交通发展建设规划》的管控要求。</w:t>
                  </w:r>
                </w:p>
                <w:p w14:paraId="49B0E9AF">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4.项目位于</w:t>
                  </w:r>
                  <w:r>
                    <w:rPr>
                      <w:rFonts w:hint="eastAsia" w:cs="Times New Roman"/>
                      <w:color w:val="auto"/>
                      <w:sz w:val="21"/>
                      <w:szCs w:val="21"/>
                      <w:highlight w:val="none"/>
                      <w:lang w:val="en-US" w:eastAsia="zh-CN"/>
                    </w:rPr>
                    <w:t>北京经济技术开发区(通州)景盛南二街10号院10号楼3层301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项目不涉及生态保护红线及相关法定保护空间。</w:t>
                  </w:r>
                </w:p>
              </w:tc>
              <w:tc>
                <w:tcPr>
                  <w:tcW w:w="697" w:type="dxa"/>
                  <w:tcBorders>
                    <w:tl2br w:val="nil"/>
                    <w:tr2bl w:val="nil"/>
                  </w:tcBorders>
                  <w:shd w:val="clear" w:color="auto" w:fill="auto"/>
                  <w:vAlign w:val="center"/>
                </w:tcPr>
                <w:p w14:paraId="2301C1EE">
                  <w:pPr>
                    <w:pStyle w:val="9"/>
                    <w:jc w:val="center"/>
                    <w:rPr>
                      <w:rFonts w:hint="default" w:ascii="Times New Roman" w:hAnsi="Times New Roman" w:eastAsia="宋体" w:cs="Times New Roman"/>
                      <w:color w:val="auto"/>
                      <w:sz w:val="21"/>
                      <w:szCs w:val="21"/>
                      <w:highlight w:val="none"/>
                    </w:rPr>
                  </w:pPr>
                </w:p>
                <w:p w14:paraId="15799BC2">
                  <w:pPr>
                    <w:pStyle w:val="9"/>
                    <w:jc w:val="center"/>
                    <w:rPr>
                      <w:rFonts w:hint="default" w:ascii="Times New Roman" w:hAnsi="Times New Roman" w:eastAsia="宋体" w:cs="Times New Roman"/>
                      <w:color w:val="auto"/>
                      <w:sz w:val="21"/>
                      <w:szCs w:val="21"/>
                      <w:highlight w:val="none"/>
                    </w:rPr>
                  </w:pPr>
                </w:p>
                <w:p w14:paraId="75592236">
                  <w:pPr>
                    <w:pStyle w:val="9"/>
                    <w:jc w:val="center"/>
                    <w:rPr>
                      <w:rFonts w:hint="default" w:ascii="Times New Roman" w:hAnsi="Times New Roman" w:eastAsia="宋体" w:cs="Times New Roman"/>
                      <w:color w:val="auto"/>
                      <w:sz w:val="21"/>
                      <w:szCs w:val="21"/>
                      <w:highlight w:val="none"/>
                    </w:rPr>
                  </w:pPr>
                </w:p>
                <w:p w14:paraId="77826F6B">
                  <w:pPr>
                    <w:pStyle w:val="9"/>
                    <w:jc w:val="center"/>
                    <w:rPr>
                      <w:rFonts w:hint="default" w:ascii="Times New Roman" w:hAnsi="Times New Roman" w:eastAsia="宋体" w:cs="Times New Roman"/>
                      <w:color w:val="auto"/>
                      <w:sz w:val="21"/>
                      <w:szCs w:val="21"/>
                      <w:highlight w:val="none"/>
                    </w:rPr>
                  </w:pPr>
                </w:p>
                <w:p w14:paraId="61F95B2C">
                  <w:pPr>
                    <w:pStyle w:val="9"/>
                    <w:jc w:val="center"/>
                    <w:rPr>
                      <w:rFonts w:hint="default" w:ascii="Times New Roman" w:hAnsi="Times New Roman" w:eastAsia="宋体" w:cs="Times New Roman"/>
                      <w:color w:val="auto"/>
                      <w:sz w:val="21"/>
                      <w:szCs w:val="21"/>
                      <w:highlight w:val="none"/>
                    </w:rPr>
                  </w:pPr>
                </w:p>
                <w:p w14:paraId="362B9834">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7E4DF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2" w:type="dxa"/>
                  <w:tcBorders>
                    <w:tl2br w:val="nil"/>
                    <w:tr2bl w:val="nil"/>
                  </w:tcBorders>
                  <w:shd w:val="clear" w:color="auto" w:fill="auto"/>
                  <w:vAlign w:val="center"/>
                </w:tcPr>
                <w:p w14:paraId="1E56876E">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污染物排放管控</w:t>
                  </w:r>
                </w:p>
              </w:tc>
              <w:tc>
                <w:tcPr>
                  <w:tcW w:w="5875" w:type="dxa"/>
                  <w:tcBorders>
                    <w:tl2br w:val="nil"/>
                    <w:tr2bl w:val="nil"/>
                  </w:tcBorders>
                  <w:shd w:val="clear" w:color="auto" w:fill="auto"/>
                </w:tcPr>
                <w:p w14:paraId="789656FB">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通州区全域禁止使用高排放非道路移动机械。</w:t>
                  </w:r>
                </w:p>
                <w:p w14:paraId="3A93DB16">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副中心开展大气污染精细化治理，组织空气质量排名靠后的街道(乡镇)进行综合整治。</w:t>
                  </w:r>
                </w:p>
                <w:p w14:paraId="5548B73A">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必须遵守污染物排放的国家标准和地方标准；在实施重点污染物排放总量控制的区域内，还必须符合重点污染物排放总量控制的要求。</w:t>
                  </w:r>
                </w:p>
                <w:p w14:paraId="61AA1CE9">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严格产业准入标准，有序引导高端要素集聚。</w:t>
                  </w:r>
                </w:p>
                <w:p w14:paraId="5624059D">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工业园区配套建设废水集中处理设施。</w:t>
                  </w:r>
                </w:p>
                <w:p w14:paraId="3EF83240">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依法关闭或搬迁禁养区内的畜禽养殖场（小区）和养殖专业户。新建、改建、扩建规模化畜禽养殖场（小区）要实施雨污分流、粪便污水资源化利用。</w:t>
                  </w:r>
                </w:p>
                <w:p w14:paraId="52AC8F66">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禁止在居民住宅楼、未配套设立专用烟道的商住综合楼、商住综合楼内与居住层相邻的商业楼层内，新建、改建、扩建产生油烟、异味、废气、噪声污染的饮食服务、服装干洗、机动车维修。</w:t>
                  </w:r>
                </w:p>
                <w:p w14:paraId="41062734">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到2025年，道路(含背街小巷)优于一级清扫保洁质量要求。</w:t>
                  </w:r>
                </w:p>
                <w:p w14:paraId="241AC5FE">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推动副中心核心区划定超低排放区建设，基本实现公交、环卫、出租、邮政、渣土、机场大巴、货运、旅游及公务车辆为新能源动力，逐步禁止柴油车辆驶入。</w:t>
                  </w:r>
                </w:p>
              </w:tc>
              <w:tc>
                <w:tcPr>
                  <w:tcW w:w="5225" w:type="dxa"/>
                  <w:tcBorders>
                    <w:tl2br w:val="nil"/>
                    <w:tr2bl w:val="nil"/>
                  </w:tcBorders>
                  <w:shd w:val="clear" w:color="auto" w:fill="auto"/>
                  <w:vAlign w:val="center"/>
                </w:tcPr>
                <w:p w14:paraId="322A5B6B">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1.项目不涉及高排放非道路移动机械。</w:t>
                  </w:r>
                </w:p>
                <w:p w14:paraId="1E01EFEA">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2.项目所在区域不属于空气质量排名靠后的街道(乡镇)。</w:t>
                  </w:r>
                </w:p>
                <w:p w14:paraId="4B5DA7E4">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废水、噪声均满足国家地方污染物排放标准，固体废物合理处置，满足国家、地方相关要求。本项目总量控制指标为化学需氧量、氨氮，严格执行《建设项目主要污染物排放总量指标审核及管理暂行办法（环发[2014]197号）》、《原北京市环境保护局关于建设项目主要污染物排放总量指标审核及管理的补充通知》。</w:t>
                  </w:r>
                </w:p>
                <w:p w14:paraId="62FEC565">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4.项目符合《产业结构调整指导目录》（2024年本）。项目不在《北京市新增产业的禁止和限制目录（2022年版）》禁止和限制范围内。</w:t>
                  </w:r>
                </w:p>
                <w:p w14:paraId="62E79F49">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5.项目所在工业园区已配套建设废水集中</w:t>
                  </w:r>
                  <w:r>
                    <w:rPr>
                      <w:rFonts w:hint="eastAsia" w:cs="Times New Roman"/>
                      <w:color w:val="auto"/>
                      <w:sz w:val="21"/>
                      <w:szCs w:val="21"/>
                      <w:highlight w:val="none"/>
                      <w:lang w:val="en-US" w:eastAsia="zh-CN"/>
                    </w:rPr>
                    <w:t>收集设施，建设化粪池，园区项目废水排放满足污水处理厂进水要求</w:t>
                  </w:r>
                  <w:r>
                    <w:rPr>
                      <w:rFonts w:hint="default" w:ascii="Times New Roman" w:hAnsi="Times New Roman" w:eastAsia="宋体" w:cs="Times New Roman"/>
                      <w:color w:val="auto"/>
                      <w:sz w:val="21"/>
                      <w:szCs w:val="21"/>
                      <w:highlight w:val="none"/>
                    </w:rPr>
                    <w:t>。</w:t>
                  </w:r>
                </w:p>
                <w:p w14:paraId="6AD6AD6D">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6.项目不属于畜禽养殖场（小区）和养殖专业户。</w:t>
                  </w:r>
                </w:p>
                <w:p w14:paraId="48C81CBE">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7.项目不位于居民住宅楼、未配套设立专用烟道的商住综合楼、商住综合楼内与居住层相邻的商业楼层内，且项目不属于饮食服务、服装干洗、机动车维修。</w:t>
                  </w:r>
                </w:p>
                <w:p w14:paraId="40037F76">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8.项目不涉及。</w:t>
                  </w:r>
                </w:p>
                <w:p w14:paraId="613DB4EC">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9.项目不涉及柴油车辆。</w:t>
                  </w:r>
                </w:p>
              </w:tc>
              <w:tc>
                <w:tcPr>
                  <w:tcW w:w="697" w:type="dxa"/>
                  <w:tcBorders>
                    <w:tl2br w:val="nil"/>
                    <w:tr2bl w:val="nil"/>
                  </w:tcBorders>
                  <w:shd w:val="clear" w:color="auto" w:fill="auto"/>
                  <w:vAlign w:val="center"/>
                </w:tcPr>
                <w:p w14:paraId="1752A085">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958D1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2" w:type="dxa"/>
                  <w:tcBorders>
                    <w:tl2br w:val="nil"/>
                    <w:tr2bl w:val="nil"/>
                  </w:tcBorders>
                  <w:shd w:val="clear" w:color="auto" w:fill="auto"/>
                  <w:vAlign w:val="center"/>
                </w:tcPr>
                <w:p w14:paraId="02608714">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环境风险防控</w:t>
                  </w:r>
                </w:p>
              </w:tc>
              <w:tc>
                <w:tcPr>
                  <w:tcW w:w="5875" w:type="dxa"/>
                  <w:tcBorders>
                    <w:tl2br w:val="nil"/>
                    <w:tr2bl w:val="nil"/>
                  </w:tcBorders>
                  <w:shd w:val="clear" w:color="auto" w:fill="auto"/>
                </w:tcPr>
                <w:p w14:paraId="4C2ACADA">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应充分考虑污染地块的环境风险，合理确定土地用途。</w:t>
                  </w:r>
                </w:p>
                <w:p w14:paraId="20B4FD11">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严格用地准入，防范人居环境风险。严格实施再开发、安全利用的管理。对原东方化工厂所在区域开展土壤治理修复和风险管控，保障城市绿心用地安全。</w:t>
                  </w:r>
                </w:p>
                <w:p w14:paraId="5A5D46EC">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3.有效落实空气重污染各项应急减排措施，引导提高施工工地和应急减排清单企业的绩效等级，引导使用纯电动、氢燃料电池的车辆和非道路移动机械。</w:t>
                  </w:r>
                </w:p>
              </w:tc>
              <w:tc>
                <w:tcPr>
                  <w:tcW w:w="5225" w:type="dxa"/>
                  <w:tcBorders>
                    <w:tl2br w:val="nil"/>
                    <w:tr2bl w:val="nil"/>
                  </w:tcBorders>
                  <w:shd w:val="clear" w:color="auto" w:fill="auto"/>
                  <w:vAlign w:val="center"/>
                </w:tcPr>
                <w:p w14:paraId="4776AC18">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1.项目租用现有建筑物进行建设，不涉及新增用地。项目租用建筑物用途为</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工业</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从事</w:t>
                  </w:r>
                  <w:r>
                    <w:rPr>
                      <w:rFonts w:hint="eastAsia" w:cs="Times New Roman"/>
                      <w:color w:val="auto"/>
                      <w:sz w:val="21"/>
                      <w:szCs w:val="21"/>
                      <w:highlight w:val="none"/>
                      <w:lang w:val="en-US" w:eastAsia="zh-CN"/>
                    </w:rPr>
                    <w:t>医疗器械研发生产</w:t>
                  </w:r>
                  <w:r>
                    <w:rPr>
                      <w:rFonts w:hint="default" w:ascii="Times New Roman" w:hAnsi="Times New Roman" w:eastAsia="宋体" w:cs="Times New Roman"/>
                      <w:color w:val="auto"/>
                      <w:sz w:val="21"/>
                      <w:szCs w:val="21"/>
                      <w:highlight w:val="none"/>
                    </w:rPr>
                    <w:t>，符合建筑的规划用途。</w:t>
                  </w:r>
                </w:p>
                <w:p w14:paraId="2EB4DED3">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2.项目租用现有建筑物进行建设，不涉及新增用地。</w:t>
                  </w:r>
                </w:p>
                <w:p w14:paraId="6BD510C7">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3.项目租用现有建筑物进行建设，不涉及土建施工。施工期仅为简单装修。</w:t>
                  </w:r>
                </w:p>
              </w:tc>
              <w:tc>
                <w:tcPr>
                  <w:tcW w:w="697" w:type="dxa"/>
                  <w:tcBorders>
                    <w:tl2br w:val="nil"/>
                    <w:tr2bl w:val="nil"/>
                  </w:tcBorders>
                  <w:shd w:val="clear" w:color="auto" w:fill="auto"/>
                  <w:vAlign w:val="center"/>
                </w:tcPr>
                <w:p w14:paraId="67F1911C">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DB8A0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2" w:type="dxa"/>
                  <w:tcBorders>
                    <w:tl2br w:val="nil"/>
                    <w:tr2bl w:val="nil"/>
                  </w:tcBorders>
                  <w:shd w:val="clear" w:color="auto" w:fill="auto"/>
                  <w:vAlign w:val="center"/>
                </w:tcPr>
                <w:p w14:paraId="1F78CED4">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资源利用效率</w:t>
                  </w:r>
                </w:p>
              </w:tc>
              <w:tc>
                <w:tcPr>
                  <w:tcW w:w="5875" w:type="dxa"/>
                  <w:tcBorders>
                    <w:tl2br w:val="nil"/>
                    <w:tr2bl w:val="nil"/>
                  </w:tcBorders>
                  <w:shd w:val="clear" w:color="auto" w:fill="auto"/>
                </w:tcPr>
                <w:p w14:paraId="78A35AED">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坚持节水优先，实行最严格水资源管理制度，促进生产和生活全方位节水。</w:t>
                  </w:r>
                </w:p>
                <w:p w14:paraId="2DE433FB">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优化区域能源结构，大力推进新能源和可再生能源利用，严控能源消费总量。</w:t>
                  </w:r>
                </w:p>
                <w:p w14:paraId="26AADDA8">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3.加快锅炉房新能源和可再生能源替代，结合旧城改造、城市更新、园区建设和特色小镇等发展契机，推进建筑和工业等领域新能源和可再生能源供热，显著降低常规发展模式下能源利用污染物排放总量。</w:t>
                  </w:r>
                </w:p>
              </w:tc>
              <w:tc>
                <w:tcPr>
                  <w:tcW w:w="5225" w:type="dxa"/>
                  <w:tcBorders>
                    <w:tl2br w:val="nil"/>
                    <w:tr2bl w:val="nil"/>
                  </w:tcBorders>
                  <w:shd w:val="clear" w:color="auto" w:fill="auto"/>
                  <w:vAlign w:val="center"/>
                </w:tcPr>
                <w:p w14:paraId="040635B9">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1.本项目用水由市政给水管网提供。项目</w:t>
                  </w:r>
                  <w:r>
                    <w:rPr>
                      <w:rFonts w:hint="eastAsia" w:cs="Times New Roman"/>
                      <w:color w:val="auto"/>
                      <w:sz w:val="21"/>
                      <w:szCs w:val="21"/>
                      <w:highlight w:val="none"/>
                      <w:lang w:val="en-US" w:eastAsia="zh-CN"/>
                    </w:rPr>
                    <w:t>制定节水制度，</w:t>
                  </w:r>
                  <w:r>
                    <w:rPr>
                      <w:rFonts w:hint="default" w:ascii="Times New Roman" w:hAnsi="Times New Roman" w:eastAsia="宋体" w:cs="Times New Roman"/>
                      <w:color w:val="auto"/>
                      <w:sz w:val="21"/>
                      <w:szCs w:val="21"/>
                      <w:highlight w:val="none"/>
                    </w:rPr>
                    <w:t>加强</w:t>
                  </w:r>
                  <w:r>
                    <w:rPr>
                      <w:rFonts w:hint="eastAsia"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和生活全方位节水。</w:t>
                  </w:r>
                </w:p>
                <w:p w14:paraId="7D47BCD1">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2.项目所用能源主要为水资源和电能。项目不涉及其他能源消耗。</w:t>
                  </w:r>
                </w:p>
                <w:p w14:paraId="44238A1F">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3.项目不涉及锅炉使用。</w:t>
                  </w:r>
                </w:p>
              </w:tc>
              <w:tc>
                <w:tcPr>
                  <w:tcW w:w="697" w:type="dxa"/>
                  <w:tcBorders>
                    <w:tl2br w:val="nil"/>
                    <w:tr2bl w:val="nil"/>
                  </w:tcBorders>
                  <w:shd w:val="clear" w:color="auto" w:fill="auto"/>
                  <w:vAlign w:val="center"/>
                </w:tcPr>
                <w:p w14:paraId="2276AC31">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6F04741A">
            <w:pPr>
              <w:rPr>
                <w:rFonts w:hint="default" w:ascii="Times New Roman" w:hAnsi="Times New Roman" w:eastAsia="宋体" w:cs="Times New Roman"/>
                <w:b/>
                <w:bCs/>
                <w:color w:val="auto"/>
                <w:sz w:val="24"/>
                <w:highlight w:val="none"/>
              </w:rPr>
            </w:pPr>
          </w:p>
          <w:p w14:paraId="18E70F1F">
            <w:pPr>
              <w:pStyle w:val="9"/>
              <w:numPr>
                <w:ilvl w:val="0"/>
                <w:numId w:val="11"/>
              </w:num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环境管控单元生态环境准入清单</w:t>
            </w:r>
          </w:p>
          <w:p w14:paraId="540ACAD8">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本项目与重点管控单元准入清单的符合性分析见下表</w:t>
            </w:r>
          </w:p>
          <w:p w14:paraId="733BCD88">
            <w:pPr>
              <w:widowControl/>
              <w:numPr>
                <w:ilvl w:val="0"/>
                <w:numId w:val="5"/>
              </w:numPr>
              <w:spacing w:line="360" w:lineRule="auto"/>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重点产业园区重点管控单元生态环境准入清单</w:t>
            </w:r>
          </w:p>
          <w:tbl>
            <w:tblPr>
              <w:tblStyle w:val="24"/>
              <w:tblW w:w="1297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7516"/>
              <w:gridCol w:w="4008"/>
              <w:gridCol w:w="677"/>
            </w:tblGrid>
            <w:tr w14:paraId="6B2503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tcBorders>
                    <w:tl2br w:val="nil"/>
                    <w:tr2bl w:val="nil"/>
                  </w:tcBorders>
                  <w:shd w:val="clear" w:color="auto" w:fill="auto"/>
                  <w:vAlign w:val="center"/>
                </w:tcPr>
                <w:p w14:paraId="5848E03A">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管控类别</w:t>
                  </w:r>
                </w:p>
              </w:tc>
              <w:tc>
                <w:tcPr>
                  <w:tcW w:w="7516" w:type="dxa"/>
                  <w:tcBorders>
                    <w:tl2br w:val="nil"/>
                    <w:tr2bl w:val="nil"/>
                  </w:tcBorders>
                  <w:shd w:val="clear" w:color="auto" w:fill="auto"/>
                  <w:vAlign w:val="center"/>
                </w:tcPr>
                <w:p w14:paraId="7ECEFACA">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重点管控要求</w:t>
                  </w:r>
                </w:p>
              </w:tc>
              <w:tc>
                <w:tcPr>
                  <w:tcW w:w="4008" w:type="dxa"/>
                  <w:tcBorders>
                    <w:tl2br w:val="nil"/>
                    <w:tr2bl w:val="nil"/>
                  </w:tcBorders>
                  <w:shd w:val="clear" w:color="auto" w:fill="auto"/>
                  <w:vAlign w:val="center"/>
                </w:tcPr>
                <w:p w14:paraId="657822E6">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本项目符合性</w:t>
                  </w:r>
                </w:p>
              </w:tc>
              <w:tc>
                <w:tcPr>
                  <w:tcW w:w="677" w:type="dxa"/>
                  <w:tcBorders>
                    <w:tl2br w:val="nil"/>
                    <w:tr2bl w:val="nil"/>
                  </w:tcBorders>
                  <w:shd w:val="clear" w:color="auto" w:fill="auto"/>
                  <w:vAlign w:val="center"/>
                </w:tcPr>
                <w:p w14:paraId="4CDFB3C9">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w:t>
                  </w:r>
                </w:p>
                <w:p w14:paraId="3D0104E1">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w:t>
                  </w:r>
                </w:p>
              </w:tc>
            </w:tr>
            <w:tr w14:paraId="1B5972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tcBorders>
                    <w:tl2br w:val="nil"/>
                    <w:tr2bl w:val="nil"/>
                  </w:tcBorders>
                  <w:shd w:val="clear" w:color="auto" w:fill="auto"/>
                  <w:vAlign w:val="center"/>
                </w:tcPr>
                <w:p w14:paraId="06149349">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空间布局约束</w:t>
                  </w:r>
                </w:p>
              </w:tc>
              <w:tc>
                <w:tcPr>
                  <w:tcW w:w="7516" w:type="dxa"/>
                  <w:tcBorders>
                    <w:tl2br w:val="nil"/>
                    <w:tr2bl w:val="nil"/>
                  </w:tcBorders>
                  <w:shd w:val="clear" w:color="auto" w:fill="auto"/>
                  <w:vAlign w:val="center"/>
                </w:tcPr>
                <w:p w14:paraId="6870B99E">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1.执行重点管控类（产业园区）生态环境总体准入清单和城市副中心及通州其他区域生态环境准入清单的空间布局约束准入要求。</w:t>
                  </w:r>
                </w:p>
                <w:p w14:paraId="773C60E2">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主导产业为5G、集成电路、新型显示、环保节能产业，推动智能制造发展，大力发展5G、集成电路、新型显示、环保节能产业，打造国际领先的新一代信息技术产业园区；对现有与主导产业定位不一致的食品生产、服装制造企业应限制发展；拆除或者关闭水源地一级保护区范围内与供水设施和保护水源无关的建设项目；或根据水源地保护要求关闭水源井，重新选址。</w:t>
                  </w:r>
                </w:p>
              </w:tc>
              <w:tc>
                <w:tcPr>
                  <w:tcW w:w="4008" w:type="dxa"/>
                  <w:tcBorders>
                    <w:tl2br w:val="nil"/>
                    <w:tr2bl w:val="nil"/>
                  </w:tcBorders>
                  <w:shd w:val="clear" w:color="auto" w:fill="auto"/>
                  <w:vAlign w:val="center"/>
                </w:tcPr>
                <w:p w14:paraId="74193044">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1.本项目满足重点管控类（产业园区）生态环境总体准入清单和城市副中心及通州其他区域生态环境准入清单的空间布局约束准入要求。</w:t>
                  </w:r>
                </w:p>
                <w:p w14:paraId="6B73E9E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2.本项目不涉及。</w:t>
                  </w:r>
                </w:p>
              </w:tc>
              <w:tc>
                <w:tcPr>
                  <w:tcW w:w="677" w:type="dxa"/>
                  <w:tcBorders>
                    <w:tl2br w:val="nil"/>
                    <w:tr2bl w:val="nil"/>
                  </w:tcBorders>
                  <w:shd w:val="clear" w:color="auto" w:fill="auto"/>
                  <w:vAlign w:val="center"/>
                </w:tcPr>
                <w:p w14:paraId="7914504C">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14386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tcBorders>
                    <w:tl2br w:val="nil"/>
                    <w:tr2bl w:val="nil"/>
                  </w:tcBorders>
                  <w:shd w:val="clear" w:color="auto" w:fill="auto"/>
                  <w:vAlign w:val="center"/>
                </w:tcPr>
                <w:p w14:paraId="51806719">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污染物排放管控</w:t>
                  </w:r>
                </w:p>
              </w:tc>
              <w:tc>
                <w:tcPr>
                  <w:tcW w:w="7516" w:type="dxa"/>
                  <w:tcBorders>
                    <w:tl2br w:val="nil"/>
                    <w:tr2bl w:val="nil"/>
                  </w:tcBorders>
                  <w:shd w:val="clear" w:color="auto" w:fill="auto"/>
                  <w:vAlign w:val="center"/>
                </w:tcPr>
                <w:p w14:paraId="245C0B6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1.执行重点管控类（产业园区）生态环境总体准入清单和城市副中心及通州其他区域生态环境准入清单的污染物排放管控准入要求。</w:t>
                  </w:r>
                </w:p>
                <w:p w14:paraId="41D425D8">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2.对基地内重点排污企业实施强制清洁生产审核。</w:t>
                  </w:r>
                </w:p>
              </w:tc>
              <w:tc>
                <w:tcPr>
                  <w:tcW w:w="4008" w:type="dxa"/>
                  <w:tcBorders>
                    <w:tl2br w:val="nil"/>
                    <w:tr2bl w:val="nil"/>
                  </w:tcBorders>
                  <w:shd w:val="clear" w:color="auto" w:fill="auto"/>
                  <w:vAlign w:val="center"/>
                </w:tcPr>
                <w:p w14:paraId="4E7D5A5D">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1．本项目符合重点管控类（产业园区）生态环境总体准入清单和城市副中心及通州其他区域生态环境准入清单的污染物排放管控准入要求。</w:t>
                  </w:r>
                </w:p>
                <w:p w14:paraId="451557DD">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2．本项目不涉及。</w:t>
                  </w:r>
                </w:p>
              </w:tc>
              <w:tc>
                <w:tcPr>
                  <w:tcW w:w="677" w:type="dxa"/>
                  <w:tcBorders>
                    <w:tl2br w:val="nil"/>
                    <w:tr2bl w:val="nil"/>
                  </w:tcBorders>
                  <w:shd w:val="clear" w:color="auto" w:fill="auto"/>
                  <w:vAlign w:val="center"/>
                </w:tcPr>
                <w:p w14:paraId="0B3166DB">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0DBC7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tcBorders>
                    <w:tl2br w:val="nil"/>
                    <w:tr2bl w:val="nil"/>
                  </w:tcBorders>
                  <w:shd w:val="clear" w:color="auto" w:fill="auto"/>
                  <w:vAlign w:val="center"/>
                </w:tcPr>
                <w:p w14:paraId="169DC6C4">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p w14:paraId="3DDF0B8C">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风险</w:t>
                  </w:r>
                </w:p>
                <w:p w14:paraId="30CABDA2">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防控</w:t>
                  </w:r>
                </w:p>
              </w:tc>
              <w:tc>
                <w:tcPr>
                  <w:tcW w:w="7516" w:type="dxa"/>
                  <w:tcBorders>
                    <w:tl2br w:val="nil"/>
                    <w:tr2bl w:val="nil"/>
                  </w:tcBorders>
                  <w:shd w:val="clear" w:color="auto" w:fill="auto"/>
                  <w:vAlign w:val="center"/>
                </w:tcPr>
                <w:p w14:paraId="4A996EB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1.执行重点管控类（产业园区）生态环境总体准入清单和城市副中心及通州其他区域生态环境准入清单的环境风险防范准入要求。</w:t>
                  </w:r>
                </w:p>
              </w:tc>
              <w:tc>
                <w:tcPr>
                  <w:tcW w:w="4008" w:type="dxa"/>
                  <w:tcBorders>
                    <w:tl2br w:val="nil"/>
                    <w:tr2bl w:val="nil"/>
                  </w:tcBorders>
                  <w:shd w:val="clear" w:color="auto" w:fill="auto"/>
                  <w:vAlign w:val="center"/>
                </w:tcPr>
                <w:p w14:paraId="3427652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1．本项目符合重点管控类（产业园区）生态环境总体准入清单和城市副中心及通州其他区域生态环境准入清单的环境风险防范准入要求。</w:t>
                  </w:r>
                </w:p>
              </w:tc>
              <w:tc>
                <w:tcPr>
                  <w:tcW w:w="677" w:type="dxa"/>
                  <w:tcBorders>
                    <w:tl2br w:val="nil"/>
                    <w:tr2bl w:val="nil"/>
                  </w:tcBorders>
                  <w:shd w:val="clear" w:color="auto" w:fill="auto"/>
                  <w:vAlign w:val="center"/>
                </w:tcPr>
                <w:p w14:paraId="666020EB">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2AFDF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tcBorders>
                    <w:tl2br w:val="nil"/>
                    <w:tr2bl w:val="nil"/>
                  </w:tcBorders>
                  <w:shd w:val="clear" w:color="auto" w:fill="auto"/>
                  <w:vAlign w:val="center"/>
                </w:tcPr>
                <w:p w14:paraId="5A7FEFE1">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资源</w:t>
                  </w:r>
                </w:p>
                <w:p w14:paraId="792267CC">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利用</w:t>
                  </w:r>
                </w:p>
                <w:p w14:paraId="37F4EDE1">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效率</w:t>
                  </w:r>
                </w:p>
              </w:tc>
              <w:tc>
                <w:tcPr>
                  <w:tcW w:w="7516" w:type="dxa"/>
                  <w:tcBorders>
                    <w:tl2br w:val="nil"/>
                    <w:tr2bl w:val="nil"/>
                  </w:tcBorders>
                  <w:shd w:val="clear" w:color="auto" w:fill="auto"/>
                  <w:vAlign w:val="center"/>
                </w:tcPr>
                <w:p w14:paraId="6E8656EA">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1.执行重点管控类（产业园区）生态环境总体准入清单和平原新城生态环境准入清单的资源利用效率准入要求。</w:t>
                  </w:r>
                </w:p>
                <w:p w14:paraId="4D3787F7">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2.禁止新建自备水井；禁止新建燃煤设施，严格限制新建消耗天然气、煤气的供热锅炉和用热项目。</w:t>
                  </w:r>
                </w:p>
              </w:tc>
              <w:tc>
                <w:tcPr>
                  <w:tcW w:w="4008" w:type="dxa"/>
                  <w:tcBorders>
                    <w:tl2br w:val="nil"/>
                    <w:tr2bl w:val="nil"/>
                  </w:tcBorders>
                  <w:shd w:val="clear" w:color="auto" w:fill="auto"/>
                  <w:vAlign w:val="center"/>
                </w:tcPr>
                <w:p w14:paraId="779D9101">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1.本项目满足重点管控类（产业园区）生态环境总体准入清单和城市副中心生态环境准入清单的资源利用效率准入要求。</w:t>
                  </w:r>
                </w:p>
                <w:p w14:paraId="1CAB0482">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2.项目用水由市政自来水管网提供；冬季供暖</w:t>
                  </w:r>
                  <w:r>
                    <w:rPr>
                      <w:rFonts w:hint="eastAsia" w:cs="Times New Roman"/>
                      <w:color w:val="auto"/>
                      <w:sz w:val="21"/>
                      <w:szCs w:val="21"/>
                      <w:highlight w:val="none"/>
                      <w:lang w:val="en-US" w:eastAsia="zh-CN"/>
                    </w:rPr>
                    <w:t>采用市政集中供热</w:t>
                  </w:r>
                  <w:r>
                    <w:rPr>
                      <w:rFonts w:hint="default" w:ascii="Times New Roman" w:hAnsi="Times New Roman" w:eastAsia="宋体" w:cs="Times New Roman"/>
                      <w:color w:val="auto"/>
                      <w:sz w:val="21"/>
                      <w:szCs w:val="21"/>
                      <w:highlight w:val="none"/>
                    </w:rPr>
                    <w:t>、夏季制冷由空调供给，不涉及</w:t>
                  </w:r>
                  <w:r>
                    <w:rPr>
                      <w:rFonts w:hint="eastAsia" w:cs="Times New Roman"/>
                      <w:color w:val="auto"/>
                      <w:sz w:val="21"/>
                      <w:szCs w:val="21"/>
                      <w:highlight w:val="none"/>
                      <w:lang w:val="en-US" w:eastAsia="zh-CN"/>
                    </w:rPr>
                    <w:t>该</w:t>
                  </w:r>
                  <w:r>
                    <w:rPr>
                      <w:rFonts w:hint="default" w:ascii="Times New Roman" w:hAnsi="Times New Roman" w:eastAsia="宋体" w:cs="Times New Roman"/>
                      <w:color w:val="auto"/>
                      <w:sz w:val="21"/>
                      <w:szCs w:val="21"/>
                      <w:highlight w:val="none"/>
                    </w:rPr>
                    <w:t>内容。</w:t>
                  </w:r>
                </w:p>
              </w:tc>
              <w:tc>
                <w:tcPr>
                  <w:tcW w:w="677" w:type="dxa"/>
                  <w:tcBorders>
                    <w:tl2br w:val="nil"/>
                    <w:tr2bl w:val="nil"/>
                  </w:tcBorders>
                  <w:shd w:val="clear" w:color="auto" w:fill="auto"/>
                  <w:vAlign w:val="center"/>
                </w:tcPr>
                <w:p w14:paraId="61D2E534">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547F2456">
            <w:pPr>
              <w:rPr>
                <w:rFonts w:hint="default" w:ascii="Times New Roman" w:hAnsi="Times New Roman" w:eastAsia="宋体" w:cs="Times New Roman"/>
                <w:b/>
                <w:bCs/>
                <w:color w:val="auto"/>
                <w:sz w:val="24"/>
                <w:highlight w:val="none"/>
              </w:rPr>
            </w:pPr>
          </w:p>
          <w:p w14:paraId="60EA09DC">
            <w:pPr>
              <w:pStyle w:val="9"/>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综上所述，本项目符合</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三线一单</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的准入</w:t>
            </w:r>
            <w:r>
              <w:rPr>
                <w:rFonts w:hint="default" w:ascii="Times New Roman" w:hAnsi="Times New Roman" w:eastAsia="宋体" w:cs="Times New Roman"/>
                <w:color w:val="auto"/>
                <w:sz w:val="24"/>
                <w:highlight w:val="none"/>
                <w:lang w:val="en-US" w:eastAsia="zh-CN"/>
              </w:rPr>
              <w:t>要求</w:t>
            </w:r>
            <w:r>
              <w:rPr>
                <w:rFonts w:hint="default" w:ascii="Times New Roman" w:hAnsi="Times New Roman" w:eastAsia="宋体" w:cs="Times New Roman"/>
                <w:color w:val="auto"/>
                <w:sz w:val="24"/>
                <w:highlight w:val="none"/>
              </w:rPr>
              <w:t>。</w:t>
            </w:r>
          </w:p>
        </w:tc>
      </w:tr>
    </w:tbl>
    <w:p w14:paraId="5F074AD7">
      <w:pPr>
        <w:pStyle w:val="9"/>
        <w:rPr>
          <w:rFonts w:hint="default" w:ascii="Times New Roman" w:hAnsi="Times New Roman" w:eastAsia="宋体" w:cs="Times New Roman"/>
          <w:color w:val="auto"/>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14:paraId="35CEF0F3">
      <w:pPr>
        <w:pStyle w:val="20"/>
        <w:adjustRightInd w:val="0"/>
        <w:snapToGrid w:val="0"/>
        <w:spacing w:before="0" w:beforeAutospacing="0" w:after="0" w:afterAutospacing="0" w:line="14" w:lineRule="auto"/>
        <w:jc w:val="center"/>
        <w:rPr>
          <w:rFonts w:hint="default" w:ascii="Times New Roman" w:hAnsi="Times New Roman" w:eastAsia="宋体" w:cs="Times New Roman"/>
          <w:snapToGrid w:val="0"/>
          <w:color w:val="auto"/>
          <w:sz w:val="36"/>
          <w:szCs w:val="36"/>
          <w:highlight w:val="none"/>
        </w:rPr>
      </w:pPr>
    </w:p>
    <w:p w14:paraId="5EFE61C2">
      <w:pPr>
        <w:pStyle w:val="20"/>
        <w:jc w:val="center"/>
        <w:outlineLvl w:val="0"/>
        <w:rPr>
          <w:rFonts w:hint="default" w:ascii="Times New Roman" w:hAnsi="Times New Roman" w:eastAsia="宋体" w:cs="Times New Roman"/>
          <w:snapToGrid w:val="0"/>
          <w:color w:val="auto"/>
          <w:sz w:val="36"/>
          <w:szCs w:val="36"/>
          <w:highlight w:val="none"/>
        </w:rPr>
      </w:pPr>
      <w:r>
        <w:rPr>
          <w:rFonts w:hint="default" w:ascii="Times New Roman" w:hAnsi="Times New Roman" w:eastAsia="宋体" w:cs="Times New Roman"/>
          <w:snapToGrid w:val="0"/>
          <w:color w:val="auto"/>
          <w:sz w:val="36"/>
          <w:szCs w:val="36"/>
          <w:highlight w:val="none"/>
        </w:rPr>
        <w:t>二、建设项目工程分析</w:t>
      </w:r>
    </w:p>
    <w:tbl>
      <w:tblPr>
        <w:tblStyle w:val="23"/>
        <w:tblW w:w="90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8"/>
        <w:gridCol w:w="8189"/>
      </w:tblGrid>
      <w:tr w14:paraId="1DBCD0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5" w:hRule="atLeast"/>
          <w:jc w:val="center"/>
        </w:trPr>
        <w:tc>
          <w:tcPr>
            <w:tcW w:w="818" w:type="dxa"/>
            <w:vAlign w:val="center"/>
          </w:tcPr>
          <w:p w14:paraId="5FF93441">
            <w:pPr>
              <w:pStyle w:val="20"/>
              <w:adjustRightInd w:val="0"/>
              <w:snapToGrid w:val="0"/>
              <w:spacing w:before="0" w:beforeAutospacing="0" w:after="0" w:afterAutospacing="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建设内容</w:t>
            </w:r>
          </w:p>
        </w:tc>
        <w:tc>
          <w:tcPr>
            <w:tcW w:w="8189" w:type="dxa"/>
          </w:tcPr>
          <w:p w14:paraId="76568737">
            <w:pPr>
              <w:numPr>
                <w:ilvl w:val="0"/>
                <w:numId w:val="12"/>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项目由来</w:t>
            </w:r>
          </w:p>
          <w:p w14:paraId="4849D97D">
            <w:pPr>
              <w:widowControl/>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eastAsia" w:hAnsi="宋体"/>
                <w:bCs/>
                <w:color w:val="auto"/>
                <w:kern w:val="0"/>
                <w:sz w:val="24"/>
                <w:highlight w:val="none"/>
                <w:lang w:val="en-US" w:eastAsia="zh-CN"/>
              </w:rPr>
              <w:t>北京盖德思科技有限公司</w:t>
            </w:r>
            <w:r>
              <w:rPr>
                <w:rFonts w:hint="eastAsia" w:cs="Times New Roman"/>
                <w:color w:val="auto"/>
                <w:sz w:val="24"/>
                <w:highlight w:val="none"/>
                <w:lang w:val="en-US" w:eastAsia="zh-CN"/>
              </w:rPr>
              <w:t>成立于2013年6月，注册地址：北京经济技术开发区(通州)景盛南二街10号院10号楼3层301，主要从事技术服务、技术开发、消毒器械生产等。</w:t>
            </w:r>
          </w:p>
          <w:p w14:paraId="10A50CEF">
            <w:pPr>
              <w:widowControl/>
              <w:spacing w:line="360" w:lineRule="auto"/>
              <w:ind w:firstLine="480" w:firstLineChars="200"/>
              <w:jc w:val="left"/>
              <w:rPr>
                <w:rFonts w:hint="default" w:cs="Times New Roman"/>
                <w:color w:val="auto"/>
                <w:sz w:val="24"/>
                <w:highlight w:val="none"/>
                <w:lang w:val="en-US" w:eastAsia="zh-CN"/>
              </w:rPr>
            </w:pPr>
            <w:r>
              <w:rPr>
                <w:rFonts w:hint="eastAsia" w:cs="Times New Roman"/>
                <w:color w:val="auto"/>
                <w:sz w:val="24"/>
                <w:highlight w:val="none"/>
                <w:lang w:val="en-US" w:eastAsia="zh-CN"/>
              </w:rPr>
              <w:t>2025年12月，公司租用北京经济技术开发区(通州)景盛南二街10号院10号楼3层301，建设消毒器械研发平台及生产线，项目完成后从事消毒用生物指示剂的研发生产，生产消毒用生物指示剂10000盒/年、研发消毒用生物指示剂30批/年。</w:t>
            </w:r>
          </w:p>
          <w:p w14:paraId="37400B16">
            <w:pPr>
              <w:numPr>
                <w:ilvl w:val="0"/>
                <w:numId w:val="12"/>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项目概况</w:t>
            </w:r>
          </w:p>
          <w:p w14:paraId="175CC02F">
            <w:pPr>
              <w:widowControl/>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1、项目名称</w:t>
            </w:r>
            <w:r>
              <w:rPr>
                <w:rFonts w:hint="default" w:ascii="Times New Roman" w:hAnsi="Times New Roman" w:eastAsia="宋体" w:cs="Times New Roman"/>
                <w:bCs/>
                <w:color w:val="auto"/>
                <w:sz w:val="24"/>
                <w:highlight w:val="none"/>
                <w:lang w:eastAsia="zh-CN"/>
              </w:rPr>
              <w:t>：</w:t>
            </w:r>
            <w:r>
              <w:rPr>
                <w:rFonts w:hint="eastAsia" w:hAnsi="宋体"/>
                <w:bCs/>
                <w:color w:val="auto"/>
                <w:kern w:val="0"/>
                <w:sz w:val="24"/>
                <w:highlight w:val="none"/>
                <w:lang w:val="en-US" w:eastAsia="zh-CN"/>
              </w:rPr>
              <w:t>盖德思消毒器械研发生产项目</w:t>
            </w:r>
          </w:p>
          <w:p w14:paraId="26AC3150">
            <w:pPr>
              <w:widowControl/>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2、建设单位</w:t>
            </w:r>
            <w:r>
              <w:rPr>
                <w:rFonts w:hint="default" w:ascii="Times New Roman" w:hAnsi="Times New Roman" w:eastAsia="宋体" w:cs="Times New Roman"/>
                <w:bCs/>
                <w:color w:val="auto"/>
                <w:sz w:val="24"/>
                <w:highlight w:val="none"/>
                <w:lang w:eastAsia="zh-CN"/>
              </w:rPr>
              <w:t>：</w:t>
            </w:r>
            <w:r>
              <w:rPr>
                <w:rFonts w:hint="eastAsia" w:hAnsi="宋体"/>
                <w:bCs/>
                <w:color w:val="auto"/>
                <w:kern w:val="0"/>
                <w:sz w:val="24"/>
                <w:highlight w:val="none"/>
                <w:lang w:val="en-US" w:eastAsia="zh-CN"/>
              </w:rPr>
              <w:t>北京盖德思科技有限公司</w:t>
            </w:r>
          </w:p>
          <w:p w14:paraId="36F643E9">
            <w:pPr>
              <w:widowControl/>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3、建设地点</w:t>
            </w:r>
            <w:r>
              <w:rPr>
                <w:rFonts w:hint="default" w:ascii="Times New Roman" w:hAnsi="Times New Roman" w:eastAsia="宋体" w:cs="Times New Roman"/>
                <w:bCs/>
                <w:color w:val="auto"/>
                <w:sz w:val="24"/>
                <w:highlight w:val="none"/>
                <w:lang w:eastAsia="zh-CN"/>
              </w:rPr>
              <w:t>：</w:t>
            </w:r>
            <w:r>
              <w:rPr>
                <w:rFonts w:hint="eastAsia" w:cs="Times New Roman"/>
                <w:color w:val="auto"/>
                <w:sz w:val="24"/>
                <w:highlight w:val="none"/>
                <w:lang w:val="en-US" w:eastAsia="zh-CN"/>
              </w:rPr>
              <w:t>北京经济技术开发区(通州)景盛南二街10号院10号楼3层301</w:t>
            </w:r>
            <w:r>
              <w:rPr>
                <w:rFonts w:hint="default" w:ascii="Times New Roman" w:hAnsi="Times New Roman" w:eastAsia="宋体" w:cs="Times New Roman"/>
                <w:bCs/>
                <w:color w:val="auto"/>
                <w:sz w:val="24"/>
                <w:highlight w:val="none"/>
              </w:rPr>
              <w:t>。</w:t>
            </w:r>
          </w:p>
          <w:p w14:paraId="743DF986">
            <w:pPr>
              <w:widowControl/>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4、建筑面积：</w:t>
            </w:r>
            <w:r>
              <w:rPr>
                <w:rFonts w:hint="eastAsia" w:cs="Times New Roman"/>
                <w:color w:val="auto"/>
                <w:sz w:val="24"/>
                <w:highlight w:val="none"/>
                <w:lang w:val="en-US" w:eastAsia="zh-CN"/>
              </w:rPr>
              <w:t>1337.24m</w:t>
            </w:r>
            <w:r>
              <w:rPr>
                <w:rFonts w:hint="eastAsia" w:cs="Times New Roman"/>
                <w:color w:val="auto"/>
                <w:sz w:val="24"/>
                <w:highlight w:val="none"/>
                <w:vertAlign w:val="superscript"/>
                <w:lang w:val="en-US" w:eastAsia="zh-CN"/>
              </w:rPr>
              <w:t>2</w:t>
            </w:r>
            <w:r>
              <w:rPr>
                <w:rFonts w:hint="default" w:ascii="Times New Roman" w:hAnsi="Times New Roman" w:eastAsia="宋体" w:cs="Times New Roman"/>
                <w:bCs/>
                <w:color w:val="auto"/>
                <w:sz w:val="24"/>
                <w:highlight w:val="none"/>
              </w:rPr>
              <w:t>。</w:t>
            </w:r>
          </w:p>
          <w:p w14:paraId="6CBC54A5">
            <w:pPr>
              <w:numPr>
                <w:ilvl w:val="0"/>
                <w:numId w:val="12"/>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编制依据</w:t>
            </w:r>
          </w:p>
          <w:p w14:paraId="361BB22E">
            <w:pPr>
              <w:widowControl/>
              <w:spacing w:line="360" w:lineRule="auto"/>
              <w:ind w:firstLine="480" w:firstLineChars="200"/>
              <w:jc w:val="left"/>
              <w:rPr>
                <w:rFonts w:hint="default" w:eastAsia="宋体" w:cs="Times New Roman"/>
                <w:color w:val="auto"/>
                <w:sz w:val="24"/>
                <w:highlight w:val="none"/>
                <w:lang w:val="en-US" w:eastAsia="zh-CN"/>
              </w:rPr>
            </w:pPr>
            <w:r>
              <w:rPr>
                <w:rFonts w:hint="eastAsia" w:eastAsia="宋体" w:cs="Times New Roman"/>
                <w:color w:val="auto"/>
                <w:sz w:val="24"/>
                <w:highlight w:val="none"/>
                <w:lang w:val="en-US" w:eastAsia="zh-CN"/>
              </w:rPr>
              <w:t>本项目从事消毒用生物指示剂的研发生产，根据《国民经济行业分类》（</w:t>
            </w:r>
            <w:r>
              <w:rPr>
                <w:rFonts w:hint="default" w:eastAsia="宋体" w:cs="Times New Roman"/>
                <w:color w:val="auto"/>
                <w:sz w:val="24"/>
                <w:highlight w:val="none"/>
                <w:lang w:val="en-US" w:eastAsia="zh-CN"/>
              </w:rPr>
              <w:t>GB/T4754</w:t>
            </w:r>
            <w:r>
              <w:rPr>
                <w:rFonts w:hint="eastAsia" w:eastAsia="宋体" w:cs="Times New Roman"/>
                <w:color w:val="auto"/>
                <w:sz w:val="24"/>
                <w:highlight w:val="none"/>
                <w:lang w:val="en-US" w:eastAsia="zh-CN"/>
              </w:rPr>
              <w:t>-</w:t>
            </w:r>
            <w:r>
              <w:rPr>
                <w:rFonts w:hint="default" w:eastAsia="宋体" w:cs="Times New Roman"/>
                <w:color w:val="auto"/>
                <w:sz w:val="24"/>
                <w:highlight w:val="none"/>
                <w:lang w:val="en-US" w:eastAsia="zh-CN"/>
              </w:rPr>
              <w:t>2017</w:t>
            </w:r>
            <w:r>
              <w:rPr>
                <w:rFonts w:hint="eastAsia" w:eastAsia="宋体" w:cs="Times New Roman"/>
                <w:color w:val="auto"/>
                <w:sz w:val="24"/>
                <w:highlight w:val="none"/>
                <w:lang w:val="en-US" w:eastAsia="zh-CN"/>
              </w:rPr>
              <w:t>），消毒指示剂</w:t>
            </w:r>
            <w:r>
              <w:rPr>
                <w:rFonts w:hint="eastAsia" w:cs="Times New Roman"/>
                <w:color w:val="auto"/>
                <w:sz w:val="24"/>
                <w:highlight w:val="none"/>
                <w:lang w:val="en-US" w:eastAsia="zh-CN"/>
              </w:rPr>
              <w:t>生产</w:t>
            </w:r>
            <w:r>
              <w:rPr>
                <w:rFonts w:hint="eastAsia" w:eastAsia="宋体" w:cs="Times New Roman"/>
                <w:color w:val="auto"/>
                <w:sz w:val="24"/>
                <w:highlight w:val="none"/>
                <w:lang w:val="en-US" w:eastAsia="zh-CN"/>
              </w:rPr>
              <w:t>属于“358医疗仪器设备及器械制造”中的“3583医疗实验室及医用消毒设备和器具</w:t>
            </w:r>
            <w:r>
              <w:rPr>
                <w:rFonts w:hint="default" w:eastAsia="宋体" w:cs="Times New Roman"/>
                <w:color w:val="auto"/>
                <w:sz w:val="24"/>
                <w:highlight w:val="none"/>
                <w:lang w:val="en-US" w:eastAsia="zh-CN"/>
              </w:rPr>
              <w:t>制造</w:t>
            </w:r>
            <w:r>
              <w:rPr>
                <w:rFonts w:hint="eastAsia" w:eastAsia="宋体" w:cs="Times New Roman"/>
                <w:color w:val="auto"/>
                <w:sz w:val="24"/>
                <w:highlight w:val="none"/>
                <w:lang w:val="en-US" w:eastAsia="zh-CN"/>
              </w:rPr>
              <w:t>”。</w:t>
            </w:r>
          </w:p>
          <w:p w14:paraId="747B48F6">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据《〈建设项目环境影响评价分类管理名录〉北京市实施细化规定（2022年本）》，</w:t>
            </w:r>
            <w:r>
              <w:rPr>
                <w:rFonts w:hint="eastAsia" w:ascii="Times New Roman" w:hAnsi="Times New Roman" w:eastAsia="宋体" w:cs="Times New Roman"/>
                <w:color w:val="auto"/>
                <w:sz w:val="24"/>
                <w:highlight w:val="none"/>
                <w:lang w:val="en-US" w:eastAsia="zh-CN"/>
              </w:rPr>
              <w:t>“三十二</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专用设备制造业”</w:t>
            </w:r>
            <w:r>
              <w:rPr>
                <w:rFonts w:hint="default" w:ascii="Times New Roman" w:hAnsi="Times New Roman" w:eastAsia="宋体" w:cs="Times New Roman"/>
                <w:color w:val="auto"/>
                <w:sz w:val="24"/>
                <w:highlight w:val="none"/>
                <w:lang w:val="en-US" w:eastAsia="zh-CN"/>
              </w:rPr>
              <w:t>中</w:t>
            </w:r>
            <w:r>
              <w:rPr>
                <w:rFonts w:hint="eastAsia" w:ascii="Times New Roman" w:hAnsi="Times New Roman" w:eastAsia="宋体" w:cs="Times New Roman"/>
                <w:color w:val="auto"/>
                <w:sz w:val="24"/>
                <w:highlight w:val="none"/>
                <w:lang w:val="en-US" w:eastAsia="zh-CN"/>
              </w:rPr>
              <w:t>“医疗仪器设备及器械制造</w:t>
            </w:r>
            <w:r>
              <w:rPr>
                <w:rFonts w:hint="default" w:ascii="Times New Roman" w:hAnsi="Times New Roman" w:eastAsia="宋体" w:cs="Times New Roman"/>
                <w:color w:val="auto"/>
                <w:sz w:val="24"/>
                <w:highlight w:val="none"/>
                <w:lang w:val="en-US" w:eastAsia="zh-CN"/>
              </w:rPr>
              <w:t>358</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，其中：</w:t>
            </w:r>
            <w:r>
              <w:rPr>
                <w:rFonts w:hint="eastAsia" w:ascii="Times New Roman" w:hAnsi="Times New Roman" w:eastAsia="宋体" w:cs="Times New Roman"/>
                <w:color w:val="auto"/>
                <w:sz w:val="24"/>
                <w:highlight w:val="none"/>
                <w:lang w:val="en-US" w:eastAsia="zh-CN"/>
              </w:rPr>
              <w:t>“其他（仅分割、焊接、组装的除外；年用非溶剂型低</w:t>
            </w:r>
            <w:r>
              <w:rPr>
                <w:rFonts w:hint="default" w:ascii="Times New Roman" w:hAnsi="Times New Roman" w:eastAsia="宋体" w:cs="Times New Roman"/>
                <w:color w:val="auto"/>
                <w:sz w:val="24"/>
                <w:highlight w:val="none"/>
                <w:lang w:val="en-US" w:eastAsia="zh-CN"/>
              </w:rPr>
              <w:t>VOCs</w:t>
            </w:r>
            <w:r>
              <w:rPr>
                <w:rFonts w:hint="eastAsia" w:ascii="Times New Roman" w:hAnsi="Times New Roman" w:eastAsia="宋体" w:cs="Times New Roman"/>
                <w:color w:val="auto"/>
                <w:sz w:val="24"/>
                <w:highlight w:val="none"/>
                <w:lang w:val="en-US" w:eastAsia="zh-CN"/>
              </w:rPr>
              <w:t>含量涂料</w:t>
            </w:r>
            <w:r>
              <w:rPr>
                <w:rFonts w:hint="default" w:ascii="Times New Roman" w:hAnsi="Times New Roman" w:eastAsia="宋体" w:cs="Times New Roman"/>
                <w:color w:val="auto"/>
                <w:sz w:val="24"/>
                <w:highlight w:val="none"/>
                <w:lang w:val="en-US" w:eastAsia="zh-CN"/>
              </w:rPr>
              <w:t>10</w:t>
            </w:r>
            <w:r>
              <w:rPr>
                <w:rFonts w:hint="eastAsia" w:ascii="Times New Roman" w:hAnsi="Times New Roman" w:eastAsia="宋体" w:cs="Times New Roman"/>
                <w:color w:val="auto"/>
                <w:sz w:val="24"/>
                <w:highlight w:val="none"/>
                <w:lang w:val="en-US" w:eastAsia="zh-CN"/>
              </w:rPr>
              <w:t>吨以下的除外）”</w:t>
            </w:r>
            <w:r>
              <w:rPr>
                <w:rFonts w:hint="default" w:ascii="Times New Roman" w:hAnsi="Times New Roman" w:eastAsia="宋体" w:cs="Times New Roman"/>
                <w:color w:val="auto"/>
                <w:sz w:val="24"/>
                <w:highlight w:val="none"/>
                <w:lang w:val="en-US" w:eastAsia="zh-CN"/>
              </w:rPr>
              <w:t>应编制环境影响报告表。本项目为</w:t>
            </w:r>
            <w:r>
              <w:rPr>
                <w:rFonts w:hint="eastAsia" w:ascii="Times New Roman" w:hAnsi="Times New Roman" w:eastAsia="宋体" w:cs="Times New Roman"/>
                <w:color w:val="auto"/>
                <w:sz w:val="24"/>
                <w:highlight w:val="none"/>
                <w:lang w:val="en-US" w:eastAsia="zh-CN"/>
              </w:rPr>
              <w:t>医疗仪器设备及器械制造</w:t>
            </w:r>
            <w:r>
              <w:rPr>
                <w:rFonts w:hint="default" w:ascii="Times New Roman" w:hAnsi="Times New Roman" w:eastAsia="宋体" w:cs="Times New Roman"/>
                <w:color w:val="auto"/>
                <w:sz w:val="24"/>
                <w:highlight w:val="none"/>
                <w:lang w:val="en-US" w:eastAsia="zh-CN"/>
              </w:rPr>
              <w:t>项目，</w:t>
            </w:r>
            <w:r>
              <w:rPr>
                <w:rFonts w:hint="eastAsia" w:ascii="Times New Roman" w:hAnsi="Times New Roman" w:eastAsia="宋体" w:cs="Times New Roman"/>
                <w:color w:val="auto"/>
                <w:sz w:val="24"/>
                <w:highlight w:val="none"/>
                <w:lang w:val="en-US" w:eastAsia="zh-CN"/>
              </w:rPr>
              <w:t>研发生产过程有发酵、检测等</w:t>
            </w:r>
            <w:r>
              <w:rPr>
                <w:rFonts w:hint="default" w:ascii="Times New Roman" w:hAnsi="Times New Roman" w:eastAsia="宋体" w:cs="Times New Roman"/>
                <w:color w:val="auto"/>
                <w:sz w:val="24"/>
                <w:highlight w:val="none"/>
                <w:lang w:val="en-US" w:eastAsia="zh-CN"/>
              </w:rPr>
              <w:t>，应编制环境影响报告表。</w:t>
            </w:r>
          </w:p>
          <w:p w14:paraId="3597A069">
            <w:pPr>
              <w:numPr>
                <w:ilvl w:val="0"/>
                <w:numId w:val="12"/>
              </w:numPr>
              <w:tabs>
                <w:tab w:val="left" w:pos="0"/>
              </w:tabs>
              <w:adjustRightInd w:val="0"/>
              <w:snapToGrid w:val="0"/>
              <w:spacing w:line="360" w:lineRule="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建设内容</w:t>
            </w:r>
          </w:p>
          <w:p w14:paraId="04F8DA1B">
            <w:pPr>
              <w:adjustRightInd w:val="0"/>
              <w:snapToGrid w:val="0"/>
              <w:spacing w:line="360" w:lineRule="auto"/>
              <w:ind w:firstLine="360" w:firstLineChars="15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本项目建设内容详见下表。</w:t>
            </w:r>
          </w:p>
          <w:p w14:paraId="59D3FEC5">
            <w:pPr>
              <w:numPr>
                <w:ilvl w:val="0"/>
                <w:numId w:val="13"/>
              </w:numPr>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项目建设内容一览表</w:t>
            </w:r>
          </w:p>
          <w:tbl>
            <w:tblPr>
              <w:tblStyle w:val="23"/>
              <w:tblW w:w="49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
            <w:tblGrid>
              <w:gridCol w:w="746"/>
              <w:gridCol w:w="1508"/>
              <w:gridCol w:w="4712"/>
              <w:gridCol w:w="848"/>
            </w:tblGrid>
            <w:tr w14:paraId="6A412D9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97" w:hRule="atLeast"/>
                <w:tblHeader/>
                <w:jc w:val="center"/>
              </w:trPr>
              <w:tc>
                <w:tcPr>
                  <w:tcW w:w="746" w:type="dxa"/>
                  <w:tcBorders>
                    <w:tl2br w:val="nil"/>
                    <w:tr2bl w:val="nil"/>
                  </w:tcBorders>
                  <w:shd w:val="clear" w:color="auto" w:fill="FFFFFF"/>
                  <w:noWrap w:val="0"/>
                  <w:vAlign w:val="center"/>
                </w:tcPr>
                <w:p w14:paraId="7C0B992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b/>
                      <w:bCs w:val="0"/>
                      <w:color w:val="auto"/>
                      <w:highlight w:val="none"/>
                    </w:rPr>
                  </w:pPr>
                  <w:r>
                    <w:rPr>
                      <w:b/>
                      <w:bCs w:val="0"/>
                      <w:color w:val="auto"/>
                      <w:highlight w:val="none"/>
                    </w:rPr>
                    <w:t>工程</w:t>
                  </w:r>
                </w:p>
                <w:p w14:paraId="426031A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b/>
                      <w:bCs w:val="0"/>
                      <w:color w:val="auto"/>
                      <w:highlight w:val="none"/>
                      <w:lang w:eastAsia="zh-CN"/>
                    </w:rPr>
                  </w:pPr>
                  <w:r>
                    <w:rPr>
                      <w:rFonts w:hint="eastAsia"/>
                      <w:b/>
                      <w:bCs w:val="0"/>
                      <w:color w:val="auto"/>
                      <w:highlight w:val="none"/>
                      <w:lang w:eastAsia="zh-CN"/>
                    </w:rPr>
                    <w:t>类别</w:t>
                  </w:r>
                </w:p>
              </w:tc>
              <w:tc>
                <w:tcPr>
                  <w:tcW w:w="1508" w:type="dxa"/>
                  <w:tcBorders>
                    <w:tl2br w:val="nil"/>
                    <w:tr2bl w:val="nil"/>
                  </w:tcBorders>
                  <w:shd w:val="clear" w:color="auto" w:fill="FFFFFF"/>
                  <w:noWrap w:val="0"/>
                  <w:vAlign w:val="center"/>
                </w:tcPr>
                <w:p w14:paraId="4DEC844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b/>
                      <w:bCs w:val="0"/>
                      <w:color w:val="auto"/>
                      <w:highlight w:val="none"/>
                    </w:rPr>
                  </w:pPr>
                  <w:r>
                    <w:rPr>
                      <w:b/>
                      <w:bCs w:val="0"/>
                      <w:color w:val="auto"/>
                      <w:highlight w:val="none"/>
                    </w:rPr>
                    <w:t>工程名称</w:t>
                  </w:r>
                </w:p>
              </w:tc>
              <w:tc>
                <w:tcPr>
                  <w:tcW w:w="4712" w:type="dxa"/>
                  <w:tcBorders>
                    <w:tl2br w:val="nil"/>
                    <w:tr2bl w:val="nil"/>
                  </w:tcBorders>
                  <w:shd w:val="clear" w:color="auto" w:fill="FFFFFF"/>
                  <w:noWrap w:val="0"/>
                  <w:vAlign w:val="center"/>
                </w:tcPr>
                <w:p w14:paraId="0C07BED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b/>
                      <w:bCs w:val="0"/>
                      <w:color w:val="auto"/>
                      <w:highlight w:val="none"/>
                    </w:rPr>
                  </w:pPr>
                  <w:r>
                    <w:rPr>
                      <w:b/>
                      <w:bCs w:val="0"/>
                      <w:color w:val="auto"/>
                      <w:highlight w:val="none"/>
                    </w:rPr>
                    <w:t>工程内容</w:t>
                  </w:r>
                  <w:r>
                    <w:rPr>
                      <w:rFonts w:hint="eastAsia"/>
                      <w:b/>
                      <w:bCs w:val="0"/>
                      <w:color w:val="auto"/>
                      <w:highlight w:val="none"/>
                      <w:lang w:eastAsia="zh-CN"/>
                    </w:rPr>
                    <w:t>及</w:t>
                  </w:r>
                  <w:r>
                    <w:rPr>
                      <w:b/>
                      <w:bCs w:val="0"/>
                      <w:color w:val="auto"/>
                      <w:highlight w:val="none"/>
                    </w:rPr>
                    <w:t>规模</w:t>
                  </w:r>
                </w:p>
              </w:tc>
              <w:tc>
                <w:tcPr>
                  <w:tcW w:w="848" w:type="dxa"/>
                  <w:tcBorders>
                    <w:tl2br w:val="nil"/>
                    <w:tr2bl w:val="nil"/>
                  </w:tcBorders>
                  <w:shd w:val="clear" w:color="auto" w:fill="FFFFFF"/>
                  <w:noWrap w:val="0"/>
                  <w:vAlign w:val="center"/>
                </w:tcPr>
                <w:p w14:paraId="48DFCD8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b/>
                      <w:bCs w:val="0"/>
                      <w:color w:val="auto"/>
                      <w:highlight w:val="none"/>
                      <w:lang w:val="en-US" w:eastAsia="zh-CN"/>
                    </w:rPr>
                  </w:pPr>
                  <w:r>
                    <w:rPr>
                      <w:rFonts w:hint="eastAsia"/>
                      <w:b/>
                      <w:bCs w:val="0"/>
                      <w:color w:val="auto"/>
                      <w:highlight w:val="none"/>
                      <w:lang w:val="en-US" w:eastAsia="zh-CN"/>
                    </w:rPr>
                    <w:t>依托</w:t>
                  </w:r>
                </w:p>
                <w:p w14:paraId="13FC523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b/>
                      <w:bCs w:val="0"/>
                      <w:color w:val="auto"/>
                      <w:highlight w:val="none"/>
                      <w:lang w:eastAsia="zh-CN"/>
                    </w:rPr>
                  </w:pPr>
                  <w:r>
                    <w:rPr>
                      <w:rFonts w:hint="eastAsia"/>
                      <w:b/>
                      <w:bCs w:val="0"/>
                      <w:color w:val="auto"/>
                      <w:highlight w:val="none"/>
                      <w:lang w:val="en-US" w:eastAsia="zh-CN"/>
                    </w:rPr>
                    <w:t>关系</w:t>
                  </w:r>
                </w:p>
              </w:tc>
            </w:tr>
            <w:tr w14:paraId="0DA9515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tcBorders>
                    <w:tl2br w:val="nil"/>
                    <w:tr2bl w:val="nil"/>
                  </w:tcBorders>
                  <w:shd w:val="clear" w:color="auto" w:fill="FFFFFF"/>
                  <w:noWrap w:val="0"/>
                  <w:vAlign w:val="center"/>
                </w:tcPr>
                <w:p w14:paraId="1AC6F36A">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color w:val="auto"/>
                      <w:highlight w:val="none"/>
                      <w:lang w:val="en-US" w:eastAsia="zh-CN"/>
                    </w:rPr>
                  </w:pPr>
                  <w:r>
                    <w:rPr>
                      <w:rFonts w:hint="eastAsia"/>
                      <w:color w:val="auto"/>
                      <w:highlight w:val="none"/>
                      <w:lang w:val="en-US" w:eastAsia="zh-CN"/>
                    </w:rPr>
                    <w:t>主体</w:t>
                  </w:r>
                </w:p>
                <w:p w14:paraId="1FB66F3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color w:val="auto"/>
                      <w:highlight w:val="none"/>
                      <w:lang w:val="en-US" w:eastAsia="zh-CN"/>
                    </w:rPr>
                  </w:pPr>
                  <w:r>
                    <w:rPr>
                      <w:rFonts w:hint="eastAsia"/>
                      <w:color w:val="auto"/>
                      <w:highlight w:val="none"/>
                      <w:lang w:val="en-US" w:eastAsia="zh-CN"/>
                    </w:rPr>
                    <w:t>工程</w:t>
                  </w:r>
                </w:p>
              </w:tc>
              <w:tc>
                <w:tcPr>
                  <w:tcW w:w="1508" w:type="dxa"/>
                  <w:tcBorders>
                    <w:tl2br w:val="nil"/>
                    <w:tr2bl w:val="nil"/>
                  </w:tcBorders>
                  <w:shd w:val="clear" w:color="auto" w:fill="FFFFFF"/>
                  <w:noWrap w:val="0"/>
                  <w:vAlign w:val="center"/>
                </w:tcPr>
                <w:p w14:paraId="0C2725F9">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highlight w:val="none"/>
                      <w:lang w:val="en-US" w:eastAsia="zh-CN"/>
                    </w:rPr>
                  </w:pPr>
                  <w:r>
                    <w:rPr>
                      <w:rFonts w:hint="eastAsia"/>
                      <w:color w:val="auto"/>
                      <w:highlight w:val="none"/>
                      <w:lang w:val="en-US" w:eastAsia="zh-CN"/>
                    </w:rPr>
                    <w:t>研发生产区</w:t>
                  </w:r>
                </w:p>
              </w:tc>
              <w:tc>
                <w:tcPr>
                  <w:tcW w:w="4712" w:type="dxa"/>
                  <w:tcBorders>
                    <w:tl2br w:val="nil"/>
                    <w:tr2bl w:val="nil"/>
                  </w:tcBorders>
                  <w:shd w:val="clear" w:color="auto" w:fill="FFFFFF"/>
                  <w:noWrap w:val="0"/>
                  <w:vAlign w:val="center"/>
                </w:tcPr>
                <w:p w14:paraId="3ED6185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color w:val="auto"/>
                      <w:highlight w:val="none"/>
                      <w:lang w:val="en-US" w:eastAsia="zh-CN"/>
                    </w:rPr>
                  </w:pPr>
                  <w:r>
                    <w:rPr>
                      <w:rFonts w:hint="eastAsia"/>
                      <w:color w:val="auto"/>
                      <w:highlight w:val="none"/>
                      <w:lang w:val="en-US" w:eastAsia="zh-CN"/>
                    </w:rPr>
                    <w:t>发酵间15.6m</w:t>
                  </w:r>
                  <w:r>
                    <w:rPr>
                      <w:rFonts w:hint="eastAsia"/>
                      <w:color w:val="auto"/>
                      <w:highlight w:val="none"/>
                      <w:vertAlign w:val="superscript"/>
                      <w:lang w:val="en-US" w:eastAsia="zh-CN"/>
                    </w:rPr>
                    <w:t>2</w:t>
                  </w:r>
                  <w:r>
                    <w:rPr>
                      <w:rFonts w:hint="eastAsia"/>
                      <w:color w:val="auto"/>
                      <w:highlight w:val="none"/>
                      <w:lang w:val="en-US" w:eastAsia="zh-CN"/>
                    </w:rPr>
                    <w:t>，纯化间16.96m</w:t>
                  </w:r>
                  <w:r>
                    <w:rPr>
                      <w:rFonts w:hint="eastAsia"/>
                      <w:color w:val="auto"/>
                      <w:highlight w:val="none"/>
                      <w:vertAlign w:val="superscript"/>
                      <w:lang w:val="en-US" w:eastAsia="zh-CN"/>
                    </w:rPr>
                    <w:t>2</w:t>
                  </w:r>
                  <w:r>
                    <w:rPr>
                      <w:rFonts w:hint="eastAsia"/>
                      <w:color w:val="auto"/>
                      <w:highlight w:val="none"/>
                      <w:lang w:val="en-US" w:eastAsia="zh-CN"/>
                    </w:rPr>
                    <w:t>，灭菌间17.06m</w:t>
                  </w:r>
                  <w:r>
                    <w:rPr>
                      <w:rFonts w:hint="eastAsia"/>
                      <w:color w:val="auto"/>
                      <w:highlight w:val="none"/>
                      <w:vertAlign w:val="superscript"/>
                      <w:lang w:val="en-US" w:eastAsia="zh-CN"/>
                    </w:rPr>
                    <w:t>2</w:t>
                  </w:r>
                  <w:r>
                    <w:rPr>
                      <w:rFonts w:hint="eastAsia"/>
                      <w:color w:val="auto"/>
                      <w:highlight w:val="none"/>
                      <w:lang w:val="en-US" w:eastAsia="zh-CN"/>
                    </w:rPr>
                    <w:t>，配液灌装间25.36m</w:t>
                  </w:r>
                  <w:r>
                    <w:rPr>
                      <w:rFonts w:hint="eastAsia"/>
                      <w:color w:val="auto"/>
                      <w:highlight w:val="none"/>
                      <w:vertAlign w:val="superscript"/>
                      <w:lang w:val="en-US" w:eastAsia="zh-CN"/>
                    </w:rPr>
                    <w:t>2</w:t>
                  </w:r>
                  <w:r>
                    <w:rPr>
                      <w:rFonts w:hint="eastAsia"/>
                      <w:color w:val="auto"/>
                      <w:highlight w:val="none"/>
                      <w:lang w:val="en-US" w:eastAsia="zh-CN"/>
                    </w:rPr>
                    <w:t>，外包间30.26m</w:t>
                  </w:r>
                  <w:r>
                    <w:rPr>
                      <w:rFonts w:hint="eastAsia"/>
                      <w:color w:val="auto"/>
                      <w:highlight w:val="none"/>
                      <w:vertAlign w:val="superscript"/>
                      <w:lang w:val="en-US" w:eastAsia="zh-CN"/>
                    </w:rPr>
                    <w:t>2</w:t>
                  </w:r>
                  <w:r>
                    <w:rPr>
                      <w:rFonts w:hint="eastAsia"/>
                      <w:color w:val="auto"/>
                      <w:highlight w:val="none"/>
                      <w:lang w:val="en-US" w:eastAsia="zh-CN"/>
                    </w:rPr>
                    <w:t>，研发综合实验室54.63m</w:t>
                  </w:r>
                  <w:r>
                    <w:rPr>
                      <w:rFonts w:hint="eastAsia"/>
                      <w:color w:val="auto"/>
                      <w:highlight w:val="none"/>
                      <w:vertAlign w:val="superscript"/>
                      <w:lang w:val="en-US" w:eastAsia="zh-CN"/>
                    </w:rPr>
                    <w:t>2</w:t>
                  </w:r>
                  <w:r>
                    <w:rPr>
                      <w:rFonts w:hint="eastAsia"/>
                      <w:color w:val="auto"/>
                      <w:highlight w:val="none"/>
                      <w:lang w:val="en-US" w:eastAsia="zh-CN"/>
                    </w:rPr>
                    <w:t>，仪器组装车间64.12m</w:t>
                  </w:r>
                  <w:r>
                    <w:rPr>
                      <w:rFonts w:hint="eastAsia"/>
                      <w:color w:val="auto"/>
                      <w:highlight w:val="none"/>
                      <w:vertAlign w:val="superscript"/>
                      <w:lang w:val="en-US" w:eastAsia="zh-CN"/>
                    </w:rPr>
                    <w:t>2</w:t>
                  </w:r>
                  <w:r>
                    <w:rPr>
                      <w:rFonts w:hint="eastAsia"/>
                      <w:color w:val="auto"/>
                      <w:highlight w:val="none"/>
                      <w:lang w:val="en-US" w:eastAsia="zh-CN"/>
                    </w:rPr>
                    <w:t>。</w:t>
                  </w:r>
                </w:p>
              </w:tc>
              <w:tc>
                <w:tcPr>
                  <w:tcW w:w="848" w:type="dxa"/>
                  <w:tcBorders>
                    <w:tl2br w:val="nil"/>
                    <w:tr2bl w:val="nil"/>
                  </w:tcBorders>
                  <w:shd w:val="clear" w:color="auto" w:fill="FFFFFF"/>
                  <w:noWrap w:val="0"/>
                  <w:vAlign w:val="center"/>
                </w:tcPr>
                <w:p w14:paraId="55C46F2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新建</w:t>
                  </w:r>
                </w:p>
              </w:tc>
            </w:tr>
            <w:tr w14:paraId="5943778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restart"/>
                  <w:tcBorders>
                    <w:tl2br w:val="nil"/>
                    <w:tr2bl w:val="nil"/>
                  </w:tcBorders>
                  <w:shd w:val="clear" w:color="auto" w:fill="FFFFFF"/>
                  <w:noWrap w:val="0"/>
                  <w:vAlign w:val="center"/>
                </w:tcPr>
                <w:p w14:paraId="46CD570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公用</w:t>
                  </w:r>
                </w:p>
                <w:p w14:paraId="3E46F4F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工程</w:t>
                  </w:r>
                </w:p>
              </w:tc>
              <w:tc>
                <w:tcPr>
                  <w:tcW w:w="1508" w:type="dxa"/>
                  <w:tcBorders>
                    <w:tl2br w:val="nil"/>
                    <w:tr2bl w:val="nil"/>
                  </w:tcBorders>
                  <w:shd w:val="clear" w:color="auto" w:fill="FFFFFF"/>
                  <w:noWrap w:val="0"/>
                  <w:vAlign w:val="center"/>
                </w:tcPr>
                <w:p w14:paraId="49DCCB0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给水系统</w:t>
                  </w:r>
                </w:p>
              </w:tc>
              <w:tc>
                <w:tcPr>
                  <w:tcW w:w="4712" w:type="dxa"/>
                  <w:tcBorders>
                    <w:tl2br w:val="nil"/>
                    <w:tr2bl w:val="nil"/>
                  </w:tcBorders>
                  <w:shd w:val="clear" w:color="auto" w:fill="FFFFFF"/>
                  <w:noWrap w:val="0"/>
                  <w:vAlign w:val="center"/>
                </w:tcPr>
                <w:p w14:paraId="24B323E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color w:val="auto"/>
                      <w:highlight w:val="none"/>
                      <w:lang w:val="en-US" w:eastAsia="zh-CN"/>
                    </w:rPr>
                  </w:pPr>
                  <w:r>
                    <w:rPr>
                      <w:rFonts w:hint="eastAsia"/>
                      <w:color w:val="auto"/>
                      <w:highlight w:val="none"/>
                      <w:lang w:val="en-US" w:eastAsia="zh-CN"/>
                    </w:rPr>
                    <w:t>依托市政给水系统。</w:t>
                  </w:r>
                </w:p>
              </w:tc>
              <w:tc>
                <w:tcPr>
                  <w:tcW w:w="848" w:type="dxa"/>
                  <w:tcBorders>
                    <w:tl2br w:val="nil"/>
                    <w:tr2bl w:val="nil"/>
                  </w:tcBorders>
                  <w:shd w:val="clear" w:color="auto" w:fill="FFFFFF"/>
                  <w:noWrap w:val="0"/>
                  <w:vAlign w:val="center"/>
                </w:tcPr>
                <w:p w14:paraId="1A91C6C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依托</w:t>
                  </w:r>
                </w:p>
              </w:tc>
            </w:tr>
            <w:tr w14:paraId="33D88DD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continue"/>
                  <w:tcBorders>
                    <w:tl2br w:val="nil"/>
                    <w:tr2bl w:val="nil"/>
                  </w:tcBorders>
                  <w:shd w:val="clear" w:color="auto" w:fill="FFFFFF"/>
                  <w:noWrap w:val="0"/>
                  <w:vAlign w:val="center"/>
                </w:tcPr>
                <w:p w14:paraId="38A61C8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p>
              </w:tc>
              <w:tc>
                <w:tcPr>
                  <w:tcW w:w="1508" w:type="dxa"/>
                  <w:tcBorders>
                    <w:tl2br w:val="nil"/>
                    <w:tr2bl w:val="nil"/>
                  </w:tcBorders>
                  <w:shd w:val="clear" w:color="auto" w:fill="FFFFFF"/>
                  <w:noWrap w:val="0"/>
                  <w:vAlign w:val="center"/>
                </w:tcPr>
                <w:p w14:paraId="7E67A71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排水系统</w:t>
                  </w:r>
                </w:p>
              </w:tc>
              <w:tc>
                <w:tcPr>
                  <w:tcW w:w="4712" w:type="dxa"/>
                  <w:tcBorders>
                    <w:tl2br w:val="nil"/>
                    <w:tr2bl w:val="nil"/>
                  </w:tcBorders>
                  <w:shd w:val="clear" w:color="auto" w:fill="FFFFFF"/>
                  <w:noWrap w:val="0"/>
                  <w:vAlign w:val="center"/>
                </w:tcPr>
                <w:p w14:paraId="4F3A2841">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color w:val="auto"/>
                      <w:highlight w:val="none"/>
                    </w:rPr>
                  </w:pPr>
                  <w:r>
                    <w:rPr>
                      <w:rFonts w:hint="eastAsia"/>
                      <w:color w:val="auto"/>
                      <w:highlight w:val="none"/>
                      <w:lang w:val="en-US" w:eastAsia="zh-CN"/>
                    </w:rPr>
                    <w:t>容器前遍清洗废水收集作危废处置，容器第三遍及以后清洗废水、生活污水、高压蒸汽灭菌废水</w:t>
                  </w:r>
                  <w:r>
                    <w:rPr>
                      <w:rFonts w:hint="eastAsia" w:cs="Times New Roman"/>
                      <w:color w:val="auto"/>
                      <w:kern w:val="0"/>
                      <w:szCs w:val="21"/>
                      <w:highlight w:val="none"/>
                      <w:lang w:val="en-US" w:eastAsia="zh-CN" w:bidi="ar"/>
                    </w:rPr>
                    <w:t>、纯水制备废水</w:t>
                  </w:r>
                  <w:r>
                    <w:rPr>
                      <w:rFonts w:hint="eastAsia"/>
                      <w:color w:val="auto"/>
                      <w:highlight w:val="none"/>
                      <w:lang w:val="en-US" w:eastAsia="zh-CN"/>
                    </w:rPr>
                    <w:t>一起排入园区化粪池，经市政管网进金桥基地第一污水处理厂进一步处理。</w:t>
                  </w:r>
                </w:p>
              </w:tc>
              <w:tc>
                <w:tcPr>
                  <w:tcW w:w="848" w:type="dxa"/>
                  <w:tcBorders>
                    <w:tl2br w:val="nil"/>
                    <w:tr2bl w:val="nil"/>
                  </w:tcBorders>
                  <w:shd w:val="clear" w:color="auto" w:fill="FFFFFF"/>
                  <w:noWrap w:val="0"/>
                  <w:vAlign w:val="center"/>
                </w:tcPr>
                <w:p w14:paraId="3A05F2B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依托</w:t>
                  </w:r>
                </w:p>
              </w:tc>
            </w:tr>
            <w:tr w14:paraId="1CBE24C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continue"/>
                  <w:tcBorders>
                    <w:tl2br w:val="nil"/>
                    <w:tr2bl w:val="nil"/>
                  </w:tcBorders>
                  <w:shd w:val="clear" w:color="auto" w:fill="FFFFFF"/>
                  <w:noWrap w:val="0"/>
                  <w:vAlign w:val="center"/>
                </w:tcPr>
                <w:p w14:paraId="606D228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p>
              </w:tc>
              <w:tc>
                <w:tcPr>
                  <w:tcW w:w="1508" w:type="dxa"/>
                  <w:tcBorders>
                    <w:tl2br w:val="nil"/>
                    <w:tr2bl w:val="nil"/>
                  </w:tcBorders>
                  <w:shd w:val="clear" w:color="auto" w:fill="FFFFFF"/>
                  <w:noWrap w:val="0"/>
                  <w:vAlign w:val="center"/>
                </w:tcPr>
                <w:p w14:paraId="7F71FBB8">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供电系统</w:t>
                  </w:r>
                </w:p>
              </w:tc>
              <w:tc>
                <w:tcPr>
                  <w:tcW w:w="4712" w:type="dxa"/>
                  <w:tcBorders>
                    <w:tl2br w:val="nil"/>
                    <w:tr2bl w:val="nil"/>
                  </w:tcBorders>
                  <w:shd w:val="clear" w:color="auto" w:fill="FFFFFF"/>
                  <w:noWrap w:val="0"/>
                  <w:vAlign w:val="center"/>
                </w:tcPr>
                <w:p w14:paraId="376C125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color w:val="auto"/>
                      <w:highlight w:val="none"/>
                    </w:rPr>
                  </w:pPr>
                  <w:r>
                    <w:rPr>
                      <w:rFonts w:hint="eastAsia"/>
                      <w:color w:val="auto"/>
                      <w:highlight w:val="none"/>
                      <w:lang w:val="en-US" w:eastAsia="zh-CN"/>
                    </w:rPr>
                    <w:t>依托市政</w:t>
                  </w:r>
                  <w:r>
                    <w:rPr>
                      <w:rFonts w:hint="eastAsia"/>
                      <w:color w:val="auto"/>
                      <w:highlight w:val="none"/>
                    </w:rPr>
                    <w:t>电力系统</w:t>
                  </w:r>
                  <w:r>
                    <w:rPr>
                      <w:rFonts w:hint="eastAsia"/>
                      <w:color w:val="auto"/>
                      <w:highlight w:val="none"/>
                      <w:lang w:val="en-US" w:eastAsia="zh-CN"/>
                    </w:rPr>
                    <w:t>。</w:t>
                  </w:r>
                </w:p>
              </w:tc>
              <w:tc>
                <w:tcPr>
                  <w:tcW w:w="848" w:type="dxa"/>
                  <w:tcBorders>
                    <w:tl2br w:val="nil"/>
                    <w:tr2bl w:val="nil"/>
                  </w:tcBorders>
                  <w:shd w:val="clear" w:color="auto" w:fill="FFFFFF"/>
                  <w:noWrap w:val="0"/>
                  <w:vAlign w:val="center"/>
                </w:tcPr>
                <w:p w14:paraId="1216430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依托</w:t>
                  </w:r>
                </w:p>
              </w:tc>
            </w:tr>
            <w:tr w14:paraId="5C74989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continue"/>
                  <w:tcBorders>
                    <w:tl2br w:val="nil"/>
                    <w:tr2bl w:val="nil"/>
                  </w:tcBorders>
                  <w:shd w:val="clear" w:color="auto" w:fill="FFFFFF"/>
                  <w:noWrap w:val="0"/>
                  <w:vAlign w:val="center"/>
                </w:tcPr>
                <w:p w14:paraId="576FA05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p>
              </w:tc>
              <w:tc>
                <w:tcPr>
                  <w:tcW w:w="1508" w:type="dxa"/>
                  <w:tcBorders>
                    <w:tl2br w:val="nil"/>
                    <w:tr2bl w:val="nil"/>
                  </w:tcBorders>
                  <w:shd w:val="clear" w:color="auto" w:fill="FFFFFF"/>
                  <w:noWrap w:val="0"/>
                  <w:vAlign w:val="center"/>
                </w:tcPr>
                <w:p w14:paraId="4D20A761">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采暖供冷</w:t>
                  </w:r>
                </w:p>
              </w:tc>
              <w:tc>
                <w:tcPr>
                  <w:tcW w:w="4712" w:type="dxa"/>
                  <w:tcBorders>
                    <w:tl2br w:val="nil"/>
                    <w:tr2bl w:val="nil"/>
                  </w:tcBorders>
                  <w:shd w:val="clear" w:color="auto" w:fill="FFFFFF"/>
                  <w:noWrap w:val="0"/>
                  <w:vAlign w:val="center"/>
                </w:tcPr>
                <w:p w14:paraId="3684FA5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供暖</w:t>
                  </w:r>
                  <w:r>
                    <w:rPr>
                      <w:rFonts w:hint="eastAsia"/>
                      <w:color w:val="auto"/>
                      <w:highlight w:val="none"/>
                      <w:lang w:val="en-US" w:eastAsia="zh-CN"/>
                    </w:rPr>
                    <w:t>采用</w:t>
                  </w:r>
                  <w:r>
                    <w:rPr>
                      <w:rFonts w:hint="eastAsia" w:cs="Times New Roman"/>
                      <w:color w:val="auto"/>
                      <w:kern w:val="0"/>
                      <w:szCs w:val="21"/>
                      <w:highlight w:val="none"/>
                      <w:lang w:val="en-US" w:eastAsia="zh-CN" w:bidi="ar"/>
                    </w:rPr>
                    <w:t>市政集中供热</w:t>
                  </w:r>
                  <w:r>
                    <w:rPr>
                      <w:rFonts w:hint="eastAsia"/>
                      <w:color w:val="auto"/>
                      <w:highlight w:val="none"/>
                      <w:lang w:eastAsia="zh-CN"/>
                    </w:rPr>
                    <w:t>、制冷</w:t>
                  </w:r>
                  <w:r>
                    <w:rPr>
                      <w:rFonts w:hint="eastAsia"/>
                      <w:color w:val="auto"/>
                      <w:highlight w:val="none"/>
                      <w:lang w:val="en-US" w:eastAsia="zh-CN"/>
                    </w:rPr>
                    <w:t>使用空调。</w:t>
                  </w:r>
                </w:p>
              </w:tc>
              <w:tc>
                <w:tcPr>
                  <w:tcW w:w="848" w:type="dxa"/>
                  <w:tcBorders>
                    <w:tl2br w:val="nil"/>
                    <w:tr2bl w:val="nil"/>
                  </w:tcBorders>
                  <w:shd w:val="clear" w:color="auto" w:fill="FFFFFF"/>
                  <w:noWrap w:val="0"/>
                  <w:vAlign w:val="center"/>
                </w:tcPr>
                <w:p w14:paraId="07D8F4B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新建</w:t>
                  </w:r>
                </w:p>
              </w:tc>
            </w:tr>
            <w:tr w14:paraId="631E013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restart"/>
                  <w:tcBorders>
                    <w:tl2br w:val="nil"/>
                    <w:tr2bl w:val="nil"/>
                  </w:tcBorders>
                  <w:shd w:val="clear" w:color="auto" w:fill="FFFFFF"/>
                  <w:noWrap w:val="0"/>
                  <w:vAlign w:val="center"/>
                </w:tcPr>
                <w:p w14:paraId="37A55718">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环保</w:t>
                  </w:r>
                </w:p>
                <w:p w14:paraId="5C32712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工程</w:t>
                  </w:r>
                </w:p>
              </w:tc>
              <w:tc>
                <w:tcPr>
                  <w:tcW w:w="1508" w:type="dxa"/>
                  <w:tcBorders>
                    <w:tl2br w:val="nil"/>
                    <w:tr2bl w:val="nil"/>
                  </w:tcBorders>
                  <w:shd w:val="clear" w:color="auto" w:fill="FFFFFF"/>
                  <w:noWrap w:val="0"/>
                  <w:vAlign w:val="center"/>
                </w:tcPr>
                <w:p w14:paraId="5038DE3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废气治理</w:t>
                  </w:r>
                </w:p>
              </w:tc>
              <w:tc>
                <w:tcPr>
                  <w:tcW w:w="4712" w:type="dxa"/>
                  <w:tcBorders>
                    <w:tl2br w:val="nil"/>
                    <w:tr2bl w:val="nil"/>
                  </w:tcBorders>
                  <w:shd w:val="clear" w:color="auto" w:fill="FFFFFF"/>
                  <w:noWrap w:val="0"/>
                  <w:vAlign w:val="center"/>
                </w:tcPr>
                <w:p w14:paraId="3C5ECD4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default"/>
                      <w:color w:val="auto"/>
                      <w:highlight w:val="none"/>
                      <w:lang w:val="en-US" w:eastAsia="zh-CN"/>
                    </w:rPr>
                  </w:pPr>
                  <w:r>
                    <w:rPr>
                      <w:rFonts w:hint="eastAsia"/>
                      <w:color w:val="auto"/>
                      <w:highlight w:val="none"/>
                      <w:lang w:val="en-US" w:eastAsia="zh-CN"/>
                    </w:rPr>
                    <w:t>本项目研发实验不涉及挥发性原辅料，室内地面使用新洁尔灭消毒，工作台面及手部使用酒精消毒，酒精产生的挥发性有机废气无组织排放。</w:t>
                  </w:r>
                </w:p>
              </w:tc>
              <w:tc>
                <w:tcPr>
                  <w:tcW w:w="848" w:type="dxa"/>
                  <w:tcBorders>
                    <w:tl2br w:val="nil"/>
                    <w:tr2bl w:val="nil"/>
                  </w:tcBorders>
                  <w:shd w:val="clear" w:color="auto" w:fill="FFFFFF"/>
                  <w:noWrap w:val="0"/>
                  <w:vAlign w:val="center"/>
                </w:tcPr>
                <w:p w14:paraId="07AC82C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新建</w:t>
                  </w:r>
                </w:p>
              </w:tc>
            </w:tr>
            <w:tr w14:paraId="3324307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continue"/>
                  <w:tcBorders>
                    <w:tl2br w:val="nil"/>
                    <w:tr2bl w:val="nil"/>
                  </w:tcBorders>
                  <w:shd w:val="clear" w:color="auto" w:fill="FFFFFF"/>
                  <w:noWrap w:val="0"/>
                  <w:vAlign w:val="center"/>
                </w:tcPr>
                <w:p w14:paraId="14FA7EB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p>
              </w:tc>
              <w:tc>
                <w:tcPr>
                  <w:tcW w:w="1508" w:type="dxa"/>
                  <w:tcBorders>
                    <w:tl2br w:val="nil"/>
                    <w:tr2bl w:val="nil"/>
                  </w:tcBorders>
                  <w:shd w:val="clear" w:color="auto" w:fill="FFFFFF"/>
                  <w:noWrap w:val="0"/>
                  <w:vAlign w:val="center"/>
                </w:tcPr>
                <w:p w14:paraId="64C3C08E">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废水治理</w:t>
                  </w:r>
                </w:p>
              </w:tc>
              <w:tc>
                <w:tcPr>
                  <w:tcW w:w="4712" w:type="dxa"/>
                  <w:tcBorders>
                    <w:tl2br w:val="nil"/>
                    <w:tr2bl w:val="nil"/>
                  </w:tcBorders>
                  <w:shd w:val="clear" w:color="auto" w:fill="FFFFFF"/>
                  <w:noWrap w:val="0"/>
                  <w:vAlign w:val="center"/>
                </w:tcPr>
                <w:p w14:paraId="3694DE6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default" w:eastAsia="宋体"/>
                      <w:color w:val="auto"/>
                      <w:highlight w:val="none"/>
                      <w:lang w:val="en-US" w:eastAsia="zh-CN"/>
                    </w:rPr>
                  </w:pPr>
                  <w:r>
                    <w:rPr>
                      <w:rFonts w:hint="eastAsia" w:eastAsia="宋体"/>
                      <w:color w:val="auto"/>
                      <w:highlight w:val="none"/>
                      <w:lang w:val="en-US" w:eastAsia="zh-CN"/>
                    </w:rPr>
                    <w:t>容器前两遍清洗废水收集作危废处置，容器第三遍及以后清洗废水、高压蒸汽灭菌废水</w:t>
                  </w:r>
                  <w:r>
                    <w:rPr>
                      <w:rFonts w:hint="eastAsia" w:cs="Times New Roman"/>
                      <w:color w:val="auto"/>
                      <w:kern w:val="0"/>
                      <w:szCs w:val="21"/>
                      <w:highlight w:val="none"/>
                      <w:lang w:val="en-US" w:eastAsia="zh-CN" w:bidi="ar"/>
                    </w:rPr>
                    <w:t>、纯水制备废水</w:t>
                  </w:r>
                  <w:r>
                    <w:rPr>
                      <w:rFonts w:hint="eastAsia" w:eastAsia="宋体"/>
                      <w:color w:val="auto"/>
                      <w:highlight w:val="none"/>
                      <w:lang w:val="en-US" w:eastAsia="zh-CN"/>
                    </w:rPr>
                    <w:t>与生活污水一起排入园区化粪池，经市政管网进</w:t>
                  </w:r>
                  <w:r>
                    <w:rPr>
                      <w:rFonts w:hint="eastAsia"/>
                      <w:color w:val="auto"/>
                      <w:highlight w:val="none"/>
                      <w:lang w:val="en-US" w:eastAsia="zh-CN"/>
                    </w:rPr>
                    <w:t>金桥基地第一污水处理厂</w:t>
                  </w:r>
                  <w:r>
                    <w:rPr>
                      <w:rFonts w:hint="eastAsia" w:eastAsia="宋体"/>
                      <w:color w:val="auto"/>
                      <w:highlight w:val="none"/>
                      <w:lang w:val="en-US" w:eastAsia="zh-CN"/>
                    </w:rPr>
                    <w:t>进一步处理</w:t>
                  </w:r>
                  <w:r>
                    <w:rPr>
                      <w:rFonts w:hint="eastAsia"/>
                      <w:color w:val="auto"/>
                      <w:highlight w:val="none"/>
                      <w:lang w:val="en-US" w:eastAsia="zh-CN"/>
                    </w:rPr>
                    <w:t>。</w:t>
                  </w:r>
                </w:p>
              </w:tc>
              <w:tc>
                <w:tcPr>
                  <w:tcW w:w="848" w:type="dxa"/>
                  <w:tcBorders>
                    <w:tl2br w:val="nil"/>
                    <w:tr2bl w:val="nil"/>
                  </w:tcBorders>
                  <w:shd w:val="clear" w:color="auto" w:fill="FFFFFF"/>
                  <w:noWrap w:val="0"/>
                  <w:vAlign w:val="center"/>
                </w:tcPr>
                <w:p w14:paraId="0FDE005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新建</w:t>
                  </w:r>
                </w:p>
              </w:tc>
            </w:tr>
            <w:tr w14:paraId="6FDBC15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continue"/>
                  <w:tcBorders>
                    <w:tl2br w:val="nil"/>
                    <w:tr2bl w:val="nil"/>
                  </w:tcBorders>
                  <w:shd w:val="clear" w:color="auto" w:fill="FFFFFF"/>
                  <w:noWrap w:val="0"/>
                  <w:vAlign w:val="center"/>
                </w:tcPr>
                <w:p w14:paraId="5F70DE2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p>
              </w:tc>
              <w:tc>
                <w:tcPr>
                  <w:tcW w:w="1508" w:type="dxa"/>
                  <w:tcBorders>
                    <w:tl2br w:val="nil"/>
                    <w:tr2bl w:val="nil"/>
                  </w:tcBorders>
                  <w:shd w:val="clear" w:color="auto" w:fill="FFFFFF"/>
                  <w:noWrap w:val="0"/>
                  <w:vAlign w:val="center"/>
                </w:tcPr>
                <w:p w14:paraId="7FF48E7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固废处置</w:t>
                  </w:r>
                </w:p>
              </w:tc>
              <w:tc>
                <w:tcPr>
                  <w:tcW w:w="4712" w:type="dxa"/>
                  <w:tcBorders>
                    <w:tl2br w:val="nil"/>
                    <w:tr2bl w:val="nil"/>
                  </w:tcBorders>
                  <w:shd w:val="clear" w:color="auto" w:fill="FFFFFF"/>
                  <w:noWrap w:val="0"/>
                  <w:vAlign w:val="center"/>
                </w:tcPr>
                <w:p w14:paraId="51BDC38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default" w:eastAsia="宋体"/>
                      <w:color w:val="auto"/>
                      <w:highlight w:val="none"/>
                      <w:lang w:val="en-US" w:eastAsia="zh-CN"/>
                    </w:rPr>
                  </w:pPr>
                  <w:r>
                    <w:rPr>
                      <w:rFonts w:hint="eastAsia" w:eastAsia="宋体"/>
                      <w:color w:val="auto"/>
                      <w:highlight w:val="none"/>
                      <w:lang w:val="en-US" w:eastAsia="zh-CN"/>
                    </w:rPr>
                    <w:t>建设一般工业固体废物暂存间，暂存属于一般工业固体废物的废包装物，废包装物定期委托物资回收单位回收；建设危险废物暂存间，分类收集贮存危险废物，定期委托</w:t>
                  </w:r>
                  <w:r>
                    <w:rPr>
                      <w:rFonts w:hint="eastAsia" w:cs="Times New Roman"/>
                      <w:color w:val="auto"/>
                      <w:kern w:val="0"/>
                      <w:szCs w:val="21"/>
                      <w:highlight w:val="none"/>
                      <w:lang w:val="en-US" w:eastAsia="zh-CN" w:bidi="ar"/>
                    </w:rPr>
                    <w:t>资质单位</w:t>
                  </w:r>
                  <w:r>
                    <w:rPr>
                      <w:rFonts w:hint="eastAsia" w:eastAsia="宋体"/>
                      <w:color w:val="auto"/>
                      <w:highlight w:val="none"/>
                      <w:lang w:val="en-US" w:eastAsia="zh-CN"/>
                    </w:rPr>
                    <w:t>处置；设置生活垃圾分类收集桶，委托当地环卫部门每日清运</w:t>
                  </w:r>
                  <w:r>
                    <w:rPr>
                      <w:rFonts w:hint="eastAsia"/>
                      <w:color w:val="auto"/>
                      <w:highlight w:val="none"/>
                      <w:lang w:val="en-US" w:eastAsia="zh-CN"/>
                    </w:rPr>
                    <w:t>。</w:t>
                  </w:r>
                </w:p>
              </w:tc>
              <w:tc>
                <w:tcPr>
                  <w:tcW w:w="848" w:type="dxa"/>
                  <w:tcBorders>
                    <w:tl2br w:val="nil"/>
                    <w:tr2bl w:val="nil"/>
                  </w:tcBorders>
                  <w:shd w:val="clear" w:color="auto" w:fill="FFFFFF"/>
                  <w:noWrap w:val="0"/>
                  <w:vAlign w:val="center"/>
                </w:tcPr>
                <w:p w14:paraId="38843D5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新建</w:t>
                  </w:r>
                </w:p>
              </w:tc>
            </w:tr>
            <w:tr w14:paraId="10015BB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continue"/>
                  <w:tcBorders>
                    <w:tl2br w:val="nil"/>
                    <w:tr2bl w:val="nil"/>
                  </w:tcBorders>
                  <w:shd w:val="clear" w:color="auto" w:fill="FFFFFF"/>
                  <w:noWrap w:val="0"/>
                  <w:vAlign w:val="center"/>
                </w:tcPr>
                <w:p w14:paraId="65EA5681">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color w:val="auto"/>
                      <w:highlight w:val="none"/>
                    </w:rPr>
                  </w:pPr>
                </w:p>
              </w:tc>
              <w:tc>
                <w:tcPr>
                  <w:tcW w:w="1508" w:type="dxa"/>
                  <w:tcBorders>
                    <w:tl2br w:val="nil"/>
                    <w:tr2bl w:val="nil"/>
                  </w:tcBorders>
                  <w:shd w:val="clear" w:color="auto" w:fill="FFFFFF"/>
                  <w:noWrap w:val="0"/>
                  <w:vAlign w:val="center"/>
                </w:tcPr>
                <w:p w14:paraId="3A9ABC9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auto"/>
                      <w:highlight w:val="none"/>
                    </w:rPr>
                  </w:pPr>
                  <w:r>
                    <w:rPr>
                      <w:rFonts w:hint="eastAsia"/>
                      <w:color w:val="auto"/>
                      <w:highlight w:val="none"/>
                    </w:rPr>
                    <w:t>环境风险防范措施</w:t>
                  </w:r>
                </w:p>
              </w:tc>
              <w:tc>
                <w:tcPr>
                  <w:tcW w:w="4712" w:type="dxa"/>
                  <w:tcBorders>
                    <w:tl2br w:val="nil"/>
                    <w:tr2bl w:val="nil"/>
                  </w:tcBorders>
                  <w:shd w:val="clear" w:color="auto" w:fill="FFFFFF"/>
                  <w:noWrap w:val="0"/>
                  <w:vAlign w:val="center"/>
                </w:tcPr>
                <w:p w14:paraId="692A2188">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eastAsia"/>
                      <w:color w:val="auto"/>
                      <w:highlight w:val="none"/>
                      <w:lang w:eastAsia="zh-CN"/>
                    </w:rPr>
                  </w:pPr>
                  <w:r>
                    <w:rPr>
                      <w:rFonts w:hint="eastAsia"/>
                      <w:color w:val="auto"/>
                      <w:highlight w:val="none"/>
                      <w:lang w:val="en-US" w:eastAsia="zh-CN"/>
                    </w:rPr>
                    <w:t>建设</w:t>
                  </w:r>
                  <w:r>
                    <w:rPr>
                      <w:rFonts w:hint="eastAsia"/>
                      <w:color w:val="auto"/>
                      <w:highlight w:val="none"/>
                    </w:rPr>
                    <w:t>阴凉、通风、干燥</w:t>
                  </w:r>
                  <w:r>
                    <w:rPr>
                      <w:rFonts w:hint="eastAsia"/>
                      <w:color w:val="auto"/>
                      <w:highlight w:val="none"/>
                      <w:lang w:val="en-US" w:eastAsia="zh-CN"/>
                    </w:rPr>
                    <w:t>的试剂间</w:t>
                  </w:r>
                  <w:r>
                    <w:rPr>
                      <w:rFonts w:hint="eastAsia"/>
                      <w:color w:val="auto"/>
                      <w:highlight w:val="none"/>
                    </w:rPr>
                    <w:t>，且远离火种、热源；</w:t>
                  </w:r>
                  <w:r>
                    <w:rPr>
                      <w:rFonts w:hint="eastAsia"/>
                      <w:color w:val="auto"/>
                      <w:highlight w:val="none"/>
                      <w:lang w:val="en-US" w:eastAsia="zh-CN"/>
                    </w:rPr>
                    <w:t>建设规范的危险废物暂存间，做好防渗、防溢流措施；设置满足要求的风险物资。</w:t>
                  </w:r>
                </w:p>
              </w:tc>
              <w:tc>
                <w:tcPr>
                  <w:tcW w:w="848" w:type="dxa"/>
                  <w:tcBorders>
                    <w:tl2br w:val="nil"/>
                    <w:tr2bl w:val="nil"/>
                  </w:tcBorders>
                  <w:shd w:val="clear" w:color="auto" w:fill="FFFFFF"/>
                  <w:noWrap w:val="0"/>
                  <w:vAlign w:val="center"/>
                </w:tcPr>
                <w:p w14:paraId="3BF40A4A">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新建</w:t>
                  </w:r>
                </w:p>
              </w:tc>
            </w:tr>
            <w:tr w14:paraId="4AE8ED0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restart"/>
                  <w:tcBorders>
                    <w:tl2br w:val="nil"/>
                    <w:tr2bl w:val="nil"/>
                  </w:tcBorders>
                  <w:shd w:val="clear" w:color="auto" w:fill="FFFFFF"/>
                  <w:noWrap w:val="0"/>
                  <w:vAlign w:val="center"/>
                </w:tcPr>
                <w:p w14:paraId="60F17FD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color w:val="auto"/>
                      <w:highlight w:val="none"/>
                    </w:rPr>
                  </w:pPr>
                  <w:r>
                    <w:rPr>
                      <w:rFonts w:hint="eastAsia"/>
                      <w:color w:val="auto"/>
                      <w:highlight w:val="none"/>
                    </w:rPr>
                    <w:t>储运</w:t>
                  </w:r>
                </w:p>
                <w:p w14:paraId="5A4473A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auto"/>
                      <w:highlight w:val="none"/>
                    </w:rPr>
                  </w:pPr>
                  <w:r>
                    <w:rPr>
                      <w:rFonts w:hint="eastAsia"/>
                      <w:color w:val="auto"/>
                      <w:highlight w:val="none"/>
                    </w:rPr>
                    <w:t>工程</w:t>
                  </w:r>
                </w:p>
              </w:tc>
              <w:tc>
                <w:tcPr>
                  <w:tcW w:w="1508" w:type="dxa"/>
                  <w:tcBorders>
                    <w:tl2br w:val="nil"/>
                    <w:tr2bl w:val="nil"/>
                  </w:tcBorders>
                  <w:shd w:val="clear" w:color="auto" w:fill="FFFFFF"/>
                  <w:noWrap w:val="0"/>
                  <w:vAlign w:val="center"/>
                </w:tcPr>
                <w:p w14:paraId="70B4E159">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危险废物</w:t>
                  </w:r>
                </w:p>
                <w:p w14:paraId="498529EE">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暂存间</w:t>
                  </w:r>
                </w:p>
              </w:tc>
              <w:tc>
                <w:tcPr>
                  <w:tcW w:w="4712" w:type="dxa"/>
                  <w:tcBorders>
                    <w:tl2br w:val="nil"/>
                    <w:tr2bl w:val="nil"/>
                  </w:tcBorders>
                  <w:shd w:val="clear" w:color="auto" w:fill="FFFFFF"/>
                  <w:noWrap w:val="0"/>
                  <w:vAlign w:val="center"/>
                </w:tcPr>
                <w:p w14:paraId="7913894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面积2.62m</w:t>
                  </w:r>
                  <w:r>
                    <w:rPr>
                      <w:rFonts w:hint="eastAsia"/>
                      <w:color w:val="auto"/>
                      <w:highlight w:val="none"/>
                      <w:vertAlign w:val="superscript"/>
                      <w:lang w:val="en-US" w:eastAsia="zh-CN"/>
                    </w:rPr>
                    <w:t>2</w:t>
                  </w:r>
                  <w:r>
                    <w:rPr>
                      <w:rFonts w:hint="eastAsia"/>
                      <w:color w:val="auto"/>
                      <w:highlight w:val="none"/>
                      <w:lang w:val="en-US" w:eastAsia="zh-CN"/>
                    </w:rPr>
                    <w:t>，位于研发生产区的北侧中部。</w:t>
                  </w:r>
                </w:p>
              </w:tc>
              <w:tc>
                <w:tcPr>
                  <w:tcW w:w="848" w:type="dxa"/>
                  <w:tcBorders>
                    <w:tl2br w:val="nil"/>
                    <w:tr2bl w:val="nil"/>
                  </w:tcBorders>
                  <w:shd w:val="clear" w:color="auto" w:fill="FFFFFF"/>
                  <w:noWrap w:val="0"/>
                  <w:vAlign w:val="center"/>
                </w:tcPr>
                <w:p w14:paraId="5097EB6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新建</w:t>
                  </w:r>
                </w:p>
              </w:tc>
            </w:tr>
            <w:tr w14:paraId="2259BAB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continue"/>
                  <w:tcBorders>
                    <w:tl2br w:val="nil"/>
                    <w:tr2bl w:val="nil"/>
                  </w:tcBorders>
                  <w:shd w:val="clear" w:color="auto" w:fill="FFFFFF"/>
                  <w:noWrap w:val="0"/>
                  <w:vAlign w:val="center"/>
                </w:tcPr>
                <w:p w14:paraId="62DD89C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rPr>
                  </w:pPr>
                </w:p>
              </w:tc>
              <w:tc>
                <w:tcPr>
                  <w:tcW w:w="1508" w:type="dxa"/>
                  <w:tcBorders>
                    <w:tl2br w:val="nil"/>
                    <w:tr2bl w:val="nil"/>
                  </w:tcBorders>
                  <w:shd w:val="clear" w:color="auto" w:fill="FFFFFF"/>
                  <w:noWrap w:val="0"/>
                  <w:vAlign w:val="center"/>
                </w:tcPr>
                <w:p w14:paraId="7FC59919">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一般工业固体废物暂存间</w:t>
                  </w:r>
                </w:p>
              </w:tc>
              <w:tc>
                <w:tcPr>
                  <w:tcW w:w="4712" w:type="dxa"/>
                  <w:tcBorders>
                    <w:tl2br w:val="nil"/>
                    <w:tr2bl w:val="nil"/>
                  </w:tcBorders>
                  <w:shd w:val="clear" w:color="auto" w:fill="FFFFFF"/>
                  <w:noWrap w:val="0"/>
                  <w:vAlign w:val="center"/>
                </w:tcPr>
                <w:p w14:paraId="296CCD3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面积4.54m</w:t>
                  </w:r>
                  <w:r>
                    <w:rPr>
                      <w:rFonts w:hint="eastAsia"/>
                      <w:color w:val="auto"/>
                      <w:highlight w:val="none"/>
                      <w:vertAlign w:val="superscript"/>
                      <w:lang w:val="en-US" w:eastAsia="zh-CN"/>
                    </w:rPr>
                    <w:t>2</w:t>
                  </w:r>
                  <w:r>
                    <w:rPr>
                      <w:rFonts w:hint="eastAsia"/>
                      <w:color w:val="auto"/>
                      <w:highlight w:val="none"/>
                      <w:lang w:val="en-US" w:eastAsia="zh-CN"/>
                    </w:rPr>
                    <w:t>，位于研发生产区的西南侧。</w:t>
                  </w:r>
                </w:p>
              </w:tc>
              <w:tc>
                <w:tcPr>
                  <w:tcW w:w="848" w:type="dxa"/>
                  <w:tcBorders>
                    <w:tl2br w:val="nil"/>
                    <w:tr2bl w:val="nil"/>
                  </w:tcBorders>
                  <w:shd w:val="clear" w:color="auto" w:fill="FFFFFF"/>
                  <w:noWrap w:val="0"/>
                  <w:vAlign w:val="center"/>
                </w:tcPr>
                <w:p w14:paraId="763C5FBE">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新建</w:t>
                  </w:r>
                </w:p>
              </w:tc>
            </w:tr>
            <w:tr w14:paraId="52A1900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250" w:hRule="atLeast"/>
                <w:jc w:val="center"/>
              </w:trPr>
              <w:tc>
                <w:tcPr>
                  <w:tcW w:w="746" w:type="dxa"/>
                  <w:vMerge w:val="continue"/>
                  <w:tcBorders>
                    <w:tl2br w:val="nil"/>
                    <w:tr2bl w:val="nil"/>
                  </w:tcBorders>
                  <w:shd w:val="clear" w:color="auto" w:fill="FFFFFF"/>
                  <w:noWrap w:val="0"/>
                  <w:vAlign w:val="center"/>
                </w:tcPr>
                <w:p w14:paraId="7325AE6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auto"/>
                      <w:highlight w:val="none"/>
                    </w:rPr>
                  </w:pPr>
                </w:p>
              </w:tc>
              <w:tc>
                <w:tcPr>
                  <w:tcW w:w="1508" w:type="dxa"/>
                  <w:tcBorders>
                    <w:tl2br w:val="nil"/>
                    <w:tr2bl w:val="nil"/>
                  </w:tcBorders>
                  <w:shd w:val="clear" w:color="auto" w:fill="FFFFFF"/>
                  <w:noWrap w:val="0"/>
                  <w:vAlign w:val="center"/>
                </w:tcPr>
                <w:p w14:paraId="62933EB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cstheme="minorBidi"/>
                      <w:color w:val="auto"/>
                      <w:kern w:val="2"/>
                      <w:sz w:val="21"/>
                      <w:szCs w:val="24"/>
                      <w:highlight w:val="none"/>
                      <w:lang w:val="en-US" w:eastAsia="zh-CN" w:bidi="ar-SA"/>
                    </w:rPr>
                    <w:t>库房</w:t>
                  </w:r>
                </w:p>
              </w:tc>
              <w:tc>
                <w:tcPr>
                  <w:tcW w:w="4712" w:type="dxa"/>
                  <w:tcBorders>
                    <w:tl2br w:val="nil"/>
                    <w:tr2bl w:val="nil"/>
                  </w:tcBorders>
                  <w:shd w:val="clear" w:color="auto" w:fill="FFFFFF"/>
                  <w:noWrap w:val="0"/>
                  <w:vAlign w:val="center"/>
                </w:tcPr>
                <w:p w14:paraId="78B9B6C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cstheme="minorBidi"/>
                      <w:color w:val="auto"/>
                      <w:kern w:val="2"/>
                      <w:sz w:val="21"/>
                      <w:szCs w:val="24"/>
                      <w:highlight w:val="none"/>
                      <w:lang w:val="en-US" w:eastAsia="zh-CN" w:bidi="ar-SA"/>
                    </w:rPr>
                    <w:t>仪器库房2.95</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lang w:val="en-US" w:eastAsia="zh-CN"/>
                    </w:rPr>
                    <w:t>，临时</w:t>
                  </w:r>
                  <w:r>
                    <w:rPr>
                      <w:rFonts w:hint="eastAsia" w:cstheme="minorBidi"/>
                      <w:color w:val="auto"/>
                      <w:kern w:val="2"/>
                      <w:sz w:val="21"/>
                      <w:szCs w:val="24"/>
                      <w:highlight w:val="none"/>
                      <w:lang w:val="en-US" w:eastAsia="zh-CN" w:bidi="ar-SA"/>
                    </w:rPr>
                    <w:t>库房17.37</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lang w:val="en-US" w:eastAsia="zh-CN"/>
                    </w:rPr>
                    <w:t>，不合格品</w:t>
                  </w:r>
                  <w:r>
                    <w:rPr>
                      <w:rFonts w:hint="eastAsia" w:cstheme="minorBidi"/>
                      <w:color w:val="auto"/>
                      <w:kern w:val="2"/>
                      <w:sz w:val="21"/>
                      <w:szCs w:val="24"/>
                      <w:highlight w:val="none"/>
                      <w:lang w:val="en-US" w:eastAsia="zh-CN" w:bidi="ar-SA"/>
                    </w:rPr>
                    <w:t>库房20.54</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lang w:val="en-US" w:eastAsia="zh-CN"/>
                    </w:rPr>
                    <w:t>，原料库32.14m</w:t>
                  </w:r>
                  <w:r>
                    <w:rPr>
                      <w:rFonts w:hint="eastAsia"/>
                      <w:color w:val="auto"/>
                      <w:highlight w:val="none"/>
                      <w:vertAlign w:val="superscript"/>
                      <w:lang w:val="en-US" w:eastAsia="zh-CN"/>
                    </w:rPr>
                    <w:t>2</w:t>
                  </w:r>
                  <w:r>
                    <w:rPr>
                      <w:rFonts w:hint="eastAsia"/>
                      <w:color w:val="auto"/>
                      <w:highlight w:val="none"/>
                      <w:lang w:val="en-US" w:eastAsia="zh-CN"/>
                    </w:rPr>
                    <w:t>，成品库</w:t>
                  </w:r>
                  <w:r>
                    <w:rPr>
                      <w:rFonts w:hint="eastAsia" w:cstheme="minorBidi"/>
                      <w:color w:val="auto"/>
                      <w:kern w:val="2"/>
                      <w:sz w:val="21"/>
                      <w:szCs w:val="24"/>
                      <w:highlight w:val="none"/>
                      <w:lang w:val="en-US" w:eastAsia="zh-CN" w:bidi="ar-SA"/>
                    </w:rPr>
                    <w:t>23.56</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lang w:val="en-US" w:eastAsia="zh-CN"/>
                    </w:rPr>
                    <w:t>，冷库9.23m</w:t>
                  </w:r>
                  <w:r>
                    <w:rPr>
                      <w:rFonts w:hint="eastAsia"/>
                      <w:color w:val="auto"/>
                      <w:highlight w:val="none"/>
                      <w:vertAlign w:val="superscript"/>
                      <w:lang w:val="en-US" w:eastAsia="zh-CN"/>
                    </w:rPr>
                    <w:t>2</w:t>
                  </w:r>
                  <w:r>
                    <w:rPr>
                      <w:rFonts w:hint="eastAsia"/>
                      <w:color w:val="auto"/>
                      <w:highlight w:val="none"/>
                      <w:lang w:val="en-US" w:eastAsia="zh-CN"/>
                    </w:rPr>
                    <w:t>，菌种库5.16m</w:t>
                  </w:r>
                  <w:r>
                    <w:rPr>
                      <w:rFonts w:hint="eastAsia"/>
                      <w:color w:val="auto"/>
                      <w:highlight w:val="none"/>
                      <w:vertAlign w:val="superscript"/>
                      <w:lang w:val="en-US" w:eastAsia="zh-CN"/>
                    </w:rPr>
                    <w:t>2</w:t>
                  </w:r>
                  <w:r>
                    <w:rPr>
                      <w:rFonts w:hint="eastAsia"/>
                      <w:color w:val="auto"/>
                      <w:highlight w:val="none"/>
                      <w:lang w:val="en-US" w:eastAsia="zh-CN"/>
                    </w:rPr>
                    <w:t>，试剂间3.76m</w:t>
                  </w:r>
                  <w:r>
                    <w:rPr>
                      <w:rFonts w:hint="eastAsia"/>
                      <w:color w:val="auto"/>
                      <w:highlight w:val="none"/>
                      <w:vertAlign w:val="superscript"/>
                      <w:lang w:val="en-US" w:eastAsia="zh-CN"/>
                    </w:rPr>
                    <w:t>2</w:t>
                  </w:r>
                  <w:r>
                    <w:rPr>
                      <w:rFonts w:hint="eastAsia"/>
                      <w:color w:val="auto"/>
                      <w:highlight w:val="none"/>
                      <w:lang w:val="en-US" w:eastAsia="zh-CN"/>
                    </w:rPr>
                    <w:t>。</w:t>
                  </w:r>
                </w:p>
              </w:tc>
              <w:tc>
                <w:tcPr>
                  <w:tcW w:w="848" w:type="dxa"/>
                  <w:tcBorders>
                    <w:tl2br w:val="nil"/>
                    <w:tr2bl w:val="nil"/>
                  </w:tcBorders>
                  <w:shd w:val="clear" w:color="auto" w:fill="FFFFFF"/>
                  <w:noWrap w:val="0"/>
                  <w:vAlign w:val="center"/>
                </w:tcPr>
                <w:p w14:paraId="7E0E6AB5">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cstheme="minorBidi"/>
                      <w:color w:val="auto"/>
                      <w:kern w:val="2"/>
                      <w:sz w:val="21"/>
                      <w:szCs w:val="24"/>
                      <w:highlight w:val="none"/>
                      <w:lang w:val="en-US" w:eastAsia="zh-CN" w:bidi="ar-SA"/>
                    </w:rPr>
                    <w:t>新建</w:t>
                  </w:r>
                </w:p>
              </w:tc>
            </w:tr>
            <w:tr w14:paraId="575CADF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tcBorders>
                    <w:tl2br w:val="nil"/>
                    <w:tr2bl w:val="nil"/>
                  </w:tcBorders>
                  <w:shd w:val="clear" w:color="auto" w:fill="FFFFFF"/>
                  <w:noWrap w:val="0"/>
                  <w:vAlign w:val="center"/>
                </w:tcPr>
                <w:p w14:paraId="64A177A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rPr>
                  </w:pPr>
                  <w:r>
                    <w:rPr>
                      <w:rFonts w:hint="eastAsia"/>
                      <w:color w:val="auto"/>
                      <w:highlight w:val="none"/>
                    </w:rPr>
                    <w:t>配套</w:t>
                  </w:r>
                </w:p>
                <w:p w14:paraId="6C33E58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auto"/>
                      <w:highlight w:val="none"/>
                    </w:rPr>
                  </w:pPr>
                  <w:r>
                    <w:rPr>
                      <w:rFonts w:hint="eastAsia"/>
                      <w:color w:val="auto"/>
                      <w:highlight w:val="none"/>
                    </w:rPr>
                    <w:t>工程</w:t>
                  </w:r>
                </w:p>
              </w:tc>
              <w:tc>
                <w:tcPr>
                  <w:tcW w:w="1508" w:type="dxa"/>
                  <w:tcBorders>
                    <w:tl2br w:val="nil"/>
                    <w:tr2bl w:val="nil"/>
                  </w:tcBorders>
                  <w:shd w:val="clear" w:color="auto" w:fill="FFFFFF"/>
                  <w:noWrap w:val="0"/>
                  <w:vAlign w:val="center"/>
                </w:tcPr>
                <w:p w14:paraId="2EBEE57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eastAsia="zh-CN"/>
                    </w:rPr>
                    <w:t>办公</w:t>
                  </w:r>
                  <w:r>
                    <w:rPr>
                      <w:rFonts w:hint="eastAsia"/>
                      <w:color w:val="auto"/>
                      <w:highlight w:val="none"/>
                      <w:lang w:val="en-US" w:eastAsia="zh-CN"/>
                    </w:rPr>
                    <w:t>区</w:t>
                  </w:r>
                </w:p>
              </w:tc>
              <w:tc>
                <w:tcPr>
                  <w:tcW w:w="4712" w:type="dxa"/>
                  <w:tcBorders>
                    <w:tl2br w:val="nil"/>
                    <w:tr2bl w:val="nil"/>
                  </w:tcBorders>
                  <w:shd w:val="clear" w:color="auto" w:fill="FFFFFF"/>
                  <w:noWrap w:val="0"/>
                  <w:vAlign w:val="center"/>
                </w:tcPr>
                <w:p w14:paraId="5A30A4FA">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color w:val="auto"/>
                      <w:highlight w:val="none"/>
                      <w:lang w:val="en-US" w:eastAsia="zh-CN"/>
                    </w:rPr>
                  </w:pPr>
                  <w:r>
                    <w:rPr>
                      <w:rFonts w:hint="eastAsia"/>
                      <w:color w:val="auto"/>
                      <w:highlight w:val="none"/>
                      <w:lang w:val="en-US" w:eastAsia="zh-CN"/>
                    </w:rPr>
                    <w:t>项目东侧建设综合办公室、会议室、茶水间；</w:t>
                  </w:r>
                </w:p>
                <w:p w14:paraId="148437FB">
                  <w:pPr>
                    <w:rPr>
                      <w:rFonts w:hint="default"/>
                      <w:color w:val="auto"/>
                      <w:highlight w:val="none"/>
                      <w:lang w:val="en-US" w:eastAsia="zh-CN"/>
                    </w:rPr>
                  </w:pPr>
                  <w:r>
                    <w:rPr>
                      <w:rFonts w:hint="eastAsia"/>
                      <w:color w:val="auto"/>
                      <w:highlight w:val="none"/>
                      <w:lang w:val="en-US" w:eastAsia="zh-CN"/>
                    </w:rPr>
                    <w:t>项目南侧建设办公室等。</w:t>
                  </w:r>
                </w:p>
              </w:tc>
              <w:tc>
                <w:tcPr>
                  <w:tcW w:w="848" w:type="dxa"/>
                  <w:tcBorders>
                    <w:tl2br w:val="nil"/>
                    <w:tr2bl w:val="nil"/>
                  </w:tcBorders>
                  <w:shd w:val="clear" w:color="auto" w:fill="FFFFFF"/>
                  <w:noWrap w:val="0"/>
                  <w:vAlign w:val="center"/>
                </w:tcPr>
                <w:p w14:paraId="08E7460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新建</w:t>
                  </w:r>
                </w:p>
              </w:tc>
            </w:tr>
          </w:tbl>
          <w:p w14:paraId="415919AB">
            <w:pPr>
              <w:adjustRightInd w:val="0"/>
              <w:snapToGrid w:val="0"/>
              <w:rPr>
                <w:rFonts w:hint="default" w:ascii="Times New Roman" w:hAnsi="Times New Roman" w:eastAsia="宋体" w:cs="Times New Roman"/>
                <w:bCs/>
                <w:color w:val="auto"/>
                <w:sz w:val="24"/>
                <w:highlight w:val="none"/>
              </w:rPr>
            </w:pPr>
          </w:p>
          <w:p w14:paraId="18BF4E1A">
            <w:pPr>
              <w:numPr>
                <w:ilvl w:val="0"/>
                <w:numId w:val="12"/>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项目规模</w:t>
            </w:r>
          </w:p>
          <w:p w14:paraId="7E24070B">
            <w:pPr>
              <w:adjustRightInd w:val="0"/>
              <w:snapToGrid w:val="0"/>
              <w:spacing w:line="360" w:lineRule="auto"/>
              <w:ind w:firstLine="360" w:firstLineChars="15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项目建成后从事消毒器械的研发生产，生产消毒用生物指示剂10000盒/年、研发消毒用生物指示剂30批/年</w:t>
            </w:r>
            <w:r>
              <w:rPr>
                <w:rFonts w:hint="default" w:ascii="Times New Roman" w:hAnsi="Times New Roman" w:eastAsia="宋体" w:cs="Times New Roman"/>
                <w:color w:val="auto"/>
                <w:sz w:val="24"/>
                <w:highlight w:val="none"/>
                <w:lang w:val="en-US" w:eastAsia="zh-CN"/>
              </w:rPr>
              <w:t>。</w:t>
            </w:r>
          </w:p>
          <w:p w14:paraId="472F3BC3">
            <w:pPr>
              <w:numPr>
                <w:ilvl w:val="0"/>
                <w:numId w:val="12"/>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主要</w:t>
            </w:r>
            <w:r>
              <w:rPr>
                <w:rFonts w:hint="eastAsia" w:cs="Times New Roman"/>
                <w:b/>
                <w:bCs/>
                <w:color w:val="auto"/>
                <w:sz w:val="24"/>
                <w:highlight w:val="none"/>
                <w:lang w:val="en-US" w:eastAsia="zh-CN"/>
              </w:rPr>
              <w:t>设备</w:t>
            </w:r>
          </w:p>
          <w:p w14:paraId="7A1490F6">
            <w:pPr>
              <w:spacing w:line="360" w:lineRule="auto"/>
              <w:ind w:firstLine="480" w:firstLineChars="200"/>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color w:val="auto"/>
                <w:sz w:val="24"/>
                <w:highlight w:val="none"/>
              </w:rPr>
              <w:t>本项目主要设备一览表见下表。</w:t>
            </w:r>
          </w:p>
          <w:p w14:paraId="020A2781">
            <w:pPr>
              <w:numPr>
                <w:ilvl w:val="0"/>
                <w:numId w:val="13"/>
              </w:numPr>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kern w:val="0"/>
                <w:sz w:val="24"/>
                <w:highlight w:val="none"/>
              </w:rPr>
              <w:t>项目</w:t>
            </w:r>
            <w:r>
              <w:rPr>
                <w:rFonts w:hint="eastAsia" w:cs="Times New Roman"/>
                <w:b/>
                <w:color w:val="auto"/>
                <w:kern w:val="0"/>
                <w:sz w:val="24"/>
                <w:highlight w:val="none"/>
                <w:lang w:val="en-US" w:eastAsia="zh-CN"/>
              </w:rPr>
              <w:t>迁建后</w:t>
            </w:r>
            <w:r>
              <w:rPr>
                <w:rFonts w:hint="default" w:ascii="Times New Roman" w:hAnsi="Times New Roman" w:eastAsia="宋体" w:cs="Times New Roman"/>
                <w:b/>
                <w:color w:val="auto"/>
                <w:kern w:val="0"/>
                <w:sz w:val="24"/>
                <w:highlight w:val="none"/>
              </w:rPr>
              <w:t>主要</w:t>
            </w:r>
            <w:r>
              <w:rPr>
                <w:rFonts w:hint="eastAsia" w:cs="Times New Roman"/>
                <w:b/>
                <w:color w:val="auto"/>
                <w:kern w:val="0"/>
                <w:sz w:val="24"/>
                <w:highlight w:val="none"/>
                <w:lang w:val="en-US" w:eastAsia="zh-CN"/>
              </w:rPr>
              <w:t>设备及变化</w:t>
            </w:r>
            <w:r>
              <w:rPr>
                <w:rFonts w:hint="default" w:ascii="Times New Roman" w:hAnsi="Times New Roman" w:eastAsia="宋体" w:cs="Times New Roman"/>
                <w:b/>
                <w:color w:val="auto"/>
                <w:kern w:val="0"/>
                <w:sz w:val="24"/>
                <w:highlight w:val="none"/>
              </w:rPr>
              <w:t>一览表</w:t>
            </w:r>
          </w:p>
          <w:tbl>
            <w:tblPr>
              <w:tblStyle w:val="24"/>
              <w:tblW w:w="49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507"/>
              <w:gridCol w:w="1828"/>
              <w:gridCol w:w="1527"/>
              <w:gridCol w:w="1218"/>
            </w:tblGrid>
            <w:tr w14:paraId="29884D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dxa"/>
                  <w:tcBorders>
                    <w:tl2br w:val="nil"/>
                    <w:tr2bl w:val="nil"/>
                  </w:tcBorders>
                  <w:vAlign w:val="center"/>
                </w:tcPr>
                <w:p w14:paraId="489C7568">
                  <w:pPr>
                    <w:numPr>
                      <w:ilvl w:val="0"/>
                      <w:numId w:val="0"/>
                    </w:numPr>
                    <w:spacing w:line="240" w:lineRule="auto"/>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序号</w:t>
                  </w:r>
                </w:p>
              </w:tc>
              <w:tc>
                <w:tcPr>
                  <w:tcW w:w="2507" w:type="dxa"/>
                  <w:tcBorders>
                    <w:tl2br w:val="nil"/>
                    <w:tr2bl w:val="nil"/>
                  </w:tcBorders>
                  <w:vAlign w:val="center"/>
                </w:tcPr>
                <w:p w14:paraId="05EEEEF5">
                  <w:pPr>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设备名称</w:t>
                  </w:r>
                </w:p>
              </w:tc>
              <w:tc>
                <w:tcPr>
                  <w:tcW w:w="1828" w:type="dxa"/>
                  <w:tcBorders>
                    <w:tl2br w:val="nil"/>
                    <w:tr2bl w:val="nil"/>
                  </w:tcBorders>
                  <w:vAlign w:val="center"/>
                </w:tcPr>
                <w:p w14:paraId="1E37D44D">
                  <w:pPr>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型号</w:t>
                  </w:r>
                </w:p>
              </w:tc>
              <w:tc>
                <w:tcPr>
                  <w:tcW w:w="1527" w:type="dxa"/>
                  <w:tcBorders>
                    <w:tl2br w:val="nil"/>
                    <w:tr2bl w:val="nil"/>
                  </w:tcBorders>
                  <w:shd w:val="clear" w:color="auto" w:fill="auto"/>
                  <w:vAlign w:val="center"/>
                </w:tcPr>
                <w:p w14:paraId="5B5EEF21">
                  <w:pPr>
                    <w:numPr>
                      <w:ilvl w:val="0"/>
                      <w:numId w:val="0"/>
                    </w:numPr>
                    <w:spacing w:line="240" w:lineRule="auto"/>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sz w:val="21"/>
                      <w:szCs w:val="21"/>
                      <w:highlight w:val="none"/>
                      <w:vertAlign w:val="baseline"/>
                      <w:lang w:val="en-US" w:eastAsia="zh-CN"/>
                    </w:rPr>
                    <w:t>数量（台）</w:t>
                  </w:r>
                </w:p>
              </w:tc>
              <w:tc>
                <w:tcPr>
                  <w:tcW w:w="1218" w:type="dxa"/>
                  <w:tcBorders>
                    <w:tl2br w:val="nil"/>
                    <w:tr2bl w:val="nil"/>
                  </w:tcBorders>
                  <w:shd w:val="clear" w:color="auto" w:fill="auto"/>
                  <w:vAlign w:val="center"/>
                </w:tcPr>
                <w:p w14:paraId="5CB86E09">
                  <w:pPr>
                    <w:numPr>
                      <w:ilvl w:val="0"/>
                      <w:numId w:val="0"/>
                    </w:numPr>
                    <w:spacing w:line="240" w:lineRule="auto"/>
                    <w:jc w:val="center"/>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使用</w:t>
                  </w:r>
                </w:p>
                <w:p w14:paraId="74B66A27">
                  <w:pPr>
                    <w:numPr>
                      <w:ilvl w:val="0"/>
                      <w:numId w:val="0"/>
                    </w:numPr>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位置</w:t>
                  </w:r>
                </w:p>
              </w:tc>
            </w:tr>
            <w:tr w14:paraId="276487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dxa"/>
                  <w:tcBorders>
                    <w:tl2br w:val="nil"/>
                    <w:tr2bl w:val="nil"/>
                  </w:tcBorders>
                  <w:vAlign w:val="center"/>
                </w:tcPr>
                <w:p w14:paraId="346F0689">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507" w:type="dxa"/>
                  <w:tcBorders>
                    <w:tl2br w:val="nil"/>
                    <w:tr2bl w:val="nil"/>
                  </w:tcBorders>
                  <w:shd w:val="clear" w:color="auto" w:fill="auto"/>
                  <w:vAlign w:val="center"/>
                </w:tcPr>
                <w:p w14:paraId="38E62C88">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sz w:val="21"/>
                      <w:szCs w:val="21"/>
                    </w:rPr>
                    <w:t>发酵罐</w:t>
                  </w:r>
                </w:p>
              </w:tc>
              <w:tc>
                <w:tcPr>
                  <w:tcW w:w="1828" w:type="dxa"/>
                  <w:tcBorders>
                    <w:tl2br w:val="nil"/>
                    <w:tr2bl w:val="nil"/>
                  </w:tcBorders>
                  <w:shd w:val="clear" w:color="auto" w:fill="auto"/>
                  <w:vAlign w:val="center"/>
                </w:tcPr>
                <w:p w14:paraId="65C68930">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sz w:val="21"/>
                      <w:szCs w:val="21"/>
                    </w:rPr>
                    <w:t>20升C20-3</w:t>
                  </w:r>
                </w:p>
              </w:tc>
              <w:tc>
                <w:tcPr>
                  <w:tcW w:w="1527" w:type="dxa"/>
                  <w:tcBorders>
                    <w:tl2br w:val="nil"/>
                    <w:tr2bl w:val="nil"/>
                  </w:tcBorders>
                  <w:vAlign w:val="center"/>
                </w:tcPr>
                <w:p w14:paraId="4A46AE42">
                  <w:pPr>
                    <w:adjustRightInd w:val="0"/>
                    <w:snapToGrid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sz w:val="21"/>
                      <w:szCs w:val="21"/>
                    </w:rPr>
                    <w:t>1</w:t>
                  </w:r>
                </w:p>
              </w:tc>
              <w:tc>
                <w:tcPr>
                  <w:tcW w:w="1218" w:type="dxa"/>
                  <w:tcBorders>
                    <w:tl2br w:val="nil"/>
                    <w:tr2bl w:val="nil"/>
                  </w:tcBorders>
                  <w:vAlign w:val="center"/>
                </w:tcPr>
                <w:p w14:paraId="3FA50EBC">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olor w:val="auto"/>
                      <w:highlight w:val="none"/>
                      <w:lang w:val="en-US" w:eastAsia="zh-CN"/>
                    </w:rPr>
                    <w:t>发酵间</w:t>
                  </w:r>
                </w:p>
              </w:tc>
            </w:tr>
            <w:tr w14:paraId="2F0CAA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4" w:type="dxa"/>
                  <w:tcBorders>
                    <w:tl2br w:val="nil"/>
                    <w:tr2bl w:val="nil"/>
                  </w:tcBorders>
                  <w:vAlign w:val="center"/>
                </w:tcPr>
                <w:p w14:paraId="31A90741">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507" w:type="dxa"/>
                  <w:tcBorders>
                    <w:tl2br w:val="nil"/>
                    <w:tr2bl w:val="nil"/>
                  </w:tcBorders>
                  <w:shd w:val="clear" w:color="auto" w:fill="auto"/>
                  <w:vAlign w:val="center"/>
                </w:tcPr>
                <w:p w14:paraId="42E0DB23">
                  <w:pPr>
                    <w:adjustRightInd w:val="0"/>
                    <w:snapToGrid w:val="0"/>
                    <w:jc w:val="center"/>
                    <w:rPr>
                      <w:rFonts w:hint="default" w:ascii="Times New Roman" w:hAnsi="Times New Roman" w:cs="Times New Roman"/>
                      <w:color w:val="auto"/>
                      <w:kern w:val="0"/>
                      <w:sz w:val="21"/>
                      <w:szCs w:val="21"/>
                      <w:highlight w:val="none"/>
                    </w:rPr>
                  </w:pPr>
                  <w:r>
                    <w:rPr>
                      <w:rFonts w:hint="eastAsia" w:ascii="Times New Roman" w:hAnsi="Times New Roman" w:eastAsia="宋体" w:cs="Times New Roman"/>
                      <w:sz w:val="21"/>
                      <w:szCs w:val="21"/>
                    </w:rPr>
                    <w:t>超纯水机</w:t>
                  </w:r>
                </w:p>
              </w:tc>
              <w:tc>
                <w:tcPr>
                  <w:tcW w:w="1828" w:type="dxa"/>
                  <w:tcBorders>
                    <w:tl2br w:val="nil"/>
                    <w:tr2bl w:val="nil"/>
                  </w:tcBorders>
                  <w:shd w:val="clear" w:color="auto" w:fill="auto"/>
                  <w:vAlign w:val="center"/>
                </w:tcPr>
                <w:p w14:paraId="78EB804B">
                  <w:pPr>
                    <w:adjustRightInd w:val="0"/>
                    <w:snapToGrid w:val="0"/>
                    <w:jc w:val="center"/>
                    <w:rPr>
                      <w:rFonts w:hint="default" w:ascii="Times New Roman" w:hAnsi="Times New Roman" w:cs="Times New Roman"/>
                      <w:color w:val="auto"/>
                      <w:kern w:val="0"/>
                      <w:sz w:val="21"/>
                      <w:szCs w:val="21"/>
                      <w:highlight w:val="none"/>
                    </w:rPr>
                  </w:pPr>
                  <w:r>
                    <w:rPr>
                      <w:rFonts w:hint="eastAsia" w:ascii="Times New Roman" w:hAnsi="Times New Roman" w:eastAsia="宋体" w:cs="Times New Roman"/>
                      <w:sz w:val="21"/>
                      <w:szCs w:val="21"/>
                    </w:rPr>
                    <w:t>OK-SR0200</w:t>
                  </w:r>
                </w:p>
              </w:tc>
              <w:tc>
                <w:tcPr>
                  <w:tcW w:w="1527" w:type="dxa"/>
                  <w:tcBorders>
                    <w:tl2br w:val="nil"/>
                    <w:tr2bl w:val="nil"/>
                  </w:tcBorders>
                  <w:vAlign w:val="center"/>
                </w:tcPr>
                <w:p w14:paraId="7CA13A37">
                  <w:pPr>
                    <w:adjustRightInd w:val="0"/>
                    <w:snapToGrid w:val="0"/>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eastAsia="宋体" w:cs="Times New Roman"/>
                      <w:sz w:val="21"/>
                      <w:szCs w:val="21"/>
                    </w:rPr>
                    <w:t>1</w:t>
                  </w:r>
                </w:p>
              </w:tc>
              <w:tc>
                <w:tcPr>
                  <w:tcW w:w="1218" w:type="dxa"/>
                  <w:tcBorders>
                    <w:tl2br w:val="nil"/>
                    <w:tr2bl w:val="nil"/>
                  </w:tcBorders>
                  <w:vAlign w:val="center"/>
                </w:tcPr>
                <w:p w14:paraId="506FF43A">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机房</w:t>
                  </w:r>
                </w:p>
              </w:tc>
            </w:tr>
            <w:tr w14:paraId="3D5A91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4" w:type="dxa"/>
                  <w:tcBorders>
                    <w:tl2br w:val="nil"/>
                    <w:tr2bl w:val="nil"/>
                  </w:tcBorders>
                  <w:vAlign w:val="center"/>
                </w:tcPr>
                <w:p w14:paraId="08D8EE47">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507" w:type="dxa"/>
                  <w:tcBorders>
                    <w:tl2br w:val="nil"/>
                    <w:tr2bl w:val="nil"/>
                  </w:tcBorders>
                  <w:shd w:val="clear" w:color="auto" w:fill="auto"/>
                  <w:vAlign w:val="center"/>
                </w:tcPr>
                <w:p w14:paraId="7C9D31CE">
                  <w:pPr>
                    <w:adjustRightInd w:val="0"/>
                    <w:snapToGrid w:val="0"/>
                    <w:jc w:val="center"/>
                    <w:rPr>
                      <w:rFonts w:hint="default" w:ascii="Times New Roman" w:hAnsi="Times New Roman" w:cs="Times New Roman"/>
                      <w:color w:val="auto"/>
                      <w:kern w:val="0"/>
                      <w:sz w:val="21"/>
                      <w:szCs w:val="21"/>
                      <w:highlight w:val="none"/>
                    </w:rPr>
                  </w:pPr>
                  <w:r>
                    <w:rPr>
                      <w:rFonts w:hint="eastAsia" w:ascii="Times New Roman" w:hAnsi="Times New Roman" w:eastAsia="宋体" w:cs="Times New Roman"/>
                      <w:sz w:val="21"/>
                      <w:szCs w:val="21"/>
                    </w:rPr>
                    <w:t>洁净空调机组</w:t>
                  </w:r>
                </w:p>
              </w:tc>
              <w:tc>
                <w:tcPr>
                  <w:tcW w:w="1828" w:type="dxa"/>
                  <w:tcBorders>
                    <w:tl2br w:val="nil"/>
                    <w:tr2bl w:val="nil"/>
                  </w:tcBorders>
                  <w:shd w:val="clear" w:color="auto" w:fill="auto"/>
                  <w:vAlign w:val="center"/>
                </w:tcPr>
                <w:p w14:paraId="0A6330D8">
                  <w:pPr>
                    <w:adjustRightInd w:val="0"/>
                    <w:snapToGrid w:val="0"/>
                    <w:jc w:val="center"/>
                    <w:rPr>
                      <w:rFonts w:hint="default" w:ascii="Times New Roman" w:hAnsi="Times New Roman" w:cs="Times New Roman"/>
                      <w:color w:val="auto"/>
                      <w:kern w:val="0"/>
                      <w:sz w:val="21"/>
                      <w:szCs w:val="21"/>
                      <w:highlight w:val="none"/>
                    </w:rPr>
                  </w:pPr>
                  <w:r>
                    <w:rPr>
                      <w:rFonts w:hint="eastAsia" w:ascii="Times New Roman" w:hAnsi="Times New Roman" w:eastAsia="宋体" w:cs="Times New Roman"/>
                      <w:sz w:val="21"/>
                      <w:szCs w:val="21"/>
                    </w:rPr>
                    <w:t>RDF3.55A</w:t>
                  </w:r>
                </w:p>
              </w:tc>
              <w:tc>
                <w:tcPr>
                  <w:tcW w:w="1527" w:type="dxa"/>
                  <w:tcBorders>
                    <w:tl2br w:val="nil"/>
                    <w:tr2bl w:val="nil"/>
                  </w:tcBorders>
                  <w:vAlign w:val="center"/>
                </w:tcPr>
                <w:p w14:paraId="56CEEC17">
                  <w:pPr>
                    <w:adjustRightInd w:val="0"/>
                    <w:snapToGrid w:val="0"/>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eastAsia="宋体" w:cs="Times New Roman"/>
                      <w:sz w:val="21"/>
                      <w:szCs w:val="21"/>
                    </w:rPr>
                    <w:t>1</w:t>
                  </w:r>
                </w:p>
              </w:tc>
              <w:tc>
                <w:tcPr>
                  <w:tcW w:w="1218" w:type="dxa"/>
                  <w:tcBorders>
                    <w:tl2br w:val="nil"/>
                    <w:tr2bl w:val="nil"/>
                  </w:tcBorders>
                  <w:vAlign w:val="center"/>
                </w:tcPr>
                <w:p w14:paraId="74E2FB76">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机房</w:t>
                  </w:r>
                </w:p>
              </w:tc>
            </w:tr>
            <w:tr w14:paraId="09CAAC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dxa"/>
                  <w:tcBorders>
                    <w:tl2br w:val="nil"/>
                    <w:tr2bl w:val="nil"/>
                  </w:tcBorders>
                  <w:vAlign w:val="center"/>
                </w:tcPr>
                <w:p w14:paraId="2A46D541">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507" w:type="dxa"/>
                  <w:tcBorders>
                    <w:tl2br w:val="nil"/>
                    <w:tr2bl w:val="nil"/>
                  </w:tcBorders>
                  <w:shd w:val="clear" w:color="auto" w:fill="auto"/>
                  <w:vAlign w:val="center"/>
                </w:tcPr>
                <w:p w14:paraId="1670C71E">
                  <w:pPr>
                    <w:adjustRightInd w:val="0"/>
                    <w:snapToGrid w:val="0"/>
                    <w:jc w:val="center"/>
                    <w:rPr>
                      <w:rFonts w:hint="default" w:ascii="Times New Roman" w:hAnsi="Times New Roman" w:cs="Times New Roman"/>
                      <w:color w:val="auto"/>
                      <w:kern w:val="0"/>
                      <w:sz w:val="21"/>
                      <w:szCs w:val="21"/>
                      <w:highlight w:val="none"/>
                    </w:rPr>
                  </w:pPr>
                  <w:r>
                    <w:rPr>
                      <w:rFonts w:hint="eastAsia" w:ascii="Times New Roman" w:hAnsi="Times New Roman" w:eastAsia="宋体" w:cs="Times New Roman"/>
                      <w:sz w:val="21"/>
                      <w:szCs w:val="21"/>
                    </w:rPr>
                    <w:t>冰箱</w:t>
                  </w:r>
                </w:p>
              </w:tc>
              <w:tc>
                <w:tcPr>
                  <w:tcW w:w="1828" w:type="dxa"/>
                  <w:tcBorders>
                    <w:tl2br w:val="nil"/>
                    <w:tr2bl w:val="nil"/>
                  </w:tcBorders>
                  <w:shd w:val="clear" w:color="auto" w:fill="auto"/>
                  <w:vAlign w:val="center"/>
                </w:tcPr>
                <w:p w14:paraId="1125ADB4">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sz w:val="21"/>
                      <w:szCs w:val="21"/>
                      <w:lang w:val="en-US" w:eastAsia="zh-CN"/>
                    </w:rPr>
                    <w:t>BC-BD-200WGHEB1</w:t>
                  </w:r>
                </w:p>
              </w:tc>
              <w:tc>
                <w:tcPr>
                  <w:tcW w:w="1527" w:type="dxa"/>
                  <w:tcBorders>
                    <w:tl2br w:val="nil"/>
                    <w:tr2bl w:val="nil"/>
                  </w:tcBorders>
                  <w:shd w:val="clear" w:color="auto" w:fill="auto"/>
                  <w:vAlign w:val="center"/>
                </w:tcPr>
                <w:p w14:paraId="535BEA21">
                  <w:pPr>
                    <w:adjustRightInd w:val="0"/>
                    <w:snapToGrid w:val="0"/>
                    <w:jc w:val="center"/>
                    <w:rPr>
                      <w:rFonts w:hint="default" w:ascii="Times New Roman" w:hAnsi="Times New Roman" w:eastAsia="宋体" w:cs="Times New Roman"/>
                      <w:color w:val="auto"/>
                      <w:spacing w:val="-1"/>
                      <w:sz w:val="21"/>
                      <w:szCs w:val="21"/>
                      <w:highlight w:val="none"/>
                      <w:lang w:val="en-US" w:eastAsia="zh-CN"/>
                    </w:rPr>
                  </w:pPr>
                  <w:r>
                    <w:rPr>
                      <w:rFonts w:hint="eastAsia" w:ascii="Times New Roman" w:hAnsi="Times New Roman" w:eastAsia="宋体" w:cs="Times New Roman"/>
                      <w:sz w:val="21"/>
                      <w:szCs w:val="21"/>
                      <w:lang w:val="en-US" w:eastAsia="zh-CN"/>
                    </w:rPr>
                    <w:t>2</w:t>
                  </w:r>
                </w:p>
              </w:tc>
              <w:tc>
                <w:tcPr>
                  <w:tcW w:w="1218" w:type="dxa"/>
                  <w:tcBorders>
                    <w:tl2br w:val="nil"/>
                    <w:tr2bl w:val="nil"/>
                  </w:tcBorders>
                  <w:shd w:val="clear" w:color="auto" w:fill="auto"/>
                  <w:vAlign w:val="center"/>
                </w:tcPr>
                <w:p w14:paraId="2BE7C3FB">
                  <w:pPr>
                    <w:keepNext w:val="0"/>
                    <w:keepLines w:val="0"/>
                    <w:widowControl/>
                    <w:suppressLineNumbers w:val="0"/>
                    <w:jc w:val="center"/>
                    <w:textAlignment w:val="center"/>
                    <w:rPr>
                      <w:rFonts w:hint="default" w:ascii="Times New Roman" w:hAnsi="Times New Roman" w:eastAsia="宋体"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菌种库</w:t>
                  </w:r>
                </w:p>
              </w:tc>
            </w:tr>
            <w:tr w14:paraId="71B29C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dxa"/>
                  <w:tcBorders>
                    <w:tl2br w:val="nil"/>
                    <w:tr2bl w:val="nil"/>
                  </w:tcBorders>
                  <w:vAlign w:val="center"/>
                </w:tcPr>
                <w:p w14:paraId="2F68A435">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507" w:type="dxa"/>
                  <w:tcBorders>
                    <w:tl2br w:val="nil"/>
                    <w:tr2bl w:val="nil"/>
                  </w:tcBorders>
                  <w:shd w:val="clear" w:color="auto" w:fill="auto"/>
                  <w:vAlign w:val="center"/>
                </w:tcPr>
                <w:p w14:paraId="6D468A76">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sz w:val="21"/>
                      <w:szCs w:val="21"/>
                    </w:rPr>
                    <w:t>冰箱</w:t>
                  </w:r>
                </w:p>
              </w:tc>
              <w:tc>
                <w:tcPr>
                  <w:tcW w:w="1828" w:type="dxa"/>
                  <w:tcBorders>
                    <w:tl2br w:val="nil"/>
                    <w:tr2bl w:val="nil"/>
                  </w:tcBorders>
                  <w:shd w:val="clear" w:color="auto" w:fill="auto"/>
                  <w:vAlign w:val="center"/>
                </w:tcPr>
                <w:p w14:paraId="31186482">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sz w:val="21"/>
                      <w:szCs w:val="21"/>
                      <w:lang w:val="en-US" w:eastAsia="zh-CN"/>
                    </w:rPr>
                    <w:t>BD-180WGHS9</w:t>
                  </w:r>
                </w:p>
              </w:tc>
              <w:tc>
                <w:tcPr>
                  <w:tcW w:w="1527" w:type="dxa"/>
                  <w:tcBorders>
                    <w:tl2br w:val="nil"/>
                    <w:tr2bl w:val="nil"/>
                  </w:tcBorders>
                  <w:shd w:val="clear" w:color="auto" w:fill="auto"/>
                  <w:vAlign w:val="center"/>
                </w:tcPr>
                <w:p w14:paraId="790E7221">
                  <w:pPr>
                    <w:adjustRightInd w:val="0"/>
                    <w:snapToGrid w:val="0"/>
                    <w:jc w:val="center"/>
                    <w:rPr>
                      <w:rFonts w:hint="default" w:ascii="Times New Roman" w:hAnsi="Times New Roman" w:eastAsia="宋体" w:cs="Times New Roman"/>
                      <w:color w:val="auto"/>
                      <w:spacing w:val="-1"/>
                      <w:kern w:val="2"/>
                      <w:sz w:val="21"/>
                      <w:szCs w:val="21"/>
                      <w:highlight w:val="none"/>
                      <w:lang w:val="en-US" w:eastAsia="zh-CN" w:bidi="ar-SA"/>
                    </w:rPr>
                  </w:pPr>
                  <w:r>
                    <w:rPr>
                      <w:rFonts w:hint="eastAsia" w:ascii="Times New Roman" w:hAnsi="Times New Roman" w:eastAsia="宋体" w:cs="Times New Roman"/>
                      <w:sz w:val="21"/>
                      <w:szCs w:val="21"/>
                      <w:lang w:val="en-US" w:eastAsia="zh-CN"/>
                    </w:rPr>
                    <w:t>1</w:t>
                  </w:r>
                </w:p>
              </w:tc>
              <w:tc>
                <w:tcPr>
                  <w:tcW w:w="1218" w:type="dxa"/>
                  <w:tcBorders>
                    <w:tl2br w:val="nil"/>
                    <w:tr2bl w:val="nil"/>
                  </w:tcBorders>
                  <w:shd w:val="clear" w:color="auto" w:fill="auto"/>
                  <w:vAlign w:val="center"/>
                </w:tcPr>
                <w:p w14:paraId="7DC3958B">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菌种库</w:t>
                  </w:r>
                </w:p>
              </w:tc>
            </w:tr>
            <w:tr w14:paraId="3EDFD7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dxa"/>
                  <w:tcBorders>
                    <w:tl2br w:val="nil"/>
                    <w:tr2bl w:val="nil"/>
                  </w:tcBorders>
                  <w:vAlign w:val="center"/>
                </w:tcPr>
                <w:p w14:paraId="6918511F">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507" w:type="dxa"/>
                  <w:tcBorders>
                    <w:tl2br w:val="nil"/>
                    <w:tr2bl w:val="nil"/>
                  </w:tcBorders>
                  <w:shd w:val="clear" w:color="auto" w:fill="auto"/>
                  <w:vAlign w:val="center"/>
                </w:tcPr>
                <w:p w14:paraId="7F7E2C3A">
                  <w:pPr>
                    <w:adjustRightInd w:val="0"/>
                    <w:snapToGrid w:val="0"/>
                    <w:jc w:val="center"/>
                    <w:rPr>
                      <w:rFonts w:hint="default" w:ascii="Times New Roman" w:hAnsi="Times New Roman" w:cs="Times New Roman"/>
                      <w:color w:val="auto"/>
                      <w:kern w:val="0"/>
                      <w:sz w:val="21"/>
                      <w:szCs w:val="21"/>
                      <w:highlight w:val="none"/>
                    </w:rPr>
                  </w:pPr>
                  <w:r>
                    <w:rPr>
                      <w:rFonts w:hint="eastAsia" w:ascii="Times New Roman" w:hAnsi="Times New Roman" w:eastAsia="宋体" w:cs="Times New Roman"/>
                      <w:sz w:val="21"/>
                      <w:szCs w:val="21"/>
                      <w:lang w:val="en-US" w:eastAsia="zh-CN"/>
                    </w:rPr>
                    <w:t>超低温保存箱</w:t>
                  </w:r>
                </w:p>
              </w:tc>
              <w:tc>
                <w:tcPr>
                  <w:tcW w:w="1828" w:type="dxa"/>
                  <w:tcBorders>
                    <w:tl2br w:val="nil"/>
                    <w:tr2bl w:val="nil"/>
                  </w:tcBorders>
                  <w:shd w:val="clear" w:color="auto" w:fill="auto"/>
                  <w:vAlign w:val="center"/>
                </w:tcPr>
                <w:p w14:paraId="0E56082F">
                  <w:pPr>
                    <w:adjustRightInd w:val="0"/>
                    <w:snapToGrid w:val="0"/>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eastAsia="宋体" w:cs="Times New Roman"/>
                      <w:sz w:val="21"/>
                      <w:szCs w:val="21"/>
                      <w:lang w:val="en-US" w:eastAsia="zh-CN"/>
                    </w:rPr>
                    <w:t>DW-86W100</w:t>
                  </w:r>
                </w:p>
              </w:tc>
              <w:tc>
                <w:tcPr>
                  <w:tcW w:w="1527" w:type="dxa"/>
                  <w:tcBorders>
                    <w:tl2br w:val="nil"/>
                    <w:tr2bl w:val="nil"/>
                  </w:tcBorders>
                  <w:shd w:val="clear" w:color="auto" w:fill="auto"/>
                  <w:vAlign w:val="center"/>
                </w:tcPr>
                <w:p w14:paraId="4B889C71">
                  <w:pPr>
                    <w:adjustRightInd w:val="0"/>
                    <w:snapToGrid w:val="0"/>
                    <w:jc w:val="center"/>
                    <w:rPr>
                      <w:rFonts w:hint="default" w:ascii="Times New Roman" w:hAnsi="Times New Roman" w:cs="Times New Roman"/>
                      <w:color w:val="auto"/>
                      <w:spacing w:val="-1"/>
                      <w:sz w:val="21"/>
                      <w:szCs w:val="21"/>
                      <w:highlight w:val="none"/>
                      <w:lang w:val="en-US" w:eastAsia="zh-CN"/>
                    </w:rPr>
                  </w:pPr>
                  <w:r>
                    <w:rPr>
                      <w:rFonts w:hint="eastAsia" w:ascii="Times New Roman" w:hAnsi="Times New Roman" w:eastAsia="宋体" w:cs="Times New Roman"/>
                      <w:sz w:val="21"/>
                      <w:szCs w:val="21"/>
                      <w:lang w:val="en-US" w:eastAsia="zh-CN"/>
                    </w:rPr>
                    <w:t>1</w:t>
                  </w:r>
                </w:p>
              </w:tc>
              <w:tc>
                <w:tcPr>
                  <w:tcW w:w="1218" w:type="dxa"/>
                  <w:tcBorders>
                    <w:tl2br w:val="nil"/>
                    <w:tr2bl w:val="nil"/>
                  </w:tcBorders>
                  <w:shd w:val="clear" w:color="auto" w:fill="auto"/>
                  <w:vAlign w:val="center"/>
                </w:tcPr>
                <w:p w14:paraId="72522561">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冷库</w:t>
                  </w:r>
                </w:p>
              </w:tc>
            </w:tr>
            <w:tr w14:paraId="5AEDCF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dxa"/>
                  <w:tcBorders>
                    <w:tl2br w:val="nil"/>
                    <w:tr2bl w:val="nil"/>
                  </w:tcBorders>
                  <w:vAlign w:val="center"/>
                </w:tcPr>
                <w:p w14:paraId="70E41D48">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507" w:type="dxa"/>
                  <w:tcBorders>
                    <w:tl2br w:val="nil"/>
                    <w:tr2bl w:val="nil"/>
                  </w:tcBorders>
                  <w:shd w:val="clear" w:color="auto" w:fill="auto"/>
                  <w:vAlign w:val="center"/>
                </w:tcPr>
                <w:p w14:paraId="1D90CF44">
                  <w:pPr>
                    <w:adjustRightInd w:val="0"/>
                    <w:snapToGrid w:val="0"/>
                    <w:jc w:val="center"/>
                    <w:rPr>
                      <w:rFonts w:hint="default" w:ascii="Times New Roman" w:hAnsi="Times New Roman" w:cs="Times New Roman"/>
                      <w:color w:val="auto"/>
                      <w:kern w:val="0"/>
                      <w:sz w:val="21"/>
                      <w:szCs w:val="21"/>
                      <w:highlight w:val="none"/>
                    </w:rPr>
                  </w:pPr>
                  <w:r>
                    <w:rPr>
                      <w:rFonts w:hint="eastAsia" w:ascii="Times New Roman" w:hAnsi="Times New Roman" w:eastAsia="宋体" w:cs="Times New Roman"/>
                      <w:sz w:val="21"/>
                      <w:szCs w:val="21"/>
                    </w:rPr>
                    <w:t>灭菌锅</w:t>
                  </w:r>
                </w:p>
              </w:tc>
              <w:tc>
                <w:tcPr>
                  <w:tcW w:w="1828" w:type="dxa"/>
                  <w:tcBorders>
                    <w:tl2br w:val="nil"/>
                    <w:tr2bl w:val="nil"/>
                  </w:tcBorders>
                  <w:shd w:val="clear" w:color="auto" w:fill="auto"/>
                  <w:vAlign w:val="center"/>
                </w:tcPr>
                <w:p w14:paraId="16E00337">
                  <w:pPr>
                    <w:adjustRightInd w:val="0"/>
                    <w:snapToGrid w:val="0"/>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eastAsia="宋体" w:cs="Times New Roman"/>
                      <w:sz w:val="21"/>
                      <w:szCs w:val="21"/>
                      <w:lang w:val="en-US" w:eastAsia="zh-CN"/>
                    </w:rPr>
                    <w:t>SX-700</w:t>
                  </w:r>
                </w:p>
              </w:tc>
              <w:tc>
                <w:tcPr>
                  <w:tcW w:w="1527" w:type="dxa"/>
                  <w:tcBorders>
                    <w:tl2br w:val="nil"/>
                    <w:tr2bl w:val="nil"/>
                  </w:tcBorders>
                  <w:shd w:val="clear" w:color="auto" w:fill="auto"/>
                  <w:vAlign w:val="center"/>
                </w:tcPr>
                <w:p w14:paraId="5EB562F5">
                  <w:pPr>
                    <w:adjustRightInd w:val="0"/>
                    <w:snapToGrid w:val="0"/>
                    <w:jc w:val="center"/>
                    <w:rPr>
                      <w:rFonts w:hint="default" w:ascii="Times New Roman" w:hAnsi="Times New Roman" w:cs="Times New Roman"/>
                      <w:color w:val="auto"/>
                      <w:spacing w:val="-1"/>
                      <w:sz w:val="21"/>
                      <w:szCs w:val="21"/>
                      <w:highlight w:val="none"/>
                      <w:lang w:val="en-US" w:eastAsia="zh-CN"/>
                    </w:rPr>
                  </w:pPr>
                  <w:r>
                    <w:rPr>
                      <w:rFonts w:hint="eastAsia" w:ascii="Times New Roman" w:hAnsi="Times New Roman" w:eastAsia="宋体" w:cs="Times New Roman"/>
                      <w:sz w:val="21"/>
                      <w:szCs w:val="21"/>
                      <w:lang w:val="en-US" w:eastAsia="zh-CN"/>
                    </w:rPr>
                    <w:t>1</w:t>
                  </w:r>
                </w:p>
              </w:tc>
              <w:tc>
                <w:tcPr>
                  <w:tcW w:w="1218" w:type="dxa"/>
                  <w:tcBorders>
                    <w:tl2br w:val="nil"/>
                    <w:tr2bl w:val="nil"/>
                  </w:tcBorders>
                  <w:shd w:val="clear" w:color="auto" w:fill="auto"/>
                  <w:vAlign w:val="center"/>
                </w:tcPr>
                <w:p w14:paraId="00BA4C18">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灭菌间</w:t>
                  </w:r>
                </w:p>
              </w:tc>
            </w:tr>
            <w:tr w14:paraId="51932C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dxa"/>
                  <w:tcBorders>
                    <w:tl2br w:val="nil"/>
                    <w:tr2bl w:val="nil"/>
                  </w:tcBorders>
                  <w:vAlign w:val="center"/>
                </w:tcPr>
                <w:p w14:paraId="5C433A20">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507" w:type="dxa"/>
                  <w:tcBorders>
                    <w:tl2br w:val="nil"/>
                    <w:tr2bl w:val="nil"/>
                  </w:tcBorders>
                  <w:shd w:val="clear" w:color="auto" w:fill="auto"/>
                  <w:vAlign w:val="center"/>
                </w:tcPr>
                <w:p w14:paraId="703F8536">
                  <w:pPr>
                    <w:adjustRightInd w:val="0"/>
                    <w:snapToGrid w:val="0"/>
                    <w:jc w:val="center"/>
                    <w:rPr>
                      <w:rFonts w:hint="default" w:ascii="Times New Roman" w:hAnsi="Times New Roman" w:cs="Times New Roman"/>
                      <w:color w:val="auto"/>
                      <w:kern w:val="0"/>
                      <w:sz w:val="21"/>
                      <w:szCs w:val="21"/>
                      <w:highlight w:val="none"/>
                    </w:rPr>
                  </w:pPr>
                  <w:r>
                    <w:rPr>
                      <w:rFonts w:hint="eastAsia" w:ascii="Times New Roman" w:hAnsi="Times New Roman" w:eastAsia="宋体" w:cs="Times New Roman"/>
                      <w:sz w:val="21"/>
                      <w:szCs w:val="21"/>
                      <w:lang w:val="en-US" w:eastAsia="zh-CN"/>
                    </w:rPr>
                    <w:t>恒温</w:t>
                  </w:r>
                  <w:r>
                    <w:rPr>
                      <w:rFonts w:hint="eastAsia" w:ascii="Times New Roman" w:hAnsi="Times New Roman" w:eastAsia="宋体" w:cs="Times New Roman"/>
                      <w:sz w:val="21"/>
                      <w:szCs w:val="21"/>
                    </w:rPr>
                    <w:t>培养</w:t>
                  </w:r>
                  <w:r>
                    <w:rPr>
                      <w:rFonts w:hint="eastAsia" w:ascii="Times New Roman" w:hAnsi="Times New Roman" w:eastAsia="宋体" w:cs="Times New Roman"/>
                      <w:sz w:val="21"/>
                      <w:szCs w:val="21"/>
                      <w:lang w:val="en-US" w:eastAsia="zh-CN"/>
                    </w:rPr>
                    <w:t>震荡器</w:t>
                  </w:r>
                </w:p>
              </w:tc>
              <w:tc>
                <w:tcPr>
                  <w:tcW w:w="1828" w:type="dxa"/>
                  <w:tcBorders>
                    <w:tl2br w:val="nil"/>
                    <w:tr2bl w:val="nil"/>
                  </w:tcBorders>
                  <w:shd w:val="clear" w:color="auto" w:fill="auto"/>
                  <w:vAlign w:val="center"/>
                </w:tcPr>
                <w:p w14:paraId="671001A8">
                  <w:pPr>
                    <w:adjustRightInd w:val="0"/>
                    <w:snapToGrid w:val="0"/>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eastAsia="宋体" w:cs="Times New Roman"/>
                      <w:sz w:val="21"/>
                      <w:szCs w:val="21"/>
                      <w:lang w:val="en-US" w:eastAsia="zh-CN"/>
                    </w:rPr>
                    <w:t>ZHWY-200B</w:t>
                  </w:r>
                </w:p>
              </w:tc>
              <w:tc>
                <w:tcPr>
                  <w:tcW w:w="1527" w:type="dxa"/>
                  <w:tcBorders>
                    <w:tl2br w:val="nil"/>
                    <w:tr2bl w:val="nil"/>
                  </w:tcBorders>
                  <w:shd w:val="clear" w:color="auto" w:fill="auto"/>
                  <w:vAlign w:val="center"/>
                </w:tcPr>
                <w:p w14:paraId="5B28EF45">
                  <w:pPr>
                    <w:adjustRightInd w:val="0"/>
                    <w:snapToGrid w:val="0"/>
                    <w:jc w:val="center"/>
                    <w:rPr>
                      <w:rFonts w:hint="default" w:ascii="Times New Roman" w:hAnsi="Times New Roman" w:cs="Times New Roman"/>
                      <w:color w:val="auto"/>
                      <w:spacing w:val="-1"/>
                      <w:sz w:val="21"/>
                      <w:szCs w:val="21"/>
                      <w:highlight w:val="none"/>
                      <w:lang w:val="en-US" w:eastAsia="zh-CN"/>
                    </w:rPr>
                  </w:pPr>
                  <w:r>
                    <w:rPr>
                      <w:rFonts w:hint="eastAsia" w:ascii="Times New Roman" w:hAnsi="Times New Roman" w:eastAsia="宋体" w:cs="Times New Roman"/>
                      <w:sz w:val="21"/>
                      <w:szCs w:val="21"/>
                      <w:lang w:val="en-US" w:eastAsia="zh-CN"/>
                    </w:rPr>
                    <w:t>1</w:t>
                  </w:r>
                </w:p>
              </w:tc>
              <w:tc>
                <w:tcPr>
                  <w:tcW w:w="1218" w:type="dxa"/>
                  <w:tcBorders>
                    <w:tl2br w:val="nil"/>
                    <w:tr2bl w:val="nil"/>
                  </w:tcBorders>
                  <w:shd w:val="clear" w:color="auto" w:fill="auto"/>
                  <w:vAlign w:val="center"/>
                </w:tcPr>
                <w:p w14:paraId="3C8B73DF">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纯化间</w:t>
                  </w:r>
                </w:p>
              </w:tc>
            </w:tr>
            <w:tr w14:paraId="708033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dxa"/>
                  <w:tcBorders>
                    <w:tl2br w:val="nil"/>
                    <w:tr2bl w:val="nil"/>
                  </w:tcBorders>
                  <w:vAlign w:val="center"/>
                </w:tcPr>
                <w:p w14:paraId="73DB98EA">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507" w:type="dxa"/>
                  <w:tcBorders>
                    <w:tl2br w:val="nil"/>
                    <w:tr2bl w:val="nil"/>
                  </w:tcBorders>
                  <w:shd w:val="clear" w:color="auto" w:fill="auto"/>
                  <w:vAlign w:val="center"/>
                </w:tcPr>
                <w:p w14:paraId="480A90B8">
                  <w:pPr>
                    <w:adjustRightInd w:val="0"/>
                    <w:snapToGrid w:val="0"/>
                    <w:jc w:val="center"/>
                    <w:rPr>
                      <w:rFonts w:hint="default" w:ascii="Times New Roman" w:hAnsi="Times New Roman" w:cs="Times New Roman"/>
                      <w:color w:val="auto"/>
                      <w:kern w:val="0"/>
                      <w:sz w:val="21"/>
                      <w:szCs w:val="21"/>
                      <w:highlight w:val="none"/>
                    </w:rPr>
                  </w:pPr>
                  <w:r>
                    <w:rPr>
                      <w:rFonts w:hint="eastAsia" w:ascii="Times New Roman" w:hAnsi="Times New Roman" w:eastAsia="宋体" w:cs="Times New Roman"/>
                      <w:sz w:val="21"/>
                      <w:szCs w:val="21"/>
                    </w:rPr>
                    <w:t>超净台</w:t>
                  </w:r>
                </w:p>
              </w:tc>
              <w:tc>
                <w:tcPr>
                  <w:tcW w:w="1828" w:type="dxa"/>
                  <w:tcBorders>
                    <w:tl2br w:val="nil"/>
                    <w:tr2bl w:val="nil"/>
                  </w:tcBorders>
                  <w:shd w:val="clear" w:color="auto" w:fill="auto"/>
                  <w:vAlign w:val="center"/>
                </w:tcPr>
                <w:p w14:paraId="7893C131">
                  <w:pPr>
                    <w:adjustRightInd w:val="0"/>
                    <w:snapToGrid w:val="0"/>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eastAsia="宋体" w:cs="Times New Roman"/>
                      <w:sz w:val="21"/>
                      <w:szCs w:val="21"/>
                      <w:lang w:val="en-US" w:eastAsia="zh-CN"/>
                    </w:rPr>
                    <w:t>SW-CJ-1FD</w:t>
                  </w:r>
                </w:p>
              </w:tc>
              <w:tc>
                <w:tcPr>
                  <w:tcW w:w="1527" w:type="dxa"/>
                  <w:tcBorders>
                    <w:tl2br w:val="nil"/>
                    <w:tr2bl w:val="nil"/>
                  </w:tcBorders>
                  <w:shd w:val="clear" w:color="auto" w:fill="auto"/>
                  <w:vAlign w:val="center"/>
                </w:tcPr>
                <w:p w14:paraId="7821C1EE">
                  <w:pPr>
                    <w:adjustRightInd w:val="0"/>
                    <w:snapToGrid w:val="0"/>
                    <w:jc w:val="center"/>
                    <w:rPr>
                      <w:rFonts w:hint="default" w:ascii="Times New Roman" w:hAnsi="Times New Roman" w:cs="Times New Roman"/>
                      <w:color w:val="auto"/>
                      <w:spacing w:val="-1"/>
                      <w:sz w:val="21"/>
                      <w:szCs w:val="21"/>
                      <w:highlight w:val="none"/>
                      <w:lang w:val="en-US" w:eastAsia="zh-CN"/>
                    </w:rPr>
                  </w:pPr>
                  <w:r>
                    <w:rPr>
                      <w:rFonts w:hint="eastAsia" w:ascii="Times New Roman" w:hAnsi="Times New Roman" w:eastAsia="宋体" w:cs="Times New Roman"/>
                      <w:kern w:val="2"/>
                      <w:sz w:val="21"/>
                      <w:szCs w:val="21"/>
                      <w:lang w:val="en-US" w:eastAsia="zh-CN" w:bidi="ar-SA"/>
                    </w:rPr>
                    <w:t>2</w:t>
                  </w:r>
                </w:p>
              </w:tc>
              <w:tc>
                <w:tcPr>
                  <w:tcW w:w="1218" w:type="dxa"/>
                  <w:tcBorders>
                    <w:tl2br w:val="nil"/>
                    <w:tr2bl w:val="nil"/>
                  </w:tcBorders>
                  <w:shd w:val="clear" w:color="auto" w:fill="auto"/>
                  <w:vAlign w:val="center"/>
                </w:tcPr>
                <w:p w14:paraId="61B7EC94">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纯化间</w:t>
                  </w:r>
                </w:p>
              </w:tc>
            </w:tr>
            <w:tr w14:paraId="6089A3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dxa"/>
                  <w:tcBorders>
                    <w:tl2br w:val="nil"/>
                    <w:tr2bl w:val="nil"/>
                  </w:tcBorders>
                  <w:vAlign w:val="center"/>
                </w:tcPr>
                <w:p w14:paraId="3BAE4508">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507" w:type="dxa"/>
                  <w:tcBorders>
                    <w:tl2br w:val="nil"/>
                    <w:tr2bl w:val="nil"/>
                  </w:tcBorders>
                  <w:shd w:val="clear" w:color="auto" w:fill="auto"/>
                  <w:vAlign w:val="center"/>
                </w:tcPr>
                <w:p w14:paraId="5D87ACAA">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sz w:val="21"/>
                      <w:szCs w:val="21"/>
                      <w:lang w:val="en-US" w:eastAsia="zh-CN"/>
                    </w:rPr>
                    <w:t>医用</w:t>
                  </w:r>
                  <w:r>
                    <w:rPr>
                      <w:rFonts w:hint="eastAsia" w:ascii="Times New Roman" w:hAnsi="Times New Roman" w:eastAsia="宋体" w:cs="Times New Roman"/>
                      <w:sz w:val="21"/>
                      <w:szCs w:val="21"/>
                    </w:rPr>
                    <w:t>离心机</w:t>
                  </w:r>
                </w:p>
              </w:tc>
              <w:tc>
                <w:tcPr>
                  <w:tcW w:w="1828" w:type="dxa"/>
                  <w:tcBorders>
                    <w:tl2br w:val="nil"/>
                    <w:tr2bl w:val="nil"/>
                  </w:tcBorders>
                  <w:shd w:val="clear" w:color="auto" w:fill="auto"/>
                  <w:vAlign w:val="center"/>
                </w:tcPr>
                <w:p w14:paraId="1331024C">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sz w:val="21"/>
                      <w:szCs w:val="21"/>
                      <w:lang w:val="en-US" w:eastAsia="zh-CN"/>
                    </w:rPr>
                    <w:t>H1750R</w:t>
                  </w:r>
                </w:p>
              </w:tc>
              <w:tc>
                <w:tcPr>
                  <w:tcW w:w="1527" w:type="dxa"/>
                  <w:tcBorders>
                    <w:tl2br w:val="nil"/>
                    <w:tr2bl w:val="nil"/>
                  </w:tcBorders>
                  <w:shd w:val="clear" w:color="auto" w:fill="auto"/>
                  <w:vAlign w:val="center"/>
                </w:tcPr>
                <w:p w14:paraId="21245822">
                  <w:pPr>
                    <w:adjustRightInd w:val="0"/>
                    <w:snapToGrid w:val="0"/>
                    <w:jc w:val="center"/>
                    <w:rPr>
                      <w:rFonts w:hint="default" w:ascii="Times New Roman" w:hAnsi="Times New Roman" w:eastAsia="Times New Roman" w:cs="Times New Roman"/>
                      <w:color w:val="auto"/>
                      <w:kern w:val="2"/>
                      <w:sz w:val="21"/>
                      <w:szCs w:val="21"/>
                      <w:highlight w:val="none"/>
                      <w:lang w:val="en-US" w:eastAsia="zh-CN" w:bidi="ar-SA"/>
                    </w:rPr>
                  </w:pPr>
                  <w:r>
                    <w:rPr>
                      <w:rFonts w:hint="eastAsia" w:ascii="Times New Roman" w:hAnsi="Times New Roman" w:eastAsia="宋体" w:cs="Times New Roman"/>
                      <w:sz w:val="21"/>
                      <w:szCs w:val="21"/>
                      <w:lang w:val="en-US" w:eastAsia="zh-CN"/>
                    </w:rPr>
                    <w:t>1</w:t>
                  </w:r>
                </w:p>
              </w:tc>
              <w:tc>
                <w:tcPr>
                  <w:tcW w:w="1218" w:type="dxa"/>
                  <w:tcBorders>
                    <w:tl2br w:val="nil"/>
                    <w:tr2bl w:val="nil"/>
                  </w:tcBorders>
                  <w:shd w:val="clear" w:color="auto" w:fill="auto"/>
                  <w:vAlign w:val="center"/>
                </w:tcPr>
                <w:p w14:paraId="58136CF2">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eastAsia="Times New Roman" w:cs="Times New Roman"/>
                      <w:color w:val="auto"/>
                      <w:kern w:val="2"/>
                      <w:sz w:val="21"/>
                      <w:szCs w:val="21"/>
                      <w:highlight w:val="none"/>
                      <w:lang w:val="en-US" w:eastAsia="zh-CN" w:bidi="ar-SA"/>
                    </w:rPr>
                    <w:t>纯化间</w:t>
                  </w:r>
                </w:p>
              </w:tc>
            </w:tr>
            <w:tr w14:paraId="40645D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dxa"/>
                  <w:tcBorders>
                    <w:tl2br w:val="nil"/>
                    <w:tr2bl w:val="nil"/>
                  </w:tcBorders>
                  <w:vAlign w:val="center"/>
                </w:tcPr>
                <w:p w14:paraId="72645A2E">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507" w:type="dxa"/>
                  <w:tcBorders>
                    <w:tl2br w:val="nil"/>
                    <w:tr2bl w:val="nil"/>
                  </w:tcBorders>
                  <w:shd w:val="clear" w:color="auto" w:fill="auto"/>
                  <w:vAlign w:val="center"/>
                </w:tcPr>
                <w:p w14:paraId="4ECAECCA">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sz w:val="21"/>
                      <w:szCs w:val="21"/>
                      <w:lang w:val="en-US" w:eastAsia="zh-CN"/>
                    </w:rPr>
                    <w:t>湘仪离心机</w:t>
                  </w:r>
                </w:p>
              </w:tc>
              <w:tc>
                <w:tcPr>
                  <w:tcW w:w="1828" w:type="dxa"/>
                  <w:tcBorders>
                    <w:tl2br w:val="nil"/>
                    <w:tr2bl w:val="nil"/>
                  </w:tcBorders>
                  <w:shd w:val="clear" w:color="auto" w:fill="auto"/>
                  <w:vAlign w:val="center"/>
                </w:tcPr>
                <w:p w14:paraId="5E972258">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sz w:val="21"/>
                      <w:szCs w:val="21"/>
                      <w:lang w:val="en-US" w:eastAsia="zh-CN"/>
                    </w:rPr>
                    <w:t>GL10MD</w:t>
                  </w:r>
                </w:p>
              </w:tc>
              <w:tc>
                <w:tcPr>
                  <w:tcW w:w="1527" w:type="dxa"/>
                  <w:tcBorders>
                    <w:tl2br w:val="nil"/>
                    <w:tr2bl w:val="nil"/>
                  </w:tcBorders>
                  <w:shd w:val="clear" w:color="auto" w:fill="auto"/>
                  <w:vAlign w:val="center"/>
                </w:tcPr>
                <w:p w14:paraId="7C72D12E">
                  <w:pPr>
                    <w:adjustRightInd w:val="0"/>
                    <w:snapToGrid w:val="0"/>
                    <w:jc w:val="center"/>
                    <w:rPr>
                      <w:rFonts w:hint="default" w:ascii="Times New Roman" w:hAnsi="Times New Roman" w:eastAsia="Times New Roman" w:cs="Times New Roman"/>
                      <w:color w:val="auto"/>
                      <w:kern w:val="2"/>
                      <w:sz w:val="21"/>
                      <w:szCs w:val="21"/>
                      <w:highlight w:val="none"/>
                      <w:lang w:val="en-US" w:eastAsia="zh-CN" w:bidi="ar-SA"/>
                    </w:rPr>
                  </w:pPr>
                  <w:r>
                    <w:rPr>
                      <w:rFonts w:hint="eastAsia" w:ascii="Times New Roman" w:hAnsi="Times New Roman" w:eastAsia="宋体" w:cs="Times New Roman"/>
                      <w:sz w:val="21"/>
                      <w:szCs w:val="21"/>
                      <w:lang w:val="en-US" w:eastAsia="zh-CN"/>
                    </w:rPr>
                    <w:t>1</w:t>
                  </w:r>
                </w:p>
              </w:tc>
              <w:tc>
                <w:tcPr>
                  <w:tcW w:w="1218" w:type="dxa"/>
                  <w:tcBorders>
                    <w:tl2br w:val="nil"/>
                    <w:tr2bl w:val="nil"/>
                  </w:tcBorders>
                  <w:shd w:val="clear" w:color="auto" w:fill="auto"/>
                  <w:vAlign w:val="center"/>
                </w:tcPr>
                <w:p w14:paraId="7F58E81F">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eastAsia="Times New Roman" w:cs="Times New Roman"/>
                      <w:color w:val="auto"/>
                      <w:kern w:val="2"/>
                      <w:sz w:val="21"/>
                      <w:szCs w:val="21"/>
                      <w:highlight w:val="none"/>
                      <w:lang w:val="en-US" w:eastAsia="zh-CN" w:bidi="ar-SA"/>
                    </w:rPr>
                    <w:t>纯化间</w:t>
                  </w:r>
                </w:p>
              </w:tc>
            </w:tr>
            <w:tr w14:paraId="76AA4D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dxa"/>
                  <w:tcBorders>
                    <w:tl2br w:val="nil"/>
                    <w:tr2bl w:val="nil"/>
                  </w:tcBorders>
                  <w:vAlign w:val="center"/>
                </w:tcPr>
                <w:p w14:paraId="36AA0C31">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507" w:type="dxa"/>
                  <w:tcBorders>
                    <w:tl2br w:val="nil"/>
                    <w:tr2bl w:val="nil"/>
                  </w:tcBorders>
                  <w:shd w:val="clear" w:color="auto" w:fill="auto"/>
                  <w:vAlign w:val="center"/>
                </w:tcPr>
                <w:p w14:paraId="0C1CAB78">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kern w:val="2"/>
                      <w:sz w:val="21"/>
                      <w:szCs w:val="21"/>
                      <w:lang w:val="en-US" w:eastAsia="zh-CN" w:bidi="ar-SA"/>
                    </w:rPr>
                    <w:t>电加热蒸汽发生器</w:t>
                  </w:r>
                </w:p>
              </w:tc>
              <w:tc>
                <w:tcPr>
                  <w:tcW w:w="1828" w:type="dxa"/>
                  <w:tcBorders>
                    <w:tl2br w:val="nil"/>
                    <w:tr2bl w:val="nil"/>
                  </w:tcBorders>
                  <w:shd w:val="clear" w:color="auto" w:fill="auto"/>
                  <w:vAlign w:val="center"/>
                </w:tcPr>
                <w:p w14:paraId="4FC18CF6">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kern w:val="2"/>
                      <w:sz w:val="21"/>
                      <w:szCs w:val="21"/>
                      <w:lang w:val="en-US" w:eastAsia="zh-CN" w:bidi="ar-SA"/>
                    </w:rPr>
                    <w:t>P506</w:t>
                  </w:r>
                </w:p>
              </w:tc>
              <w:tc>
                <w:tcPr>
                  <w:tcW w:w="1527" w:type="dxa"/>
                  <w:tcBorders>
                    <w:tl2br w:val="nil"/>
                    <w:tr2bl w:val="nil"/>
                  </w:tcBorders>
                  <w:shd w:val="clear" w:color="auto" w:fill="auto"/>
                  <w:vAlign w:val="center"/>
                </w:tcPr>
                <w:p w14:paraId="3DF2DB32">
                  <w:pPr>
                    <w:adjustRightInd w:val="0"/>
                    <w:snapToGrid w:val="0"/>
                    <w:jc w:val="center"/>
                    <w:rPr>
                      <w:rFonts w:hint="default" w:ascii="Times New Roman" w:hAnsi="Times New Roman" w:eastAsia="Times New Roman" w:cs="Times New Roman"/>
                      <w:color w:val="auto"/>
                      <w:kern w:val="2"/>
                      <w:sz w:val="21"/>
                      <w:szCs w:val="21"/>
                      <w:highlight w:val="none"/>
                      <w:lang w:val="en-US" w:eastAsia="zh-CN" w:bidi="ar-SA"/>
                    </w:rPr>
                  </w:pPr>
                  <w:r>
                    <w:rPr>
                      <w:rFonts w:hint="eastAsia" w:ascii="Times New Roman" w:hAnsi="Times New Roman" w:eastAsia="宋体" w:cs="Times New Roman"/>
                      <w:kern w:val="2"/>
                      <w:sz w:val="21"/>
                      <w:szCs w:val="21"/>
                      <w:lang w:val="en-US" w:eastAsia="zh-CN" w:bidi="ar-SA"/>
                    </w:rPr>
                    <w:t>1</w:t>
                  </w:r>
                </w:p>
              </w:tc>
              <w:tc>
                <w:tcPr>
                  <w:tcW w:w="1218" w:type="dxa"/>
                  <w:tcBorders>
                    <w:tl2br w:val="nil"/>
                    <w:tr2bl w:val="nil"/>
                  </w:tcBorders>
                  <w:shd w:val="clear" w:color="auto" w:fill="auto"/>
                  <w:vAlign w:val="center"/>
                </w:tcPr>
                <w:p w14:paraId="099CCC80">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eastAsia="Times New Roman" w:cs="Times New Roman"/>
                      <w:color w:val="auto"/>
                      <w:kern w:val="2"/>
                      <w:sz w:val="21"/>
                      <w:szCs w:val="21"/>
                      <w:highlight w:val="none"/>
                      <w:lang w:val="en-US" w:eastAsia="zh-CN" w:bidi="ar-SA"/>
                    </w:rPr>
                    <w:t>发酵间</w:t>
                  </w:r>
                </w:p>
              </w:tc>
            </w:tr>
            <w:tr w14:paraId="0BEB39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dxa"/>
                  <w:tcBorders>
                    <w:tl2br w:val="nil"/>
                    <w:tr2bl w:val="nil"/>
                  </w:tcBorders>
                  <w:vAlign w:val="center"/>
                </w:tcPr>
                <w:p w14:paraId="0769F0F2">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507" w:type="dxa"/>
                  <w:tcBorders>
                    <w:tl2br w:val="nil"/>
                    <w:tr2bl w:val="nil"/>
                  </w:tcBorders>
                  <w:shd w:val="clear" w:color="auto" w:fill="auto"/>
                  <w:vAlign w:val="center"/>
                </w:tcPr>
                <w:p w14:paraId="449A7564">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sz w:val="21"/>
                      <w:szCs w:val="21"/>
                      <w:lang w:val="en-US" w:eastAsia="zh-CN"/>
                    </w:rPr>
                    <w:t>可见光分光光度计</w:t>
                  </w:r>
                </w:p>
              </w:tc>
              <w:tc>
                <w:tcPr>
                  <w:tcW w:w="1828" w:type="dxa"/>
                  <w:tcBorders>
                    <w:tl2br w:val="nil"/>
                    <w:tr2bl w:val="nil"/>
                  </w:tcBorders>
                  <w:shd w:val="clear" w:color="auto" w:fill="auto"/>
                  <w:vAlign w:val="center"/>
                </w:tcPr>
                <w:p w14:paraId="4339FB4F">
                  <w:pPr>
                    <w:tabs>
                      <w:tab w:val="left" w:pos="514"/>
                    </w:tabs>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sz w:val="21"/>
                      <w:szCs w:val="21"/>
                      <w:lang w:val="en-US" w:eastAsia="zh-CN"/>
                    </w:rPr>
                    <w:t>222508039BM</w:t>
                  </w:r>
                </w:p>
              </w:tc>
              <w:tc>
                <w:tcPr>
                  <w:tcW w:w="1527" w:type="dxa"/>
                  <w:tcBorders>
                    <w:tl2br w:val="nil"/>
                    <w:tr2bl w:val="nil"/>
                  </w:tcBorders>
                  <w:shd w:val="clear" w:color="auto" w:fill="auto"/>
                  <w:vAlign w:val="center"/>
                </w:tcPr>
                <w:p w14:paraId="6AE48BFE">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kern w:val="2"/>
                      <w:sz w:val="21"/>
                      <w:szCs w:val="21"/>
                      <w:lang w:val="en-US" w:eastAsia="zh-CN" w:bidi="ar-SA"/>
                    </w:rPr>
                    <w:t>1</w:t>
                  </w:r>
                </w:p>
              </w:tc>
              <w:tc>
                <w:tcPr>
                  <w:tcW w:w="1218" w:type="dxa"/>
                  <w:tcBorders>
                    <w:tl2br w:val="nil"/>
                    <w:tr2bl w:val="nil"/>
                  </w:tcBorders>
                  <w:shd w:val="clear" w:color="auto" w:fill="auto"/>
                  <w:vAlign w:val="center"/>
                </w:tcPr>
                <w:p w14:paraId="494ABB0D">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研发综合实验室</w:t>
                  </w:r>
                </w:p>
              </w:tc>
            </w:tr>
            <w:tr w14:paraId="3DCED1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dxa"/>
                  <w:tcBorders>
                    <w:tl2br w:val="nil"/>
                    <w:tr2bl w:val="nil"/>
                  </w:tcBorders>
                  <w:vAlign w:val="center"/>
                </w:tcPr>
                <w:p w14:paraId="49757975">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507" w:type="dxa"/>
                  <w:tcBorders>
                    <w:tl2br w:val="nil"/>
                    <w:tr2bl w:val="nil"/>
                  </w:tcBorders>
                  <w:shd w:val="clear" w:color="auto" w:fill="auto"/>
                  <w:vAlign w:val="center"/>
                </w:tcPr>
                <w:p w14:paraId="1F2B977B">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sz w:val="21"/>
                      <w:szCs w:val="21"/>
                      <w:lang w:val="en-US" w:eastAsia="zh-CN"/>
                    </w:rPr>
                    <w:t>隔水式恒温培养箱</w:t>
                  </w:r>
                </w:p>
              </w:tc>
              <w:tc>
                <w:tcPr>
                  <w:tcW w:w="1828" w:type="dxa"/>
                  <w:tcBorders>
                    <w:tl2br w:val="nil"/>
                    <w:tr2bl w:val="nil"/>
                  </w:tcBorders>
                  <w:shd w:val="clear" w:color="auto" w:fill="auto"/>
                  <w:vAlign w:val="center"/>
                </w:tcPr>
                <w:p w14:paraId="7AC8D433">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sz w:val="21"/>
                      <w:szCs w:val="21"/>
                      <w:lang w:val="en-US" w:eastAsia="zh-CN"/>
                    </w:rPr>
                    <w:t>GNP-9080</w:t>
                  </w:r>
                </w:p>
              </w:tc>
              <w:tc>
                <w:tcPr>
                  <w:tcW w:w="1527" w:type="dxa"/>
                  <w:tcBorders>
                    <w:tl2br w:val="nil"/>
                    <w:tr2bl w:val="nil"/>
                  </w:tcBorders>
                  <w:shd w:val="clear" w:color="auto" w:fill="auto"/>
                  <w:vAlign w:val="center"/>
                </w:tcPr>
                <w:p w14:paraId="2E6F404A">
                  <w:pPr>
                    <w:adjustRightInd w:val="0"/>
                    <w:snapToGrid w:val="0"/>
                    <w:jc w:val="center"/>
                    <w:rPr>
                      <w:rFonts w:hint="default" w:ascii="Times New Roman" w:hAnsi="Times New Roman" w:eastAsia="Times New Roman" w:cs="Times New Roman"/>
                      <w:color w:val="auto"/>
                      <w:kern w:val="2"/>
                      <w:sz w:val="21"/>
                      <w:szCs w:val="21"/>
                      <w:highlight w:val="none"/>
                      <w:lang w:val="en-US" w:eastAsia="zh-CN" w:bidi="ar-SA"/>
                    </w:rPr>
                  </w:pPr>
                  <w:r>
                    <w:rPr>
                      <w:rFonts w:hint="eastAsia" w:ascii="Times New Roman" w:hAnsi="Times New Roman" w:eastAsia="宋体" w:cs="Times New Roman"/>
                      <w:sz w:val="21"/>
                      <w:szCs w:val="21"/>
                      <w:lang w:val="en-US" w:eastAsia="zh-CN"/>
                    </w:rPr>
                    <w:t>1</w:t>
                  </w:r>
                </w:p>
              </w:tc>
              <w:tc>
                <w:tcPr>
                  <w:tcW w:w="1218" w:type="dxa"/>
                  <w:tcBorders>
                    <w:tl2br w:val="nil"/>
                    <w:tr2bl w:val="nil"/>
                  </w:tcBorders>
                  <w:shd w:val="clear" w:color="auto" w:fill="auto"/>
                  <w:vAlign w:val="center"/>
                </w:tcPr>
                <w:p w14:paraId="769A9853">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研发综合实验室</w:t>
                  </w:r>
                </w:p>
              </w:tc>
            </w:tr>
            <w:tr w14:paraId="4F288B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dxa"/>
                  <w:tcBorders>
                    <w:tl2br w:val="nil"/>
                    <w:tr2bl w:val="nil"/>
                  </w:tcBorders>
                  <w:vAlign w:val="center"/>
                </w:tcPr>
                <w:p w14:paraId="1B5E2C46">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507" w:type="dxa"/>
                  <w:tcBorders>
                    <w:tl2br w:val="nil"/>
                    <w:tr2bl w:val="nil"/>
                  </w:tcBorders>
                  <w:shd w:val="clear" w:color="auto" w:fill="auto"/>
                  <w:vAlign w:val="center"/>
                </w:tcPr>
                <w:p w14:paraId="32098855">
                  <w:pPr>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高压蒸汽灭菌器</w:t>
                  </w:r>
                </w:p>
              </w:tc>
              <w:tc>
                <w:tcPr>
                  <w:tcW w:w="1828" w:type="dxa"/>
                  <w:tcBorders>
                    <w:tl2br w:val="nil"/>
                    <w:tr2bl w:val="nil"/>
                  </w:tcBorders>
                  <w:shd w:val="clear" w:color="auto" w:fill="auto"/>
                  <w:vAlign w:val="center"/>
                </w:tcPr>
                <w:p w14:paraId="51E744AC">
                  <w:pPr>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1527" w:type="dxa"/>
                  <w:tcBorders>
                    <w:tl2br w:val="nil"/>
                    <w:tr2bl w:val="nil"/>
                  </w:tcBorders>
                  <w:shd w:val="clear" w:color="auto" w:fill="auto"/>
                  <w:vAlign w:val="center"/>
                </w:tcPr>
                <w:p w14:paraId="281D725C">
                  <w:pPr>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w:t>
                  </w:r>
                </w:p>
              </w:tc>
              <w:tc>
                <w:tcPr>
                  <w:tcW w:w="1218" w:type="dxa"/>
                  <w:tcBorders>
                    <w:tl2br w:val="nil"/>
                    <w:tr2bl w:val="nil"/>
                  </w:tcBorders>
                  <w:shd w:val="clear" w:color="auto" w:fill="auto"/>
                  <w:vAlign w:val="center"/>
                </w:tcPr>
                <w:p w14:paraId="6C81F825">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eastAsia="Times New Roman" w:cs="Times New Roman"/>
                      <w:color w:val="auto"/>
                      <w:kern w:val="2"/>
                      <w:sz w:val="21"/>
                      <w:szCs w:val="21"/>
                      <w:highlight w:val="none"/>
                      <w:lang w:val="en-US" w:eastAsia="zh-CN" w:bidi="ar-SA"/>
                    </w:rPr>
                    <w:t>灭菌间</w:t>
                  </w:r>
                </w:p>
              </w:tc>
            </w:tr>
            <w:tr w14:paraId="61F4C7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dxa"/>
                  <w:tcBorders>
                    <w:tl2br w:val="nil"/>
                    <w:tr2bl w:val="nil"/>
                  </w:tcBorders>
                  <w:vAlign w:val="center"/>
                </w:tcPr>
                <w:p w14:paraId="54B2B2FE">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507" w:type="dxa"/>
                  <w:tcBorders>
                    <w:tl2br w:val="nil"/>
                    <w:tr2bl w:val="nil"/>
                  </w:tcBorders>
                  <w:shd w:val="clear" w:color="auto" w:fill="auto"/>
                  <w:vAlign w:val="center"/>
                </w:tcPr>
                <w:p w14:paraId="45BF12A4">
                  <w:pPr>
                    <w:adjustRightInd w:val="0"/>
                    <w:snapToGrid w:val="0"/>
                    <w:jc w:val="center"/>
                    <w:rPr>
                      <w:rFonts w:hint="default" w:cs="Times New Roman"/>
                      <w:sz w:val="21"/>
                      <w:szCs w:val="21"/>
                      <w:lang w:val="en-US" w:eastAsia="zh-CN"/>
                    </w:rPr>
                  </w:pPr>
                  <w:r>
                    <w:rPr>
                      <w:rFonts w:hint="eastAsia" w:cs="Times New Roman"/>
                      <w:sz w:val="21"/>
                      <w:szCs w:val="21"/>
                      <w:lang w:val="en-US" w:eastAsia="zh-CN"/>
                    </w:rPr>
                    <w:t>超净工作台</w:t>
                  </w:r>
                </w:p>
              </w:tc>
              <w:tc>
                <w:tcPr>
                  <w:tcW w:w="1828" w:type="dxa"/>
                  <w:tcBorders>
                    <w:tl2br w:val="nil"/>
                    <w:tr2bl w:val="nil"/>
                  </w:tcBorders>
                  <w:shd w:val="clear" w:color="auto" w:fill="auto"/>
                  <w:vAlign w:val="center"/>
                </w:tcPr>
                <w:p w14:paraId="0A799704">
                  <w:pPr>
                    <w:adjustRightInd w:val="0"/>
                    <w:snapToGrid w:val="0"/>
                    <w:jc w:val="center"/>
                    <w:rPr>
                      <w:rFonts w:hint="default" w:cs="Times New Roman"/>
                      <w:sz w:val="21"/>
                      <w:szCs w:val="21"/>
                      <w:lang w:val="en-US" w:eastAsia="zh-CN"/>
                    </w:rPr>
                  </w:pPr>
                  <w:r>
                    <w:rPr>
                      <w:rFonts w:hint="eastAsia" w:cs="Times New Roman"/>
                      <w:sz w:val="21"/>
                      <w:szCs w:val="21"/>
                      <w:lang w:val="en-US" w:eastAsia="zh-CN"/>
                    </w:rPr>
                    <w:t>/</w:t>
                  </w:r>
                </w:p>
              </w:tc>
              <w:tc>
                <w:tcPr>
                  <w:tcW w:w="1527" w:type="dxa"/>
                  <w:tcBorders>
                    <w:tl2br w:val="nil"/>
                    <w:tr2bl w:val="nil"/>
                  </w:tcBorders>
                  <w:shd w:val="clear" w:color="auto" w:fill="auto"/>
                  <w:vAlign w:val="center"/>
                </w:tcPr>
                <w:p w14:paraId="01335B53">
                  <w:pPr>
                    <w:adjustRightInd w:val="0"/>
                    <w:snapToGrid w:val="0"/>
                    <w:jc w:val="center"/>
                    <w:rPr>
                      <w:rFonts w:hint="default" w:cs="Times New Roman"/>
                      <w:sz w:val="21"/>
                      <w:szCs w:val="21"/>
                      <w:lang w:val="en-US" w:eastAsia="zh-CN"/>
                    </w:rPr>
                  </w:pPr>
                  <w:r>
                    <w:rPr>
                      <w:rFonts w:hint="eastAsia" w:cs="Times New Roman"/>
                      <w:sz w:val="21"/>
                      <w:szCs w:val="21"/>
                      <w:lang w:val="en-US" w:eastAsia="zh-CN"/>
                    </w:rPr>
                    <w:t>1</w:t>
                  </w:r>
                </w:p>
              </w:tc>
              <w:tc>
                <w:tcPr>
                  <w:tcW w:w="1218" w:type="dxa"/>
                  <w:tcBorders>
                    <w:tl2br w:val="nil"/>
                    <w:tr2bl w:val="nil"/>
                  </w:tcBorders>
                  <w:shd w:val="clear" w:color="auto" w:fill="auto"/>
                  <w:vAlign w:val="center"/>
                </w:tcPr>
                <w:p w14:paraId="0D23F422">
                  <w:pPr>
                    <w:keepNext w:val="0"/>
                    <w:keepLines w:val="0"/>
                    <w:widowControl/>
                    <w:suppressLineNumbers w:val="0"/>
                    <w:jc w:val="center"/>
                    <w:textAlignment w:val="center"/>
                    <w:rPr>
                      <w:rFonts w:hint="eastAsia" w:eastAsia="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研发综合实验室</w:t>
                  </w:r>
                </w:p>
              </w:tc>
            </w:tr>
          </w:tbl>
          <w:p w14:paraId="3B8C984B">
            <w:pPr>
              <w:numPr>
                <w:ilvl w:val="0"/>
                <w:numId w:val="12"/>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主要原辅材料</w:t>
            </w:r>
          </w:p>
          <w:p w14:paraId="1BBB4113">
            <w:pPr>
              <w:adjustRightInd w:val="0"/>
              <w:snapToGrid w:val="0"/>
              <w:spacing w:line="360" w:lineRule="auto"/>
              <w:ind w:firstLine="48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4"/>
                <w:highlight w:val="none"/>
              </w:rPr>
              <w:t>项目主要原辅材料</w:t>
            </w:r>
            <w:r>
              <w:rPr>
                <w:rFonts w:hint="eastAsia" w:cs="Times New Roman"/>
                <w:color w:val="auto"/>
                <w:sz w:val="24"/>
                <w:highlight w:val="none"/>
                <w:lang w:val="en-US" w:eastAsia="zh-CN"/>
              </w:rPr>
              <w:t>使用情况</w:t>
            </w:r>
            <w:r>
              <w:rPr>
                <w:rFonts w:hint="default" w:ascii="Times New Roman" w:hAnsi="Times New Roman" w:eastAsia="宋体" w:cs="Times New Roman"/>
                <w:color w:val="auto"/>
                <w:sz w:val="24"/>
                <w:highlight w:val="none"/>
              </w:rPr>
              <w:t>详见下表。</w:t>
            </w:r>
          </w:p>
          <w:p w14:paraId="79BC48D8">
            <w:pPr>
              <w:numPr>
                <w:ilvl w:val="0"/>
                <w:numId w:val="13"/>
              </w:numPr>
              <w:adjustRightInd w:val="0"/>
              <w:snapToGrid w:val="0"/>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项目主要原辅材料使用情况一览表</w:t>
            </w:r>
          </w:p>
          <w:tbl>
            <w:tblPr>
              <w:tblStyle w:val="24"/>
              <w:tblW w:w="49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323"/>
              <w:gridCol w:w="1388"/>
              <w:gridCol w:w="1445"/>
              <w:gridCol w:w="1487"/>
              <w:gridCol w:w="1487"/>
            </w:tblGrid>
            <w:tr w14:paraId="37C654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2FD3E026">
                  <w:pPr>
                    <w:numPr>
                      <w:ilvl w:val="0"/>
                      <w:numId w:val="0"/>
                    </w:numPr>
                    <w:spacing w:line="240" w:lineRule="auto"/>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序号</w:t>
                  </w:r>
                </w:p>
              </w:tc>
              <w:tc>
                <w:tcPr>
                  <w:tcW w:w="1323" w:type="dxa"/>
                  <w:tcBorders>
                    <w:tl2br w:val="nil"/>
                    <w:tr2bl w:val="nil"/>
                  </w:tcBorders>
                  <w:vAlign w:val="center"/>
                </w:tcPr>
                <w:p w14:paraId="52A9C727">
                  <w:pPr>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名称</w:t>
                  </w:r>
                </w:p>
              </w:tc>
              <w:tc>
                <w:tcPr>
                  <w:tcW w:w="1388" w:type="dxa"/>
                  <w:tcBorders>
                    <w:tl2br w:val="nil"/>
                    <w:tr2bl w:val="nil"/>
                  </w:tcBorders>
                  <w:vAlign w:val="center"/>
                </w:tcPr>
                <w:p w14:paraId="03CFF830">
                  <w:pPr>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规格</w:t>
                  </w:r>
                </w:p>
              </w:tc>
              <w:tc>
                <w:tcPr>
                  <w:tcW w:w="1445" w:type="dxa"/>
                  <w:tcBorders>
                    <w:tl2br w:val="nil"/>
                    <w:tr2bl w:val="nil"/>
                  </w:tcBorders>
                  <w:shd w:val="clear" w:color="auto" w:fill="auto"/>
                  <w:vAlign w:val="center"/>
                </w:tcPr>
                <w:p w14:paraId="08D4846D">
                  <w:pPr>
                    <w:numPr>
                      <w:ilvl w:val="0"/>
                      <w:numId w:val="0"/>
                    </w:numPr>
                    <w:spacing w:line="240" w:lineRule="auto"/>
                    <w:ind w:left="0" w:leftChars="0" w:firstLine="0" w:firstLineChars="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sz w:val="21"/>
                      <w:szCs w:val="21"/>
                      <w:highlight w:val="none"/>
                      <w:vertAlign w:val="baseline"/>
                      <w:lang w:val="en-US" w:eastAsia="zh-CN"/>
                    </w:rPr>
                    <w:t>年使用量</w:t>
                  </w:r>
                </w:p>
              </w:tc>
              <w:tc>
                <w:tcPr>
                  <w:tcW w:w="1487" w:type="dxa"/>
                  <w:tcBorders>
                    <w:tl2br w:val="nil"/>
                    <w:tr2bl w:val="nil"/>
                  </w:tcBorders>
                  <w:vAlign w:val="center"/>
                </w:tcPr>
                <w:p w14:paraId="5E5ED50C">
                  <w:pPr>
                    <w:numPr>
                      <w:ilvl w:val="0"/>
                      <w:numId w:val="0"/>
                    </w:numPr>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最大贮存量</w:t>
                  </w:r>
                </w:p>
              </w:tc>
              <w:tc>
                <w:tcPr>
                  <w:tcW w:w="1487" w:type="dxa"/>
                  <w:tcBorders>
                    <w:tl2br w:val="nil"/>
                    <w:tr2bl w:val="nil"/>
                  </w:tcBorders>
                  <w:vAlign w:val="center"/>
                </w:tcPr>
                <w:p w14:paraId="6CD1831A">
                  <w:pPr>
                    <w:numPr>
                      <w:ilvl w:val="0"/>
                      <w:numId w:val="0"/>
                    </w:numPr>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贮存位置</w:t>
                  </w:r>
                </w:p>
              </w:tc>
            </w:tr>
            <w:tr w14:paraId="0D4721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684" w:type="dxa"/>
                  <w:tcBorders>
                    <w:tl2br w:val="nil"/>
                    <w:tr2bl w:val="nil"/>
                  </w:tcBorders>
                  <w:vAlign w:val="center"/>
                </w:tcPr>
                <w:p w14:paraId="505C90B8">
                  <w:pPr>
                    <w:numPr>
                      <w:ilvl w:val="0"/>
                      <w:numId w:val="15"/>
                    </w:numPr>
                    <w:spacing w:line="240" w:lineRule="auto"/>
                    <w:ind w:left="425" w:leftChars="0" w:hanging="425" w:firstLineChars="0"/>
                    <w:jc w:val="both"/>
                    <w:rPr>
                      <w:rFonts w:hint="eastAsia" w:ascii="Times New Roman" w:hAnsi="Times New Roman" w:eastAsia="宋体" w:cs="Times New Roman"/>
                      <w:b w:val="0"/>
                      <w:bCs w:val="0"/>
                      <w:color w:val="auto"/>
                      <w:sz w:val="21"/>
                      <w:szCs w:val="21"/>
                      <w:highlight w:val="none"/>
                      <w:vertAlign w:val="baseline"/>
                      <w:lang w:val="en-US" w:eastAsia="zh-CN"/>
                    </w:rPr>
                  </w:pPr>
                </w:p>
              </w:tc>
              <w:tc>
                <w:tcPr>
                  <w:tcW w:w="1323" w:type="dxa"/>
                  <w:tcBorders>
                    <w:tl2br w:val="nil"/>
                    <w:tr2bl w:val="nil"/>
                  </w:tcBorders>
                  <w:vAlign w:val="center"/>
                </w:tcPr>
                <w:p w14:paraId="14EA3B66">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嗜热脂肪地芽孢杆菌</w:t>
                  </w:r>
                </w:p>
              </w:tc>
              <w:tc>
                <w:tcPr>
                  <w:tcW w:w="1388" w:type="dxa"/>
                  <w:tcBorders>
                    <w:tl2br w:val="nil"/>
                    <w:tr2bl w:val="nil"/>
                  </w:tcBorders>
                  <w:vAlign w:val="center"/>
                </w:tcPr>
                <w:p w14:paraId="400FA992">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w:t>
                  </w:r>
                  <w:r>
                    <w:rPr>
                      <w:rFonts w:hint="eastAsia" w:cs="Times New Roman"/>
                      <w:sz w:val="21"/>
                      <w:szCs w:val="21"/>
                      <w:vertAlign w:val="superscript"/>
                      <w:lang w:val="en-US" w:eastAsia="zh-CN"/>
                    </w:rPr>
                    <w:t>8</w:t>
                  </w:r>
                  <w:r>
                    <w:rPr>
                      <w:rFonts w:hint="eastAsia" w:cs="Times New Roman"/>
                      <w:sz w:val="21"/>
                      <w:szCs w:val="21"/>
                      <w:lang w:val="en-US" w:eastAsia="zh-CN"/>
                    </w:rPr>
                    <w:t>CFU/支</w:t>
                  </w:r>
                </w:p>
              </w:tc>
              <w:tc>
                <w:tcPr>
                  <w:tcW w:w="1445" w:type="dxa"/>
                  <w:tcBorders>
                    <w:tl2br w:val="nil"/>
                    <w:tr2bl w:val="nil"/>
                  </w:tcBorders>
                  <w:shd w:val="clear" w:color="auto" w:fill="auto"/>
                  <w:vAlign w:val="center"/>
                </w:tcPr>
                <w:p w14:paraId="75BA11B5">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w:t>
                  </w:r>
                </w:p>
              </w:tc>
              <w:tc>
                <w:tcPr>
                  <w:tcW w:w="1487" w:type="dxa"/>
                  <w:tcBorders>
                    <w:tl2br w:val="nil"/>
                    <w:tr2bl w:val="nil"/>
                  </w:tcBorders>
                  <w:vAlign w:val="center"/>
                </w:tcPr>
                <w:p w14:paraId="79111410">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w:t>
                  </w:r>
                </w:p>
              </w:tc>
              <w:tc>
                <w:tcPr>
                  <w:tcW w:w="1487" w:type="dxa"/>
                  <w:tcBorders>
                    <w:tl2br w:val="nil"/>
                    <w:tr2bl w:val="nil"/>
                  </w:tcBorders>
                  <w:vAlign w:val="center"/>
                </w:tcPr>
                <w:p w14:paraId="79139139">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菌种库</w:t>
                  </w:r>
                </w:p>
              </w:tc>
            </w:tr>
            <w:tr w14:paraId="1BFB7C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4" w:type="dxa"/>
                  <w:tcBorders>
                    <w:tl2br w:val="nil"/>
                    <w:tr2bl w:val="nil"/>
                  </w:tcBorders>
                  <w:vAlign w:val="center"/>
                </w:tcPr>
                <w:p w14:paraId="1F83BCDD">
                  <w:pPr>
                    <w:numPr>
                      <w:ilvl w:val="0"/>
                      <w:numId w:val="15"/>
                    </w:numPr>
                    <w:spacing w:line="240" w:lineRule="auto"/>
                    <w:ind w:left="425" w:leftChars="0" w:hanging="425" w:firstLineChars="0"/>
                    <w:jc w:val="both"/>
                    <w:rPr>
                      <w:rFonts w:hint="default" w:ascii="Times New Roman" w:hAnsi="Times New Roman" w:eastAsia="宋体" w:cs="Times New Roman"/>
                      <w:b w:val="0"/>
                      <w:bCs w:val="0"/>
                      <w:color w:val="auto"/>
                      <w:sz w:val="21"/>
                      <w:szCs w:val="21"/>
                      <w:highlight w:val="none"/>
                      <w:vertAlign w:val="baseline"/>
                      <w:lang w:val="en-US"/>
                    </w:rPr>
                  </w:pPr>
                </w:p>
              </w:tc>
              <w:tc>
                <w:tcPr>
                  <w:tcW w:w="1323" w:type="dxa"/>
                  <w:tcBorders>
                    <w:tl2br w:val="nil"/>
                    <w:tr2bl w:val="nil"/>
                  </w:tcBorders>
                  <w:shd w:val="clear" w:color="auto" w:fill="auto"/>
                  <w:vAlign w:val="center"/>
                </w:tcPr>
                <w:p w14:paraId="538F711E">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大豆蛋白胨</w:t>
                  </w:r>
                </w:p>
              </w:tc>
              <w:tc>
                <w:tcPr>
                  <w:tcW w:w="1388" w:type="dxa"/>
                  <w:tcBorders>
                    <w:tl2br w:val="nil"/>
                    <w:tr2bl w:val="nil"/>
                  </w:tcBorders>
                  <w:shd w:val="clear" w:color="auto" w:fill="auto"/>
                  <w:vAlign w:val="top"/>
                </w:tcPr>
                <w:p w14:paraId="74269251">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2kg/桶</w:t>
                  </w:r>
                </w:p>
              </w:tc>
              <w:tc>
                <w:tcPr>
                  <w:tcW w:w="1445" w:type="dxa"/>
                  <w:tcBorders>
                    <w:tl2br w:val="nil"/>
                    <w:tr2bl w:val="nil"/>
                  </w:tcBorders>
                  <w:shd w:val="clear" w:color="auto" w:fill="auto"/>
                  <w:vAlign w:val="top"/>
                </w:tcPr>
                <w:p w14:paraId="6C49E1A3">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50kg</w:t>
                  </w:r>
                </w:p>
              </w:tc>
              <w:tc>
                <w:tcPr>
                  <w:tcW w:w="1487" w:type="dxa"/>
                  <w:tcBorders>
                    <w:tl2br w:val="nil"/>
                    <w:tr2bl w:val="nil"/>
                  </w:tcBorders>
                  <w:shd w:val="clear" w:color="auto" w:fill="auto"/>
                  <w:vAlign w:val="center"/>
                </w:tcPr>
                <w:p w14:paraId="63099B2D">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10kg</w:t>
                  </w:r>
                </w:p>
              </w:tc>
              <w:tc>
                <w:tcPr>
                  <w:tcW w:w="1487" w:type="dxa"/>
                  <w:tcBorders>
                    <w:tl2br w:val="nil"/>
                    <w:tr2bl w:val="nil"/>
                  </w:tcBorders>
                  <w:shd w:val="clear" w:color="auto" w:fill="auto"/>
                  <w:vAlign w:val="center"/>
                </w:tcPr>
                <w:p w14:paraId="699CDED7">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原料库</w:t>
                  </w:r>
                </w:p>
              </w:tc>
            </w:tr>
            <w:tr w14:paraId="7F0CFA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40A74ACB">
                  <w:pPr>
                    <w:numPr>
                      <w:ilvl w:val="0"/>
                      <w:numId w:val="15"/>
                    </w:numPr>
                    <w:spacing w:line="240" w:lineRule="auto"/>
                    <w:ind w:left="425" w:leftChars="0" w:hanging="425" w:firstLineChars="0"/>
                    <w:jc w:val="both"/>
                    <w:rPr>
                      <w:rFonts w:hint="default" w:ascii="Times New Roman" w:hAnsi="Times New Roman" w:eastAsia="宋体" w:cs="Times New Roman"/>
                      <w:b w:val="0"/>
                      <w:bCs w:val="0"/>
                      <w:color w:val="auto"/>
                      <w:sz w:val="21"/>
                      <w:szCs w:val="21"/>
                      <w:highlight w:val="none"/>
                      <w:vertAlign w:val="baseline"/>
                      <w:lang w:val="en-US"/>
                    </w:rPr>
                  </w:pPr>
                </w:p>
              </w:tc>
              <w:tc>
                <w:tcPr>
                  <w:tcW w:w="1323" w:type="dxa"/>
                  <w:tcBorders>
                    <w:tl2br w:val="nil"/>
                    <w:tr2bl w:val="nil"/>
                  </w:tcBorders>
                  <w:shd w:val="clear" w:color="auto" w:fill="auto"/>
                  <w:vAlign w:val="center"/>
                </w:tcPr>
                <w:p w14:paraId="2345069A">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无水</w:t>
                  </w:r>
                  <w:r>
                    <w:rPr>
                      <w:rFonts w:hint="eastAsia" w:ascii="Times New Roman" w:hAnsi="Times New Roman" w:eastAsia="宋体" w:cs="Times New Roman"/>
                      <w:sz w:val="21"/>
                      <w:szCs w:val="21"/>
                    </w:rPr>
                    <w:t>葡萄糖</w:t>
                  </w:r>
                </w:p>
              </w:tc>
              <w:tc>
                <w:tcPr>
                  <w:tcW w:w="1388" w:type="dxa"/>
                  <w:tcBorders>
                    <w:tl2br w:val="nil"/>
                    <w:tr2bl w:val="nil"/>
                  </w:tcBorders>
                  <w:shd w:val="clear" w:color="auto" w:fill="auto"/>
                  <w:vAlign w:val="top"/>
                </w:tcPr>
                <w:p w14:paraId="1F415BF5">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2kg/桶</w:t>
                  </w:r>
                </w:p>
              </w:tc>
              <w:tc>
                <w:tcPr>
                  <w:tcW w:w="1445" w:type="dxa"/>
                  <w:tcBorders>
                    <w:tl2br w:val="nil"/>
                    <w:tr2bl w:val="nil"/>
                  </w:tcBorders>
                  <w:shd w:val="clear" w:color="auto" w:fill="auto"/>
                  <w:vAlign w:val="top"/>
                </w:tcPr>
                <w:p w14:paraId="4B240E28">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4kg</w:t>
                  </w:r>
                </w:p>
              </w:tc>
              <w:tc>
                <w:tcPr>
                  <w:tcW w:w="1487" w:type="dxa"/>
                  <w:tcBorders>
                    <w:tl2br w:val="nil"/>
                    <w:tr2bl w:val="nil"/>
                  </w:tcBorders>
                  <w:shd w:val="clear" w:color="auto" w:fill="auto"/>
                  <w:vAlign w:val="center"/>
                </w:tcPr>
                <w:p w14:paraId="5D201D23">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2kg</w:t>
                  </w:r>
                </w:p>
              </w:tc>
              <w:tc>
                <w:tcPr>
                  <w:tcW w:w="1487" w:type="dxa"/>
                  <w:tcBorders>
                    <w:tl2br w:val="nil"/>
                    <w:tr2bl w:val="nil"/>
                  </w:tcBorders>
                  <w:shd w:val="clear" w:color="auto" w:fill="auto"/>
                  <w:vAlign w:val="center"/>
                </w:tcPr>
                <w:p w14:paraId="7F93F638">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试剂间</w:t>
                  </w:r>
                </w:p>
              </w:tc>
            </w:tr>
            <w:tr w14:paraId="2107B7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4420CA99">
                  <w:pPr>
                    <w:numPr>
                      <w:ilvl w:val="0"/>
                      <w:numId w:val="15"/>
                    </w:numPr>
                    <w:spacing w:line="240" w:lineRule="auto"/>
                    <w:ind w:left="425" w:leftChars="0" w:hanging="425" w:firstLineChars="0"/>
                    <w:jc w:val="both"/>
                    <w:rPr>
                      <w:rFonts w:hint="default" w:ascii="Times New Roman" w:hAnsi="Times New Roman" w:eastAsia="宋体" w:cs="Times New Roman"/>
                      <w:b w:val="0"/>
                      <w:bCs w:val="0"/>
                      <w:color w:val="auto"/>
                      <w:sz w:val="21"/>
                      <w:szCs w:val="21"/>
                      <w:highlight w:val="none"/>
                      <w:vertAlign w:val="baseline"/>
                      <w:lang w:val="en-US"/>
                    </w:rPr>
                  </w:pPr>
                </w:p>
              </w:tc>
              <w:tc>
                <w:tcPr>
                  <w:tcW w:w="1323" w:type="dxa"/>
                  <w:tcBorders>
                    <w:tl2br w:val="nil"/>
                    <w:tr2bl w:val="nil"/>
                  </w:tcBorders>
                  <w:shd w:val="clear" w:color="auto" w:fill="auto"/>
                  <w:vAlign w:val="center"/>
                </w:tcPr>
                <w:p w14:paraId="12C12E38">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无水</w:t>
                  </w:r>
                  <w:r>
                    <w:rPr>
                      <w:rFonts w:hint="eastAsia" w:ascii="Times New Roman" w:hAnsi="Times New Roman" w:eastAsia="宋体" w:cs="Times New Roman"/>
                      <w:sz w:val="21"/>
                      <w:szCs w:val="21"/>
                    </w:rPr>
                    <w:t>氯化钙</w:t>
                  </w:r>
                </w:p>
              </w:tc>
              <w:tc>
                <w:tcPr>
                  <w:tcW w:w="1388" w:type="dxa"/>
                  <w:tcBorders>
                    <w:tl2br w:val="nil"/>
                    <w:tr2bl w:val="nil"/>
                  </w:tcBorders>
                  <w:shd w:val="clear" w:color="auto" w:fill="auto"/>
                  <w:vAlign w:val="top"/>
                </w:tcPr>
                <w:p w14:paraId="5EE21738">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500g/瓶</w:t>
                  </w:r>
                </w:p>
              </w:tc>
              <w:tc>
                <w:tcPr>
                  <w:tcW w:w="1445" w:type="dxa"/>
                  <w:tcBorders>
                    <w:tl2br w:val="nil"/>
                    <w:tr2bl w:val="nil"/>
                  </w:tcBorders>
                  <w:shd w:val="clear" w:color="auto" w:fill="auto"/>
                  <w:vAlign w:val="top"/>
                </w:tcPr>
                <w:p w14:paraId="0A614337">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2kg</w:t>
                  </w:r>
                </w:p>
              </w:tc>
              <w:tc>
                <w:tcPr>
                  <w:tcW w:w="1487" w:type="dxa"/>
                  <w:tcBorders>
                    <w:tl2br w:val="nil"/>
                    <w:tr2bl w:val="nil"/>
                  </w:tcBorders>
                  <w:shd w:val="clear" w:color="auto" w:fill="auto"/>
                  <w:vAlign w:val="center"/>
                </w:tcPr>
                <w:p w14:paraId="4D31B5BD">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1kg</w:t>
                  </w:r>
                </w:p>
              </w:tc>
              <w:tc>
                <w:tcPr>
                  <w:tcW w:w="1487" w:type="dxa"/>
                  <w:tcBorders>
                    <w:tl2br w:val="nil"/>
                    <w:tr2bl w:val="nil"/>
                  </w:tcBorders>
                  <w:shd w:val="clear" w:color="auto" w:fill="auto"/>
                  <w:vAlign w:val="center"/>
                </w:tcPr>
                <w:p w14:paraId="751A8CDC">
                  <w:pPr>
                    <w:jc w:val="center"/>
                    <w:rPr>
                      <w:rFonts w:hint="eastAsia" w:ascii="Times New Roman" w:hAnsi="Times New Roman" w:eastAsia="宋体" w:cs="Times New Roman"/>
                      <w:sz w:val="21"/>
                      <w:szCs w:val="21"/>
                    </w:rPr>
                  </w:pPr>
                  <w:r>
                    <w:rPr>
                      <w:rFonts w:hint="eastAsia" w:cs="Times New Roman"/>
                      <w:sz w:val="21"/>
                      <w:szCs w:val="21"/>
                      <w:lang w:val="en-US" w:eastAsia="zh-CN"/>
                    </w:rPr>
                    <w:t>试剂间</w:t>
                  </w:r>
                </w:p>
              </w:tc>
            </w:tr>
            <w:tr w14:paraId="25411F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6709D37C">
                  <w:pPr>
                    <w:numPr>
                      <w:ilvl w:val="0"/>
                      <w:numId w:val="15"/>
                    </w:numPr>
                    <w:spacing w:line="240" w:lineRule="auto"/>
                    <w:ind w:left="425" w:leftChars="0" w:hanging="425" w:firstLineChars="0"/>
                    <w:jc w:val="both"/>
                    <w:rPr>
                      <w:rFonts w:hint="default" w:ascii="Times New Roman" w:hAnsi="Times New Roman" w:eastAsia="宋体" w:cs="Times New Roman"/>
                      <w:b w:val="0"/>
                      <w:bCs w:val="0"/>
                      <w:color w:val="auto"/>
                      <w:sz w:val="21"/>
                      <w:szCs w:val="21"/>
                      <w:highlight w:val="none"/>
                      <w:vertAlign w:val="baseline"/>
                      <w:lang w:val="en-US"/>
                    </w:rPr>
                  </w:pPr>
                </w:p>
              </w:tc>
              <w:tc>
                <w:tcPr>
                  <w:tcW w:w="1323" w:type="dxa"/>
                  <w:tcBorders>
                    <w:tl2br w:val="nil"/>
                    <w:tr2bl w:val="nil"/>
                  </w:tcBorders>
                  <w:shd w:val="clear" w:color="auto" w:fill="auto"/>
                  <w:vAlign w:val="center"/>
                </w:tcPr>
                <w:p w14:paraId="609B0D9D">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氯化钠</w:t>
                  </w:r>
                </w:p>
              </w:tc>
              <w:tc>
                <w:tcPr>
                  <w:tcW w:w="1388" w:type="dxa"/>
                  <w:tcBorders>
                    <w:tl2br w:val="nil"/>
                    <w:tr2bl w:val="nil"/>
                  </w:tcBorders>
                  <w:shd w:val="clear" w:color="auto" w:fill="auto"/>
                  <w:vAlign w:val="top"/>
                </w:tcPr>
                <w:p w14:paraId="6C3FE9E0">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500g/瓶</w:t>
                  </w:r>
                </w:p>
              </w:tc>
              <w:tc>
                <w:tcPr>
                  <w:tcW w:w="1445" w:type="dxa"/>
                  <w:tcBorders>
                    <w:tl2br w:val="nil"/>
                    <w:tr2bl w:val="nil"/>
                  </w:tcBorders>
                  <w:shd w:val="clear" w:color="auto" w:fill="auto"/>
                  <w:vAlign w:val="top"/>
                </w:tcPr>
                <w:p w14:paraId="2193A3B2">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10kg</w:t>
                  </w:r>
                </w:p>
              </w:tc>
              <w:tc>
                <w:tcPr>
                  <w:tcW w:w="1487" w:type="dxa"/>
                  <w:tcBorders>
                    <w:tl2br w:val="nil"/>
                    <w:tr2bl w:val="nil"/>
                  </w:tcBorders>
                  <w:shd w:val="clear" w:color="auto" w:fill="auto"/>
                  <w:vAlign w:val="center"/>
                </w:tcPr>
                <w:p w14:paraId="44F5860D">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5kg</w:t>
                  </w:r>
                </w:p>
              </w:tc>
              <w:tc>
                <w:tcPr>
                  <w:tcW w:w="1487" w:type="dxa"/>
                  <w:tcBorders>
                    <w:tl2br w:val="nil"/>
                    <w:tr2bl w:val="nil"/>
                  </w:tcBorders>
                  <w:shd w:val="clear" w:color="auto" w:fill="auto"/>
                  <w:vAlign w:val="center"/>
                </w:tcPr>
                <w:p w14:paraId="0E448CA8">
                  <w:pPr>
                    <w:jc w:val="center"/>
                    <w:rPr>
                      <w:rFonts w:hint="eastAsia"/>
                      <w:sz w:val="21"/>
                      <w:szCs w:val="21"/>
                    </w:rPr>
                  </w:pPr>
                  <w:r>
                    <w:rPr>
                      <w:rFonts w:hint="eastAsia" w:cs="Times New Roman"/>
                      <w:sz w:val="21"/>
                      <w:szCs w:val="21"/>
                      <w:lang w:val="en-US" w:eastAsia="zh-CN"/>
                    </w:rPr>
                    <w:t>试剂间</w:t>
                  </w:r>
                </w:p>
              </w:tc>
            </w:tr>
            <w:tr w14:paraId="60553F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1B32C687">
                  <w:pPr>
                    <w:numPr>
                      <w:ilvl w:val="0"/>
                      <w:numId w:val="15"/>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43A0324E">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氢氧化钠</w:t>
                  </w:r>
                </w:p>
              </w:tc>
              <w:tc>
                <w:tcPr>
                  <w:tcW w:w="1388" w:type="dxa"/>
                  <w:tcBorders>
                    <w:tl2br w:val="nil"/>
                    <w:tr2bl w:val="nil"/>
                  </w:tcBorders>
                  <w:shd w:val="clear" w:color="auto" w:fill="auto"/>
                  <w:vAlign w:val="top"/>
                </w:tcPr>
                <w:p w14:paraId="4925C06E">
                  <w:pPr>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500g/瓶</w:t>
                  </w:r>
                </w:p>
              </w:tc>
              <w:tc>
                <w:tcPr>
                  <w:tcW w:w="1445" w:type="dxa"/>
                  <w:tcBorders>
                    <w:tl2br w:val="nil"/>
                    <w:tr2bl w:val="nil"/>
                  </w:tcBorders>
                  <w:shd w:val="clear" w:color="auto" w:fill="auto"/>
                  <w:vAlign w:val="top"/>
                </w:tcPr>
                <w:p w14:paraId="384F74DA">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10kg</w:t>
                  </w:r>
                </w:p>
              </w:tc>
              <w:tc>
                <w:tcPr>
                  <w:tcW w:w="1487" w:type="dxa"/>
                  <w:tcBorders>
                    <w:tl2br w:val="nil"/>
                    <w:tr2bl w:val="nil"/>
                  </w:tcBorders>
                  <w:shd w:val="clear" w:color="auto" w:fill="auto"/>
                  <w:vAlign w:val="center"/>
                </w:tcPr>
                <w:p w14:paraId="06494E6B">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2kg</w:t>
                  </w:r>
                </w:p>
              </w:tc>
              <w:tc>
                <w:tcPr>
                  <w:tcW w:w="1487" w:type="dxa"/>
                  <w:tcBorders>
                    <w:tl2br w:val="nil"/>
                    <w:tr2bl w:val="nil"/>
                  </w:tcBorders>
                  <w:shd w:val="clear" w:color="auto" w:fill="auto"/>
                  <w:vAlign w:val="center"/>
                </w:tcPr>
                <w:p w14:paraId="7929F370">
                  <w:pPr>
                    <w:jc w:val="center"/>
                    <w:rPr>
                      <w:rFonts w:hint="eastAsia"/>
                      <w:sz w:val="21"/>
                      <w:szCs w:val="21"/>
                      <w:lang w:val="en-US" w:eastAsia="zh-CN"/>
                    </w:rPr>
                  </w:pPr>
                  <w:r>
                    <w:rPr>
                      <w:rFonts w:hint="eastAsia" w:cs="Times New Roman"/>
                      <w:sz w:val="21"/>
                      <w:szCs w:val="21"/>
                      <w:lang w:val="en-US" w:eastAsia="zh-CN"/>
                    </w:rPr>
                    <w:t>试剂间</w:t>
                  </w:r>
                </w:p>
              </w:tc>
            </w:tr>
            <w:tr w14:paraId="534A2B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3C96056A">
                  <w:pPr>
                    <w:numPr>
                      <w:ilvl w:val="0"/>
                      <w:numId w:val="15"/>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071637BB">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硫酸锰</w:t>
                  </w:r>
                </w:p>
              </w:tc>
              <w:tc>
                <w:tcPr>
                  <w:tcW w:w="1388" w:type="dxa"/>
                  <w:tcBorders>
                    <w:tl2br w:val="nil"/>
                    <w:tr2bl w:val="nil"/>
                  </w:tcBorders>
                  <w:shd w:val="clear" w:color="auto" w:fill="auto"/>
                  <w:vAlign w:val="top"/>
                </w:tcPr>
                <w:p w14:paraId="17E3D292">
                  <w:pPr>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500g/瓶</w:t>
                  </w:r>
                </w:p>
              </w:tc>
              <w:tc>
                <w:tcPr>
                  <w:tcW w:w="1445" w:type="dxa"/>
                  <w:tcBorders>
                    <w:tl2br w:val="nil"/>
                    <w:tr2bl w:val="nil"/>
                  </w:tcBorders>
                  <w:shd w:val="clear" w:color="auto" w:fill="auto"/>
                  <w:vAlign w:val="top"/>
                </w:tcPr>
                <w:p w14:paraId="60EBF7DC">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1kg</w:t>
                  </w:r>
                </w:p>
              </w:tc>
              <w:tc>
                <w:tcPr>
                  <w:tcW w:w="1487" w:type="dxa"/>
                  <w:tcBorders>
                    <w:tl2br w:val="nil"/>
                    <w:tr2bl w:val="nil"/>
                  </w:tcBorders>
                  <w:shd w:val="clear" w:color="auto" w:fill="auto"/>
                  <w:vAlign w:val="center"/>
                </w:tcPr>
                <w:p w14:paraId="61EB5C7A">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0.5kg</w:t>
                  </w:r>
                </w:p>
              </w:tc>
              <w:tc>
                <w:tcPr>
                  <w:tcW w:w="1487" w:type="dxa"/>
                  <w:tcBorders>
                    <w:tl2br w:val="nil"/>
                    <w:tr2bl w:val="nil"/>
                  </w:tcBorders>
                  <w:shd w:val="clear" w:color="auto" w:fill="auto"/>
                  <w:vAlign w:val="center"/>
                </w:tcPr>
                <w:p w14:paraId="240D2102">
                  <w:pPr>
                    <w:jc w:val="center"/>
                    <w:rPr>
                      <w:rFonts w:hint="eastAsia"/>
                      <w:sz w:val="21"/>
                      <w:szCs w:val="21"/>
                      <w:lang w:val="en-US" w:eastAsia="zh-CN"/>
                    </w:rPr>
                  </w:pPr>
                  <w:r>
                    <w:rPr>
                      <w:rFonts w:hint="eastAsia" w:cs="Times New Roman"/>
                      <w:sz w:val="21"/>
                      <w:szCs w:val="21"/>
                      <w:lang w:val="en-US" w:eastAsia="zh-CN"/>
                    </w:rPr>
                    <w:t>试剂间</w:t>
                  </w:r>
                </w:p>
              </w:tc>
            </w:tr>
            <w:tr w14:paraId="29CBAE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49ACF05F">
                  <w:pPr>
                    <w:numPr>
                      <w:ilvl w:val="0"/>
                      <w:numId w:val="15"/>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10ECBA60">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六水合</w:t>
                  </w:r>
                  <w:r>
                    <w:rPr>
                      <w:rFonts w:hint="eastAsia" w:ascii="Times New Roman" w:hAnsi="Times New Roman" w:eastAsia="宋体" w:cs="Times New Roman"/>
                      <w:sz w:val="21"/>
                      <w:szCs w:val="21"/>
                    </w:rPr>
                    <w:t>氯化镁</w:t>
                  </w:r>
                </w:p>
              </w:tc>
              <w:tc>
                <w:tcPr>
                  <w:tcW w:w="1388" w:type="dxa"/>
                  <w:tcBorders>
                    <w:tl2br w:val="nil"/>
                    <w:tr2bl w:val="nil"/>
                  </w:tcBorders>
                  <w:shd w:val="clear" w:color="auto" w:fill="auto"/>
                  <w:vAlign w:val="top"/>
                </w:tcPr>
                <w:p w14:paraId="46263B0F">
                  <w:pPr>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500g/瓶</w:t>
                  </w:r>
                </w:p>
              </w:tc>
              <w:tc>
                <w:tcPr>
                  <w:tcW w:w="1445" w:type="dxa"/>
                  <w:tcBorders>
                    <w:tl2br w:val="nil"/>
                    <w:tr2bl w:val="nil"/>
                  </w:tcBorders>
                  <w:shd w:val="clear" w:color="auto" w:fill="auto"/>
                  <w:vAlign w:val="top"/>
                </w:tcPr>
                <w:p w14:paraId="6EB62F65">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1kg</w:t>
                  </w:r>
                </w:p>
              </w:tc>
              <w:tc>
                <w:tcPr>
                  <w:tcW w:w="1487" w:type="dxa"/>
                  <w:tcBorders>
                    <w:tl2br w:val="nil"/>
                    <w:tr2bl w:val="nil"/>
                  </w:tcBorders>
                  <w:shd w:val="clear" w:color="auto" w:fill="auto"/>
                  <w:vAlign w:val="center"/>
                </w:tcPr>
                <w:p w14:paraId="75748E13">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1kg</w:t>
                  </w:r>
                </w:p>
              </w:tc>
              <w:tc>
                <w:tcPr>
                  <w:tcW w:w="1487" w:type="dxa"/>
                  <w:tcBorders>
                    <w:tl2br w:val="nil"/>
                    <w:tr2bl w:val="nil"/>
                  </w:tcBorders>
                  <w:shd w:val="clear" w:color="auto" w:fill="auto"/>
                  <w:vAlign w:val="center"/>
                </w:tcPr>
                <w:p w14:paraId="32DB139F">
                  <w:pPr>
                    <w:jc w:val="center"/>
                    <w:rPr>
                      <w:rFonts w:hint="eastAsia"/>
                      <w:sz w:val="21"/>
                      <w:szCs w:val="21"/>
                      <w:lang w:val="en-US" w:eastAsia="zh-CN"/>
                    </w:rPr>
                  </w:pPr>
                  <w:r>
                    <w:rPr>
                      <w:rFonts w:hint="eastAsia" w:cs="Times New Roman"/>
                      <w:sz w:val="21"/>
                      <w:szCs w:val="21"/>
                      <w:lang w:val="en-US" w:eastAsia="zh-CN"/>
                    </w:rPr>
                    <w:t>试剂间</w:t>
                  </w:r>
                </w:p>
              </w:tc>
            </w:tr>
            <w:tr w14:paraId="7EB464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6716C58A">
                  <w:pPr>
                    <w:numPr>
                      <w:ilvl w:val="0"/>
                      <w:numId w:val="15"/>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6B727961">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琼脂粉</w:t>
                  </w:r>
                </w:p>
              </w:tc>
              <w:tc>
                <w:tcPr>
                  <w:tcW w:w="1388" w:type="dxa"/>
                  <w:tcBorders>
                    <w:tl2br w:val="nil"/>
                    <w:tr2bl w:val="nil"/>
                  </w:tcBorders>
                  <w:shd w:val="clear" w:color="auto" w:fill="auto"/>
                  <w:vAlign w:val="top"/>
                </w:tcPr>
                <w:p w14:paraId="084D8B13">
                  <w:pPr>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500g/瓶</w:t>
                  </w:r>
                </w:p>
              </w:tc>
              <w:tc>
                <w:tcPr>
                  <w:tcW w:w="1445" w:type="dxa"/>
                  <w:tcBorders>
                    <w:tl2br w:val="nil"/>
                    <w:tr2bl w:val="nil"/>
                  </w:tcBorders>
                  <w:shd w:val="clear" w:color="auto" w:fill="auto"/>
                  <w:vAlign w:val="top"/>
                </w:tcPr>
                <w:p w14:paraId="00C2C368">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2kg</w:t>
                  </w:r>
                </w:p>
              </w:tc>
              <w:tc>
                <w:tcPr>
                  <w:tcW w:w="1487" w:type="dxa"/>
                  <w:tcBorders>
                    <w:tl2br w:val="nil"/>
                    <w:tr2bl w:val="nil"/>
                  </w:tcBorders>
                  <w:shd w:val="clear" w:color="auto" w:fill="auto"/>
                  <w:vAlign w:val="center"/>
                </w:tcPr>
                <w:p w14:paraId="601CF39E">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1kg</w:t>
                  </w:r>
                </w:p>
              </w:tc>
              <w:tc>
                <w:tcPr>
                  <w:tcW w:w="1487" w:type="dxa"/>
                  <w:tcBorders>
                    <w:tl2br w:val="nil"/>
                    <w:tr2bl w:val="nil"/>
                  </w:tcBorders>
                  <w:shd w:val="clear" w:color="auto" w:fill="auto"/>
                  <w:vAlign w:val="center"/>
                </w:tcPr>
                <w:p w14:paraId="6C193DCD">
                  <w:pPr>
                    <w:jc w:val="center"/>
                    <w:rPr>
                      <w:rFonts w:hint="eastAsia"/>
                      <w:sz w:val="21"/>
                      <w:szCs w:val="21"/>
                      <w:lang w:val="en-US" w:eastAsia="zh-CN"/>
                    </w:rPr>
                  </w:pPr>
                  <w:r>
                    <w:rPr>
                      <w:rFonts w:hint="eastAsia" w:cs="Times New Roman"/>
                      <w:sz w:val="21"/>
                      <w:szCs w:val="21"/>
                      <w:lang w:val="en-US" w:eastAsia="zh-CN"/>
                    </w:rPr>
                    <w:t>试剂间</w:t>
                  </w:r>
                </w:p>
              </w:tc>
            </w:tr>
            <w:tr w14:paraId="4C20D5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50A6A8A3">
                  <w:pPr>
                    <w:numPr>
                      <w:ilvl w:val="0"/>
                      <w:numId w:val="15"/>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55F48D0D">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75%酒精</w:t>
                  </w:r>
                </w:p>
              </w:tc>
              <w:tc>
                <w:tcPr>
                  <w:tcW w:w="1388" w:type="dxa"/>
                  <w:tcBorders>
                    <w:tl2br w:val="nil"/>
                    <w:tr2bl w:val="nil"/>
                  </w:tcBorders>
                  <w:shd w:val="clear" w:color="auto" w:fill="auto"/>
                  <w:vAlign w:val="top"/>
                </w:tcPr>
                <w:p w14:paraId="2521CB73">
                  <w:pPr>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1000ml/瓶</w:t>
                  </w:r>
                </w:p>
              </w:tc>
              <w:tc>
                <w:tcPr>
                  <w:tcW w:w="1445" w:type="dxa"/>
                  <w:tcBorders>
                    <w:tl2br w:val="nil"/>
                    <w:tr2bl w:val="nil"/>
                  </w:tcBorders>
                  <w:shd w:val="clear" w:color="auto" w:fill="auto"/>
                  <w:vAlign w:val="top"/>
                </w:tcPr>
                <w:p w14:paraId="0AC02E88">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5L</w:t>
                  </w:r>
                </w:p>
              </w:tc>
              <w:tc>
                <w:tcPr>
                  <w:tcW w:w="1487" w:type="dxa"/>
                  <w:tcBorders>
                    <w:tl2br w:val="nil"/>
                    <w:tr2bl w:val="nil"/>
                  </w:tcBorders>
                  <w:shd w:val="clear" w:color="auto" w:fill="auto"/>
                  <w:vAlign w:val="center"/>
                </w:tcPr>
                <w:p w14:paraId="5E76D7A5">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2.5</w:t>
                  </w:r>
                  <w:r>
                    <w:rPr>
                      <w:rFonts w:hint="eastAsia" w:cs="Times New Roman"/>
                      <w:sz w:val="21"/>
                      <w:szCs w:val="21"/>
                      <w:lang w:val="en-US" w:eastAsia="zh-CN"/>
                    </w:rPr>
                    <w:t>L</w:t>
                  </w:r>
                </w:p>
              </w:tc>
              <w:tc>
                <w:tcPr>
                  <w:tcW w:w="1487" w:type="dxa"/>
                  <w:tcBorders>
                    <w:tl2br w:val="nil"/>
                    <w:tr2bl w:val="nil"/>
                  </w:tcBorders>
                  <w:shd w:val="clear" w:color="auto" w:fill="auto"/>
                  <w:vAlign w:val="center"/>
                </w:tcPr>
                <w:p w14:paraId="6A107544">
                  <w:pPr>
                    <w:jc w:val="center"/>
                    <w:rPr>
                      <w:rFonts w:hint="eastAsia"/>
                      <w:sz w:val="21"/>
                      <w:szCs w:val="21"/>
                      <w:lang w:val="en-US" w:eastAsia="zh-CN"/>
                    </w:rPr>
                  </w:pPr>
                  <w:r>
                    <w:rPr>
                      <w:rFonts w:hint="eastAsia" w:cs="Times New Roman"/>
                      <w:sz w:val="21"/>
                      <w:szCs w:val="21"/>
                      <w:lang w:val="en-US" w:eastAsia="zh-CN"/>
                    </w:rPr>
                    <w:t>试剂间</w:t>
                  </w:r>
                </w:p>
              </w:tc>
            </w:tr>
            <w:tr w14:paraId="4A29D1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7971AD83">
                  <w:pPr>
                    <w:numPr>
                      <w:ilvl w:val="0"/>
                      <w:numId w:val="15"/>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21C17956">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新洁</w:t>
                  </w:r>
                  <w:r>
                    <w:rPr>
                      <w:rFonts w:hint="eastAsia" w:ascii="Times New Roman" w:hAnsi="Times New Roman" w:eastAsia="宋体" w:cs="Times New Roman"/>
                      <w:sz w:val="21"/>
                      <w:szCs w:val="21"/>
                      <w:lang w:val="en-US" w:eastAsia="zh-CN"/>
                    </w:rPr>
                    <w:t>尔</w:t>
                  </w:r>
                  <w:r>
                    <w:rPr>
                      <w:rFonts w:hint="eastAsia" w:ascii="Times New Roman" w:hAnsi="Times New Roman" w:eastAsia="宋体" w:cs="Times New Roman"/>
                      <w:sz w:val="21"/>
                      <w:szCs w:val="21"/>
                    </w:rPr>
                    <w:t>灭</w:t>
                  </w:r>
                </w:p>
              </w:tc>
              <w:tc>
                <w:tcPr>
                  <w:tcW w:w="1388" w:type="dxa"/>
                  <w:tcBorders>
                    <w:tl2br w:val="nil"/>
                    <w:tr2bl w:val="nil"/>
                  </w:tcBorders>
                  <w:shd w:val="clear" w:color="auto" w:fill="auto"/>
                  <w:vAlign w:val="top"/>
                </w:tcPr>
                <w:p w14:paraId="579C4C5B">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1000ml/瓶</w:t>
                  </w:r>
                </w:p>
              </w:tc>
              <w:tc>
                <w:tcPr>
                  <w:tcW w:w="1445" w:type="dxa"/>
                  <w:tcBorders>
                    <w:tl2br w:val="nil"/>
                    <w:tr2bl w:val="nil"/>
                  </w:tcBorders>
                  <w:shd w:val="clear" w:color="auto" w:fill="auto"/>
                  <w:vAlign w:val="top"/>
                </w:tcPr>
                <w:p w14:paraId="3B0A99BA">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25kg</w:t>
                  </w:r>
                </w:p>
              </w:tc>
              <w:tc>
                <w:tcPr>
                  <w:tcW w:w="1487" w:type="dxa"/>
                  <w:tcBorders>
                    <w:tl2br w:val="nil"/>
                    <w:tr2bl w:val="nil"/>
                  </w:tcBorders>
                  <w:shd w:val="clear" w:color="auto" w:fill="auto"/>
                  <w:vAlign w:val="center"/>
                </w:tcPr>
                <w:p w14:paraId="1B02600D">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10kg</w:t>
                  </w:r>
                </w:p>
              </w:tc>
              <w:tc>
                <w:tcPr>
                  <w:tcW w:w="1487" w:type="dxa"/>
                  <w:tcBorders>
                    <w:tl2br w:val="nil"/>
                    <w:tr2bl w:val="nil"/>
                  </w:tcBorders>
                  <w:shd w:val="clear" w:color="auto" w:fill="auto"/>
                  <w:vAlign w:val="center"/>
                </w:tcPr>
                <w:p w14:paraId="58788413">
                  <w:pPr>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试剂间</w:t>
                  </w:r>
                </w:p>
              </w:tc>
            </w:tr>
            <w:tr w14:paraId="652B79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1007F297">
                  <w:pPr>
                    <w:numPr>
                      <w:ilvl w:val="0"/>
                      <w:numId w:val="15"/>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5A83AAD8">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消泡液</w:t>
                  </w:r>
                </w:p>
              </w:tc>
              <w:tc>
                <w:tcPr>
                  <w:tcW w:w="1388" w:type="dxa"/>
                  <w:tcBorders>
                    <w:tl2br w:val="nil"/>
                    <w:tr2bl w:val="nil"/>
                  </w:tcBorders>
                  <w:shd w:val="clear" w:color="auto" w:fill="auto"/>
                  <w:vAlign w:val="top"/>
                </w:tcPr>
                <w:p w14:paraId="117B89DC">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500ml/瓶</w:t>
                  </w:r>
                </w:p>
              </w:tc>
              <w:tc>
                <w:tcPr>
                  <w:tcW w:w="1445" w:type="dxa"/>
                  <w:tcBorders>
                    <w:tl2br w:val="nil"/>
                    <w:tr2bl w:val="nil"/>
                  </w:tcBorders>
                  <w:shd w:val="clear" w:color="auto" w:fill="auto"/>
                  <w:vAlign w:val="top"/>
                </w:tcPr>
                <w:p w14:paraId="73692AE9">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5kg</w:t>
                  </w:r>
                </w:p>
              </w:tc>
              <w:tc>
                <w:tcPr>
                  <w:tcW w:w="1487" w:type="dxa"/>
                  <w:tcBorders>
                    <w:tl2br w:val="nil"/>
                    <w:tr2bl w:val="nil"/>
                  </w:tcBorders>
                  <w:shd w:val="clear" w:color="auto" w:fill="auto"/>
                  <w:vAlign w:val="center"/>
                </w:tcPr>
                <w:p w14:paraId="54BBDE19">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2.5kg</w:t>
                  </w:r>
                </w:p>
              </w:tc>
              <w:tc>
                <w:tcPr>
                  <w:tcW w:w="1487" w:type="dxa"/>
                  <w:tcBorders>
                    <w:tl2br w:val="nil"/>
                    <w:tr2bl w:val="nil"/>
                  </w:tcBorders>
                  <w:shd w:val="clear" w:color="auto" w:fill="auto"/>
                  <w:vAlign w:val="center"/>
                </w:tcPr>
                <w:p w14:paraId="2B2F8B10">
                  <w:pPr>
                    <w:jc w:val="center"/>
                    <w:rPr>
                      <w:rFonts w:hint="eastAsia"/>
                      <w:sz w:val="21"/>
                      <w:szCs w:val="21"/>
                      <w:lang w:val="en-US" w:eastAsia="zh-CN"/>
                    </w:rPr>
                  </w:pPr>
                  <w:r>
                    <w:rPr>
                      <w:rFonts w:hint="eastAsia" w:cs="Times New Roman"/>
                      <w:sz w:val="21"/>
                      <w:szCs w:val="21"/>
                      <w:lang w:val="en-US" w:eastAsia="zh-CN"/>
                    </w:rPr>
                    <w:t>试剂间</w:t>
                  </w:r>
                </w:p>
              </w:tc>
            </w:tr>
            <w:tr w14:paraId="2524F0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3E25A6D8">
                  <w:pPr>
                    <w:numPr>
                      <w:ilvl w:val="0"/>
                      <w:numId w:val="15"/>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790C321B">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山梨醇</w:t>
                  </w:r>
                </w:p>
              </w:tc>
              <w:tc>
                <w:tcPr>
                  <w:tcW w:w="1388" w:type="dxa"/>
                  <w:tcBorders>
                    <w:tl2br w:val="nil"/>
                    <w:tr2bl w:val="nil"/>
                  </w:tcBorders>
                  <w:shd w:val="clear" w:color="auto" w:fill="auto"/>
                  <w:vAlign w:val="top"/>
                </w:tcPr>
                <w:p w14:paraId="012B1942">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500ml/瓶</w:t>
                  </w:r>
                </w:p>
              </w:tc>
              <w:tc>
                <w:tcPr>
                  <w:tcW w:w="1445" w:type="dxa"/>
                  <w:tcBorders>
                    <w:tl2br w:val="nil"/>
                    <w:tr2bl w:val="nil"/>
                  </w:tcBorders>
                  <w:shd w:val="clear" w:color="auto" w:fill="auto"/>
                  <w:vAlign w:val="top"/>
                </w:tcPr>
                <w:p w14:paraId="4E8DC97E">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2kg</w:t>
                  </w:r>
                </w:p>
              </w:tc>
              <w:tc>
                <w:tcPr>
                  <w:tcW w:w="1487" w:type="dxa"/>
                  <w:tcBorders>
                    <w:tl2br w:val="nil"/>
                    <w:tr2bl w:val="nil"/>
                  </w:tcBorders>
                  <w:shd w:val="clear" w:color="auto" w:fill="auto"/>
                  <w:vAlign w:val="center"/>
                </w:tcPr>
                <w:p w14:paraId="77C6FF9A">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0.5kg</w:t>
                  </w:r>
                </w:p>
              </w:tc>
              <w:tc>
                <w:tcPr>
                  <w:tcW w:w="1487" w:type="dxa"/>
                  <w:tcBorders>
                    <w:tl2br w:val="nil"/>
                    <w:tr2bl w:val="nil"/>
                  </w:tcBorders>
                  <w:shd w:val="clear" w:color="auto" w:fill="auto"/>
                  <w:vAlign w:val="center"/>
                </w:tcPr>
                <w:p w14:paraId="21511678">
                  <w:pPr>
                    <w:jc w:val="center"/>
                    <w:rPr>
                      <w:rFonts w:hint="eastAsia"/>
                      <w:sz w:val="21"/>
                      <w:szCs w:val="21"/>
                    </w:rPr>
                  </w:pPr>
                  <w:r>
                    <w:rPr>
                      <w:rFonts w:hint="eastAsia" w:cs="Times New Roman"/>
                      <w:sz w:val="21"/>
                      <w:szCs w:val="21"/>
                      <w:lang w:val="en-US" w:eastAsia="zh-CN"/>
                    </w:rPr>
                    <w:t>试剂间</w:t>
                  </w:r>
                </w:p>
              </w:tc>
            </w:tr>
            <w:tr w14:paraId="368228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44F94D8C">
                  <w:pPr>
                    <w:numPr>
                      <w:ilvl w:val="0"/>
                      <w:numId w:val="15"/>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74782969">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甘油</w:t>
                  </w:r>
                </w:p>
              </w:tc>
              <w:tc>
                <w:tcPr>
                  <w:tcW w:w="1388" w:type="dxa"/>
                  <w:tcBorders>
                    <w:tl2br w:val="nil"/>
                    <w:tr2bl w:val="nil"/>
                  </w:tcBorders>
                  <w:shd w:val="clear" w:color="auto" w:fill="auto"/>
                  <w:vAlign w:val="top"/>
                </w:tcPr>
                <w:p w14:paraId="5E1F31F2">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500ml/瓶</w:t>
                  </w:r>
                </w:p>
              </w:tc>
              <w:tc>
                <w:tcPr>
                  <w:tcW w:w="1445" w:type="dxa"/>
                  <w:tcBorders>
                    <w:tl2br w:val="nil"/>
                    <w:tr2bl w:val="nil"/>
                  </w:tcBorders>
                  <w:shd w:val="clear" w:color="auto" w:fill="auto"/>
                  <w:vAlign w:val="top"/>
                </w:tcPr>
                <w:p w14:paraId="312458A0">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3kg</w:t>
                  </w:r>
                </w:p>
              </w:tc>
              <w:tc>
                <w:tcPr>
                  <w:tcW w:w="1487" w:type="dxa"/>
                  <w:tcBorders>
                    <w:tl2br w:val="nil"/>
                    <w:tr2bl w:val="nil"/>
                  </w:tcBorders>
                  <w:shd w:val="clear" w:color="auto" w:fill="auto"/>
                  <w:vAlign w:val="center"/>
                </w:tcPr>
                <w:p w14:paraId="30BF4983">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0.5kg</w:t>
                  </w:r>
                </w:p>
              </w:tc>
              <w:tc>
                <w:tcPr>
                  <w:tcW w:w="1487" w:type="dxa"/>
                  <w:tcBorders>
                    <w:tl2br w:val="nil"/>
                    <w:tr2bl w:val="nil"/>
                  </w:tcBorders>
                  <w:shd w:val="clear" w:color="auto" w:fill="auto"/>
                  <w:vAlign w:val="center"/>
                </w:tcPr>
                <w:p w14:paraId="3A04363E">
                  <w:pPr>
                    <w:jc w:val="center"/>
                    <w:rPr>
                      <w:rFonts w:hint="eastAsia" w:cs="Times New Roman"/>
                      <w:kern w:val="2"/>
                      <w:sz w:val="21"/>
                      <w:szCs w:val="21"/>
                      <w:lang w:val="en-US" w:eastAsia="zh-CN" w:bidi="ar-SA"/>
                    </w:rPr>
                  </w:pPr>
                  <w:r>
                    <w:rPr>
                      <w:rFonts w:hint="eastAsia" w:cs="Times New Roman"/>
                      <w:sz w:val="21"/>
                      <w:szCs w:val="21"/>
                      <w:lang w:val="en-US" w:eastAsia="zh-CN"/>
                    </w:rPr>
                    <w:t>试剂间</w:t>
                  </w:r>
                </w:p>
              </w:tc>
            </w:tr>
            <w:tr w14:paraId="360EBB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28864871">
                  <w:pPr>
                    <w:numPr>
                      <w:ilvl w:val="0"/>
                      <w:numId w:val="15"/>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4DF2D568">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磷酸</w:t>
                  </w:r>
                </w:p>
              </w:tc>
              <w:tc>
                <w:tcPr>
                  <w:tcW w:w="1388" w:type="dxa"/>
                  <w:tcBorders>
                    <w:tl2br w:val="nil"/>
                    <w:tr2bl w:val="nil"/>
                  </w:tcBorders>
                  <w:shd w:val="clear" w:color="auto" w:fill="auto"/>
                  <w:vAlign w:val="top"/>
                </w:tcPr>
                <w:p w14:paraId="0F2E6C05">
                  <w:pPr>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500ml/瓶</w:t>
                  </w:r>
                </w:p>
              </w:tc>
              <w:tc>
                <w:tcPr>
                  <w:tcW w:w="1445" w:type="dxa"/>
                  <w:tcBorders>
                    <w:tl2br w:val="nil"/>
                    <w:tr2bl w:val="nil"/>
                  </w:tcBorders>
                  <w:shd w:val="clear" w:color="auto" w:fill="auto"/>
                  <w:vAlign w:val="top"/>
                </w:tcPr>
                <w:p w14:paraId="518F3967">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20kg</w:t>
                  </w:r>
                </w:p>
              </w:tc>
              <w:tc>
                <w:tcPr>
                  <w:tcW w:w="1487" w:type="dxa"/>
                  <w:tcBorders>
                    <w:tl2br w:val="nil"/>
                    <w:tr2bl w:val="nil"/>
                  </w:tcBorders>
                  <w:shd w:val="clear" w:color="auto" w:fill="auto"/>
                  <w:vAlign w:val="center"/>
                </w:tcPr>
                <w:p w14:paraId="475017B8">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5kg</w:t>
                  </w:r>
                </w:p>
              </w:tc>
              <w:tc>
                <w:tcPr>
                  <w:tcW w:w="1487" w:type="dxa"/>
                  <w:tcBorders>
                    <w:tl2br w:val="nil"/>
                    <w:tr2bl w:val="nil"/>
                  </w:tcBorders>
                  <w:shd w:val="clear" w:color="auto" w:fill="auto"/>
                  <w:vAlign w:val="center"/>
                </w:tcPr>
                <w:p w14:paraId="10CAC858">
                  <w:pPr>
                    <w:jc w:val="center"/>
                    <w:rPr>
                      <w:rFonts w:hint="eastAsia"/>
                      <w:sz w:val="21"/>
                      <w:szCs w:val="21"/>
                      <w:lang w:val="en-US" w:eastAsia="zh-CN"/>
                    </w:rPr>
                  </w:pPr>
                  <w:r>
                    <w:rPr>
                      <w:rFonts w:hint="eastAsia" w:cs="Times New Roman"/>
                      <w:sz w:val="21"/>
                      <w:szCs w:val="21"/>
                      <w:lang w:val="en-US" w:eastAsia="zh-CN"/>
                    </w:rPr>
                    <w:t>试剂间</w:t>
                  </w:r>
                </w:p>
              </w:tc>
            </w:tr>
            <w:tr w14:paraId="6D6685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0FAC90E6">
                  <w:pPr>
                    <w:numPr>
                      <w:ilvl w:val="0"/>
                      <w:numId w:val="15"/>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2A0B560E">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磷酸二氢钾</w:t>
                  </w:r>
                </w:p>
              </w:tc>
              <w:tc>
                <w:tcPr>
                  <w:tcW w:w="1388" w:type="dxa"/>
                  <w:tcBorders>
                    <w:tl2br w:val="nil"/>
                    <w:tr2bl w:val="nil"/>
                  </w:tcBorders>
                  <w:shd w:val="clear" w:color="auto" w:fill="auto"/>
                  <w:vAlign w:val="top"/>
                </w:tcPr>
                <w:p w14:paraId="280E4DE2">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500g/瓶</w:t>
                  </w:r>
                </w:p>
              </w:tc>
              <w:tc>
                <w:tcPr>
                  <w:tcW w:w="1445" w:type="dxa"/>
                  <w:tcBorders>
                    <w:tl2br w:val="nil"/>
                    <w:tr2bl w:val="nil"/>
                  </w:tcBorders>
                  <w:shd w:val="clear" w:color="auto" w:fill="auto"/>
                  <w:vAlign w:val="top"/>
                </w:tcPr>
                <w:p w14:paraId="2DBFA837">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3kg</w:t>
                  </w:r>
                </w:p>
              </w:tc>
              <w:tc>
                <w:tcPr>
                  <w:tcW w:w="1487" w:type="dxa"/>
                  <w:tcBorders>
                    <w:tl2br w:val="nil"/>
                    <w:tr2bl w:val="nil"/>
                  </w:tcBorders>
                  <w:shd w:val="clear" w:color="auto" w:fill="auto"/>
                  <w:vAlign w:val="center"/>
                </w:tcPr>
                <w:p w14:paraId="299C8C02">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1kg</w:t>
                  </w:r>
                </w:p>
              </w:tc>
              <w:tc>
                <w:tcPr>
                  <w:tcW w:w="1487" w:type="dxa"/>
                  <w:tcBorders>
                    <w:tl2br w:val="nil"/>
                    <w:tr2bl w:val="nil"/>
                  </w:tcBorders>
                  <w:shd w:val="clear" w:color="auto" w:fill="auto"/>
                  <w:vAlign w:val="center"/>
                </w:tcPr>
                <w:p w14:paraId="005B2B6A">
                  <w:pPr>
                    <w:jc w:val="center"/>
                    <w:rPr>
                      <w:rFonts w:hint="eastAsia" w:cs="Times New Roman"/>
                      <w:kern w:val="2"/>
                      <w:sz w:val="21"/>
                      <w:szCs w:val="21"/>
                      <w:lang w:val="en-US" w:eastAsia="zh-CN" w:bidi="ar-SA"/>
                    </w:rPr>
                  </w:pPr>
                  <w:r>
                    <w:rPr>
                      <w:rFonts w:hint="eastAsia" w:cs="Times New Roman"/>
                      <w:sz w:val="21"/>
                      <w:szCs w:val="21"/>
                      <w:lang w:val="en-US" w:eastAsia="zh-CN"/>
                    </w:rPr>
                    <w:t>试剂间</w:t>
                  </w:r>
                </w:p>
              </w:tc>
            </w:tr>
            <w:tr w14:paraId="66D206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194E10AE">
                  <w:pPr>
                    <w:numPr>
                      <w:ilvl w:val="0"/>
                      <w:numId w:val="15"/>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75A73F81">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磷酸氢二钠</w:t>
                  </w:r>
                </w:p>
              </w:tc>
              <w:tc>
                <w:tcPr>
                  <w:tcW w:w="1388" w:type="dxa"/>
                  <w:tcBorders>
                    <w:tl2br w:val="nil"/>
                    <w:tr2bl w:val="nil"/>
                  </w:tcBorders>
                  <w:shd w:val="clear" w:color="auto" w:fill="auto"/>
                  <w:vAlign w:val="top"/>
                </w:tcPr>
                <w:p w14:paraId="6BB25F46">
                  <w:pPr>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500g/瓶</w:t>
                  </w:r>
                </w:p>
              </w:tc>
              <w:tc>
                <w:tcPr>
                  <w:tcW w:w="1445" w:type="dxa"/>
                  <w:tcBorders>
                    <w:tl2br w:val="nil"/>
                    <w:tr2bl w:val="nil"/>
                  </w:tcBorders>
                  <w:shd w:val="clear" w:color="auto" w:fill="auto"/>
                  <w:vAlign w:val="top"/>
                </w:tcPr>
                <w:p w14:paraId="25AD1419">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3kg</w:t>
                  </w:r>
                </w:p>
              </w:tc>
              <w:tc>
                <w:tcPr>
                  <w:tcW w:w="1487" w:type="dxa"/>
                  <w:tcBorders>
                    <w:tl2br w:val="nil"/>
                    <w:tr2bl w:val="nil"/>
                  </w:tcBorders>
                  <w:shd w:val="clear" w:color="auto" w:fill="auto"/>
                  <w:vAlign w:val="center"/>
                </w:tcPr>
                <w:p w14:paraId="45994ED1">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1kg</w:t>
                  </w:r>
                </w:p>
              </w:tc>
              <w:tc>
                <w:tcPr>
                  <w:tcW w:w="1487" w:type="dxa"/>
                  <w:tcBorders>
                    <w:tl2br w:val="nil"/>
                    <w:tr2bl w:val="nil"/>
                  </w:tcBorders>
                  <w:shd w:val="clear" w:color="auto" w:fill="auto"/>
                  <w:vAlign w:val="center"/>
                </w:tcPr>
                <w:p w14:paraId="759E19D1">
                  <w:pPr>
                    <w:jc w:val="center"/>
                    <w:rPr>
                      <w:rFonts w:hint="eastAsia" w:cs="Times New Roman"/>
                      <w:kern w:val="2"/>
                      <w:sz w:val="21"/>
                      <w:szCs w:val="21"/>
                      <w:lang w:val="en-US" w:eastAsia="zh-CN" w:bidi="ar-SA"/>
                    </w:rPr>
                  </w:pPr>
                  <w:r>
                    <w:rPr>
                      <w:rFonts w:hint="eastAsia" w:cs="Times New Roman"/>
                      <w:sz w:val="21"/>
                      <w:szCs w:val="21"/>
                      <w:lang w:val="en-US" w:eastAsia="zh-CN"/>
                    </w:rPr>
                    <w:t>试剂间</w:t>
                  </w:r>
                </w:p>
              </w:tc>
            </w:tr>
            <w:tr w14:paraId="0969FB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3F3A2450">
                  <w:pPr>
                    <w:numPr>
                      <w:ilvl w:val="0"/>
                      <w:numId w:val="15"/>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0A310AF6">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磷酸二氢钠</w:t>
                  </w:r>
                </w:p>
              </w:tc>
              <w:tc>
                <w:tcPr>
                  <w:tcW w:w="1388" w:type="dxa"/>
                  <w:tcBorders>
                    <w:tl2br w:val="nil"/>
                    <w:tr2bl w:val="nil"/>
                  </w:tcBorders>
                  <w:shd w:val="clear" w:color="auto" w:fill="auto"/>
                  <w:vAlign w:val="top"/>
                </w:tcPr>
                <w:p w14:paraId="497F6269">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500g/瓶</w:t>
                  </w:r>
                </w:p>
              </w:tc>
              <w:tc>
                <w:tcPr>
                  <w:tcW w:w="1445" w:type="dxa"/>
                  <w:tcBorders>
                    <w:tl2br w:val="nil"/>
                    <w:tr2bl w:val="nil"/>
                  </w:tcBorders>
                  <w:shd w:val="clear" w:color="auto" w:fill="auto"/>
                  <w:vAlign w:val="top"/>
                </w:tcPr>
                <w:p w14:paraId="313A6C45">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3kg</w:t>
                  </w:r>
                </w:p>
              </w:tc>
              <w:tc>
                <w:tcPr>
                  <w:tcW w:w="1487" w:type="dxa"/>
                  <w:tcBorders>
                    <w:tl2br w:val="nil"/>
                    <w:tr2bl w:val="nil"/>
                  </w:tcBorders>
                  <w:shd w:val="clear" w:color="auto" w:fill="auto"/>
                  <w:vAlign w:val="center"/>
                </w:tcPr>
                <w:p w14:paraId="7012EF6D">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1kg</w:t>
                  </w:r>
                </w:p>
              </w:tc>
              <w:tc>
                <w:tcPr>
                  <w:tcW w:w="1487" w:type="dxa"/>
                  <w:tcBorders>
                    <w:tl2br w:val="nil"/>
                    <w:tr2bl w:val="nil"/>
                  </w:tcBorders>
                  <w:shd w:val="clear" w:color="auto" w:fill="auto"/>
                  <w:vAlign w:val="center"/>
                </w:tcPr>
                <w:p w14:paraId="704C14B4">
                  <w:pPr>
                    <w:jc w:val="center"/>
                    <w:rPr>
                      <w:rFonts w:hint="eastAsia"/>
                      <w:sz w:val="21"/>
                      <w:szCs w:val="21"/>
                      <w:lang w:val="en-US" w:eastAsia="zh-CN"/>
                    </w:rPr>
                  </w:pPr>
                  <w:r>
                    <w:rPr>
                      <w:rFonts w:hint="eastAsia" w:cs="Times New Roman"/>
                      <w:sz w:val="21"/>
                      <w:szCs w:val="21"/>
                      <w:lang w:val="en-US" w:eastAsia="zh-CN"/>
                    </w:rPr>
                    <w:t>试剂间</w:t>
                  </w:r>
                </w:p>
              </w:tc>
            </w:tr>
          </w:tbl>
          <w:p w14:paraId="72B59917">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项目主要原辅材料理化性质详见下表。</w:t>
            </w:r>
          </w:p>
          <w:p w14:paraId="3BBF04DC">
            <w:pPr>
              <w:numPr>
                <w:ilvl w:val="0"/>
                <w:numId w:val="13"/>
              </w:numPr>
              <w:adjustRightInd w:val="0"/>
              <w:snapToGrid w:val="0"/>
              <w:spacing w:line="360" w:lineRule="auto"/>
              <w:jc w:val="center"/>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本</w:t>
            </w:r>
            <w:r>
              <w:rPr>
                <w:rFonts w:hint="default" w:ascii="Times New Roman" w:hAnsi="Times New Roman" w:eastAsia="宋体" w:cs="Times New Roman"/>
                <w:b/>
                <w:bCs/>
                <w:color w:val="auto"/>
                <w:sz w:val="24"/>
                <w:highlight w:val="none"/>
              </w:rPr>
              <w:t>主要原辅材料理化性质一览表</w:t>
            </w:r>
          </w:p>
          <w:tbl>
            <w:tblPr>
              <w:tblStyle w:val="23"/>
              <w:tblW w:w="787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067"/>
              <w:gridCol w:w="6261"/>
            </w:tblGrid>
            <w:tr w14:paraId="34A683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551" w:type="dxa"/>
                  <w:tcBorders>
                    <w:tl2br w:val="nil"/>
                    <w:tr2bl w:val="nil"/>
                  </w:tcBorders>
                  <w:noWrap w:val="0"/>
                  <w:vAlign w:val="center"/>
                </w:tcPr>
                <w:p w14:paraId="05329724">
                  <w:pPr>
                    <w:spacing w:before="53" w:line="240" w:lineRule="auto"/>
                    <w:jc w:val="center"/>
                    <w:rPr>
                      <w:b/>
                      <w:bCs/>
                      <w:color w:val="auto"/>
                      <w:spacing w:val="6"/>
                      <w:szCs w:val="21"/>
                      <w:highlight w:val="none"/>
                    </w:rPr>
                  </w:pPr>
                  <w:r>
                    <w:rPr>
                      <w:b/>
                      <w:bCs/>
                      <w:color w:val="auto"/>
                      <w:spacing w:val="6"/>
                      <w:szCs w:val="21"/>
                      <w:highlight w:val="none"/>
                    </w:rPr>
                    <w:t>序号</w:t>
                  </w:r>
                </w:p>
              </w:tc>
              <w:tc>
                <w:tcPr>
                  <w:tcW w:w="1067" w:type="dxa"/>
                  <w:tcBorders>
                    <w:tl2br w:val="nil"/>
                    <w:tr2bl w:val="nil"/>
                  </w:tcBorders>
                  <w:noWrap w:val="0"/>
                  <w:vAlign w:val="center"/>
                </w:tcPr>
                <w:p w14:paraId="74673331">
                  <w:pPr>
                    <w:spacing w:before="53" w:line="240" w:lineRule="auto"/>
                    <w:jc w:val="center"/>
                    <w:rPr>
                      <w:b/>
                      <w:bCs/>
                      <w:color w:val="auto"/>
                      <w:spacing w:val="6"/>
                      <w:szCs w:val="21"/>
                      <w:highlight w:val="none"/>
                    </w:rPr>
                  </w:pPr>
                  <w:r>
                    <w:rPr>
                      <w:b/>
                      <w:bCs/>
                      <w:color w:val="auto"/>
                      <w:spacing w:val="6"/>
                      <w:szCs w:val="21"/>
                      <w:highlight w:val="none"/>
                    </w:rPr>
                    <w:t>名称</w:t>
                  </w:r>
                </w:p>
              </w:tc>
              <w:tc>
                <w:tcPr>
                  <w:tcW w:w="6261" w:type="dxa"/>
                  <w:tcBorders>
                    <w:tl2br w:val="nil"/>
                    <w:tr2bl w:val="nil"/>
                  </w:tcBorders>
                  <w:noWrap w:val="0"/>
                  <w:vAlign w:val="center"/>
                </w:tcPr>
                <w:p w14:paraId="29960D93">
                  <w:pPr>
                    <w:spacing w:before="53" w:line="240" w:lineRule="auto"/>
                    <w:jc w:val="center"/>
                    <w:rPr>
                      <w:b/>
                      <w:bCs/>
                      <w:color w:val="auto"/>
                      <w:spacing w:val="6"/>
                      <w:szCs w:val="21"/>
                      <w:highlight w:val="none"/>
                    </w:rPr>
                  </w:pPr>
                  <w:r>
                    <w:rPr>
                      <w:b/>
                      <w:bCs/>
                      <w:color w:val="auto"/>
                      <w:spacing w:val="6"/>
                      <w:szCs w:val="21"/>
                      <w:highlight w:val="none"/>
                    </w:rPr>
                    <w:t>理化性质</w:t>
                  </w:r>
                </w:p>
              </w:tc>
            </w:tr>
            <w:tr w14:paraId="77F43D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tcBorders>
                    <w:tl2br w:val="nil"/>
                    <w:tr2bl w:val="nil"/>
                  </w:tcBorders>
                  <w:shd w:val="clear" w:color="auto" w:fill="auto"/>
                  <w:noWrap w:val="0"/>
                  <w:vAlign w:val="center"/>
                </w:tcPr>
                <w:p w14:paraId="754B5576">
                  <w:pPr>
                    <w:numPr>
                      <w:ilvl w:val="0"/>
                      <w:numId w:val="0"/>
                    </w:numPr>
                    <w:spacing w:before="53" w:line="240" w:lineRule="auto"/>
                    <w:ind w:left="0" w:leftChars="0" w:firstLine="0" w:firstLineChars="0"/>
                    <w:jc w:val="center"/>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eastAsia="宋体" w:cs="Times New Roman"/>
                      <w:b w:val="0"/>
                      <w:bCs w:val="0"/>
                      <w:color w:val="auto"/>
                      <w:spacing w:val="6"/>
                      <w:szCs w:val="21"/>
                      <w:highlight w:val="none"/>
                      <w:lang w:val="en-US" w:eastAsia="zh-CN"/>
                    </w:rPr>
                    <w:t>1</w:t>
                  </w:r>
                </w:p>
              </w:tc>
              <w:tc>
                <w:tcPr>
                  <w:tcW w:w="1067" w:type="dxa"/>
                  <w:tcBorders>
                    <w:tl2br w:val="nil"/>
                    <w:tr2bl w:val="nil"/>
                  </w:tcBorders>
                  <w:noWrap w:val="0"/>
                  <w:vAlign w:val="center"/>
                </w:tcPr>
                <w:p w14:paraId="7940AC74">
                  <w:pPr>
                    <w:spacing w:before="51" w:line="240" w:lineRule="auto"/>
                    <w:jc w:val="both"/>
                    <w:rPr>
                      <w:rFonts w:hint="eastAsia"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嗜热脂肪地芽孢杆菌</w:t>
                  </w:r>
                </w:p>
              </w:tc>
              <w:tc>
                <w:tcPr>
                  <w:tcW w:w="6261" w:type="dxa"/>
                  <w:tcBorders>
                    <w:tl2br w:val="nil"/>
                    <w:tr2bl w:val="nil"/>
                  </w:tcBorders>
                  <w:noWrap w:val="0"/>
                  <w:vAlign w:val="center"/>
                </w:tcPr>
                <w:p w14:paraId="0C5BF387">
                  <w:pPr>
                    <w:spacing w:before="51" w:line="240" w:lineRule="auto"/>
                    <w:jc w:val="both"/>
                    <w:rPr>
                      <w:rFonts w:hint="eastAsia"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属于</w:t>
                  </w:r>
                  <w:r>
                    <w:rPr>
                      <w:rFonts w:hint="default" w:ascii="Times New Roman" w:hAnsi="Times New Roman" w:eastAsia="宋体" w:cs="Times New Roman"/>
                      <w:color w:val="auto"/>
                      <w:szCs w:val="21"/>
                      <w:highlight w:val="none"/>
                      <w:shd w:val="clear" w:color="auto" w:fill="FFFFFF"/>
                      <w:lang w:val="en-US" w:eastAsia="zh-CN"/>
                    </w:rPr>
                    <w:t>条件致病菌，对健康人群致病性极低，但免疫功能低下者（如肿瘤患者、长期服用激素者）可能引发局部感染（如皮肤、软组织感染）。</w:t>
                  </w:r>
                </w:p>
              </w:tc>
            </w:tr>
            <w:tr w14:paraId="282968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tcBorders>
                    <w:tl2br w:val="nil"/>
                    <w:tr2bl w:val="nil"/>
                  </w:tcBorders>
                  <w:shd w:val="clear" w:color="auto" w:fill="auto"/>
                  <w:noWrap w:val="0"/>
                  <w:vAlign w:val="center"/>
                </w:tcPr>
                <w:p w14:paraId="3378D7CF">
                  <w:pPr>
                    <w:numPr>
                      <w:ilvl w:val="0"/>
                      <w:numId w:val="0"/>
                    </w:numPr>
                    <w:spacing w:before="53" w:line="240" w:lineRule="auto"/>
                    <w:ind w:left="0" w:leftChars="0" w:firstLine="0" w:firstLineChars="0"/>
                    <w:jc w:val="center"/>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eastAsia="宋体" w:cs="Times New Roman"/>
                      <w:b w:val="0"/>
                      <w:bCs w:val="0"/>
                      <w:color w:val="auto"/>
                      <w:spacing w:val="6"/>
                      <w:szCs w:val="21"/>
                      <w:highlight w:val="none"/>
                      <w:lang w:val="en-US" w:eastAsia="zh-CN"/>
                    </w:rPr>
                    <w:t>2</w:t>
                  </w:r>
                </w:p>
              </w:tc>
              <w:tc>
                <w:tcPr>
                  <w:tcW w:w="1067" w:type="dxa"/>
                  <w:tcBorders>
                    <w:tl2br w:val="nil"/>
                    <w:tr2bl w:val="nil"/>
                  </w:tcBorders>
                  <w:noWrap w:val="0"/>
                  <w:vAlign w:val="center"/>
                </w:tcPr>
                <w:p w14:paraId="78D14B8D">
                  <w:pPr>
                    <w:spacing w:before="51" w:line="240" w:lineRule="auto"/>
                    <w:jc w:val="both"/>
                    <w:rPr>
                      <w:rFonts w:hint="eastAsia"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氯化钙</w:t>
                  </w:r>
                </w:p>
              </w:tc>
              <w:tc>
                <w:tcPr>
                  <w:tcW w:w="6261" w:type="dxa"/>
                  <w:tcBorders>
                    <w:tl2br w:val="nil"/>
                    <w:tr2bl w:val="nil"/>
                  </w:tcBorders>
                  <w:noWrap w:val="0"/>
                  <w:vAlign w:val="center"/>
                </w:tcPr>
                <w:p w14:paraId="6D4260A2">
                  <w:pPr>
                    <w:spacing w:before="51" w:line="240" w:lineRule="auto"/>
                    <w:jc w:val="both"/>
                    <w:rPr>
                      <w:rFonts w:hint="eastAsia"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无色</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"https://baike.so.com/doc/1007616-1065316.html"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立方</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结晶体，白色或灰白色，有粒状、蜂窝块状、圆球状、不规则颗粒状、粉末状。微毒、无臭、味微苦。吸湿性极强，暴露于空气中极易潮解。</w:t>
                  </w:r>
                </w:p>
              </w:tc>
            </w:tr>
            <w:tr w14:paraId="12B1F8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tcBorders>
                    <w:tl2br w:val="nil"/>
                    <w:tr2bl w:val="nil"/>
                  </w:tcBorders>
                  <w:shd w:val="clear" w:color="auto" w:fill="auto"/>
                  <w:noWrap w:val="0"/>
                  <w:vAlign w:val="center"/>
                </w:tcPr>
                <w:p w14:paraId="1F6B3CF5">
                  <w:pPr>
                    <w:numPr>
                      <w:ilvl w:val="0"/>
                      <w:numId w:val="0"/>
                    </w:numPr>
                    <w:spacing w:before="53" w:line="240" w:lineRule="auto"/>
                    <w:ind w:left="0" w:leftChars="0" w:firstLine="0" w:firstLineChars="0"/>
                    <w:jc w:val="center"/>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eastAsia="宋体" w:cs="Times New Roman"/>
                      <w:b w:val="0"/>
                      <w:bCs w:val="0"/>
                      <w:color w:val="auto"/>
                      <w:spacing w:val="6"/>
                      <w:szCs w:val="21"/>
                      <w:highlight w:val="none"/>
                      <w:lang w:val="en-US" w:eastAsia="zh-CN"/>
                    </w:rPr>
                    <w:t>3</w:t>
                  </w:r>
                </w:p>
              </w:tc>
              <w:tc>
                <w:tcPr>
                  <w:tcW w:w="1067" w:type="dxa"/>
                  <w:tcBorders>
                    <w:tl2br w:val="nil"/>
                    <w:tr2bl w:val="nil"/>
                  </w:tcBorders>
                  <w:shd w:val="clear" w:color="auto" w:fill="auto"/>
                  <w:noWrap w:val="0"/>
                  <w:vAlign w:val="center"/>
                </w:tcPr>
                <w:p w14:paraId="3C7D178D">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氯化钠</w:t>
                  </w:r>
                </w:p>
              </w:tc>
              <w:tc>
                <w:tcPr>
                  <w:tcW w:w="6261" w:type="dxa"/>
                  <w:tcBorders>
                    <w:tl2br w:val="nil"/>
                    <w:tr2bl w:val="nil"/>
                  </w:tcBorders>
                  <w:shd w:val="clear" w:color="auto" w:fill="auto"/>
                  <w:noWrap w:val="0"/>
                  <w:vAlign w:val="center"/>
                </w:tcPr>
                <w:p w14:paraId="6C0F5B39">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无色无味固体</w:t>
                  </w:r>
                  <w:r>
                    <w:rPr>
                      <w:rFonts w:hint="eastAsia"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pH值</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4.5-7.0(100g/lH</w:t>
                  </w:r>
                  <w:r>
                    <w:rPr>
                      <w:rFonts w:hint="default" w:ascii="Times New Roman" w:hAnsi="Times New Roman" w:eastAsia="宋体" w:cs="Times New Roman"/>
                      <w:color w:val="auto"/>
                      <w:szCs w:val="21"/>
                      <w:highlight w:val="none"/>
                      <w:shd w:val="clear" w:color="auto" w:fill="FFFFFF"/>
                      <w:vertAlign w:val="subscript"/>
                      <w:lang w:val="en-US" w:eastAsia="zh-CN"/>
                    </w:rPr>
                    <w:t>2</w:t>
                  </w:r>
                  <w:r>
                    <w:rPr>
                      <w:rFonts w:hint="default" w:ascii="Times New Roman" w:hAnsi="Times New Roman" w:eastAsia="宋体" w:cs="Times New Roman"/>
                      <w:color w:val="auto"/>
                      <w:szCs w:val="21"/>
                      <w:highlight w:val="none"/>
                      <w:shd w:val="clear" w:color="auto" w:fill="FFFFFF"/>
                      <w:lang w:val="en-US" w:eastAsia="zh-CN"/>
                    </w:rPr>
                    <w:t>O，20</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801</w:t>
                  </w:r>
                  <w:r>
                    <w:rPr>
                      <w:rFonts w:hint="eastAsia" w:ascii="Times New Roman" w:hAnsi="Times New Roman" w:eastAsia="宋体" w:cs="Times New Roman"/>
                      <w:color w:val="auto"/>
                      <w:szCs w:val="21"/>
                      <w:highlight w:val="none"/>
                      <w:shd w:val="clear" w:color="auto" w:fill="FFFFFF"/>
                      <w:lang w:val="en-US" w:eastAsia="zh-CN"/>
                    </w:rPr>
                    <w:t>，体</w:t>
                  </w:r>
                  <w:r>
                    <w:rPr>
                      <w:rFonts w:hint="default" w:ascii="Times New Roman" w:hAnsi="Times New Roman" w:eastAsia="宋体" w:cs="Times New Roman"/>
                      <w:color w:val="auto"/>
                      <w:szCs w:val="21"/>
                      <w:highlight w:val="none"/>
                      <w:shd w:val="clear" w:color="auto" w:fill="FFFFFF"/>
                      <w:lang w:val="en-US" w:eastAsia="zh-CN"/>
                    </w:rPr>
                    <w:t>积密度</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1140kg/m</w:t>
                  </w:r>
                  <w:r>
                    <w:rPr>
                      <w:rFonts w:hint="default" w:ascii="Times New Roman" w:hAnsi="Times New Roman" w:eastAsia="宋体" w:cs="Times New Roman"/>
                      <w:color w:val="auto"/>
                      <w:szCs w:val="21"/>
                      <w:highlight w:val="none"/>
                      <w:shd w:val="clear" w:color="auto" w:fill="FFFFFF"/>
                      <w:vertAlign w:val="superscript"/>
                      <w:lang w:val="en-US" w:eastAsia="zh-CN"/>
                    </w:rPr>
                    <w:t>3</w:t>
                  </w:r>
                  <w:r>
                    <w:rPr>
                      <w:rFonts w:hint="eastAsia" w:ascii="Times New Roman" w:hAnsi="Times New Roman" w:eastAsia="宋体" w:cs="Times New Roman"/>
                      <w:color w:val="auto"/>
                      <w:szCs w:val="21"/>
                      <w:highlight w:val="none"/>
                      <w:shd w:val="clear" w:color="auto" w:fill="FFFFFF"/>
                      <w:lang w:val="en-US" w:eastAsia="zh-CN"/>
                    </w:rPr>
                    <w:t>。</w:t>
                  </w:r>
                </w:p>
              </w:tc>
            </w:tr>
            <w:tr w14:paraId="6FCA2D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tcBorders>
                    <w:tl2br w:val="nil"/>
                    <w:tr2bl w:val="nil"/>
                  </w:tcBorders>
                  <w:shd w:val="clear" w:color="auto" w:fill="auto"/>
                  <w:noWrap w:val="0"/>
                  <w:vAlign w:val="center"/>
                </w:tcPr>
                <w:p w14:paraId="08FF0451">
                  <w:pPr>
                    <w:numPr>
                      <w:ilvl w:val="0"/>
                      <w:numId w:val="0"/>
                    </w:numPr>
                    <w:spacing w:before="53" w:line="240" w:lineRule="auto"/>
                    <w:ind w:left="0" w:leftChars="0" w:firstLine="0" w:firstLineChars="0"/>
                    <w:jc w:val="center"/>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eastAsia="宋体" w:cs="Times New Roman"/>
                      <w:b w:val="0"/>
                      <w:bCs w:val="0"/>
                      <w:color w:val="auto"/>
                      <w:spacing w:val="6"/>
                      <w:szCs w:val="21"/>
                      <w:highlight w:val="none"/>
                      <w:lang w:val="en-US" w:eastAsia="zh-CN"/>
                    </w:rPr>
                    <w:t>4</w:t>
                  </w:r>
                </w:p>
              </w:tc>
              <w:tc>
                <w:tcPr>
                  <w:tcW w:w="1067" w:type="dxa"/>
                  <w:tcBorders>
                    <w:tl2br w:val="nil"/>
                    <w:tr2bl w:val="nil"/>
                  </w:tcBorders>
                  <w:shd w:val="clear" w:color="auto" w:fill="auto"/>
                  <w:noWrap w:val="0"/>
                  <w:vAlign w:val="center"/>
                </w:tcPr>
                <w:p w14:paraId="323CB144">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氢氧化钠</w:t>
                  </w:r>
                </w:p>
              </w:tc>
              <w:tc>
                <w:tcPr>
                  <w:tcW w:w="6261" w:type="dxa"/>
                  <w:tcBorders>
                    <w:tl2br w:val="nil"/>
                    <w:tr2bl w:val="nil"/>
                  </w:tcBorders>
                  <w:shd w:val="clear" w:color="auto" w:fill="auto"/>
                  <w:noWrap w:val="0"/>
                  <w:vAlign w:val="center"/>
                </w:tcPr>
                <w:p w14:paraId="1D5021CF">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外观与性状</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白色不透明固体，易潮解。熔点(</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318.4。沸点(</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1390。相对密度(水=1)</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2.12。饱和蒸气压0.13(739</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)(kPa)。溶解性</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易溶于水、乙醇、甘油，不溶于丙酮。</w:t>
                  </w:r>
                </w:p>
              </w:tc>
            </w:tr>
            <w:tr w14:paraId="263AB7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tcBorders>
                    <w:tl2br w:val="nil"/>
                    <w:tr2bl w:val="nil"/>
                  </w:tcBorders>
                  <w:shd w:val="clear" w:color="auto" w:fill="auto"/>
                  <w:noWrap w:val="0"/>
                  <w:vAlign w:val="center"/>
                </w:tcPr>
                <w:p w14:paraId="6446FA65">
                  <w:pPr>
                    <w:numPr>
                      <w:ilvl w:val="0"/>
                      <w:numId w:val="0"/>
                    </w:numPr>
                    <w:spacing w:before="53" w:line="240" w:lineRule="auto"/>
                    <w:ind w:left="0" w:leftChars="0" w:firstLine="0" w:firstLineChars="0"/>
                    <w:jc w:val="center"/>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eastAsia="宋体" w:cs="Times New Roman"/>
                      <w:b w:val="0"/>
                      <w:bCs w:val="0"/>
                      <w:color w:val="auto"/>
                      <w:spacing w:val="6"/>
                      <w:szCs w:val="21"/>
                      <w:highlight w:val="none"/>
                      <w:lang w:val="en-US" w:eastAsia="zh-CN"/>
                    </w:rPr>
                    <w:t>5</w:t>
                  </w:r>
                </w:p>
              </w:tc>
              <w:tc>
                <w:tcPr>
                  <w:tcW w:w="1067" w:type="dxa"/>
                  <w:tcBorders>
                    <w:tl2br w:val="nil"/>
                    <w:tr2bl w:val="nil"/>
                  </w:tcBorders>
                  <w:shd w:val="clear" w:color="auto" w:fill="auto"/>
                  <w:noWrap w:val="0"/>
                  <w:vAlign w:val="center"/>
                </w:tcPr>
                <w:p w14:paraId="7F5CF4BE">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硫酸锰</w:t>
                  </w:r>
                </w:p>
              </w:tc>
              <w:tc>
                <w:tcPr>
                  <w:tcW w:w="6261" w:type="dxa"/>
                  <w:tcBorders>
                    <w:tl2br w:val="nil"/>
                    <w:tr2bl w:val="nil"/>
                  </w:tcBorders>
                  <w:shd w:val="clear" w:color="auto" w:fill="auto"/>
                  <w:noWrap w:val="0"/>
                  <w:vAlign w:val="center"/>
                </w:tcPr>
                <w:p w14:paraId="68E5A197">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水合物为微红色斜方晶体，相对密度为3.50，熔点为700℃，易溶于水，不溶于乙醇。其以多种水合物的形式存在。在850℃时开始分解，因受热程度不同，可放出SO</w:t>
                  </w:r>
                  <w:r>
                    <w:rPr>
                      <w:rFonts w:hint="default" w:ascii="Times New Roman" w:hAnsi="Times New Roman" w:eastAsia="宋体" w:cs="Times New Roman"/>
                      <w:color w:val="auto"/>
                      <w:szCs w:val="21"/>
                      <w:highlight w:val="none"/>
                      <w:shd w:val="clear" w:color="auto" w:fill="FFFFFF"/>
                      <w:vertAlign w:val="subscript"/>
                      <w:lang w:val="en-US" w:eastAsia="zh-CN"/>
                    </w:rPr>
                    <w:t>3</w:t>
                  </w:r>
                  <w:r>
                    <w:rPr>
                      <w:rFonts w:hint="eastAsia"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SO</w:t>
                  </w:r>
                  <w:r>
                    <w:rPr>
                      <w:rFonts w:hint="default" w:ascii="Times New Roman" w:hAnsi="Times New Roman" w:eastAsia="宋体" w:cs="Times New Roman"/>
                      <w:color w:val="auto"/>
                      <w:szCs w:val="21"/>
                      <w:highlight w:val="none"/>
                      <w:shd w:val="clear" w:color="auto" w:fill="FFFFFF"/>
                      <w:vertAlign w:val="subscript"/>
                      <w:lang w:val="en-US" w:eastAsia="zh-CN"/>
                    </w:rPr>
                    <w:t>2</w:t>
                  </w:r>
                  <w:r>
                    <w:rPr>
                      <w:rFonts w:hint="default" w:ascii="Times New Roman" w:hAnsi="Times New Roman" w:eastAsia="宋体" w:cs="Times New Roman"/>
                      <w:color w:val="auto"/>
                      <w:szCs w:val="21"/>
                      <w:highlight w:val="none"/>
                      <w:shd w:val="clear" w:color="auto" w:fill="FFFFFF"/>
                      <w:lang w:val="en-US" w:eastAsia="zh-CN"/>
                    </w:rPr>
                    <w:t>或氧气，残余物有二氧化锰（MnO</w:t>
                  </w:r>
                  <w:r>
                    <w:rPr>
                      <w:rFonts w:hint="default" w:ascii="Times New Roman" w:hAnsi="Times New Roman" w:eastAsia="宋体" w:cs="Times New Roman"/>
                      <w:color w:val="auto"/>
                      <w:szCs w:val="21"/>
                      <w:highlight w:val="none"/>
                      <w:shd w:val="clear" w:color="auto" w:fill="FFFFFF"/>
                      <w:vertAlign w:val="subscript"/>
                      <w:lang w:val="en-US" w:eastAsia="zh-CN"/>
                    </w:rPr>
                    <w:t>2</w:t>
                  </w:r>
                  <w:r>
                    <w:rPr>
                      <w:rFonts w:hint="default" w:ascii="Times New Roman" w:hAnsi="Times New Roman" w:eastAsia="宋体" w:cs="Times New Roman"/>
                      <w:color w:val="auto"/>
                      <w:szCs w:val="21"/>
                      <w:highlight w:val="none"/>
                      <w:shd w:val="clear" w:color="auto" w:fill="FFFFFF"/>
                      <w:lang w:val="en-US" w:eastAsia="zh-CN"/>
                    </w:rPr>
                    <w:t>）或</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"https://baike.so.com/doc/6498516-6712231.html"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四氧化三锰</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(Mn</w:t>
                  </w:r>
                  <w:r>
                    <w:rPr>
                      <w:rFonts w:hint="default" w:ascii="Times New Roman" w:hAnsi="Times New Roman" w:eastAsia="宋体" w:cs="Times New Roman"/>
                      <w:color w:val="auto"/>
                      <w:szCs w:val="21"/>
                      <w:highlight w:val="none"/>
                      <w:shd w:val="clear" w:color="auto" w:fill="FFFFFF"/>
                      <w:vertAlign w:val="subscript"/>
                      <w:lang w:val="en-US" w:eastAsia="zh-CN"/>
                    </w:rPr>
                    <w:t>3</w:t>
                  </w:r>
                  <w:r>
                    <w:rPr>
                      <w:rFonts w:hint="default" w:ascii="Times New Roman" w:hAnsi="Times New Roman" w:eastAsia="宋体" w:cs="Times New Roman"/>
                      <w:color w:val="auto"/>
                      <w:szCs w:val="21"/>
                      <w:highlight w:val="none"/>
                      <w:shd w:val="clear" w:color="auto" w:fill="FFFFFF"/>
                      <w:lang w:val="en-US" w:eastAsia="zh-CN"/>
                    </w:rPr>
                    <w:t>O</w:t>
                  </w:r>
                  <w:r>
                    <w:rPr>
                      <w:rFonts w:hint="default" w:ascii="Times New Roman" w:hAnsi="Times New Roman" w:eastAsia="宋体" w:cs="Times New Roman"/>
                      <w:color w:val="auto"/>
                      <w:szCs w:val="21"/>
                      <w:highlight w:val="none"/>
                      <w:shd w:val="clear" w:color="auto" w:fill="FFFFFF"/>
                      <w:vertAlign w:val="subscript"/>
                      <w:lang w:val="en-US" w:eastAsia="zh-CN"/>
                    </w:rPr>
                    <w:t>4</w:t>
                  </w:r>
                  <w:r>
                    <w:rPr>
                      <w:rFonts w:hint="default" w:ascii="Times New Roman" w:hAnsi="Times New Roman" w:eastAsia="宋体" w:cs="Times New Roman"/>
                      <w:color w:val="auto"/>
                      <w:szCs w:val="21"/>
                      <w:highlight w:val="none"/>
                      <w:shd w:val="clear" w:color="auto" w:fill="FFFFFF"/>
                      <w:lang w:val="en-US" w:eastAsia="zh-CN"/>
                    </w:rPr>
                    <w:t>)。硫酸锰的结晶水合物加热到280℃时，都可以失去自身的结晶水而成为无水物。</w:t>
                  </w:r>
                </w:p>
              </w:tc>
            </w:tr>
            <w:tr w14:paraId="393102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tcBorders>
                    <w:tl2br w:val="nil"/>
                    <w:tr2bl w:val="nil"/>
                  </w:tcBorders>
                  <w:shd w:val="clear" w:color="auto" w:fill="auto"/>
                  <w:noWrap w:val="0"/>
                  <w:vAlign w:val="center"/>
                </w:tcPr>
                <w:p w14:paraId="0A1F42DD">
                  <w:pPr>
                    <w:numPr>
                      <w:ilvl w:val="0"/>
                      <w:numId w:val="0"/>
                    </w:numPr>
                    <w:spacing w:before="53" w:line="240" w:lineRule="auto"/>
                    <w:ind w:left="0" w:leftChars="0" w:firstLine="0" w:firstLineChars="0"/>
                    <w:jc w:val="center"/>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eastAsia="宋体" w:cs="Times New Roman"/>
                      <w:b w:val="0"/>
                      <w:bCs w:val="0"/>
                      <w:color w:val="auto"/>
                      <w:spacing w:val="6"/>
                      <w:szCs w:val="21"/>
                      <w:highlight w:val="none"/>
                      <w:lang w:val="en-US" w:eastAsia="zh-CN"/>
                    </w:rPr>
                    <w:t>6</w:t>
                  </w:r>
                </w:p>
              </w:tc>
              <w:tc>
                <w:tcPr>
                  <w:tcW w:w="1067" w:type="dxa"/>
                  <w:tcBorders>
                    <w:tl2br w:val="nil"/>
                    <w:tr2bl w:val="nil"/>
                  </w:tcBorders>
                  <w:shd w:val="clear" w:color="auto" w:fill="auto"/>
                  <w:noWrap w:val="0"/>
                  <w:vAlign w:val="center"/>
                </w:tcPr>
                <w:p w14:paraId="609D893A">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cs="Times New Roman"/>
                      <w:color w:val="auto"/>
                      <w:szCs w:val="21"/>
                      <w:highlight w:val="none"/>
                      <w:shd w:val="clear" w:color="auto" w:fill="FFFFFF"/>
                      <w:lang w:val="en-US" w:eastAsia="zh-CN"/>
                    </w:rPr>
                    <w:t>氯化镁</w:t>
                  </w:r>
                </w:p>
              </w:tc>
              <w:tc>
                <w:tcPr>
                  <w:tcW w:w="6261" w:type="dxa"/>
                  <w:tcBorders>
                    <w:tl2br w:val="nil"/>
                    <w:tr2bl w:val="nil"/>
                  </w:tcBorders>
                  <w:shd w:val="clear" w:color="auto" w:fill="auto"/>
                  <w:noWrap w:val="0"/>
                  <w:vAlign w:val="center"/>
                </w:tcPr>
                <w:p w14:paraId="5800449F">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易</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"https://baike.so.com/doc/5791570-6004362.html"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潮解</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有苦味，有腐蚀性</w:t>
                  </w:r>
                  <w:r>
                    <w:rPr>
                      <w:rFonts w:hint="eastAsia"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加热时失水和</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"https://baike.so.com/doc/2962673-3125501.html"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氯化氢</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部分生成</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"https://baike.so.com/doc/1513865-1600541.html"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氧化镁</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和</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"https://baike.so.com/doc/2872428-3031262.html"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碱式氯化镁</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w:t>
                  </w:r>
                </w:p>
              </w:tc>
            </w:tr>
            <w:tr w14:paraId="172A8E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tcBorders>
                    <w:tl2br w:val="nil"/>
                    <w:tr2bl w:val="nil"/>
                  </w:tcBorders>
                  <w:shd w:val="clear" w:color="auto" w:fill="auto"/>
                  <w:noWrap w:val="0"/>
                  <w:vAlign w:val="center"/>
                </w:tcPr>
                <w:p w14:paraId="282F30BC">
                  <w:pPr>
                    <w:numPr>
                      <w:ilvl w:val="0"/>
                      <w:numId w:val="0"/>
                    </w:numPr>
                    <w:spacing w:before="53" w:line="240" w:lineRule="auto"/>
                    <w:ind w:left="0" w:leftChars="0" w:firstLine="0" w:firstLineChars="0"/>
                    <w:jc w:val="center"/>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ascii="Times New Roman" w:hAnsi="Times New Roman" w:eastAsia="宋体" w:cs="Times New Roman"/>
                      <w:b w:val="0"/>
                      <w:bCs w:val="0"/>
                      <w:color w:val="auto"/>
                      <w:spacing w:val="6"/>
                      <w:szCs w:val="21"/>
                      <w:highlight w:val="none"/>
                      <w:lang w:val="en-US" w:eastAsia="zh-CN"/>
                    </w:rPr>
                    <w:t>7</w:t>
                  </w:r>
                </w:p>
              </w:tc>
              <w:tc>
                <w:tcPr>
                  <w:tcW w:w="1067" w:type="dxa"/>
                  <w:tcBorders>
                    <w:tl2br w:val="nil"/>
                    <w:tr2bl w:val="nil"/>
                  </w:tcBorders>
                  <w:shd w:val="clear" w:color="auto" w:fill="auto"/>
                  <w:noWrap w:val="0"/>
                  <w:vAlign w:val="center"/>
                </w:tcPr>
                <w:p w14:paraId="22CE9374">
                  <w:pPr>
                    <w:spacing w:before="51" w:line="240" w:lineRule="auto"/>
                    <w:jc w:val="both"/>
                    <w:rPr>
                      <w:rFonts w:hint="default" w:cs="Times New Roman"/>
                      <w:color w:val="auto"/>
                      <w:szCs w:val="21"/>
                      <w:highlight w:val="none"/>
                      <w:shd w:val="clear" w:color="auto" w:fill="FFFFFF"/>
                      <w:lang w:val="en-US" w:eastAsia="zh-CN"/>
                    </w:rPr>
                  </w:pPr>
                  <w:r>
                    <w:rPr>
                      <w:rFonts w:hint="eastAsia" w:cs="Times New Roman"/>
                      <w:color w:val="auto"/>
                      <w:szCs w:val="21"/>
                      <w:highlight w:val="none"/>
                      <w:shd w:val="clear" w:color="auto" w:fill="FFFFFF"/>
                      <w:lang w:val="en-US" w:eastAsia="zh-CN"/>
                    </w:rPr>
                    <w:t>酒精</w:t>
                  </w:r>
                </w:p>
              </w:tc>
              <w:tc>
                <w:tcPr>
                  <w:tcW w:w="6261" w:type="dxa"/>
                  <w:tcBorders>
                    <w:tl2br w:val="nil"/>
                    <w:tr2bl w:val="nil"/>
                  </w:tcBorders>
                  <w:shd w:val="clear" w:color="auto" w:fill="auto"/>
                  <w:noWrap w:val="0"/>
                  <w:vAlign w:val="center"/>
                </w:tcPr>
                <w:p w14:paraId="5EEE2747">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olor w:val="auto"/>
                      <w:sz w:val="21"/>
                      <w:szCs w:val="21"/>
                      <w:vertAlign w:val="baseline"/>
                      <w:lang w:val="en-US" w:eastAsia="zh-CN"/>
                    </w:rPr>
                    <w:t>易燃、易挥发的无色透明液体，</w:t>
                  </w:r>
                  <w:r>
                    <w:rPr>
                      <w:rFonts w:hint="eastAsia"/>
                      <w:color w:val="auto"/>
                      <w:sz w:val="21"/>
                      <w:szCs w:val="21"/>
                      <w:vertAlign w:val="baseline"/>
                      <w:lang w:val="en-US" w:eastAsia="zh-CN"/>
                    </w:rPr>
                    <w:t>液体</w:t>
                  </w:r>
                  <w:r>
                    <w:rPr>
                      <w:rFonts w:hint="default" w:ascii="Times New Roman" w:hAnsi="Times New Roman" w:eastAsia="宋体"/>
                      <w:color w:val="auto"/>
                      <w:sz w:val="21"/>
                      <w:szCs w:val="21"/>
                      <w:vertAlign w:val="baseline"/>
                      <w:lang w:val="en-US" w:eastAsia="zh-CN"/>
                    </w:rPr>
                    <w:t>密度是0.</w:t>
                  </w:r>
                  <w:r>
                    <w:rPr>
                      <w:rFonts w:hint="eastAsia" w:eastAsia="宋体"/>
                      <w:color w:val="auto"/>
                      <w:sz w:val="21"/>
                      <w:szCs w:val="21"/>
                      <w:vertAlign w:val="baseline"/>
                      <w:lang w:val="en-US" w:eastAsia="zh-CN"/>
                    </w:rPr>
                    <w:t>86</w:t>
                  </w:r>
                  <w:r>
                    <w:rPr>
                      <w:rFonts w:hint="default" w:ascii="Times New Roman" w:hAnsi="Times New Roman" w:eastAsia="宋体"/>
                      <w:color w:val="auto"/>
                      <w:sz w:val="21"/>
                      <w:szCs w:val="21"/>
                      <w:vertAlign w:val="baseline"/>
                      <w:lang w:val="en-US" w:eastAsia="zh-CN"/>
                    </w:rPr>
                    <w:t>g/cm</w:t>
                  </w:r>
                  <w:r>
                    <w:rPr>
                      <w:rFonts w:hint="default" w:ascii="Times New Roman" w:hAnsi="Times New Roman" w:eastAsia="宋体"/>
                      <w:color w:val="auto"/>
                      <w:sz w:val="21"/>
                      <w:szCs w:val="21"/>
                      <w:vertAlign w:val="superscript"/>
                      <w:lang w:val="en-US" w:eastAsia="zh-CN"/>
                    </w:rPr>
                    <w:t>3</w:t>
                  </w:r>
                  <w:r>
                    <w:rPr>
                      <w:rFonts w:hint="default" w:ascii="Times New Roman" w:hAnsi="Times New Roman" w:eastAsia="宋体"/>
                      <w:color w:val="auto"/>
                      <w:sz w:val="21"/>
                      <w:szCs w:val="21"/>
                      <w:vertAlign w:val="baseline"/>
                      <w:lang w:val="en-US" w:eastAsia="zh-CN"/>
                    </w:rPr>
                    <w:t>(20℃)，乙醇气体密度为1.59kg/m</w:t>
                  </w:r>
                  <w:r>
                    <w:rPr>
                      <w:rFonts w:hint="default" w:ascii="Times New Roman" w:hAnsi="Times New Roman" w:eastAsia="宋体"/>
                      <w:color w:val="auto"/>
                      <w:sz w:val="21"/>
                      <w:szCs w:val="21"/>
                      <w:vertAlign w:val="superscript"/>
                      <w:lang w:val="en-US" w:eastAsia="zh-CN"/>
                    </w:rPr>
                    <w:t>3</w:t>
                  </w:r>
                  <w:r>
                    <w:rPr>
                      <w:rFonts w:hint="default" w:ascii="Times New Roman" w:hAnsi="Times New Roman" w:eastAsia="宋体"/>
                      <w:color w:val="auto"/>
                      <w:sz w:val="21"/>
                      <w:szCs w:val="21"/>
                      <w:vertAlign w:val="baseline"/>
                      <w:lang w:val="en-US" w:eastAsia="zh-CN"/>
                    </w:rPr>
                    <w:t>，沸点是78.3℃，熔点是-114.1℃，易燃，其蒸气能与空气形成爆炸性混合物，能与水以任意比互溶</w:t>
                  </w:r>
                  <w:r>
                    <w:rPr>
                      <w:rFonts w:hint="eastAsia"/>
                      <w:color w:val="auto"/>
                      <w:sz w:val="21"/>
                      <w:szCs w:val="21"/>
                      <w:vertAlign w:val="baseline"/>
                      <w:lang w:val="en-US" w:eastAsia="zh-CN"/>
                    </w:rPr>
                    <w:t>，</w:t>
                  </w:r>
                  <w:r>
                    <w:rPr>
                      <w:rFonts w:hint="default" w:ascii="Times New Roman" w:hAnsi="Times New Roman" w:eastAsia="宋体"/>
                      <w:color w:val="auto"/>
                      <w:sz w:val="21"/>
                      <w:szCs w:val="21"/>
                      <w:vertAlign w:val="baseline"/>
                      <w:lang w:val="en-US" w:eastAsia="zh-CN"/>
                    </w:rPr>
                    <w:t>能与氯仿、乙醚、甲醇、丙酮和其他多数有机溶剂混溶。</w:t>
                  </w:r>
                </w:p>
              </w:tc>
            </w:tr>
            <w:tr w14:paraId="4054B4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tcBorders>
                    <w:tl2br w:val="nil"/>
                    <w:tr2bl w:val="nil"/>
                  </w:tcBorders>
                  <w:shd w:val="clear" w:color="auto" w:fill="auto"/>
                  <w:noWrap w:val="0"/>
                  <w:vAlign w:val="center"/>
                </w:tcPr>
                <w:p w14:paraId="2D4A7D3C">
                  <w:pPr>
                    <w:numPr>
                      <w:ilvl w:val="0"/>
                      <w:numId w:val="0"/>
                    </w:numPr>
                    <w:spacing w:before="53" w:line="240" w:lineRule="auto"/>
                    <w:ind w:left="0" w:leftChars="0" w:firstLine="0" w:firstLineChars="0"/>
                    <w:jc w:val="center"/>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eastAsia" w:ascii="Times New Roman" w:hAnsi="Times New Roman" w:eastAsia="宋体" w:cs="Times New Roman"/>
                      <w:b w:val="0"/>
                      <w:bCs w:val="0"/>
                      <w:color w:val="auto"/>
                      <w:spacing w:val="6"/>
                      <w:szCs w:val="21"/>
                      <w:highlight w:val="none"/>
                      <w:lang w:val="en-US" w:eastAsia="zh-CN"/>
                    </w:rPr>
                    <w:t>8</w:t>
                  </w:r>
                </w:p>
              </w:tc>
              <w:tc>
                <w:tcPr>
                  <w:tcW w:w="1067" w:type="dxa"/>
                  <w:tcBorders>
                    <w:tl2br w:val="nil"/>
                    <w:tr2bl w:val="nil"/>
                  </w:tcBorders>
                  <w:shd w:val="clear" w:color="auto" w:fill="auto"/>
                  <w:noWrap w:val="0"/>
                  <w:vAlign w:val="center"/>
                </w:tcPr>
                <w:p w14:paraId="76E0E9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新洁尔灭</w:t>
                  </w:r>
                </w:p>
              </w:tc>
              <w:tc>
                <w:tcPr>
                  <w:tcW w:w="6261" w:type="dxa"/>
                  <w:tcBorders>
                    <w:tl2br w:val="nil"/>
                    <w:tr2bl w:val="nil"/>
                  </w:tcBorders>
                  <w:shd w:val="clear" w:color="auto" w:fill="auto"/>
                  <w:noWrap w:val="0"/>
                  <w:vAlign w:val="center"/>
                </w:tcPr>
                <w:p w14:paraId="176810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olor w:val="auto"/>
                      <w:sz w:val="21"/>
                      <w:szCs w:val="21"/>
                      <w:vertAlign w:val="baseline"/>
                      <w:lang w:val="en-US" w:eastAsia="zh-CN"/>
                    </w:rPr>
                    <w:t>新洁尔灭即苯扎溴铵，分子式</w:t>
                  </w:r>
                  <w:r>
                    <w:rPr>
                      <w:rFonts w:hint="default" w:ascii="Times New Roman" w:hAnsi="Times New Roman" w:eastAsia="宋体"/>
                      <w:color w:val="auto"/>
                      <w:sz w:val="21"/>
                      <w:szCs w:val="21"/>
                      <w:vertAlign w:val="baseline"/>
                      <w:lang w:val="en-US" w:eastAsia="zh-CN"/>
                    </w:rPr>
                    <w:t>C21H38BrN</w:t>
                  </w:r>
                  <w:r>
                    <w:rPr>
                      <w:rFonts w:hint="eastAsia" w:ascii="Times New Roman" w:hAnsi="Times New Roman" w:eastAsia="宋体"/>
                      <w:color w:val="auto"/>
                      <w:sz w:val="21"/>
                      <w:szCs w:val="21"/>
                      <w:vertAlign w:val="baseline"/>
                      <w:lang w:val="en-US" w:eastAsia="zh-CN"/>
                    </w:rPr>
                    <w:t>，熔点</w:t>
                  </w:r>
                  <w:r>
                    <w:rPr>
                      <w:rFonts w:hint="default" w:ascii="Times New Roman" w:hAnsi="Times New Roman" w:eastAsia="宋体"/>
                      <w:color w:val="auto"/>
                      <w:sz w:val="21"/>
                      <w:szCs w:val="21"/>
                      <w:vertAlign w:val="baseline"/>
                      <w:lang w:val="en-US" w:eastAsia="zh-CN"/>
                    </w:rPr>
                    <w:t>46~48℃</w:t>
                  </w:r>
                  <w:r>
                    <w:rPr>
                      <w:rFonts w:hint="eastAsia" w:ascii="Times New Roman" w:hAnsi="Times New Roman" w:eastAsia="宋体"/>
                      <w:color w:val="auto"/>
                      <w:sz w:val="21"/>
                      <w:szCs w:val="21"/>
                      <w:vertAlign w:val="baseline"/>
                      <w:lang w:val="en-US" w:eastAsia="zh-CN"/>
                    </w:rPr>
                    <w:t>，本品为黄白色蜡状固体或胶状体。易溶于水或乙醇，有芳香味，味极苦。强力振摇时产生大量泡沫。具有典型阳离子表面活性剂的性质，水溶液搅拌时能产生大量泡沫。性质稳定，耐光，耐热，无挥发性，可长期存放。苯扎溴铵最常用的表面活性剂之一，具有洁净、杀菌消毒和灭藻作用，广泛用于杀菌、消毒、防腐、乳化、去垢、增溶等方面，是迄今工业循环水处理常用的非氧化性杀菌灭藻剂、黏泥剥离剂和清洗剂之一。</w:t>
                  </w:r>
                </w:p>
              </w:tc>
            </w:tr>
            <w:tr w14:paraId="20250B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tcBorders>
                    <w:tl2br w:val="nil"/>
                    <w:tr2bl w:val="nil"/>
                  </w:tcBorders>
                  <w:shd w:val="clear" w:color="auto" w:fill="auto"/>
                  <w:noWrap w:val="0"/>
                  <w:vAlign w:val="center"/>
                </w:tcPr>
                <w:p w14:paraId="3E5125E4">
                  <w:pPr>
                    <w:numPr>
                      <w:ilvl w:val="0"/>
                      <w:numId w:val="0"/>
                    </w:numPr>
                    <w:spacing w:before="53" w:line="240" w:lineRule="auto"/>
                    <w:ind w:left="0" w:leftChars="0"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b w:val="0"/>
                      <w:bCs w:val="0"/>
                      <w:color w:val="auto"/>
                      <w:spacing w:val="6"/>
                      <w:szCs w:val="21"/>
                      <w:highlight w:val="none"/>
                      <w:lang w:val="en-US" w:eastAsia="zh-CN"/>
                    </w:rPr>
                    <w:t>9</w:t>
                  </w:r>
                </w:p>
              </w:tc>
              <w:tc>
                <w:tcPr>
                  <w:tcW w:w="1067" w:type="dxa"/>
                  <w:tcBorders>
                    <w:tl2br w:val="nil"/>
                    <w:tr2bl w:val="nil"/>
                  </w:tcBorders>
                  <w:shd w:val="clear" w:color="auto" w:fill="auto"/>
                  <w:noWrap w:val="0"/>
                  <w:vAlign w:val="center"/>
                </w:tcPr>
                <w:p w14:paraId="086F77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vertAlign w:val="baseline"/>
                      <w:lang w:val="en-US" w:eastAsia="zh-CN"/>
                    </w:rPr>
                  </w:pPr>
                  <w:r>
                    <w:rPr>
                      <w:rFonts w:hint="eastAsia" w:ascii="Times New Roman" w:hAnsi="Times New Roman" w:eastAsia="宋体" w:cs="Times New Roman"/>
                      <w:sz w:val="21"/>
                      <w:szCs w:val="21"/>
                      <w:lang w:val="en-US" w:eastAsia="zh-CN"/>
                    </w:rPr>
                    <w:t>消泡液</w:t>
                  </w:r>
                </w:p>
              </w:tc>
              <w:tc>
                <w:tcPr>
                  <w:tcW w:w="6261" w:type="dxa"/>
                  <w:tcBorders>
                    <w:tl2br w:val="nil"/>
                    <w:tr2bl w:val="nil"/>
                  </w:tcBorders>
                  <w:shd w:val="clear" w:color="auto" w:fill="auto"/>
                  <w:noWrap w:val="0"/>
                  <w:vAlign w:val="center"/>
                </w:tcPr>
                <w:p w14:paraId="2AB406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核心成分是</w:t>
                  </w:r>
                  <w:r>
                    <w:rPr>
                      <w:rFonts w:hint="default" w:ascii="Times New Roman" w:hAnsi="Times New Roman" w:eastAsia="宋体"/>
                      <w:color w:val="auto"/>
                      <w:sz w:val="21"/>
                      <w:szCs w:val="21"/>
                      <w:vertAlign w:val="baseline"/>
                      <w:lang w:val="en-US" w:eastAsia="zh-CN"/>
                    </w:rPr>
                    <w:t>动植物油脂（如大豆油、菜籽油、棉籽油</w:t>
                  </w:r>
                  <w:r>
                    <w:rPr>
                      <w:rFonts w:hint="eastAsia"/>
                      <w:color w:val="auto"/>
                      <w:sz w:val="21"/>
                      <w:szCs w:val="21"/>
                      <w:vertAlign w:val="baseline"/>
                      <w:lang w:val="en-US" w:eastAsia="zh-CN"/>
                    </w:rPr>
                    <w:t>）</w:t>
                  </w:r>
                </w:p>
              </w:tc>
            </w:tr>
            <w:tr w14:paraId="022BE3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tcBorders>
                    <w:tl2br w:val="nil"/>
                    <w:tr2bl w:val="nil"/>
                  </w:tcBorders>
                  <w:shd w:val="clear" w:color="auto" w:fill="auto"/>
                  <w:noWrap w:val="0"/>
                  <w:vAlign w:val="center"/>
                </w:tcPr>
                <w:p w14:paraId="7AB3EFC9">
                  <w:pPr>
                    <w:numPr>
                      <w:ilvl w:val="0"/>
                      <w:numId w:val="0"/>
                    </w:numPr>
                    <w:spacing w:before="53" w:line="240" w:lineRule="auto"/>
                    <w:ind w:left="0" w:leftChars="0" w:firstLine="0" w:firstLineChars="0"/>
                    <w:jc w:val="center"/>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b w:val="0"/>
                      <w:bCs w:val="0"/>
                      <w:color w:val="auto"/>
                      <w:spacing w:val="6"/>
                      <w:szCs w:val="21"/>
                      <w:highlight w:val="none"/>
                      <w:lang w:val="en-US" w:eastAsia="zh-CN"/>
                    </w:rPr>
                    <w:t>10</w:t>
                  </w:r>
                </w:p>
              </w:tc>
              <w:tc>
                <w:tcPr>
                  <w:tcW w:w="1067" w:type="dxa"/>
                  <w:tcBorders>
                    <w:tl2br w:val="nil"/>
                    <w:tr2bl w:val="nil"/>
                  </w:tcBorders>
                  <w:shd w:val="clear" w:color="auto" w:fill="auto"/>
                  <w:noWrap w:val="0"/>
                  <w:vAlign w:val="center"/>
                </w:tcPr>
                <w:p w14:paraId="62F2E09A">
                  <w:pPr>
                    <w:spacing w:before="51" w:line="240" w:lineRule="auto"/>
                    <w:jc w:val="both"/>
                    <w:rPr>
                      <w:rFonts w:hint="eastAsia"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甘油</w:t>
                  </w:r>
                </w:p>
              </w:tc>
              <w:tc>
                <w:tcPr>
                  <w:tcW w:w="6261" w:type="dxa"/>
                  <w:tcBorders>
                    <w:tl2br w:val="nil"/>
                    <w:tr2bl w:val="nil"/>
                  </w:tcBorders>
                  <w:shd w:val="clear" w:color="auto" w:fill="auto"/>
                  <w:noWrap w:val="0"/>
                  <w:vAlign w:val="center"/>
                </w:tcPr>
                <w:p w14:paraId="4B982F7C">
                  <w:pPr>
                    <w:jc w:val="left"/>
                    <w:rPr>
                      <w:rFonts w:hint="eastAsia" w:ascii="Times New Roman" w:hAnsi="Times New Roman" w:eastAsia="宋体" w:cs="Times New Roman"/>
                      <w:color w:val="auto"/>
                      <w:kern w:val="2"/>
                      <w:sz w:val="21"/>
                      <w:szCs w:val="21"/>
                      <w:shd w:val="clear" w:color="auto" w:fill="FFFFFF"/>
                      <w:lang w:val="en-US" w:eastAsia="zh-CN" w:bidi="ar-SA"/>
                    </w:rPr>
                  </w:pPr>
                  <w:r>
                    <w:rPr>
                      <w:color w:val="auto"/>
                      <w:szCs w:val="21"/>
                      <w:shd w:val="clear" w:color="auto" w:fill="FFFFFF"/>
                    </w:rPr>
                    <w:t>无色透明的粘稠液体，化学式为C₃H₈O₃，沸点为290°C，熔点为17.8°C，密度为1.26g/cm³。它能与水、乙醇混溶，广泛用作保湿剂和溶剂。</w:t>
                  </w:r>
                </w:p>
              </w:tc>
            </w:tr>
            <w:tr w14:paraId="3798C2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tcBorders>
                    <w:tl2br w:val="nil"/>
                    <w:tr2bl w:val="nil"/>
                  </w:tcBorders>
                  <w:shd w:val="clear" w:color="auto" w:fill="auto"/>
                  <w:noWrap w:val="0"/>
                  <w:vAlign w:val="center"/>
                </w:tcPr>
                <w:p w14:paraId="78F173D8">
                  <w:pPr>
                    <w:numPr>
                      <w:ilvl w:val="0"/>
                      <w:numId w:val="0"/>
                    </w:numPr>
                    <w:spacing w:before="53" w:line="240" w:lineRule="auto"/>
                    <w:ind w:left="0" w:leftChars="0" w:firstLine="0" w:firstLineChars="0"/>
                    <w:jc w:val="center"/>
                    <w:rPr>
                      <w:rFonts w:hint="eastAsia" w:ascii="Times New Roman" w:hAnsi="Times New Roman" w:eastAsia="宋体" w:cs="Times New Roman"/>
                      <w:b w:val="0"/>
                      <w:bCs w:val="0"/>
                      <w:color w:val="auto"/>
                      <w:spacing w:val="6"/>
                      <w:kern w:val="2"/>
                      <w:sz w:val="21"/>
                      <w:szCs w:val="21"/>
                      <w:highlight w:val="none"/>
                      <w:lang w:val="en-US" w:eastAsia="zh-CN" w:bidi="ar-SA"/>
                    </w:rPr>
                  </w:pPr>
                  <w:r>
                    <w:rPr>
                      <w:rFonts w:hint="eastAsia"/>
                      <w:b w:val="0"/>
                      <w:bCs w:val="0"/>
                      <w:color w:val="auto"/>
                      <w:spacing w:val="6"/>
                      <w:szCs w:val="21"/>
                      <w:highlight w:val="none"/>
                      <w:lang w:val="en-US" w:eastAsia="zh-CN"/>
                    </w:rPr>
                    <w:t>11</w:t>
                  </w:r>
                </w:p>
              </w:tc>
              <w:tc>
                <w:tcPr>
                  <w:tcW w:w="1067" w:type="dxa"/>
                  <w:tcBorders>
                    <w:tl2br w:val="nil"/>
                    <w:tr2bl w:val="nil"/>
                  </w:tcBorders>
                  <w:shd w:val="clear" w:color="auto" w:fill="auto"/>
                  <w:noWrap w:val="0"/>
                  <w:vAlign w:val="center"/>
                </w:tcPr>
                <w:p w14:paraId="444964B7">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磷酸</w:t>
                  </w:r>
                </w:p>
              </w:tc>
              <w:tc>
                <w:tcPr>
                  <w:tcW w:w="6261" w:type="dxa"/>
                  <w:tcBorders>
                    <w:tl2br w:val="nil"/>
                    <w:tr2bl w:val="nil"/>
                  </w:tcBorders>
                  <w:shd w:val="clear" w:color="auto" w:fill="auto"/>
                  <w:noWrap w:val="0"/>
                  <w:vAlign w:val="center"/>
                </w:tcPr>
                <w:p w14:paraId="28F968D9">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一种常见的</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"https://baike.so.com/doc/6275961-6489395.html"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无机酸</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，是</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"https://baike.so.com/doc/7777042-8051137.html"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中强酸</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。由十氧化四磷溶于热水中即可得到。正磷酸工业上用硫酸处理</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"https://baike.so.com/doc/3962310-4157854.html"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磷灰石</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即得。磷酸在空气中容易</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"https://baike.so.com/doc/5791570-6004362.html"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潮解</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。加热会失水得到</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"https://baike.so.com/doc/5575148-7117205.html"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焦磷酸</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，再进一步失水得到</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"https://baike.so.com/doc/6677317-7116822.html"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偏磷酸</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w:t>
                  </w:r>
                </w:p>
              </w:tc>
            </w:tr>
            <w:tr w14:paraId="5368E3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tcBorders>
                    <w:tl2br w:val="nil"/>
                    <w:tr2bl w:val="nil"/>
                  </w:tcBorders>
                  <w:shd w:val="clear" w:color="auto" w:fill="auto"/>
                  <w:noWrap w:val="0"/>
                  <w:vAlign w:val="center"/>
                </w:tcPr>
                <w:p w14:paraId="02D72D33">
                  <w:pPr>
                    <w:numPr>
                      <w:ilvl w:val="0"/>
                      <w:numId w:val="0"/>
                    </w:numPr>
                    <w:spacing w:before="53" w:line="240" w:lineRule="auto"/>
                    <w:ind w:left="0" w:leftChars="0" w:firstLine="0" w:firstLineChars="0"/>
                    <w:jc w:val="center"/>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b w:val="0"/>
                      <w:bCs w:val="0"/>
                      <w:color w:val="auto"/>
                      <w:spacing w:val="6"/>
                      <w:szCs w:val="21"/>
                      <w:highlight w:val="none"/>
                      <w:lang w:val="en-US" w:eastAsia="zh-CN"/>
                    </w:rPr>
                    <w:t>12</w:t>
                  </w:r>
                </w:p>
              </w:tc>
              <w:tc>
                <w:tcPr>
                  <w:tcW w:w="1067" w:type="dxa"/>
                  <w:tcBorders>
                    <w:tl2br w:val="nil"/>
                    <w:tr2bl w:val="nil"/>
                  </w:tcBorders>
                  <w:shd w:val="clear" w:color="auto" w:fill="auto"/>
                  <w:noWrap w:val="0"/>
                  <w:vAlign w:val="center"/>
                </w:tcPr>
                <w:p w14:paraId="18E16A16">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磷酸氢二钠</w:t>
                  </w:r>
                </w:p>
              </w:tc>
              <w:tc>
                <w:tcPr>
                  <w:tcW w:w="6261" w:type="dxa"/>
                  <w:tcBorders>
                    <w:tl2br w:val="nil"/>
                    <w:tr2bl w:val="nil"/>
                  </w:tcBorders>
                  <w:shd w:val="clear" w:color="auto" w:fill="auto"/>
                  <w:noWrap w:val="0"/>
                  <w:vAlign w:val="center"/>
                </w:tcPr>
                <w:p w14:paraId="077E2C33">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外观</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无色透明单斜晶系棱形晶体</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熔点/凝固点(°C)</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34.6</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溶解性</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溶于水，不溶于乙醇</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相对密度(水=1)</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1.5</w:t>
                  </w:r>
                </w:p>
              </w:tc>
            </w:tr>
            <w:tr w14:paraId="5AA36B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tcBorders>
                    <w:tl2br w:val="nil"/>
                    <w:tr2bl w:val="nil"/>
                  </w:tcBorders>
                  <w:shd w:val="clear" w:color="auto" w:fill="auto"/>
                  <w:noWrap w:val="0"/>
                  <w:vAlign w:val="center"/>
                </w:tcPr>
                <w:p w14:paraId="131D26AD">
                  <w:pPr>
                    <w:numPr>
                      <w:ilvl w:val="0"/>
                      <w:numId w:val="0"/>
                    </w:numPr>
                    <w:spacing w:before="53" w:line="240" w:lineRule="auto"/>
                    <w:ind w:left="0" w:leftChars="0" w:firstLine="0" w:firstLineChars="0"/>
                    <w:jc w:val="center"/>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eastAsia"/>
                      <w:b w:val="0"/>
                      <w:bCs w:val="0"/>
                      <w:color w:val="auto"/>
                      <w:spacing w:val="6"/>
                      <w:szCs w:val="21"/>
                      <w:highlight w:val="none"/>
                      <w:lang w:val="en-US" w:eastAsia="zh-CN"/>
                    </w:rPr>
                    <w:t>13</w:t>
                  </w:r>
                </w:p>
              </w:tc>
              <w:tc>
                <w:tcPr>
                  <w:tcW w:w="1067" w:type="dxa"/>
                  <w:tcBorders>
                    <w:tl2br w:val="nil"/>
                    <w:tr2bl w:val="nil"/>
                  </w:tcBorders>
                  <w:shd w:val="clear" w:color="auto" w:fill="auto"/>
                  <w:noWrap w:val="0"/>
                  <w:vAlign w:val="center"/>
                </w:tcPr>
                <w:p w14:paraId="6F6B3A35">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磷酸二氢钠</w:t>
                  </w:r>
                </w:p>
              </w:tc>
              <w:tc>
                <w:tcPr>
                  <w:tcW w:w="6261" w:type="dxa"/>
                  <w:tcBorders>
                    <w:tl2br w:val="nil"/>
                    <w:tr2bl w:val="nil"/>
                  </w:tcBorders>
                  <w:shd w:val="clear" w:color="auto" w:fill="auto"/>
                  <w:noWrap w:val="0"/>
                  <w:vAlign w:val="center"/>
                </w:tcPr>
                <w:p w14:paraId="7E1D163F">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外观与性状</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白色结品粉木或颗粒、无味、微吸湿</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用于制革、处理锅炉水等</w:t>
                  </w:r>
                  <w:r>
                    <w:rPr>
                      <w:rFonts w:hint="eastAsia" w:ascii="Times New Roman" w:hAnsi="Times New Roman" w:eastAsia="宋体" w:cs="Times New Roman"/>
                      <w:color w:val="auto"/>
                      <w:szCs w:val="21"/>
                      <w:highlight w:val="none"/>
                      <w:shd w:val="clear" w:color="auto" w:fill="FFFFFF"/>
                      <w:lang w:val="en-US" w:eastAsia="zh-CN"/>
                    </w:rPr>
                    <w:t>；熔点：</w:t>
                  </w:r>
                  <w:r>
                    <w:rPr>
                      <w:rFonts w:hint="default" w:ascii="Times New Roman" w:hAnsi="Times New Roman" w:eastAsia="宋体" w:cs="Times New Roman"/>
                      <w:color w:val="auto"/>
                      <w:szCs w:val="21"/>
                      <w:highlight w:val="none"/>
                      <w:shd w:val="clear" w:color="auto" w:fill="FFFFFF"/>
                      <w:lang w:val="en-US" w:eastAsia="zh-CN"/>
                    </w:rPr>
                    <w:t>100(H</w:t>
                  </w:r>
                  <w:r>
                    <w:rPr>
                      <w:rFonts w:hint="eastAsia" w:ascii="Times New Roman" w:hAnsi="Times New Roman" w:eastAsia="宋体" w:cs="Times New Roman"/>
                      <w:color w:val="auto"/>
                      <w:szCs w:val="21"/>
                      <w:highlight w:val="none"/>
                      <w:shd w:val="clear" w:color="auto" w:fill="FFFFFF"/>
                      <w:lang w:val="en-US" w:eastAsia="zh-CN"/>
                    </w:rPr>
                    <w:t>2O</w:t>
                  </w:r>
                  <w:r>
                    <w:rPr>
                      <w:rFonts w:hint="default" w:ascii="Times New Roman" w:hAnsi="Times New Roman" w:eastAsia="宋体" w:cs="Times New Roman"/>
                      <w:color w:val="auto"/>
                      <w:szCs w:val="21"/>
                      <w:highlight w:val="none"/>
                      <w:shd w:val="clear" w:color="auto" w:fill="FFFFFF"/>
                      <w:lang w:val="en-US" w:eastAsia="zh-CN"/>
                    </w:rPr>
                    <w:t>)</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相对密度(水=1)</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2.040</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溶于水，不溶于醇。急性毒性</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LD50</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8290mg/kg(大鼠经口)</w:t>
                  </w:r>
                  <w:r>
                    <w:rPr>
                      <w:rFonts w:hint="eastAsia" w:ascii="Times New Roman" w:hAnsi="Times New Roman" w:eastAsia="宋体" w:cs="Times New Roman"/>
                      <w:color w:val="auto"/>
                      <w:szCs w:val="21"/>
                      <w:highlight w:val="none"/>
                      <w:shd w:val="clear" w:color="auto" w:fill="FFFFFF"/>
                      <w:lang w:val="en-US" w:eastAsia="zh-CN"/>
                    </w:rPr>
                    <w:t>。</w:t>
                  </w:r>
                </w:p>
              </w:tc>
            </w:tr>
            <w:tr w14:paraId="3EF239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tcBorders>
                    <w:tl2br w:val="nil"/>
                    <w:tr2bl w:val="nil"/>
                  </w:tcBorders>
                  <w:noWrap w:val="0"/>
                  <w:vAlign w:val="center"/>
                </w:tcPr>
                <w:p w14:paraId="43CE75F1">
                  <w:pPr>
                    <w:numPr>
                      <w:ilvl w:val="0"/>
                      <w:numId w:val="0"/>
                    </w:numPr>
                    <w:spacing w:before="53" w:line="240" w:lineRule="auto"/>
                    <w:ind w:leftChars="0"/>
                    <w:jc w:val="center"/>
                    <w:rPr>
                      <w:rFonts w:hint="default" w:eastAsia="宋体"/>
                      <w:b w:val="0"/>
                      <w:bCs w:val="0"/>
                      <w:color w:val="auto"/>
                      <w:spacing w:val="6"/>
                      <w:szCs w:val="21"/>
                      <w:highlight w:val="none"/>
                      <w:lang w:val="en-US" w:eastAsia="zh-CN"/>
                    </w:rPr>
                  </w:pPr>
                  <w:r>
                    <w:rPr>
                      <w:rFonts w:hint="eastAsia"/>
                      <w:b w:val="0"/>
                      <w:bCs w:val="0"/>
                      <w:color w:val="auto"/>
                      <w:spacing w:val="6"/>
                      <w:szCs w:val="21"/>
                      <w:highlight w:val="none"/>
                      <w:lang w:val="en-US" w:eastAsia="zh-CN"/>
                    </w:rPr>
                    <w:t>14</w:t>
                  </w:r>
                </w:p>
              </w:tc>
              <w:tc>
                <w:tcPr>
                  <w:tcW w:w="1067" w:type="dxa"/>
                  <w:tcBorders>
                    <w:tl2br w:val="nil"/>
                    <w:tr2bl w:val="nil"/>
                  </w:tcBorders>
                  <w:shd w:val="clear" w:color="auto" w:fill="auto"/>
                  <w:noWrap w:val="0"/>
                  <w:vAlign w:val="center"/>
                </w:tcPr>
                <w:p w14:paraId="47EB8705">
                  <w:pPr>
                    <w:spacing w:before="51" w:line="240" w:lineRule="auto"/>
                    <w:jc w:val="both"/>
                    <w:rPr>
                      <w:rFonts w:hint="eastAsia"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磷酸二氢钾</w:t>
                  </w:r>
                </w:p>
              </w:tc>
              <w:tc>
                <w:tcPr>
                  <w:tcW w:w="6261" w:type="dxa"/>
                  <w:tcBorders>
                    <w:tl2br w:val="nil"/>
                    <w:tr2bl w:val="nil"/>
                  </w:tcBorders>
                  <w:shd w:val="clear" w:color="auto" w:fill="auto"/>
                  <w:noWrap w:val="0"/>
                  <w:vAlign w:val="center"/>
                </w:tcPr>
                <w:p w14:paraId="685299CF">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无色四方晶体或白色结晶性粉末。</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"https://baike.so.com/doc/2751462-2903816.html"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相对密度</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2.338</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熔点252.6℃。溶于水（90℃时为83.5g/100ml水），水溶液呈酸性，1%磷酸二氢钾溶液的pH值为4.6。不溶于醇。有</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"https://baike.so.com/doc/2628817-2775779.html"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潮解性</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。加热至400℃时熔化而成透明的液体，冷却后固化为不透明的玻璃状</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"https://baike.so.com/doc/6851649-7069079.html"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偏磷酸钾</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w:t>
                  </w:r>
                </w:p>
              </w:tc>
            </w:tr>
            <w:tr w14:paraId="43E373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tcBorders>
                    <w:tl2br w:val="nil"/>
                    <w:tr2bl w:val="nil"/>
                  </w:tcBorders>
                  <w:noWrap w:val="0"/>
                  <w:vAlign w:val="center"/>
                </w:tcPr>
                <w:p w14:paraId="427A8B68">
                  <w:pPr>
                    <w:numPr>
                      <w:ilvl w:val="0"/>
                      <w:numId w:val="0"/>
                    </w:numPr>
                    <w:spacing w:before="53" w:line="240" w:lineRule="auto"/>
                    <w:ind w:leftChars="0"/>
                    <w:jc w:val="center"/>
                    <w:rPr>
                      <w:rFonts w:hint="default" w:eastAsia="宋体"/>
                      <w:b w:val="0"/>
                      <w:bCs w:val="0"/>
                      <w:color w:val="auto"/>
                      <w:spacing w:val="6"/>
                      <w:szCs w:val="21"/>
                      <w:highlight w:val="none"/>
                      <w:lang w:val="en-US" w:eastAsia="zh-CN"/>
                    </w:rPr>
                  </w:pPr>
                  <w:r>
                    <w:rPr>
                      <w:rFonts w:hint="eastAsia"/>
                      <w:b w:val="0"/>
                      <w:bCs w:val="0"/>
                      <w:color w:val="auto"/>
                      <w:spacing w:val="6"/>
                      <w:szCs w:val="21"/>
                      <w:highlight w:val="none"/>
                      <w:lang w:val="en-US" w:eastAsia="zh-CN"/>
                    </w:rPr>
                    <w:t>15</w:t>
                  </w:r>
                </w:p>
              </w:tc>
              <w:tc>
                <w:tcPr>
                  <w:tcW w:w="1067" w:type="dxa"/>
                  <w:tcBorders>
                    <w:tl2br w:val="nil"/>
                    <w:tr2bl w:val="nil"/>
                  </w:tcBorders>
                  <w:shd w:val="clear" w:color="auto" w:fill="auto"/>
                  <w:noWrap w:val="0"/>
                  <w:vAlign w:val="center"/>
                </w:tcPr>
                <w:p w14:paraId="2DD9B8EA">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营养琼脂</w:t>
                  </w:r>
                </w:p>
              </w:tc>
              <w:tc>
                <w:tcPr>
                  <w:tcW w:w="6261" w:type="dxa"/>
                  <w:tcBorders>
                    <w:tl2br w:val="nil"/>
                    <w:tr2bl w:val="nil"/>
                  </w:tcBorders>
                  <w:shd w:val="clear" w:color="auto" w:fill="auto"/>
                  <w:noWrap w:val="0"/>
                  <w:vAlign w:val="center"/>
                </w:tcPr>
                <w:p w14:paraId="527D777A">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将牛肉膏、蛋白胨，氯化钠溶解于蒸馏水内，加热，并加入琼脂，琼脂熔化后，加入5%氢氧化钠溶液或5%稀盐酸，校正pH至7.2～7.4。分装烧瓶，121℃高压灭菌30min。</w:t>
                  </w:r>
                </w:p>
              </w:tc>
            </w:tr>
          </w:tbl>
          <w:p w14:paraId="4C5E8EAA">
            <w:pPr>
              <w:numPr>
                <w:ilvl w:val="0"/>
                <w:numId w:val="12"/>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水平衡分析</w:t>
            </w:r>
          </w:p>
          <w:p w14:paraId="3EF58712">
            <w:pPr>
              <w:numPr>
                <w:ilvl w:val="0"/>
                <w:numId w:val="0"/>
              </w:numPr>
              <w:adjustRightIn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1、给水</w:t>
            </w:r>
          </w:p>
          <w:p w14:paraId="240BCE2D">
            <w:p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本项目用水为生活用水、研发生产用水</w:t>
            </w:r>
            <w:r>
              <w:rPr>
                <w:color w:val="auto"/>
                <w:sz w:val="24"/>
                <w:highlight w:val="none"/>
              </w:rPr>
              <w:t>。</w:t>
            </w:r>
          </w:p>
          <w:p w14:paraId="552B7BF5">
            <w:pPr>
              <w:adjustRightInd w:val="0"/>
              <w:snapToGrid w:val="0"/>
              <w:spacing w:line="360" w:lineRule="auto"/>
              <w:ind w:firstLine="480" w:firstLineChars="200"/>
              <w:rPr>
                <w:rFonts w:eastAsia="宋体"/>
                <w:bCs/>
                <w:color w:val="auto"/>
                <w:sz w:val="24"/>
                <w:highlight w:val="none"/>
              </w:rPr>
            </w:pPr>
            <w:r>
              <w:rPr>
                <w:rFonts w:hint="eastAsia"/>
                <w:bCs/>
                <w:color w:val="auto"/>
                <w:sz w:val="24"/>
                <w:highlight w:val="none"/>
                <w:lang w:val="en-US" w:eastAsia="zh-CN"/>
              </w:rPr>
              <w:t>本</w:t>
            </w:r>
            <w:r>
              <w:rPr>
                <w:rFonts w:hint="eastAsia" w:eastAsia="宋体"/>
                <w:bCs/>
                <w:color w:val="auto"/>
                <w:sz w:val="24"/>
                <w:highlight w:val="none"/>
                <w:lang w:val="en-US" w:eastAsia="zh-CN"/>
              </w:rPr>
              <w:t>项目员工</w:t>
            </w:r>
            <w:r>
              <w:rPr>
                <w:rFonts w:hint="eastAsia"/>
                <w:bCs/>
                <w:color w:val="auto"/>
                <w:sz w:val="24"/>
                <w:highlight w:val="none"/>
                <w:lang w:val="en-US" w:eastAsia="zh-CN"/>
              </w:rPr>
              <w:t>10</w:t>
            </w:r>
            <w:r>
              <w:rPr>
                <w:rFonts w:hint="eastAsia" w:eastAsia="宋体"/>
                <w:bCs/>
                <w:color w:val="auto"/>
                <w:sz w:val="24"/>
                <w:highlight w:val="none"/>
                <w:lang w:val="en-US" w:eastAsia="zh-CN"/>
              </w:rPr>
              <w:t>人，根据《建筑给水排水设计标准》（</w:t>
            </w:r>
            <w:r>
              <w:rPr>
                <w:rFonts w:hint="default" w:eastAsia="宋体"/>
                <w:bCs/>
                <w:color w:val="auto"/>
                <w:sz w:val="24"/>
                <w:highlight w:val="none"/>
                <w:lang w:val="en-US" w:eastAsia="zh-CN"/>
              </w:rPr>
              <w:t>GB50015-2019</w:t>
            </w:r>
            <w:r>
              <w:rPr>
                <w:rFonts w:hint="eastAsia" w:eastAsia="宋体"/>
                <w:bCs/>
                <w:color w:val="auto"/>
                <w:sz w:val="24"/>
                <w:highlight w:val="none"/>
                <w:lang w:val="en-US" w:eastAsia="zh-CN"/>
              </w:rPr>
              <w:t>）规定，人均生活用水定额按</w:t>
            </w:r>
            <w:r>
              <w:rPr>
                <w:rFonts w:hint="default" w:eastAsia="宋体"/>
                <w:bCs/>
                <w:color w:val="auto"/>
                <w:sz w:val="24"/>
                <w:highlight w:val="none"/>
                <w:lang w:val="en-US" w:eastAsia="zh-CN"/>
              </w:rPr>
              <w:t>50L/</w:t>
            </w:r>
            <w:r>
              <w:rPr>
                <w:rFonts w:hint="eastAsia" w:eastAsia="宋体"/>
                <w:bCs/>
                <w:color w:val="auto"/>
                <w:sz w:val="24"/>
                <w:highlight w:val="none"/>
                <w:lang w:val="en-US" w:eastAsia="zh-CN"/>
              </w:rPr>
              <w:t>人</w:t>
            </w:r>
            <w:r>
              <w:rPr>
                <w:rFonts w:hint="default" w:eastAsia="宋体"/>
                <w:bCs/>
                <w:color w:val="auto"/>
                <w:sz w:val="24"/>
                <w:highlight w:val="none"/>
                <w:lang w:val="en-US" w:eastAsia="zh-CN"/>
              </w:rPr>
              <w:t>·d</w:t>
            </w:r>
            <w:r>
              <w:rPr>
                <w:rFonts w:hint="eastAsia" w:eastAsia="宋体"/>
                <w:bCs/>
                <w:color w:val="auto"/>
                <w:sz w:val="24"/>
                <w:highlight w:val="none"/>
                <w:lang w:val="en-US" w:eastAsia="zh-CN"/>
              </w:rPr>
              <w:t>计，</w:t>
            </w:r>
            <w:r>
              <w:rPr>
                <w:rFonts w:hint="eastAsia"/>
                <w:bCs/>
                <w:color w:val="auto"/>
                <w:sz w:val="24"/>
                <w:highlight w:val="none"/>
                <w:lang w:val="en-US" w:eastAsia="zh-CN"/>
              </w:rPr>
              <w:t>项目年工作250d，</w:t>
            </w:r>
            <w:r>
              <w:rPr>
                <w:rFonts w:hint="eastAsia" w:eastAsia="宋体"/>
                <w:bCs/>
                <w:color w:val="auto"/>
                <w:sz w:val="24"/>
                <w:highlight w:val="none"/>
                <w:lang w:val="en-US" w:eastAsia="zh-CN"/>
              </w:rPr>
              <w:t>则生活用水量为</w:t>
            </w:r>
            <w:r>
              <w:rPr>
                <w:rFonts w:hint="eastAsia"/>
                <w:bCs/>
                <w:color w:val="auto"/>
                <w:sz w:val="24"/>
                <w:highlight w:val="none"/>
                <w:lang w:val="en-US" w:eastAsia="zh-CN"/>
              </w:rPr>
              <w:t>125m</w:t>
            </w:r>
            <w:r>
              <w:rPr>
                <w:rFonts w:hint="eastAsia"/>
                <w:bCs/>
                <w:color w:val="auto"/>
                <w:sz w:val="24"/>
                <w:highlight w:val="none"/>
                <w:vertAlign w:val="superscript"/>
                <w:lang w:val="en-US" w:eastAsia="zh-CN"/>
              </w:rPr>
              <w:t>3</w:t>
            </w:r>
            <w:r>
              <w:rPr>
                <w:rFonts w:hint="default" w:eastAsia="宋体"/>
                <w:bCs/>
                <w:color w:val="auto"/>
                <w:sz w:val="24"/>
                <w:highlight w:val="none"/>
                <w:lang w:val="en-US" w:eastAsia="zh-CN"/>
              </w:rPr>
              <w:t>/a</w:t>
            </w:r>
            <w:r>
              <w:rPr>
                <w:rFonts w:hint="eastAsia" w:eastAsia="宋体"/>
                <w:bCs/>
                <w:color w:val="auto"/>
                <w:sz w:val="24"/>
                <w:highlight w:val="none"/>
                <w:lang w:val="en-US" w:eastAsia="zh-CN"/>
              </w:rPr>
              <w:t>。</w:t>
            </w:r>
          </w:p>
          <w:p w14:paraId="3248315F">
            <w:pPr>
              <w:adjustRightInd w:val="0"/>
              <w:snapToGrid w:val="0"/>
              <w:spacing w:line="360" w:lineRule="auto"/>
              <w:ind w:firstLine="480" w:firstLineChars="200"/>
              <w:rPr>
                <w:rFonts w:hint="eastAsia"/>
                <w:bCs/>
                <w:color w:val="auto"/>
                <w:sz w:val="24"/>
                <w:highlight w:val="none"/>
                <w:lang w:val="en-US" w:eastAsia="zh-CN"/>
              </w:rPr>
            </w:pPr>
            <w:r>
              <w:rPr>
                <w:rFonts w:hint="eastAsia"/>
                <w:bCs/>
                <w:color w:val="auto"/>
                <w:sz w:val="24"/>
                <w:highlight w:val="none"/>
                <w:lang w:val="en-US" w:eastAsia="zh-CN"/>
              </w:rPr>
              <w:t>本</w:t>
            </w:r>
            <w:r>
              <w:rPr>
                <w:bCs/>
                <w:color w:val="auto"/>
                <w:sz w:val="24"/>
                <w:highlight w:val="none"/>
              </w:rPr>
              <w:t>项目</w:t>
            </w:r>
            <w:r>
              <w:rPr>
                <w:rFonts w:hint="eastAsia"/>
                <w:color w:val="auto"/>
                <w:sz w:val="24"/>
                <w:highlight w:val="none"/>
                <w:lang w:val="en-US" w:eastAsia="zh-CN"/>
              </w:rPr>
              <w:t>研发生产</w:t>
            </w:r>
            <w:r>
              <w:rPr>
                <w:color w:val="auto"/>
                <w:sz w:val="24"/>
                <w:highlight w:val="none"/>
              </w:rPr>
              <w:t>用水</w:t>
            </w:r>
            <w:r>
              <w:rPr>
                <w:rFonts w:hint="eastAsia"/>
                <w:color w:val="auto"/>
                <w:sz w:val="24"/>
                <w:highlight w:val="none"/>
                <w:lang w:val="en-US" w:eastAsia="zh-CN"/>
              </w:rPr>
              <w:t>包括</w:t>
            </w:r>
            <w:r>
              <w:rPr>
                <w:bCs/>
                <w:color w:val="auto"/>
                <w:sz w:val="24"/>
                <w:highlight w:val="none"/>
              </w:rPr>
              <w:t>容器清洗</w:t>
            </w:r>
            <w:r>
              <w:rPr>
                <w:rFonts w:hint="eastAsia"/>
                <w:bCs/>
                <w:color w:val="auto"/>
                <w:sz w:val="24"/>
                <w:highlight w:val="none"/>
                <w:lang w:val="en-US" w:eastAsia="zh-CN"/>
              </w:rPr>
              <w:t>用水、研发生产</w:t>
            </w:r>
            <w:r>
              <w:rPr>
                <w:rFonts w:hint="eastAsia"/>
                <w:bCs/>
                <w:color w:val="auto"/>
                <w:sz w:val="24"/>
                <w:highlight w:val="none"/>
              </w:rPr>
              <w:t>过程</w:t>
            </w:r>
            <w:r>
              <w:rPr>
                <w:bCs/>
                <w:color w:val="auto"/>
                <w:sz w:val="24"/>
                <w:highlight w:val="none"/>
              </w:rPr>
              <w:t>试剂配</w:t>
            </w:r>
            <w:r>
              <w:rPr>
                <w:rFonts w:hint="eastAsia"/>
                <w:bCs/>
                <w:color w:val="auto"/>
                <w:sz w:val="24"/>
                <w:highlight w:val="none"/>
                <w:lang w:val="en-US" w:eastAsia="zh-CN"/>
              </w:rPr>
              <w:t>制</w:t>
            </w:r>
            <w:r>
              <w:rPr>
                <w:bCs/>
                <w:color w:val="auto"/>
                <w:sz w:val="24"/>
                <w:highlight w:val="none"/>
              </w:rPr>
              <w:t>用水</w:t>
            </w:r>
            <w:r>
              <w:rPr>
                <w:rFonts w:hint="eastAsia"/>
                <w:bCs/>
                <w:color w:val="auto"/>
                <w:sz w:val="24"/>
                <w:highlight w:val="none"/>
                <w:lang w:eastAsia="zh-CN"/>
              </w:rPr>
              <w:t>、</w:t>
            </w:r>
            <w:r>
              <w:rPr>
                <w:rFonts w:hint="eastAsia"/>
                <w:bCs/>
                <w:color w:val="auto"/>
                <w:sz w:val="24"/>
                <w:highlight w:val="none"/>
                <w:lang w:val="en-US" w:eastAsia="zh-CN"/>
              </w:rPr>
              <w:t>高压蒸汽灭菌用水、培养液配制用水</w:t>
            </w:r>
            <w:r>
              <w:rPr>
                <w:rFonts w:hint="eastAsia"/>
                <w:bCs/>
                <w:color w:val="auto"/>
                <w:sz w:val="24"/>
                <w:highlight w:val="none"/>
                <w:lang w:eastAsia="zh-CN"/>
              </w:rPr>
              <w:t>。</w:t>
            </w:r>
            <w:r>
              <w:rPr>
                <w:rFonts w:hint="eastAsia"/>
                <w:bCs/>
                <w:color w:val="auto"/>
                <w:sz w:val="24"/>
                <w:highlight w:val="none"/>
              </w:rPr>
              <w:t>容器</w:t>
            </w:r>
            <w:r>
              <w:rPr>
                <w:rFonts w:hint="eastAsia"/>
                <w:bCs/>
                <w:color w:val="auto"/>
                <w:sz w:val="24"/>
                <w:highlight w:val="none"/>
                <w:lang w:val="en-US" w:eastAsia="zh-CN"/>
              </w:rPr>
              <w:t>清洗</w:t>
            </w:r>
            <w:r>
              <w:rPr>
                <w:bCs/>
                <w:color w:val="auto"/>
                <w:sz w:val="24"/>
                <w:highlight w:val="none"/>
              </w:rPr>
              <w:t>用水</w:t>
            </w:r>
            <w:r>
              <w:rPr>
                <w:rFonts w:hint="eastAsia"/>
                <w:bCs/>
                <w:color w:val="auto"/>
                <w:sz w:val="24"/>
                <w:highlight w:val="none"/>
                <w:lang w:val="en-US" w:eastAsia="zh-CN"/>
              </w:rPr>
              <w:t>2.0m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eastAsia="宋体"/>
                <w:bCs/>
                <w:color w:val="auto"/>
                <w:sz w:val="24"/>
                <w:highlight w:val="none"/>
                <w:lang w:val="en-US" w:eastAsia="zh-CN"/>
              </w:rPr>
              <w:t>前两</w:t>
            </w:r>
            <w:r>
              <w:rPr>
                <w:rFonts w:hint="eastAsia"/>
                <w:bCs/>
                <w:color w:val="auto"/>
                <w:sz w:val="24"/>
                <w:highlight w:val="none"/>
                <w:lang w:val="en-US" w:eastAsia="zh-CN"/>
              </w:rPr>
              <w:t>遍</w:t>
            </w:r>
            <w:r>
              <w:rPr>
                <w:rFonts w:hint="eastAsia" w:eastAsia="宋体"/>
                <w:bCs/>
                <w:color w:val="auto"/>
                <w:sz w:val="24"/>
                <w:highlight w:val="none"/>
                <w:lang w:val="en-US" w:eastAsia="zh-CN"/>
              </w:rPr>
              <w:t>清洗</w:t>
            </w:r>
            <w:r>
              <w:rPr>
                <w:rFonts w:hint="eastAsia"/>
                <w:bCs/>
                <w:color w:val="auto"/>
                <w:sz w:val="24"/>
                <w:highlight w:val="none"/>
                <w:lang w:val="en-US" w:eastAsia="zh-CN"/>
              </w:rPr>
              <w:t>用水、第三遍及以后</w:t>
            </w:r>
            <w:r>
              <w:rPr>
                <w:rFonts w:hint="eastAsia"/>
                <w:bCs/>
                <w:color w:val="auto"/>
                <w:sz w:val="24"/>
                <w:highlight w:val="none"/>
              </w:rPr>
              <w:t>清洗</w:t>
            </w:r>
            <w:r>
              <w:rPr>
                <w:rFonts w:hint="eastAsia"/>
                <w:bCs/>
                <w:color w:val="auto"/>
                <w:sz w:val="24"/>
                <w:highlight w:val="none"/>
                <w:lang w:val="en-US" w:eastAsia="zh-CN"/>
              </w:rPr>
              <w:t>用</w:t>
            </w:r>
            <w:r>
              <w:rPr>
                <w:rFonts w:hint="eastAsia"/>
                <w:bCs/>
                <w:color w:val="auto"/>
                <w:sz w:val="24"/>
                <w:highlight w:val="none"/>
              </w:rPr>
              <w:t>水</w:t>
            </w:r>
            <w:r>
              <w:rPr>
                <w:rFonts w:hint="eastAsia"/>
                <w:bCs/>
                <w:color w:val="auto"/>
                <w:sz w:val="24"/>
                <w:highlight w:val="none"/>
                <w:lang w:val="en-US" w:eastAsia="zh-CN"/>
              </w:rPr>
              <w:t>各1.0</w:t>
            </w:r>
            <w:r>
              <w:rPr>
                <w:rFonts w:hint="eastAsia" w:eastAsia="宋体"/>
                <w:bCs/>
                <w:color w:val="auto"/>
                <w:sz w:val="24"/>
                <w:highlight w:val="none"/>
                <w:lang w:val="en-US" w:eastAsia="zh-CN"/>
              </w:rPr>
              <w:t>m</w:t>
            </w:r>
            <w:r>
              <w:rPr>
                <w:rFonts w:hint="eastAsia" w:eastAsia="宋体"/>
                <w:bCs/>
                <w:color w:val="auto"/>
                <w:sz w:val="24"/>
                <w:highlight w:val="none"/>
                <w:vertAlign w:val="superscript"/>
                <w:lang w:val="en-US" w:eastAsia="zh-CN"/>
              </w:rPr>
              <w:t>3</w:t>
            </w:r>
            <w:r>
              <w:rPr>
                <w:rFonts w:hint="eastAsia" w:eastAsia="宋体"/>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研发生产</w:t>
            </w:r>
            <w:r>
              <w:rPr>
                <w:rFonts w:hint="eastAsia"/>
                <w:bCs/>
                <w:color w:val="auto"/>
                <w:sz w:val="24"/>
                <w:highlight w:val="none"/>
              </w:rPr>
              <w:t>过程</w:t>
            </w:r>
            <w:r>
              <w:rPr>
                <w:bCs/>
                <w:color w:val="auto"/>
                <w:sz w:val="24"/>
                <w:highlight w:val="none"/>
              </w:rPr>
              <w:t>试剂</w:t>
            </w:r>
            <w:r>
              <w:rPr>
                <w:rFonts w:hint="eastAsia"/>
                <w:bCs/>
                <w:color w:val="auto"/>
                <w:sz w:val="24"/>
                <w:highlight w:val="none"/>
                <w:lang w:val="en-US" w:eastAsia="zh-CN"/>
              </w:rPr>
              <w:t>配制</w:t>
            </w:r>
            <w:r>
              <w:rPr>
                <w:bCs/>
                <w:color w:val="auto"/>
                <w:sz w:val="24"/>
                <w:highlight w:val="none"/>
              </w:rPr>
              <w:t>用水</w:t>
            </w:r>
            <w:r>
              <w:rPr>
                <w:rFonts w:hint="eastAsia"/>
                <w:bCs/>
                <w:color w:val="auto"/>
                <w:sz w:val="24"/>
                <w:highlight w:val="none"/>
                <w:lang w:val="en-US" w:eastAsia="zh-CN"/>
              </w:rPr>
              <w:t>0.05m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高压蒸汽灭菌用水0.2m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培养液配制用水0.5m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研发生产过程用水全部使用纯水，合计用纯水2.75m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纯水由一台纯水机制备，采用预处理+反渗透制水工艺，制水率70%，纯水制备用新鲜水3.93m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val="en-US" w:eastAsia="zh-CN"/>
              </w:rPr>
              <w:t>。</w:t>
            </w:r>
          </w:p>
          <w:p w14:paraId="43A3014E">
            <w:pPr>
              <w:adjustRightInd w:val="0"/>
              <w:snapToGrid w:val="0"/>
              <w:spacing w:line="360" w:lineRule="auto"/>
              <w:ind w:firstLine="480" w:firstLineChars="200"/>
              <w:rPr>
                <w:rFonts w:hint="eastAsia"/>
                <w:bCs/>
                <w:color w:val="auto"/>
                <w:sz w:val="24"/>
                <w:highlight w:val="none"/>
                <w:lang w:eastAsia="zh-CN"/>
              </w:rPr>
            </w:pPr>
            <w:r>
              <w:rPr>
                <w:rFonts w:hint="eastAsia"/>
                <w:color w:val="auto"/>
                <w:sz w:val="24"/>
                <w:highlight w:val="none"/>
                <w:lang w:val="en-US" w:eastAsia="zh-CN"/>
              </w:rPr>
              <w:t>本</w:t>
            </w:r>
            <w:r>
              <w:rPr>
                <w:color w:val="auto"/>
                <w:sz w:val="24"/>
                <w:highlight w:val="none"/>
              </w:rPr>
              <w:t>项目</w:t>
            </w:r>
            <w:r>
              <w:rPr>
                <w:rFonts w:hint="eastAsia"/>
                <w:color w:val="auto"/>
                <w:sz w:val="24"/>
                <w:highlight w:val="none"/>
                <w:lang w:val="en-US" w:eastAsia="zh-CN"/>
              </w:rPr>
              <w:t>合计用水量</w:t>
            </w:r>
            <w:r>
              <w:rPr>
                <w:rFonts w:hint="eastAsia"/>
                <w:bCs/>
                <w:color w:val="auto"/>
                <w:sz w:val="24"/>
                <w:highlight w:val="none"/>
                <w:lang w:val="en-US" w:eastAsia="zh-CN"/>
              </w:rPr>
              <w:t>128.93m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p>
          <w:p w14:paraId="56B187A2">
            <w:pPr>
              <w:numPr>
                <w:ilvl w:val="0"/>
                <w:numId w:val="0"/>
              </w:numPr>
              <w:adjustRightInd w:val="0"/>
              <w:spacing w:line="360" w:lineRule="auto"/>
              <w:ind w:firstLine="480" w:firstLineChars="200"/>
              <w:rPr>
                <w:rFonts w:hint="eastAsia" w:cs="Times New Roman"/>
                <w:bCs/>
                <w:color w:val="auto"/>
                <w:sz w:val="24"/>
                <w:highlight w:val="none"/>
                <w:lang w:eastAsia="zh-CN"/>
              </w:rPr>
            </w:pPr>
            <w:r>
              <w:rPr>
                <w:rFonts w:hint="eastAsia" w:cs="Times New Roman"/>
                <w:bCs/>
                <w:color w:val="auto"/>
                <w:sz w:val="24"/>
                <w:highlight w:val="none"/>
                <w:lang w:eastAsia="zh-CN"/>
              </w:rPr>
              <w:t>（</w:t>
            </w:r>
            <w:r>
              <w:rPr>
                <w:rFonts w:hint="eastAsia" w:cs="Times New Roman"/>
                <w:bCs/>
                <w:color w:val="auto"/>
                <w:sz w:val="24"/>
                <w:highlight w:val="none"/>
                <w:lang w:val="en-US" w:eastAsia="zh-CN"/>
              </w:rPr>
              <w:t>2</w:t>
            </w:r>
            <w:r>
              <w:rPr>
                <w:rFonts w:hint="eastAsia" w:cs="Times New Roman"/>
                <w:bCs/>
                <w:color w:val="auto"/>
                <w:sz w:val="24"/>
                <w:highlight w:val="none"/>
                <w:lang w:eastAsia="zh-CN"/>
              </w:rPr>
              <w:t>）排水</w:t>
            </w:r>
          </w:p>
          <w:p w14:paraId="53A1DA4D">
            <w:pPr>
              <w:adjustRightInd w:val="0"/>
              <w:snapToGrid w:val="0"/>
              <w:spacing w:line="360" w:lineRule="auto"/>
              <w:ind w:firstLine="480" w:firstLineChars="200"/>
              <w:rPr>
                <w:rFonts w:hint="eastAsia"/>
                <w:bCs/>
                <w:color w:val="auto"/>
                <w:sz w:val="24"/>
                <w:highlight w:val="none"/>
                <w:lang w:eastAsia="zh-CN"/>
              </w:rPr>
            </w:pPr>
            <w:r>
              <w:rPr>
                <w:rFonts w:hint="eastAsia"/>
                <w:bCs/>
                <w:color w:val="auto"/>
                <w:sz w:val="24"/>
                <w:highlight w:val="none"/>
                <w:lang w:val="en-US" w:eastAsia="zh-CN"/>
              </w:rPr>
              <w:t>本</w:t>
            </w:r>
            <w:r>
              <w:rPr>
                <w:rFonts w:hint="eastAsia"/>
                <w:bCs/>
                <w:color w:val="auto"/>
                <w:sz w:val="24"/>
                <w:highlight w:val="none"/>
              </w:rPr>
              <w:t>项目</w:t>
            </w:r>
            <w:r>
              <w:rPr>
                <w:rFonts w:hint="eastAsia"/>
                <w:bCs/>
                <w:color w:val="auto"/>
                <w:sz w:val="24"/>
                <w:highlight w:val="none"/>
                <w:lang w:val="en-US" w:eastAsia="zh-CN"/>
              </w:rPr>
              <w:t>排水包括生活污水、</w:t>
            </w:r>
            <w:r>
              <w:rPr>
                <w:rFonts w:hint="eastAsia"/>
                <w:bCs/>
                <w:color w:val="auto"/>
                <w:sz w:val="24"/>
                <w:highlight w:val="none"/>
              </w:rPr>
              <w:t>容器</w:t>
            </w:r>
            <w:r>
              <w:rPr>
                <w:rFonts w:hint="eastAsia"/>
                <w:bCs/>
                <w:color w:val="auto"/>
                <w:sz w:val="24"/>
                <w:highlight w:val="none"/>
                <w:lang w:val="en-US" w:eastAsia="zh-CN"/>
              </w:rPr>
              <w:t>第三遍及以后</w:t>
            </w:r>
            <w:r>
              <w:rPr>
                <w:rFonts w:hint="eastAsia"/>
                <w:bCs/>
                <w:color w:val="auto"/>
                <w:sz w:val="24"/>
                <w:highlight w:val="none"/>
              </w:rPr>
              <w:t>清洗废水</w:t>
            </w:r>
            <w:r>
              <w:rPr>
                <w:rFonts w:hint="eastAsia"/>
                <w:bCs/>
                <w:color w:val="auto"/>
                <w:sz w:val="24"/>
                <w:highlight w:val="none"/>
                <w:lang w:eastAsia="zh-CN"/>
              </w:rPr>
              <w:t>、</w:t>
            </w:r>
            <w:r>
              <w:rPr>
                <w:rFonts w:hint="eastAsia"/>
                <w:bCs/>
                <w:color w:val="auto"/>
                <w:sz w:val="24"/>
                <w:highlight w:val="none"/>
                <w:lang w:val="en-US" w:eastAsia="zh-CN"/>
              </w:rPr>
              <w:t>高压蒸汽灭菌废水、废上清液、纯水制备废水</w:t>
            </w:r>
            <w:r>
              <w:rPr>
                <w:rFonts w:hint="eastAsia"/>
                <w:bCs/>
                <w:color w:val="auto"/>
                <w:sz w:val="24"/>
                <w:highlight w:val="none"/>
                <w:lang w:eastAsia="zh-CN"/>
              </w:rPr>
              <w:t>。</w:t>
            </w:r>
          </w:p>
          <w:p w14:paraId="60817A6D">
            <w:pPr>
              <w:adjustRightInd w:val="0"/>
              <w:snapToGrid w:val="0"/>
              <w:spacing w:line="360" w:lineRule="auto"/>
              <w:ind w:firstLine="480" w:firstLineChars="200"/>
              <w:rPr>
                <w:rFonts w:hint="default" w:eastAsia="宋体"/>
                <w:bCs/>
                <w:color w:val="auto"/>
                <w:sz w:val="24"/>
                <w:highlight w:val="none"/>
                <w:lang w:val="en-US" w:eastAsia="zh-CN"/>
              </w:rPr>
            </w:pPr>
            <w:r>
              <w:rPr>
                <w:rFonts w:hint="eastAsia" w:eastAsia="宋体"/>
                <w:bCs/>
                <w:color w:val="auto"/>
                <w:sz w:val="24"/>
                <w:highlight w:val="none"/>
                <w:lang w:val="en-US" w:eastAsia="zh-CN"/>
              </w:rPr>
              <w:t>生活</w:t>
            </w:r>
            <w:r>
              <w:rPr>
                <w:rFonts w:hint="eastAsia"/>
                <w:bCs/>
                <w:color w:val="auto"/>
                <w:sz w:val="24"/>
                <w:highlight w:val="none"/>
                <w:lang w:val="en-US" w:eastAsia="zh-CN"/>
              </w:rPr>
              <w:t>污水</w:t>
            </w:r>
            <w:r>
              <w:rPr>
                <w:rFonts w:hint="eastAsia" w:eastAsia="宋体"/>
                <w:bCs/>
                <w:color w:val="auto"/>
                <w:sz w:val="24"/>
                <w:highlight w:val="none"/>
                <w:lang w:val="en-US" w:eastAsia="zh-CN"/>
              </w:rPr>
              <w:t>产生量按用水量的85%，计</w:t>
            </w:r>
            <w:r>
              <w:rPr>
                <w:rFonts w:hint="eastAsia"/>
                <w:bCs/>
                <w:color w:val="auto"/>
                <w:sz w:val="24"/>
                <w:highlight w:val="none"/>
                <w:lang w:val="en-US" w:eastAsia="zh-CN"/>
              </w:rPr>
              <w:t>106.25</w:t>
            </w:r>
            <w:r>
              <w:rPr>
                <w:rFonts w:hint="eastAsia" w:eastAsia="宋体"/>
                <w:bCs/>
                <w:color w:val="auto"/>
                <w:sz w:val="24"/>
                <w:highlight w:val="none"/>
                <w:lang w:val="en-US" w:eastAsia="zh-CN"/>
              </w:rPr>
              <w:t>m</w:t>
            </w:r>
            <w:r>
              <w:rPr>
                <w:rFonts w:hint="eastAsia" w:eastAsia="宋体"/>
                <w:bCs/>
                <w:color w:val="auto"/>
                <w:sz w:val="24"/>
                <w:highlight w:val="none"/>
                <w:vertAlign w:val="superscript"/>
                <w:lang w:val="en-US" w:eastAsia="zh-CN"/>
              </w:rPr>
              <w:t>3</w:t>
            </w:r>
            <w:r>
              <w:rPr>
                <w:rFonts w:hint="eastAsia" w:eastAsia="宋体"/>
                <w:bCs/>
                <w:color w:val="auto"/>
                <w:sz w:val="24"/>
                <w:highlight w:val="none"/>
              </w:rPr>
              <w:t>/a</w:t>
            </w:r>
            <w:r>
              <w:rPr>
                <w:rFonts w:hint="eastAsia" w:eastAsia="宋体"/>
                <w:bCs/>
                <w:color w:val="auto"/>
                <w:sz w:val="24"/>
                <w:highlight w:val="none"/>
                <w:lang w:eastAsia="zh-CN"/>
              </w:rPr>
              <w:t>。</w:t>
            </w:r>
          </w:p>
          <w:p w14:paraId="067174CA">
            <w:pPr>
              <w:adjustRightInd w:val="0"/>
              <w:snapToGrid w:val="0"/>
              <w:spacing w:line="360" w:lineRule="auto"/>
              <w:ind w:firstLine="480" w:firstLineChars="200"/>
              <w:rPr>
                <w:rFonts w:hint="eastAsia" w:eastAsia="宋体"/>
                <w:bCs/>
                <w:color w:val="auto"/>
                <w:sz w:val="24"/>
                <w:highlight w:val="none"/>
              </w:rPr>
            </w:pPr>
            <w:r>
              <w:rPr>
                <w:rFonts w:hint="eastAsia" w:eastAsia="宋体"/>
                <w:bCs/>
                <w:color w:val="auto"/>
                <w:sz w:val="24"/>
                <w:highlight w:val="none"/>
                <w:lang w:val="en-US" w:eastAsia="zh-CN"/>
              </w:rPr>
              <w:t>容器清洗废水损耗率为</w:t>
            </w:r>
            <w:r>
              <w:rPr>
                <w:rFonts w:hint="default" w:eastAsia="宋体"/>
                <w:bCs/>
                <w:color w:val="auto"/>
                <w:sz w:val="24"/>
                <w:highlight w:val="none"/>
                <w:lang w:val="en-US" w:eastAsia="zh-CN"/>
              </w:rPr>
              <w:t>10%</w:t>
            </w:r>
            <w:r>
              <w:rPr>
                <w:rFonts w:hint="eastAsia" w:eastAsia="宋体"/>
                <w:bCs/>
                <w:color w:val="auto"/>
                <w:sz w:val="24"/>
                <w:highlight w:val="none"/>
                <w:lang w:val="en-US" w:eastAsia="zh-CN"/>
              </w:rPr>
              <w:t>，前两次清洗废水产生量为0.</w:t>
            </w:r>
            <w:r>
              <w:rPr>
                <w:rFonts w:hint="eastAsia"/>
                <w:bCs/>
                <w:color w:val="auto"/>
                <w:sz w:val="24"/>
                <w:highlight w:val="none"/>
                <w:lang w:val="en-US" w:eastAsia="zh-CN"/>
              </w:rPr>
              <w:t>9</w:t>
            </w:r>
            <w:r>
              <w:rPr>
                <w:rFonts w:hint="eastAsia" w:eastAsia="宋体"/>
                <w:bCs/>
                <w:color w:val="auto"/>
                <w:sz w:val="24"/>
                <w:highlight w:val="none"/>
                <w:lang w:val="en-US" w:eastAsia="zh-CN"/>
              </w:rPr>
              <w:t>m</w:t>
            </w:r>
            <w:r>
              <w:rPr>
                <w:rFonts w:hint="eastAsia" w:eastAsia="宋体"/>
                <w:bCs/>
                <w:color w:val="auto"/>
                <w:sz w:val="24"/>
                <w:highlight w:val="none"/>
                <w:vertAlign w:val="superscript"/>
                <w:lang w:val="en-US" w:eastAsia="zh-CN"/>
              </w:rPr>
              <w:t>3</w:t>
            </w:r>
            <w:r>
              <w:rPr>
                <w:rFonts w:hint="eastAsia" w:eastAsia="宋体"/>
                <w:bCs/>
                <w:color w:val="auto"/>
                <w:sz w:val="24"/>
                <w:highlight w:val="none"/>
              </w:rPr>
              <w:t>/a</w:t>
            </w:r>
            <w:r>
              <w:rPr>
                <w:rFonts w:hint="eastAsia" w:eastAsia="宋体"/>
                <w:bCs/>
                <w:color w:val="auto"/>
                <w:sz w:val="24"/>
                <w:highlight w:val="none"/>
                <w:lang w:val="en-US" w:eastAsia="zh-CN"/>
              </w:rPr>
              <w:t>，作为</w:t>
            </w:r>
            <w:r>
              <w:rPr>
                <w:rFonts w:hint="eastAsia"/>
                <w:bCs/>
                <w:color w:val="auto"/>
                <w:sz w:val="24"/>
                <w:highlight w:val="none"/>
                <w:lang w:val="en-US" w:eastAsia="zh-CN"/>
              </w:rPr>
              <w:t>危险废物收集</w:t>
            </w:r>
            <w:r>
              <w:rPr>
                <w:rFonts w:hint="eastAsia" w:eastAsia="宋体"/>
                <w:bCs/>
                <w:color w:val="auto"/>
                <w:sz w:val="24"/>
                <w:highlight w:val="none"/>
                <w:lang w:val="en-US" w:eastAsia="zh-CN"/>
              </w:rPr>
              <w:t>处理；第三</w:t>
            </w:r>
            <w:r>
              <w:rPr>
                <w:rFonts w:hint="eastAsia"/>
                <w:bCs/>
                <w:color w:val="auto"/>
                <w:sz w:val="24"/>
                <w:highlight w:val="none"/>
                <w:lang w:val="en-US" w:eastAsia="zh-CN"/>
              </w:rPr>
              <w:t>遍</w:t>
            </w:r>
            <w:r>
              <w:rPr>
                <w:rFonts w:hint="eastAsia" w:eastAsia="宋体"/>
                <w:bCs/>
                <w:color w:val="auto"/>
                <w:sz w:val="24"/>
                <w:highlight w:val="none"/>
                <w:lang w:val="en-US" w:eastAsia="zh-CN"/>
              </w:rPr>
              <w:t>及以后清洗废水产生量0.</w:t>
            </w:r>
            <w:r>
              <w:rPr>
                <w:rFonts w:hint="eastAsia"/>
                <w:bCs/>
                <w:color w:val="auto"/>
                <w:sz w:val="24"/>
                <w:highlight w:val="none"/>
                <w:lang w:val="en-US" w:eastAsia="zh-CN"/>
              </w:rPr>
              <w:t>9</w:t>
            </w:r>
            <w:r>
              <w:rPr>
                <w:rFonts w:hint="eastAsia" w:eastAsia="宋体"/>
                <w:bCs/>
                <w:color w:val="auto"/>
                <w:sz w:val="24"/>
                <w:highlight w:val="none"/>
                <w:lang w:val="en-US" w:eastAsia="zh-CN"/>
              </w:rPr>
              <w:t>m</w:t>
            </w:r>
            <w:r>
              <w:rPr>
                <w:rFonts w:hint="eastAsia" w:eastAsia="宋体"/>
                <w:bCs/>
                <w:color w:val="auto"/>
                <w:sz w:val="24"/>
                <w:highlight w:val="none"/>
                <w:vertAlign w:val="superscript"/>
                <w:lang w:val="en-US" w:eastAsia="zh-CN"/>
              </w:rPr>
              <w:t>3</w:t>
            </w:r>
            <w:r>
              <w:rPr>
                <w:rFonts w:hint="eastAsia" w:eastAsia="宋体"/>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与其他废水一期进园区化粪池</w:t>
            </w:r>
            <w:r>
              <w:rPr>
                <w:rFonts w:hint="eastAsia" w:eastAsia="宋体"/>
                <w:bCs/>
                <w:color w:val="auto"/>
                <w:sz w:val="24"/>
                <w:highlight w:val="none"/>
                <w:lang w:val="en-US" w:eastAsia="zh-CN"/>
              </w:rPr>
              <w:t>。</w:t>
            </w:r>
          </w:p>
          <w:p w14:paraId="2ED00CBF">
            <w:pPr>
              <w:adjustRightInd w:val="0"/>
              <w:snapToGrid w:val="0"/>
              <w:spacing w:line="360" w:lineRule="auto"/>
              <w:ind w:firstLine="480" w:firstLineChars="200"/>
              <w:rPr>
                <w:rFonts w:hint="eastAsia" w:eastAsia="宋体"/>
                <w:bCs/>
                <w:color w:val="auto"/>
                <w:sz w:val="24"/>
                <w:highlight w:val="none"/>
                <w:lang w:val="en-US" w:eastAsia="zh-CN"/>
              </w:rPr>
            </w:pPr>
            <w:r>
              <w:rPr>
                <w:rFonts w:hint="eastAsia" w:eastAsia="宋体"/>
                <w:bCs/>
                <w:color w:val="auto"/>
                <w:sz w:val="24"/>
                <w:highlight w:val="none"/>
                <w:lang w:val="en-US" w:eastAsia="zh-CN"/>
              </w:rPr>
              <w:t>试剂配制</w:t>
            </w:r>
            <w:r>
              <w:rPr>
                <w:rFonts w:hint="eastAsia"/>
                <w:bCs/>
                <w:color w:val="auto"/>
                <w:sz w:val="24"/>
                <w:highlight w:val="none"/>
                <w:lang w:val="en-US" w:eastAsia="zh-CN"/>
              </w:rPr>
              <w:t>用水全部进入检测废液，进入检测</w:t>
            </w:r>
            <w:r>
              <w:rPr>
                <w:rFonts w:hint="eastAsia" w:eastAsia="宋体"/>
                <w:bCs/>
                <w:color w:val="auto"/>
                <w:sz w:val="24"/>
                <w:highlight w:val="none"/>
                <w:lang w:val="en-US" w:eastAsia="zh-CN"/>
              </w:rPr>
              <w:t>废液</w:t>
            </w:r>
            <w:r>
              <w:rPr>
                <w:rFonts w:hint="eastAsia"/>
                <w:bCs/>
                <w:color w:val="auto"/>
                <w:sz w:val="24"/>
                <w:highlight w:val="none"/>
                <w:lang w:val="en-US" w:eastAsia="zh-CN"/>
              </w:rPr>
              <w:t>的水量</w:t>
            </w:r>
            <w:r>
              <w:rPr>
                <w:rFonts w:hint="eastAsia" w:eastAsia="宋体"/>
                <w:bCs/>
                <w:color w:val="auto"/>
                <w:sz w:val="24"/>
                <w:highlight w:val="none"/>
                <w:lang w:val="en-US" w:eastAsia="zh-CN"/>
              </w:rPr>
              <w:t>0.</w:t>
            </w:r>
            <w:r>
              <w:rPr>
                <w:rFonts w:hint="eastAsia"/>
                <w:bCs/>
                <w:color w:val="auto"/>
                <w:sz w:val="24"/>
                <w:highlight w:val="none"/>
                <w:lang w:val="en-US" w:eastAsia="zh-CN"/>
              </w:rPr>
              <w:t>0</w:t>
            </w:r>
            <w:r>
              <w:rPr>
                <w:rFonts w:hint="eastAsia" w:eastAsia="宋体"/>
                <w:bCs/>
                <w:color w:val="auto"/>
                <w:sz w:val="24"/>
                <w:highlight w:val="none"/>
                <w:lang w:val="en-US" w:eastAsia="zh-CN"/>
              </w:rPr>
              <w:t>45m</w:t>
            </w:r>
            <w:r>
              <w:rPr>
                <w:rFonts w:hint="eastAsia" w:eastAsia="宋体"/>
                <w:bCs/>
                <w:color w:val="auto"/>
                <w:sz w:val="24"/>
                <w:highlight w:val="none"/>
                <w:vertAlign w:val="superscript"/>
                <w:lang w:val="en-US" w:eastAsia="zh-CN"/>
              </w:rPr>
              <w:t>3</w:t>
            </w:r>
            <w:r>
              <w:rPr>
                <w:rFonts w:hint="eastAsia" w:eastAsia="宋体"/>
                <w:bCs/>
                <w:color w:val="auto"/>
                <w:sz w:val="24"/>
                <w:highlight w:val="none"/>
                <w:lang w:val="en-US" w:eastAsia="zh-CN"/>
              </w:rPr>
              <w:t>/a，</w:t>
            </w:r>
            <w:r>
              <w:rPr>
                <w:rFonts w:hint="eastAsia"/>
                <w:bCs/>
                <w:color w:val="auto"/>
                <w:sz w:val="24"/>
                <w:highlight w:val="none"/>
                <w:lang w:val="en-US" w:eastAsia="zh-CN"/>
              </w:rPr>
              <w:t>检测</w:t>
            </w:r>
            <w:r>
              <w:rPr>
                <w:rFonts w:hint="eastAsia" w:eastAsia="宋体"/>
                <w:bCs/>
                <w:color w:val="auto"/>
                <w:sz w:val="24"/>
                <w:highlight w:val="none"/>
                <w:lang w:val="en-US" w:eastAsia="zh-CN"/>
              </w:rPr>
              <w:t>废液含有化学试剂，属于危险废物，分类收集后暂存于危废暂存间</w:t>
            </w:r>
            <w:r>
              <w:rPr>
                <w:rFonts w:hint="eastAsia"/>
                <w:bCs/>
                <w:color w:val="auto"/>
                <w:sz w:val="24"/>
                <w:highlight w:val="none"/>
                <w:lang w:val="en-US" w:eastAsia="zh-CN"/>
              </w:rPr>
              <w:t>，</w:t>
            </w:r>
            <w:r>
              <w:rPr>
                <w:rFonts w:hint="eastAsia" w:eastAsia="宋体"/>
                <w:bCs/>
                <w:color w:val="auto"/>
                <w:sz w:val="24"/>
                <w:highlight w:val="none"/>
                <w:lang w:val="en-US" w:eastAsia="zh-CN"/>
              </w:rPr>
              <w:t>作为危险废物</w:t>
            </w:r>
            <w:r>
              <w:rPr>
                <w:rFonts w:hint="eastAsia"/>
                <w:bCs/>
                <w:color w:val="auto"/>
                <w:sz w:val="24"/>
                <w:highlight w:val="none"/>
                <w:lang w:val="en-US" w:eastAsia="zh-CN"/>
              </w:rPr>
              <w:t>收集</w:t>
            </w:r>
            <w:r>
              <w:rPr>
                <w:rFonts w:hint="eastAsia" w:eastAsia="宋体"/>
                <w:bCs/>
                <w:color w:val="auto"/>
                <w:sz w:val="24"/>
                <w:highlight w:val="none"/>
                <w:lang w:val="en-US" w:eastAsia="zh-CN"/>
              </w:rPr>
              <w:t>处理。</w:t>
            </w:r>
          </w:p>
          <w:p w14:paraId="773A4872">
            <w:pPr>
              <w:adjustRightInd w:val="0"/>
              <w:snapToGrid w:val="0"/>
              <w:spacing w:line="360" w:lineRule="auto"/>
              <w:ind w:firstLine="480" w:firstLineChars="200"/>
              <w:rPr>
                <w:rFonts w:hint="eastAsia" w:eastAsia="宋体"/>
                <w:bCs/>
                <w:color w:val="auto"/>
                <w:sz w:val="24"/>
                <w:highlight w:val="none"/>
                <w:lang w:val="en-US" w:eastAsia="zh-CN"/>
              </w:rPr>
            </w:pPr>
            <w:r>
              <w:rPr>
                <w:rFonts w:hint="eastAsia"/>
                <w:bCs/>
                <w:color w:val="auto"/>
                <w:sz w:val="24"/>
                <w:highlight w:val="none"/>
                <w:lang w:val="en-US" w:eastAsia="zh-CN"/>
              </w:rPr>
              <w:t>高压蒸汽灭菌废水产生量为用水量的90%，计0.18m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与其他废水一期进园区化粪池</w:t>
            </w:r>
            <w:r>
              <w:rPr>
                <w:rFonts w:hint="eastAsia" w:eastAsia="宋体"/>
                <w:bCs/>
                <w:color w:val="auto"/>
                <w:sz w:val="24"/>
                <w:highlight w:val="none"/>
                <w:lang w:val="en-US" w:eastAsia="zh-CN"/>
              </w:rPr>
              <w:t>。</w:t>
            </w:r>
          </w:p>
          <w:p w14:paraId="60D91DC0">
            <w:pPr>
              <w:adjustRightInd w:val="0"/>
              <w:snapToGrid w:val="0"/>
              <w:spacing w:line="360" w:lineRule="auto"/>
              <w:ind w:firstLine="480" w:firstLineChars="200"/>
              <w:rPr>
                <w:rFonts w:hint="eastAsia"/>
                <w:bCs/>
                <w:color w:val="auto"/>
                <w:sz w:val="24"/>
                <w:highlight w:val="none"/>
                <w:lang w:val="en-US" w:eastAsia="zh-CN"/>
              </w:rPr>
            </w:pPr>
            <w:r>
              <w:rPr>
                <w:rFonts w:hint="eastAsia"/>
                <w:bCs/>
                <w:color w:val="auto"/>
                <w:sz w:val="24"/>
                <w:highlight w:val="none"/>
                <w:lang w:val="en-US" w:eastAsia="zh-CN"/>
              </w:rPr>
              <w:t>菌体在培养液中培养后，根据工艺的要求产生废上清液，上清液产生量0.2m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废上清液经高压蒸汽灭菌后按危险废物收集处置。</w:t>
            </w:r>
          </w:p>
          <w:p w14:paraId="29ACDD4E">
            <w:pPr>
              <w:adjustRightInd w:val="0"/>
              <w:snapToGrid w:val="0"/>
              <w:spacing w:line="360" w:lineRule="auto"/>
              <w:ind w:firstLine="480" w:firstLineChars="200"/>
              <w:rPr>
                <w:rFonts w:hint="eastAsia" w:eastAsia="宋体"/>
                <w:bCs/>
                <w:color w:val="auto"/>
                <w:sz w:val="24"/>
                <w:highlight w:val="none"/>
                <w:lang w:val="en-US" w:eastAsia="zh-CN"/>
              </w:rPr>
            </w:pPr>
            <w:r>
              <w:rPr>
                <w:rFonts w:hint="eastAsia"/>
                <w:bCs/>
                <w:color w:val="auto"/>
                <w:sz w:val="24"/>
                <w:highlight w:val="none"/>
                <w:lang w:val="en-US" w:eastAsia="zh-CN"/>
              </w:rPr>
              <w:t>纯水制备废水产生量为1.18m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p>
          <w:p w14:paraId="1E9F35A4">
            <w:pPr>
              <w:adjustRightInd w:val="0"/>
              <w:snapToGrid w:val="0"/>
              <w:spacing w:line="360" w:lineRule="auto"/>
              <w:ind w:firstLine="480" w:firstLineChars="200"/>
              <w:rPr>
                <w:rFonts w:hint="eastAsia" w:cs="Times New Roman"/>
                <w:color w:val="auto"/>
                <w:sz w:val="24"/>
                <w:szCs w:val="24"/>
                <w:highlight w:val="none"/>
                <w:lang w:eastAsia="zh-CN"/>
              </w:rPr>
            </w:pPr>
            <w:r>
              <w:rPr>
                <w:rFonts w:hint="eastAsia" w:cs="Times New Roman"/>
                <w:color w:val="auto"/>
                <w:sz w:val="24"/>
                <w:highlight w:val="none"/>
                <w:lang w:val="en-US" w:eastAsia="zh-CN"/>
              </w:rPr>
              <w:t>生活污水、容器第三遍及以后清洗废水、</w:t>
            </w:r>
            <w:r>
              <w:rPr>
                <w:rFonts w:hint="eastAsia"/>
                <w:bCs/>
                <w:color w:val="auto"/>
                <w:sz w:val="24"/>
                <w:highlight w:val="none"/>
                <w:lang w:val="en-US" w:eastAsia="zh-CN"/>
              </w:rPr>
              <w:t>高压蒸汽灭菌废水、纯水制备废水</w:t>
            </w:r>
            <w:r>
              <w:rPr>
                <w:rFonts w:hint="eastAsia" w:cs="Times New Roman"/>
                <w:color w:val="auto"/>
                <w:sz w:val="24"/>
                <w:highlight w:val="none"/>
                <w:lang w:val="en-US" w:eastAsia="zh-CN"/>
              </w:rPr>
              <w:t>一起进园区化粪池处理，最后经市政管网排入</w:t>
            </w:r>
            <w:r>
              <w:rPr>
                <w:rFonts w:hint="eastAsia" w:cs="Times New Roman"/>
                <w:color w:val="auto"/>
                <w:sz w:val="24"/>
                <w:szCs w:val="24"/>
                <w:highlight w:val="none"/>
                <w:lang w:eastAsia="zh-CN"/>
              </w:rPr>
              <w:t>金桥基地第一污水处理厂。</w:t>
            </w:r>
          </w:p>
          <w:p w14:paraId="5FA01A21">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本项目水平衡</w:t>
            </w:r>
            <w:r>
              <w:rPr>
                <w:rFonts w:hint="eastAsia" w:ascii="Times New Roman" w:hAnsi="Times New Roman" w:eastAsia="宋体" w:cs="Times New Roman"/>
                <w:bCs/>
                <w:color w:val="auto"/>
                <w:sz w:val="24"/>
                <w:highlight w:val="none"/>
                <w:lang w:val="en-US" w:eastAsia="zh-CN"/>
              </w:rPr>
              <w:t>表</w:t>
            </w:r>
            <w:r>
              <w:rPr>
                <w:rFonts w:hint="default" w:ascii="Times New Roman" w:hAnsi="Times New Roman" w:eastAsia="宋体" w:cs="Times New Roman"/>
                <w:bCs/>
                <w:color w:val="auto"/>
                <w:sz w:val="24"/>
                <w:highlight w:val="none"/>
              </w:rPr>
              <w:t>详见下</w:t>
            </w:r>
            <w:r>
              <w:rPr>
                <w:rFonts w:hint="eastAsia" w:ascii="Times New Roman" w:hAnsi="Times New Roman" w:eastAsia="宋体" w:cs="Times New Roman"/>
                <w:bCs/>
                <w:color w:val="auto"/>
                <w:sz w:val="24"/>
                <w:highlight w:val="none"/>
                <w:lang w:val="en-US" w:eastAsia="zh-CN"/>
              </w:rPr>
              <w:t>表</w:t>
            </w:r>
            <w:r>
              <w:rPr>
                <w:rFonts w:hint="default" w:ascii="Times New Roman" w:hAnsi="Times New Roman" w:eastAsia="宋体" w:cs="Times New Roman"/>
                <w:bCs/>
                <w:color w:val="auto"/>
                <w:sz w:val="24"/>
                <w:highlight w:val="none"/>
              </w:rPr>
              <w:t>。</w:t>
            </w:r>
          </w:p>
          <w:p w14:paraId="382A3C1E">
            <w:pPr>
              <w:numPr>
                <w:ilvl w:val="0"/>
                <w:numId w:val="13"/>
              </w:numPr>
              <w:adjustRightInd w:val="0"/>
              <w:snapToGrid w:val="0"/>
              <w:spacing w:line="360" w:lineRule="auto"/>
              <w:jc w:val="center"/>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本项目水平衡表</w:t>
            </w:r>
          </w:p>
          <w:tbl>
            <w:tblPr>
              <w:tblStyle w:val="24"/>
              <w:tblW w:w="48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778"/>
              <w:gridCol w:w="1114"/>
              <w:gridCol w:w="1115"/>
              <w:gridCol w:w="1115"/>
              <w:gridCol w:w="1115"/>
              <w:gridCol w:w="1116"/>
            </w:tblGrid>
            <w:tr w14:paraId="7A49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restart"/>
                  <w:noWrap w:val="0"/>
                  <w:vAlign w:val="center"/>
                </w:tcPr>
                <w:p w14:paraId="510702E6">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序号</w:t>
                  </w:r>
                </w:p>
              </w:tc>
              <w:tc>
                <w:tcPr>
                  <w:tcW w:w="1778" w:type="dxa"/>
                  <w:vMerge w:val="restart"/>
                  <w:noWrap w:val="0"/>
                  <w:vAlign w:val="center"/>
                </w:tcPr>
                <w:p w14:paraId="5DE89D49">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类别</w:t>
                  </w:r>
                </w:p>
              </w:tc>
              <w:tc>
                <w:tcPr>
                  <w:tcW w:w="2229" w:type="dxa"/>
                  <w:gridSpan w:val="2"/>
                  <w:noWrap w:val="0"/>
                  <w:vAlign w:val="center"/>
                </w:tcPr>
                <w:p w14:paraId="54170C6F">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用水量</w:t>
                  </w:r>
                  <w:r>
                    <w:rPr>
                      <w:rFonts w:hint="default" w:ascii="Times New Roman" w:hAnsi="Times New Roman" w:eastAsia="宋体" w:cs="Times New Roman"/>
                      <w:b/>
                      <w:bCs/>
                      <w:color w:val="auto"/>
                      <w:kern w:val="0"/>
                      <w:sz w:val="21"/>
                      <w:szCs w:val="21"/>
                      <w:lang w:bidi="ar"/>
                    </w:rPr>
                    <w:t>m</w:t>
                  </w:r>
                  <w:r>
                    <w:rPr>
                      <w:rFonts w:hint="default" w:ascii="Times New Roman" w:hAnsi="Times New Roman" w:eastAsia="宋体" w:cs="Times New Roman"/>
                      <w:b/>
                      <w:bCs/>
                      <w:color w:val="auto"/>
                      <w:kern w:val="0"/>
                      <w:sz w:val="21"/>
                      <w:szCs w:val="21"/>
                      <w:vertAlign w:val="superscript"/>
                      <w:lang w:bidi="ar"/>
                    </w:rPr>
                    <w:t>3</w:t>
                  </w:r>
                  <w:r>
                    <w:rPr>
                      <w:rFonts w:hint="default" w:ascii="Times New Roman" w:hAnsi="Times New Roman" w:eastAsia="宋体" w:cs="Times New Roman"/>
                      <w:b/>
                      <w:bCs/>
                      <w:color w:val="auto"/>
                      <w:kern w:val="0"/>
                      <w:sz w:val="21"/>
                      <w:szCs w:val="21"/>
                      <w:lang w:bidi="ar"/>
                    </w:rPr>
                    <w:t>/</w:t>
                  </w:r>
                  <w:r>
                    <w:rPr>
                      <w:rFonts w:hint="eastAsia" w:ascii="Times New Roman" w:hAnsi="Times New Roman" w:eastAsia="宋体" w:cs="Times New Roman"/>
                      <w:b/>
                      <w:bCs/>
                      <w:color w:val="auto"/>
                      <w:kern w:val="0"/>
                      <w:sz w:val="21"/>
                      <w:szCs w:val="21"/>
                      <w:lang w:val="en-US" w:eastAsia="zh-CN" w:bidi="ar"/>
                    </w:rPr>
                    <w:t>a</w:t>
                  </w:r>
                </w:p>
              </w:tc>
              <w:tc>
                <w:tcPr>
                  <w:tcW w:w="1115" w:type="dxa"/>
                  <w:vMerge w:val="restart"/>
                  <w:noWrap w:val="0"/>
                  <w:vAlign w:val="center"/>
                </w:tcPr>
                <w:p w14:paraId="42295C92">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损耗量</w:t>
                  </w:r>
                  <w:r>
                    <w:rPr>
                      <w:rFonts w:hint="default" w:ascii="Times New Roman" w:hAnsi="Times New Roman" w:eastAsia="宋体" w:cs="Times New Roman"/>
                      <w:b/>
                      <w:bCs/>
                      <w:color w:val="auto"/>
                      <w:kern w:val="0"/>
                      <w:sz w:val="21"/>
                      <w:szCs w:val="21"/>
                      <w:lang w:bidi="ar"/>
                    </w:rPr>
                    <w:t>m</w:t>
                  </w:r>
                  <w:r>
                    <w:rPr>
                      <w:rFonts w:hint="default" w:ascii="Times New Roman" w:hAnsi="Times New Roman" w:eastAsia="宋体" w:cs="Times New Roman"/>
                      <w:b/>
                      <w:bCs/>
                      <w:color w:val="auto"/>
                      <w:kern w:val="0"/>
                      <w:sz w:val="21"/>
                      <w:szCs w:val="21"/>
                      <w:vertAlign w:val="superscript"/>
                      <w:lang w:bidi="ar"/>
                    </w:rPr>
                    <w:t>3</w:t>
                  </w:r>
                  <w:r>
                    <w:rPr>
                      <w:rFonts w:hint="default" w:ascii="Times New Roman" w:hAnsi="Times New Roman" w:eastAsia="宋体" w:cs="Times New Roman"/>
                      <w:b/>
                      <w:bCs/>
                      <w:color w:val="auto"/>
                      <w:kern w:val="0"/>
                      <w:sz w:val="21"/>
                      <w:szCs w:val="21"/>
                      <w:lang w:bidi="ar"/>
                    </w:rPr>
                    <w:t>/</w:t>
                  </w:r>
                  <w:r>
                    <w:rPr>
                      <w:rFonts w:hint="eastAsia" w:ascii="Times New Roman" w:hAnsi="Times New Roman" w:eastAsia="宋体" w:cs="Times New Roman"/>
                      <w:b/>
                      <w:bCs/>
                      <w:color w:val="auto"/>
                      <w:kern w:val="0"/>
                      <w:sz w:val="21"/>
                      <w:szCs w:val="21"/>
                      <w:lang w:val="en-US" w:eastAsia="zh-CN" w:bidi="ar"/>
                    </w:rPr>
                    <w:t>a</w:t>
                  </w:r>
                </w:p>
              </w:tc>
              <w:tc>
                <w:tcPr>
                  <w:tcW w:w="2231" w:type="dxa"/>
                  <w:gridSpan w:val="2"/>
                  <w:noWrap w:val="0"/>
                  <w:vAlign w:val="center"/>
                </w:tcPr>
                <w:p w14:paraId="7F10F063">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排放量</w:t>
                  </w:r>
                  <w:r>
                    <w:rPr>
                      <w:rFonts w:hint="default" w:ascii="Times New Roman" w:hAnsi="Times New Roman" w:eastAsia="宋体" w:cs="Times New Roman"/>
                      <w:b/>
                      <w:bCs/>
                      <w:color w:val="auto"/>
                      <w:kern w:val="0"/>
                      <w:sz w:val="21"/>
                      <w:szCs w:val="21"/>
                      <w:lang w:bidi="ar"/>
                    </w:rPr>
                    <w:t>m</w:t>
                  </w:r>
                  <w:r>
                    <w:rPr>
                      <w:rFonts w:hint="default" w:ascii="Times New Roman" w:hAnsi="Times New Roman" w:eastAsia="宋体" w:cs="Times New Roman"/>
                      <w:b/>
                      <w:bCs/>
                      <w:color w:val="auto"/>
                      <w:kern w:val="0"/>
                      <w:sz w:val="21"/>
                      <w:szCs w:val="21"/>
                      <w:vertAlign w:val="superscript"/>
                      <w:lang w:bidi="ar"/>
                    </w:rPr>
                    <w:t>3</w:t>
                  </w:r>
                  <w:r>
                    <w:rPr>
                      <w:rFonts w:hint="default" w:ascii="Times New Roman" w:hAnsi="Times New Roman" w:eastAsia="宋体" w:cs="Times New Roman"/>
                      <w:b/>
                      <w:bCs/>
                      <w:color w:val="auto"/>
                      <w:kern w:val="0"/>
                      <w:sz w:val="21"/>
                      <w:szCs w:val="21"/>
                      <w:lang w:bidi="ar"/>
                    </w:rPr>
                    <w:t>/</w:t>
                  </w:r>
                  <w:r>
                    <w:rPr>
                      <w:rFonts w:hint="eastAsia" w:ascii="Times New Roman" w:hAnsi="Times New Roman" w:eastAsia="宋体" w:cs="Times New Roman"/>
                      <w:b/>
                      <w:bCs/>
                      <w:color w:val="auto"/>
                      <w:kern w:val="0"/>
                      <w:sz w:val="21"/>
                      <w:szCs w:val="21"/>
                      <w:lang w:val="en-US" w:eastAsia="zh-CN" w:bidi="ar"/>
                    </w:rPr>
                    <w:t>a</w:t>
                  </w:r>
                </w:p>
              </w:tc>
            </w:tr>
            <w:tr w14:paraId="155D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continue"/>
                  <w:noWrap w:val="0"/>
                  <w:vAlign w:val="center"/>
                </w:tcPr>
                <w:p w14:paraId="31F2A261">
                  <w:pPr>
                    <w:numPr>
                      <w:ilvl w:val="0"/>
                      <w:numId w:val="0"/>
                    </w:numPr>
                    <w:spacing w:line="240" w:lineRule="auto"/>
                    <w:jc w:val="center"/>
                    <w:rPr>
                      <w:rFonts w:ascii="Times New Roman" w:hAnsi="Times New Roman" w:eastAsia="宋体" w:cs="Times New Roman"/>
                      <w:b w:val="0"/>
                      <w:bCs/>
                      <w:color w:val="auto"/>
                      <w:sz w:val="21"/>
                      <w:szCs w:val="21"/>
                      <w:vertAlign w:val="baseline"/>
                    </w:rPr>
                  </w:pPr>
                </w:p>
              </w:tc>
              <w:tc>
                <w:tcPr>
                  <w:tcW w:w="1778" w:type="dxa"/>
                  <w:vMerge w:val="continue"/>
                  <w:noWrap w:val="0"/>
                  <w:vAlign w:val="center"/>
                </w:tcPr>
                <w:p w14:paraId="22F0C1A3">
                  <w:pPr>
                    <w:numPr>
                      <w:ilvl w:val="0"/>
                      <w:numId w:val="0"/>
                    </w:numPr>
                    <w:spacing w:line="240" w:lineRule="auto"/>
                    <w:jc w:val="center"/>
                    <w:rPr>
                      <w:rFonts w:ascii="Times New Roman" w:hAnsi="Times New Roman" w:eastAsia="宋体" w:cs="Times New Roman"/>
                      <w:b w:val="0"/>
                      <w:bCs/>
                      <w:color w:val="auto"/>
                      <w:sz w:val="21"/>
                      <w:szCs w:val="21"/>
                      <w:vertAlign w:val="baseline"/>
                    </w:rPr>
                  </w:pPr>
                </w:p>
              </w:tc>
              <w:tc>
                <w:tcPr>
                  <w:tcW w:w="1114" w:type="dxa"/>
                  <w:noWrap w:val="0"/>
                  <w:vAlign w:val="center"/>
                </w:tcPr>
                <w:p w14:paraId="22F91788">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新鲜水</w:t>
                  </w:r>
                </w:p>
              </w:tc>
              <w:tc>
                <w:tcPr>
                  <w:tcW w:w="1115" w:type="dxa"/>
                  <w:noWrap w:val="0"/>
                  <w:vAlign w:val="center"/>
                </w:tcPr>
                <w:p w14:paraId="23FE4E36">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纯水</w:t>
                  </w:r>
                </w:p>
              </w:tc>
              <w:tc>
                <w:tcPr>
                  <w:tcW w:w="1115" w:type="dxa"/>
                  <w:vMerge w:val="continue"/>
                  <w:noWrap w:val="0"/>
                  <w:vAlign w:val="center"/>
                </w:tcPr>
                <w:p w14:paraId="4EEB5481">
                  <w:pPr>
                    <w:numPr>
                      <w:ilvl w:val="0"/>
                      <w:numId w:val="0"/>
                    </w:numPr>
                    <w:spacing w:line="240" w:lineRule="auto"/>
                    <w:jc w:val="center"/>
                    <w:rPr>
                      <w:rFonts w:ascii="Times New Roman" w:hAnsi="Times New Roman" w:eastAsia="宋体" w:cs="Times New Roman"/>
                      <w:b w:val="0"/>
                      <w:bCs/>
                      <w:color w:val="auto"/>
                      <w:sz w:val="21"/>
                      <w:szCs w:val="21"/>
                      <w:vertAlign w:val="baseline"/>
                    </w:rPr>
                  </w:pPr>
                </w:p>
              </w:tc>
              <w:tc>
                <w:tcPr>
                  <w:tcW w:w="1115" w:type="dxa"/>
                  <w:noWrap w:val="0"/>
                  <w:vAlign w:val="center"/>
                </w:tcPr>
                <w:p w14:paraId="7A7453A8">
                  <w:pPr>
                    <w:numPr>
                      <w:ilvl w:val="0"/>
                      <w:numId w:val="0"/>
                    </w:num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排入污水</w:t>
                  </w:r>
                </w:p>
              </w:tc>
              <w:tc>
                <w:tcPr>
                  <w:tcW w:w="1116" w:type="dxa"/>
                  <w:noWrap w:val="0"/>
                  <w:vAlign w:val="center"/>
                </w:tcPr>
                <w:p w14:paraId="094A82DE">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进入危废</w:t>
                  </w:r>
                </w:p>
              </w:tc>
            </w:tr>
            <w:tr w14:paraId="14CE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noWrap w:val="0"/>
                  <w:vAlign w:val="center"/>
                </w:tcPr>
                <w:p w14:paraId="27D1414B">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1</w:t>
                  </w:r>
                </w:p>
              </w:tc>
              <w:tc>
                <w:tcPr>
                  <w:tcW w:w="1778" w:type="dxa"/>
                  <w:noWrap w:val="0"/>
                  <w:vAlign w:val="center"/>
                </w:tcPr>
                <w:p w14:paraId="685CB300">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生活用水</w:t>
                  </w:r>
                </w:p>
              </w:tc>
              <w:tc>
                <w:tcPr>
                  <w:tcW w:w="1114" w:type="dxa"/>
                  <w:noWrap w:val="0"/>
                  <w:vAlign w:val="center"/>
                </w:tcPr>
                <w:p w14:paraId="12BE1B5B">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125</w:t>
                  </w:r>
                </w:p>
              </w:tc>
              <w:tc>
                <w:tcPr>
                  <w:tcW w:w="1115" w:type="dxa"/>
                  <w:noWrap w:val="0"/>
                  <w:vAlign w:val="center"/>
                </w:tcPr>
                <w:p w14:paraId="18EB921B">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15" w:type="dxa"/>
                  <w:noWrap w:val="0"/>
                  <w:vAlign w:val="center"/>
                </w:tcPr>
                <w:p w14:paraId="3D497159">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18.75</w:t>
                  </w:r>
                </w:p>
              </w:tc>
              <w:tc>
                <w:tcPr>
                  <w:tcW w:w="1115" w:type="dxa"/>
                  <w:noWrap w:val="0"/>
                  <w:vAlign w:val="center"/>
                </w:tcPr>
                <w:p w14:paraId="7B5E124C">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106.25</w:t>
                  </w:r>
                </w:p>
              </w:tc>
              <w:tc>
                <w:tcPr>
                  <w:tcW w:w="1116" w:type="dxa"/>
                  <w:noWrap w:val="0"/>
                  <w:vAlign w:val="center"/>
                </w:tcPr>
                <w:p w14:paraId="6FB6F671">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7463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noWrap w:val="0"/>
                  <w:vAlign w:val="center"/>
                </w:tcPr>
                <w:p w14:paraId="5F5D0776">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2</w:t>
                  </w:r>
                </w:p>
              </w:tc>
              <w:tc>
                <w:tcPr>
                  <w:tcW w:w="1778" w:type="dxa"/>
                  <w:noWrap w:val="0"/>
                  <w:vAlign w:val="center"/>
                </w:tcPr>
                <w:p w14:paraId="6ECF5681">
                  <w:pPr>
                    <w:widowControl/>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bCs/>
                      <w:color w:val="auto"/>
                      <w:sz w:val="21"/>
                      <w:szCs w:val="21"/>
                      <w:highlight w:val="none"/>
                    </w:rPr>
                    <w:t>容器</w:t>
                  </w:r>
                  <w:r>
                    <w:rPr>
                      <w:rFonts w:hint="eastAsia"/>
                      <w:bCs/>
                      <w:color w:val="auto"/>
                      <w:sz w:val="21"/>
                      <w:szCs w:val="21"/>
                      <w:highlight w:val="none"/>
                      <w:lang w:val="en-US" w:eastAsia="zh-CN"/>
                    </w:rPr>
                    <w:t>清洗</w:t>
                  </w:r>
                  <w:r>
                    <w:rPr>
                      <w:bCs/>
                      <w:color w:val="auto"/>
                      <w:sz w:val="21"/>
                      <w:szCs w:val="21"/>
                      <w:highlight w:val="none"/>
                    </w:rPr>
                    <w:t>用水</w:t>
                  </w:r>
                </w:p>
              </w:tc>
              <w:tc>
                <w:tcPr>
                  <w:tcW w:w="1114" w:type="dxa"/>
                  <w:noWrap w:val="0"/>
                  <w:vAlign w:val="center"/>
                </w:tcPr>
                <w:p w14:paraId="097F8ABB">
                  <w:pPr>
                    <w:widowControl/>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15" w:type="dxa"/>
                  <w:noWrap w:val="0"/>
                  <w:vAlign w:val="center"/>
                </w:tcPr>
                <w:p w14:paraId="4339512E">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w:t>
                  </w:r>
                </w:p>
              </w:tc>
              <w:tc>
                <w:tcPr>
                  <w:tcW w:w="1115" w:type="dxa"/>
                  <w:noWrap w:val="0"/>
                  <w:vAlign w:val="center"/>
                </w:tcPr>
                <w:p w14:paraId="2D008983">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0.2</w:t>
                  </w:r>
                </w:p>
              </w:tc>
              <w:tc>
                <w:tcPr>
                  <w:tcW w:w="1115" w:type="dxa"/>
                  <w:noWrap w:val="0"/>
                  <w:vAlign w:val="center"/>
                </w:tcPr>
                <w:p w14:paraId="7C276002">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0.9</w:t>
                  </w:r>
                </w:p>
              </w:tc>
              <w:tc>
                <w:tcPr>
                  <w:tcW w:w="1116" w:type="dxa"/>
                  <w:noWrap w:val="0"/>
                  <w:vAlign w:val="center"/>
                </w:tcPr>
                <w:p w14:paraId="4BD999DC">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0.9</w:t>
                  </w:r>
                </w:p>
              </w:tc>
            </w:tr>
            <w:tr w14:paraId="1B88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noWrap w:val="0"/>
                  <w:vAlign w:val="center"/>
                </w:tcPr>
                <w:p w14:paraId="40F30E82">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3</w:t>
                  </w:r>
                </w:p>
              </w:tc>
              <w:tc>
                <w:tcPr>
                  <w:tcW w:w="1778" w:type="dxa"/>
                  <w:noWrap w:val="0"/>
                  <w:vAlign w:val="center"/>
                </w:tcPr>
                <w:p w14:paraId="4BEAB7ED">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bCs/>
                      <w:color w:val="auto"/>
                      <w:sz w:val="21"/>
                      <w:szCs w:val="21"/>
                      <w:highlight w:val="none"/>
                    </w:rPr>
                    <w:t>试剂</w:t>
                  </w:r>
                  <w:r>
                    <w:rPr>
                      <w:rFonts w:hint="eastAsia"/>
                      <w:bCs/>
                      <w:color w:val="auto"/>
                      <w:sz w:val="21"/>
                      <w:szCs w:val="21"/>
                      <w:highlight w:val="none"/>
                      <w:lang w:val="en-US" w:eastAsia="zh-CN"/>
                    </w:rPr>
                    <w:t>配制</w:t>
                  </w:r>
                  <w:r>
                    <w:rPr>
                      <w:bCs/>
                      <w:color w:val="auto"/>
                      <w:sz w:val="21"/>
                      <w:szCs w:val="21"/>
                      <w:highlight w:val="none"/>
                    </w:rPr>
                    <w:t>用水</w:t>
                  </w:r>
                </w:p>
              </w:tc>
              <w:tc>
                <w:tcPr>
                  <w:tcW w:w="1114" w:type="dxa"/>
                  <w:noWrap w:val="0"/>
                  <w:vAlign w:val="center"/>
                </w:tcPr>
                <w:p w14:paraId="20AB6FD4">
                  <w:pPr>
                    <w:widowControl/>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15" w:type="dxa"/>
                  <w:noWrap w:val="0"/>
                  <w:vAlign w:val="center"/>
                </w:tcPr>
                <w:p w14:paraId="20BD9357">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w:t>
                  </w:r>
                  <w:r>
                    <w:rPr>
                      <w:rFonts w:hint="eastAsia" w:cs="Times New Roman"/>
                      <w:b w:val="0"/>
                      <w:bCs w:val="0"/>
                      <w:color w:val="auto"/>
                      <w:sz w:val="21"/>
                      <w:szCs w:val="21"/>
                      <w:lang w:val="en-US" w:eastAsia="zh-CN"/>
                    </w:rPr>
                    <w:t>0</w:t>
                  </w:r>
                  <w:r>
                    <w:rPr>
                      <w:rFonts w:hint="eastAsia" w:ascii="Times New Roman" w:hAnsi="Times New Roman" w:eastAsia="宋体" w:cs="Times New Roman"/>
                      <w:b w:val="0"/>
                      <w:bCs w:val="0"/>
                      <w:color w:val="auto"/>
                      <w:sz w:val="21"/>
                      <w:szCs w:val="21"/>
                      <w:lang w:val="en-US" w:eastAsia="zh-CN"/>
                    </w:rPr>
                    <w:t>5</w:t>
                  </w:r>
                </w:p>
              </w:tc>
              <w:tc>
                <w:tcPr>
                  <w:tcW w:w="1115" w:type="dxa"/>
                  <w:noWrap w:val="0"/>
                  <w:vAlign w:val="center"/>
                </w:tcPr>
                <w:p w14:paraId="32B7FB53">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0.05</w:t>
                  </w:r>
                </w:p>
              </w:tc>
              <w:tc>
                <w:tcPr>
                  <w:tcW w:w="1115" w:type="dxa"/>
                  <w:noWrap w:val="0"/>
                  <w:vAlign w:val="center"/>
                </w:tcPr>
                <w:p w14:paraId="40E6EBAB">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16" w:type="dxa"/>
                  <w:noWrap w:val="0"/>
                  <w:vAlign w:val="center"/>
                </w:tcPr>
                <w:p w14:paraId="5D8011B1">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w:t>
                  </w:r>
                  <w:r>
                    <w:rPr>
                      <w:rFonts w:hint="eastAsia" w:cs="Times New Roman"/>
                      <w:b w:val="0"/>
                      <w:bCs w:val="0"/>
                      <w:color w:val="auto"/>
                      <w:sz w:val="21"/>
                      <w:szCs w:val="21"/>
                      <w:lang w:val="en-US" w:eastAsia="zh-CN"/>
                    </w:rPr>
                    <w:t>0</w:t>
                  </w:r>
                  <w:r>
                    <w:rPr>
                      <w:rFonts w:hint="eastAsia" w:ascii="Times New Roman" w:hAnsi="Times New Roman" w:eastAsia="宋体" w:cs="Times New Roman"/>
                      <w:b w:val="0"/>
                      <w:bCs w:val="0"/>
                      <w:color w:val="auto"/>
                      <w:sz w:val="21"/>
                      <w:szCs w:val="21"/>
                      <w:lang w:val="en-US" w:eastAsia="zh-CN"/>
                    </w:rPr>
                    <w:t>45</w:t>
                  </w:r>
                </w:p>
              </w:tc>
            </w:tr>
            <w:tr w14:paraId="3A05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noWrap w:val="0"/>
                  <w:vAlign w:val="center"/>
                </w:tcPr>
                <w:p w14:paraId="3AE2CA7D">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4</w:t>
                  </w:r>
                </w:p>
              </w:tc>
              <w:tc>
                <w:tcPr>
                  <w:tcW w:w="1778" w:type="dxa"/>
                  <w:noWrap w:val="0"/>
                  <w:vAlign w:val="center"/>
                </w:tcPr>
                <w:p w14:paraId="588B5061">
                  <w:pPr>
                    <w:widowControl/>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bCs/>
                      <w:color w:val="auto"/>
                      <w:sz w:val="21"/>
                      <w:szCs w:val="21"/>
                      <w:highlight w:val="none"/>
                      <w:lang w:val="en-US" w:eastAsia="zh-CN"/>
                    </w:rPr>
                    <w:t>高压蒸汽灭菌用水</w:t>
                  </w:r>
                </w:p>
              </w:tc>
              <w:tc>
                <w:tcPr>
                  <w:tcW w:w="1114" w:type="dxa"/>
                  <w:noWrap w:val="0"/>
                  <w:vAlign w:val="center"/>
                </w:tcPr>
                <w:p w14:paraId="71EC3E81">
                  <w:pPr>
                    <w:widowControl/>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15" w:type="dxa"/>
                  <w:noWrap w:val="0"/>
                  <w:vAlign w:val="center"/>
                </w:tcPr>
                <w:p w14:paraId="0B9B607B">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w:t>
                  </w:r>
                  <w:r>
                    <w:rPr>
                      <w:rFonts w:hint="eastAsia" w:cs="Times New Roman"/>
                      <w:b w:val="0"/>
                      <w:bCs w:val="0"/>
                      <w:color w:val="auto"/>
                      <w:sz w:val="21"/>
                      <w:szCs w:val="21"/>
                      <w:lang w:val="en-US" w:eastAsia="zh-CN"/>
                    </w:rPr>
                    <w:t>2</w:t>
                  </w:r>
                </w:p>
              </w:tc>
              <w:tc>
                <w:tcPr>
                  <w:tcW w:w="1115" w:type="dxa"/>
                  <w:noWrap w:val="0"/>
                  <w:vAlign w:val="center"/>
                </w:tcPr>
                <w:p w14:paraId="464B8F9C">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w:t>
                  </w:r>
                  <w:r>
                    <w:rPr>
                      <w:rFonts w:hint="eastAsia" w:cs="Times New Roman"/>
                      <w:b w:val="0"/>
                      <w:bCs w:val="0"/>
                      <w:color w:val="auto"/>
                      <w:sz w:val="21"/>
                      <w:szCs w:val="21"/>
                      <w:lang w:val="en-US" w:eastAsia="zh-CN"/>
                    </w:rPr>
                    <w:t>2</w:t>
                  </w:r>
                </w:p>
              </w:tc>
              <w:tc>
                <w:tcPr>
                  <w:tcW w:w="1115" w:type="dxa"/>
                  <w:noWrap w:val="0"/>
                  <w:vAlign w:val="center"/>
                </w:tcPr>
                <w:p w14:paraId="14FF4457">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w:t>
                  </w:r>
                  <w:r>
                    <w:rPr>
                      <w:rFonts w:hint="eastAsia" w:cs="Times New Roman"/>
                      <w:b w:val="0"/>
                      <w:bCs w:val="0"/>
                      <w:color w:val="auto"/>
                      <w:sz w:val="21"/>
                      <w:szCs w:val="21"/>
                      <w:lang w:val="en-US" w:eastAsia="zh-CN"/>
                    </w:rPr>
                    <w:t>18</w:t>
                  </w:r>
                </w:p>
              </w:tc>
              <w:tc>
                <w:tcPr>
                  <w:tcW w:w="1116" w:type="dxa"/>
                  <w:noWrap w:val="0"/>
                  <w:vAlign w:val="center"/>
                </w:tcPr>
                <w:p w14:paraId="51A9A319">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12F3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noWrap w:val="0"/>
                  <w:vAlign w:val="center"/>
                </w:tcPr>
                <w:p w14:paraId="49BF6B06">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5</w:t>
                  </w:r>
                </w:p>
              </w:tc>
              <w:tc>
                <w:tcPr>
                  <w:tcW w:w="1778" w:type="dxa"/>
                  <w:noWrap w:val="0"/>
                  <w:vAlign w:val="center"/>
                </w:tcPr>
                <w:p w14:paraId="34A9E466">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bCs/>
                      <w:color w:val="auto"/>
                      <w:sz w:val="21"/>
                      <w:szCs w:val="21"/>
                      <w:highlight w:val="none"/>
                      <w:lang w:val="en-US" w:eastAsia="zh-CN"/>
                    </w:rPr>
                    <w:t>培养液制备</w:t>
                  </w:r>
                </w:p>
              </w:tc>
              <w:tc>
                <w:tcPr>
                  <w:tcW w:w="1114" w:type="dxa"/>
                  <w:noWrap w:val="0"/>
                  <w:vAlign w:val="center"/>
                </w:tcPr>
                <w:p w14:paraId="2D6AB3DF">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15" w:type="dxa"/>
                  <w:noWrap w:val="0"/>
                  <w:vAlign w:val="center"/>
                </w:tcPr>
                <w:p w14:paraId="38D3D635">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0.5</w:t>
                  </w:r>
                </w:p>
              </w:tc>
              <w:tc>
                <w:tcPr>
                  <w:tcW w:w="1115" w:type="dxa"/>
                  <w:noWrap w:val="0"/>
                  <w:vAlign w:val="center"/>
                </w:tcPr>
                <w:p w14:paraId="49B8D29C">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w:t>
                  </w:r>
                  <w:r>
                    <w:rPr>
                      <w:rFonts w:hint="eastAsia" w:cs="Times New Roman"/>
                      <w:b w:val="0"/>
                      <w:bCs w:val="0"/>
                      <w:color w:val="auto"/>
                      <w:sz w:val="21"/>
                      <w:szCs w:val="21"/>
                      <w:lang w:val="en-US" w:eastAsia="zh-CN"/>
                    </w:rPr>
                    <w:t>3</w:t>
                  </w:r>
                </w:p>
              </w:tc>
              <w:tc>
                <w:tcPr>
                  <w:tcW w:w="1115" w:type="dxa"/>
                  <w:noWrap w:val="0"/>
                  <w:vAlign w:val="center"/>
                </w:tcPr>
                <w:p w14:paraId="55FA76D0">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16" w:type="dxa"/>
                  <w:noWrap w:val="0"/>
                  <w:vAlign w:val="center"/>
                </w:tcPr>
                <w:p w14:paraId="25538BE2">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0.2</w:t>
                  </w:r>
                </w:p>
              </w:tc>
            </w:tr>
            <w:tr w14:paraId="474B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noWrap w:val="0"/>
                  <w:vAlign w:val="center"/>
                </w:tcPr>
                <w:p w14:paraId="166BB10A">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6</w:t>
                  </w:r>
                </w:p>
              </w:tc>
              <w:tc>
                <w:tcPr>
                  <w:tcW w:w="1778" w:type="dxa"/>
                  <w:noWrap w:val="0"/>
                  <w:vAlign w:val="center"/>
                </w:tcPr>
                <w:p w14:paraId="7CB6DD44">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纯水制备</w:t>
                  </w:r>
                </w:p>
              </w:tc>
              <w:tc>
                <w:tcPr>
                  <w:tcW w:w="1114" w:type="dxa"/>
                  <w:noWrap w:val="0"/>
                  <w:vAlign w:val="center"/>
                </w:tcPr>
                <w:p w14:paraId="273301EE">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3.93</w:t>
                  </w:r>
                </w:p>
              </w:tc>
              <w:tc>
                <w:tcPr>
                  <w:tcW w:w="1115" w:type="dxa"/>
                  <w:noWrap w:val="0"/>
                  <w:vAlign w:val="center"/>
                </w:tcPr>
                <w:p w14:paraId="30DF3B58">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15" w:type="dxa"/>
                  <w:noWrap w:val="0"/>
                  <w:vAlign w:val="center"/>
                </w:tcPr>
                <w:p w14:paraId="556FF7E5">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115" w:type="dxa"/>
                  <w:noWrap w:val="0"/>
                  <w:vAlign w:val="center"/>
                </w:tcPr>
                <w:p w14:paraId="54C68C3E">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1.18</w:t>
                  </w:r>
                </w:p>
              </w:tc>
              <w:tc>
                <w:tcPr>
                  <w:tcW w:w="1116" w:type="dxa"/>
                  <w:noWrap w:val="0"/>
                  <w:vAlign w:val="center"/>
                </w:tcPr>
                <w:p w14:paraId="785834C0">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514F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7" w:type="dxa"/>
                  <w:gridSpan w:val="2"/>
                  <w:noWrap w:val="0"/>
                  <w:vAlign w:val="center"/>
                </w:tcPr>
                <w:p w14:paraId="18108667">
                  <w:pPr>
                    <w:widowControl/>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合计</w:t>
                  </w:r>
                </w:p>
              </w:tc>
              <w:tc>
                <w:tcPr>
                  <w:tcW w:w="1114" w:type="dxa"/>
                  <w:noWrap w:val="0"/>
                  <w:vAlign w:val="center"/>
                </w:tcPr>
                <w:p w14:paraId="1A6FDCA0">
                  <w:pPr>
                    <w:numPr>
                      <w:ilvl w:val="0"/>
                      <w:numId w:val="0"/>
                    </w:num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128.93</w:t>
                  </w:r>
                </w:p>
              </w:tc>
              <w:tc>
                <w:tcPr>
                  <w:tcW w:w="1115" w:type="dxa"/>
                  <w:noWrap w:val="0"/>
                  <w:vAlign w:val="center"/>
                </w:tcPr>
                <w:p w14:paraId="39A39D53">
                  <w:pPr>
                    <w:numPr>
                      <w:ilvl w:val="0"/>
                      <w:numId w:val="0"/>
                    </w:num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2.75</w:t>
                  </w:r>
                </w:p>
              </w:tc>
              <w:tc>
                <w:tcPr>
                  <w:tcW w:w="1115" w:type="dxa"/>
                  <w:noWrap w:val="0"/>
                  <w:vAlign w:val="center"/>
                </w:tcPr>
                <w:p w14:paraId="57A65170">
                  <w:pPr>
                    <w:numPr>
                      <w:ilvl w:val="0"/>
                      <w:numId w:val="0"/>
                    </w:num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19.32</w:t>
                  </w:r>
                </w:p>
              </w:tc>
              <w:tc>
                <w:tcPr>
                  <w:tcW w:w="1115" w:type="dxa"/>
                  <w:noWrap w:val="0"/>
                  <w:vAlign w:val="center"/>
                </w:tcPr>
                <w:p w14:paraId="46130AF4">
                  <w:pPr>
                    <w:numPr>
                      <w:ilvl w:val="0"/>
                      <w:numId w:val="0"/>
                    </w:num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108.51</w:t>
                  </w:r>
                </w:p>
              </w:tc>
              <w:tc>
                <w:tcPr>
                  <w:tcW w:w="1116" w:type="dxa"/>
                  <w:noWrap w:val="0"/>
                  <w:vAlign w:val="center"/>
                </w:tcPr>
                <w:p w14:paraId="78AEE61C">
                  <w:pPr>
                    <w:numPr>
                      <w:ilvl w:val="0"/>
                      <w:numId w:val="0"/>
                    </w:num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1.145</w:t>
                  </w:r>
                </w:p>
              </w:tc>
            </w:tr>
          </w:tbl>
          <w:p w14:paraId="5BBDB36C">
            <w:pPr>
              <w:adjustRightInd w:val="0"/>
              <w:snapToGrid w:val="0"/>
              <w:spacing w:line="360" w:lineRule="auto"/>
              <w:ind w:firstLine="480" w:firstLineChars="200"/>
              <w:rPr>
                <w:bCs/>
                <w:color w:val="auto"/>
                <w:sz w:val="24"/>
                <w:highlight w:val="none"/>
              </w:rPr>
            </w:pPr>
            <w:r>
              <w:rPr>
                <w:rFonts w:hint="eastAsia"/>
                <w:bCs/>
                <w:color w:val="auto"/>
                <w:sz w:val="24"/>
                <w:highlight w:val="none"/>
                <w:lang w:val="en-US" w:eastAsia="zh-CN"/>
              </w:rPr>
              <w:t>本</w:t>
            </w:r>
            <w:r>
              <w:rPr>
                <w:bCs/>
                <w:color w:val="auto"/>
                <w:sz w:val="24"/>
                <w:highlight w:val="none"/>
              </w:rPr>
              <w:t>项目水平衡图见下图。</w:t>
            </w:r>
          </w:p>
          <w:p w14:paraId="75C5B739">
            <w:pPr>
              <w:adjustRightInd w:val="0"/>
              <w:spacing w:line="360" w:lineRule="auto"/>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object>
                <v:shape id="_x0000_i1025" o:spt="75" type="#_x0000_t75" style="height:278.4pt;width:398.45pt;" o:ole="t" filled="f" o:preferrelative="t" stroked="f" coordsize="21600,21600">
                  <v:path/>
                  <v:fill on="f" focussize="0,0"/>
                  <v:stroke on="f"/>
                  <v:imagedata r:id="rId13" o:title=""/>
                  <o:lock v:ext="edit" aspectratio="f"/>
                  <w10:wrap type="none"/>
                  <w10:anchorlock/>
                </v:shape>
                <o:OLEObject Type="Embed" ProgID="Visio.Drawing.15" ShapeID="_x0000_i1025" DrawAspect="Content" ObjectID="_1468075725" r:id="rId12">
                  <o:LockedField>false</o:LockedField>
                </o:OLEObject>
              </w:object>
            </w:r>
          </w:p>
          <w:p w14:paraId="28B4A7A5">
            <w:pPr>
              <w:numPr>
                <w:ilvl w:val="0"/>
                <w:numId w:val="16"/>
              </w:numPr>
              <w:adjustRightInd w:val="0"/>
              <w:spacing w:line="360" w:lineRule="auto"/>
              <w:ind w:left="425" w:leftChars="0" w:hanging="425" w:firstLineChars="0"/>
              <w:jc w:val="center"/>
              <w:rPr>
                <w:rFonts w:hint="eastAsia"/>
                <w:bCs/>
                <w:color w:val="auto"/>
                <w:sz w:val="24"/>
                <w:highlight w:val="none"/>
                <w:lang w:eastAsia="zh-CN"/>
              </w:rPr>
            </w:pPr>
            <w:r>
              <w:rPr>
                <w:rFonts w:hint="eastAsia" w:cs="Times New Roman"/>
                <w:b/>
                <w:color w:val="auto"/>
                <w:sz w:val="24"/>
                <w:highlight w:val="none"/>
                <w:lang w:val="en-US" w:eastAsia="zh-CN"/>
              </w:rPr>
              <w:t>本</w:t>
            </w:r>
            <w:r>
              <w:rPr>
                <w:rFonts w:hint="default" w:ascii="Times New Roman" w:hAnsi="Times New Roman" w:eastAsia="宋体" w:cs="Times New Roman"/>
                <w:b/>
                <w:color w:val="auto"/>
                <w:sz w:val="24"/>
                <w:highlight w:val="none"/>
              </w:rPr>
              <w:t>项目水平衡图</w:t>
            </w:r>
            <w:r>
              <w:rPr>
                <w:rFonts w:hint="eastAsia" w:cs="Times New Roman"/>
                <w:b/>
                <w:color w:val="auto"/>
                <w:sz w:val="24"/>
                <w:highlight w:val="none"/>
                <w:lang w:eastAsia="zh-CN"/>
              </w:rPr>
              <w:t>“</w:t>
            </w:r>
            <w:r>
              <w:rPr>
                <w:rFonts w:hint="default" w:ascii="Times New Roman" w:hAnsi="Times New Roman" w:eastAsia="宋体" w:cs="Times New Roman"/>
                <w:b/>
                <w:color w:val="auto"/>
                <w:sz w:val="24"/>
                <w:highlight w:val="none"/>
              </w:rPr>
              <w:object>
                <v:shape id="_x0000_i1026" o:spt="75" type="#_x0000_t75" style="height:18.25pt;width:30.95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r>
              <w:rPr>
                <w:rFonts w:hint="eastAsia" w:cs="Times New Roman"/>
                <w:b/>
                <w:color w:val="auto"/>
                <w:sz w:val="24"/>
                <w:highlight w:val="none"/>
                <w:lang w:eastAsia="zh-CN"/>
              </w:rPr>
              <w:t>”</w:t>
            </w:r>
            <w:r>
              <w:rPr>
                <w:rFonts w:hint="default" w:ascii="Times New Roman" w:hAnsi="Times New Roman" w:eastAsia="宋体" w:cs="Times New Roman"/>
                <w:b/>
                <w:color w:val="auto"/>
                <w:sz w:val="24"/>
                <w:highlight w:val="none"/>
              </w:rPr>
              <w:t>消耗量</w:t>
            </w:r>
          </w:p>
          <w:p w14:paraId="52B8427E">
            <w:pPr>
              <w:numPr>
                <w:ilvl w:val="0"/>
                <w:numId w:val="12"/>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劳动定员及工作制度</w:t>
            </w:r>
          </w:p>
          <w:p w14:paraId="70DAD8D5">
            <w:pPr>
              <w:numPr>
                <w:ilvl w:val="0"/>
                <w:numId w:val="0"/>
              </w:numPr>
              <w:tabs>
                <w:tab w:val="left" w:pos="0"/>
              </w:tabs>
              <w:adjustRightInd w:val="0"/>
              <w:snapToGrid w:val="0"/>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本项目员工10人，不设食宿，年工作时间250天，每天工作8小时，夜间不工作。</w:t>
            </w:r>
          </w:p>
          <w:p w14:paraId="272A52CF">
            <w:pPr>
              <w:numPr>
                <w:ilvl w:val="0"/>
                <w:numId w:val="12"/>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平面布置、</w:t>
            </w:r>
            <w:r>
              <w:rPr>
                <w:rFonts w:hint="default" w:ascii="Times New Roman" w:hAnsi="Times New Roman" w:eastAsia="宋体" w:cs="Times New Roman"/>
                <w:b/>
                <w:bCs/>
                <w:color w:val="auto"/>
                <w:sz w:val="24"/>
                <w:highlight w:val="none"/>
                <w:lang w:val="en-US" w:eastAsia="zh-CN"/>
              </w:rPr>
              <w:t>地理位置、周边关系</w:t>
            </w:r>
          </w:p>
          <w:p w14:paraId="2F965C4A">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地理位置</w:t>
            </w:r>
          </w:p>
          <w:p w14:paraId="35D33B0F">
            <w:pPr>
              <w:adjustRightInd w:val="0"/>
              <w:spacing w:line="360" w:lineRule="auto"/>
              <w:ind w:firstLine="480" w:firstLineChars="200"/>
              <w:rPr>
                <w:rFonts w:hint="default" w:eastAsia="宋体" w:cs="Times New Roman"/>
                <w:color w:val="auto"/>
                <w:sz w:val="24"/>
                <w:highlight w:val="none"/>
                <w:lang w:val="en-US" w:eastAsia="zh-CN"/>
              </w:rPr>
            </w:pPr>
            <w:r>
              <w:rPr>
                <w:rFonts w:hint="default" w:eastAsia="宋体" w:cs="Times New Roman"/>
                <w:color w:val="auto"/>
                <w:sz w:val="24"/>
                <w:highlight w:val="none"/>
                <w:lang w:val="en-US" w:eastAsia="zh-CN"/>
              </w:rPr>
              <w:t>本项目位于</w:t>
            </w:r>
            <w:r>
              <w:rPr>
                <w:rFonts w:hint="eastAsia" w:eastAsia="宋体" w:cs="Times New Roman"/>
                <w:color w:val="auto"/>
                <w:sz w:val="24"/>
                <w:highlight w:val="none"/>
                <w:lang w:val="en-US" w:eastAsia="zh-CN"/>
              </w:rPr>
              <w:t>北京经济技术开发区(通州)景盛南二街10号院10号楼3层301</w:t>
            </w:r>
            <w:r>
              <w:rPr>
                <w:rFonts w:hint="default" w:eastAsia="宋体" w:cs="Times New Roman"/>
                <w:color w:val="auto"/>
                <w:sz w:val="24"/>
                <w:highlight w:val="none"/>
                <w:lang w:val="en-US" w:eastAsia="zh-CN"/>
              </w:rPr>
              <w:t>，</w:t>
            </w:r>
            <w:r>
              <w:rPr>
                <w:rFonts w:hint="eastAsia" w:eastAsia="宋体" w:cs="Times New Roman"/>
                <w:color w:val="auto"/>
                <w:sz w:val="24"/>
                <w:highlight w:val="none"/>
                <w:lang w:val="en-US" w:eastAsia="zh-CN"/>
              </w:rPr>
              <w:t>中心坐标为东经116度32分50.788秒，北纬39度43分51.236秒。</w:t>
            </w:r>
            <w:r>
              <w:rPr>
                <w:rFonts w:hint="default" w:eastAsia="宋体" w:cs="Times New Roman"/>
                <w:color w:val="auto"/>
                <w:sz w:val="24"/>
                <w:highlight w:val="none"/>
                <w:lang w:val="en-US" w:eastAsia="zh-CN"/>
              </w:rPr>
              <w:t>地理位置见附图1。</w:t>
            </w:r>
          </w:p>
          <w:p w14:paraId="72D281E0">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平面布置</w:t>
            </w:r>
          </w:p>
          <w:p w14:paraId="565637EF">
            <w:pPr>
              <w:adjustRightInd w:val="0"/>
              <w:spacing w:line="360" w:lineRule="auto"/>
              <w:ind w:firstLine="480" w:firstLineChars="200"/>
              <w:rPr>
                <w:rFonts w:hint="default" w:cs="Times New Roman"/>
                <w:color w:val="auto"/>
                <w:sz w:val="24"/>
                <w:highlight w:val="none"/>
                <w:lang w:val="en-US" w:eastAsia="zh-CN"/>
              </w:rPr>
            </w:pPr>
            <w:r>
              <w:rPr>
                <w:rFonts w:hint="eastAsia" w:cs="Times New Roman"/>
                <w:color w:val="auto"/>
                <w:sz w:val="24"/>
                <w:highlight w:val="none"/>
                <w:lang w:val="en-US" w:eastAsia="zh-CN"/>
              </w:rPr>
              <w:t>本项目在中间区域布置研发生产区，由东向西分别布置发酵间、纯化间、灭菌间、备用间、配液罐装间；研发生产区北侧隔洁净走廊分别布置菌种库、危废间、试剂间、器具清洗间、种子制备间等；项目东侧和南侧布置办公室、会议室、库房；项目西侧布置机房、原料库、产品库、一般固废间等；项目北侧布置冷库、研发综合实验室等。平面布置见附图3。</w:t>
            </w:r>
          </w:p>
          <w:p w14:paraId="1DD65386">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周边关系</w:t>
            </w:r>
          </w:p>
          <w:p w14:paraId="2EEB44A9">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本项目所在建筑10号楼东侧隔35米道路为联东U谷西区32A厂房</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南侧隔35米道路为联东U谷西区二号院其他厂房，西侧紧临</w:t>
            </w:r>
            <w:r>
              <w:rPr>
                <w:rFonts w:hint="eastAsia" w:cs="Times New Roman"/>
                <w:color w:val="auto"/>
                <w:sz w:val="24"/>
                <w:highlight w:val="none"/>
                <w:lang w:val="en-US" w:eastAsia="zh-CN"/>
              </w:rPr>
              <w:t>本建筑其他单元</w:t>
            </w:r>
            <w:r>
              <w:rPr>
                <w:rFonts w:hint="default" w:ascii="Times New Roman" w:hAnsi="Times New Roman" w:eastAsia="宋体" w:cs="Times New Roman"/>
                <w:color w:val="auto"/>
                <w:sz w:val="24"/>
                <w:highlight w:val="none"/>
                <w:lang w:val="en-US" w:eastAsia="zh-CN"/>
              </w:rPr>
              <w:t>，北侧隔18米道路为园区6号厂房。</w:t>
            </w:r>
            <w:r>
              <w:rPr>
                <w:rFonts w:hint="eastAsia" w:cs="Times New Roman"/>
                <w:color w:val="auto"/>
                <w:sz w:val="24"/>
                <w:highlight w:val="none"/>
                <w:lang w:val="en-US" w:eastAsia="zh-CN"/>
              </w:rPr>
              <w:t>周边关系见附图2。</w:t>
            </w:r>
          </w:p>
          <w:p w14:paraId="6ABB6EA4">
            <w:pPr>
              <w:numPr>
                <w:ilvl w:val="0"/>
                <w:numId w:val="0"/>
              </w:numPr>
              <w:adjustRightInd w:val="0"/>
              <w:snapToGrid w:val="0"/>
              <w:spacing w:line="360" w:lineRule="auto"/>
              <w:ind w:leftChars="0" w:firstLine="480" w:firstLineChars="200"/>
              <w:jc w:val="both"/>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本项目周边关系见</w:t>
            </w:r>
            <w:r>
              <w:rPr>
                <w:rFonts w:hint="eastAsia" w:cs="Times New Roman"/>
                <w:color w:val="auto"/>
                <w:sz w:val="24"/>
                <w:highlight w:val="none"/>
                <w:lang w:val="en-US" w:eastAsia="zh-CN"/>
              </w:rPr>
              <w:t>下表、周边现场照片见</w:t>
            </w:r>
            <w:r>
              <w:rPr>
                <w:rFonts w:hint="default" w:ascii="Times New Roman" w:hAnsi="Times New Roman" w:eastAsia="宋体" w:cs="Times New Roman"/>
                <w:color w:val="auto"/>
                <w:sz w:val="24"/>
                <w:highlight w:val="none"/>
              </w:rPr>
              <w:t>图2</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p>
          <w:p w14:paraId="7BB2EB25">
            <w:pPr>
              <w:numPr>
                <w:ilvl w:val="0"/>
                <w:numId w:val="13"/>
              </w:numPr>
              <w:adjustRightInd w:val="0"/>
              <w:snapToGrid w:val="0"/>
              <w:spacing w:line="360" w:lineRule="auto"/>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rPr>
              <w:t>本项目周边关系</w:t>
            </w:r>
            <w:r>
              <w:rPr>
                <w:rFonts w:hint="eastAsia" w:cs="Times New Roman"/>
                <w:b/>
                <w:bCs/>
                <w:color w:val="auto"/>
                <w:sz w:val="24"/>
                <w:highlight w:val="none"/>
                <w:lang w:val="en-US" w:eastAsia="zh-CN"/>
              </w:rPr>
              <w:t>表</w:t>
            </w:r>
          </w:p>
          <w:tbl>
            <w:tblPr>
              <w:tblStyle w:val="24"/>
              <w:tblW w:w="49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1770"/>
              <w:gridCol w:w="2092"/>
              <w:gridCol w:w="2713"/>
            </w:tblGrid>
            <w:tr w14:paraId="2A12C6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08" w:type="dxa"/>
                  <w:tcBorders>
                    <w:tl2br w:val="nil"/>
                    <w:tr2bl w:val="nil"/>
                  </w:tcBorders>
                  <w:vAlign w:val="center"/>
                </w:tcPr>
                <w:p w14:paraId="19BA03A8">
                  <w:pPr>
                    <w:adjustRightIn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序号</w:t>
                  </w:r>
                </w:p>
              </w:tc>
              <w:tc>
                <w:tcPr>
                  <w:tcW w:w="1440" w:type="dxa"/>
                  <w:tcBorders>
                    <w:tl2br w:val="nil"/>
                    <w:tr2bl w:val="nil"/>
                  </w:tcBorders>
                  <w:vAlign w:val="center"/>
                </w:tcPr>
                <w:p w14:paraId="180DA12C">
                  <w:pPr>
                    <w:adjustRightIn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方位</w:t>
                  </w:r>
                </w:p>
              </w:tc>
              <w:tc>
                <w:tcPr>
                  <w:tcW w:w="1702" w:type="dxa"/>
                  <w:tcBorders>
                    <w:tl2br w:val="nil"/>
                    <w:tr2bl w:val="nil"/>
                  </w:tcBorders>
                  <w:vAlign w:val="center"/>
                </w:tcPr>
                <w:p w14:paraId="6A815715">
                  <w:pPr>
                    <w:adjustRightInd w:val="0"/>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距离，m</w:t>
                  </w:r>
                </w:p>
              </w:tc>
              <w:tc>
                <w:tcPr>
                  <w:tcW w:w="2206" w:type="dxa"/>
                  <w:tcBorders>
                    <w:tl2br w:val="nil"/>
                    <w:tr2bl w:val="nil"/>
                  </w:tcBorders>
                  <w:vAlign w:val="center"/>
                </w:tcPr>
                <w:p w14:paraId="2E4AD3A7">
                  <w:pPr>
                    <w:adjustRightInd w:val="0"/>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名称</w:t>
                  </w:r>
                </w:p>
              </w:tc>
            </w:tr>
            <w:tr w14:paraId="59D261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08" w:type="dxa"/>
                  <w:tcBorders>
                    <w:tl2br w:val="nil"/>
                    <w:tr2bl w:val="nil"/>
                  </w:tcBorders>
                  <w:vAlign w:val="center"/>
                </w:tcPr>
                <w:p w14:paraId="41BBCFE8">
                  <w:pPr>
                    <w:adjustRightIn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1440" w:type="dxa"/>
                  <w:tcBorders>
                    <w:tl2br w:val="nil"/>
                    <w:tr2bl w:val="nil"/>
                  </w:tcBorders>
                  <w:vAlign w:val="center"/>
                </w:tcPr>
                <w:p w14:paraId="774D6BBD">
                  <w:pPr>
                    <w:adjustRightIn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东侧</w:t>
                  </w:r>
                </w:p>
              </w:tc>
              <w:tc>
                <w:tcPr>
                  <w:tcW w:w="1702" w:type="dxa"/>
                  <w:tcBorders>
                    <w:tl2br w:val="nil"/>
                    <w:tr2bl w:val="nil"/>
                  </w:tcBorders>
                  <w:vAlign w:val="center"/>
                </w:tcPr>
                <w:p w14:paraId="11B7BC6E">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35</w:t>
                  </w:r>
                </w:p>
              </w:tc>
              <w:tc>
                <w:tcPr>
                  <w:tcW w:w="2206" w:type="dxa"/>
                  <w:tcBorders>
                    <w:tl2br w:val="nil"/>
                    <w:tr2bl w:val="nil"/>
                  </w:tcBorders>
                  <w:vAlign w:val="center"/>
                </w:tcPr>
                <w:p w14:paraId="470C1306">
                  <w:pPr>
                    <w:adjustRightInd w:val="0"/>
                    <w:spacing w:line="240" w:lineRule="auto"/>
                    <w:jc w:val="center"/>
                    <w:rPr>
                      <w:rFonts w:hint="default"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联东U谷西区32A厂房</w:t>
                  </w:r>
                </w:p>
              </w:tc>
            </w:tr>
            <w:tr w14:paraId="33A449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08" w:type="dxa"/>
                  <w:tcBorders>
                    <w:tl2br w:val="nil"/>
                    <w:tr2bl w:val="nil"/>
                  </w:tcBorders>
                  <w:vAlign w:val="center"/>
                </w:tcPr>
                <w:p w14:paraId="4CD556B4">
                  <w:pPr>
                    <w:adjustRightIn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c>
                <w:tcPr>
                  <w:tcW w:w="1440" w:type="dxa"/>
                  <w:tcBorders>
                    <w:tl2br w:val="nil"/>
                    <w:tr2bl w:val="nil"/>
                  </w:tcBorders>
                  <w:vAlign w:val="center"/>
                </w:tcPr>
                <w:p w14:paraId="4D2BE77A">
                  <w:pPr>
                    <w:adjustRightIn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南侧</w:t>
                  </w:r>
                </w:p>
              </w:tc>
              <w:tc>
                <w:tcPr>
                  <w:tcW w:w="1702" w:type="dxa"/>
                  <w:tcBorders>
                    <w:tl2br w:val="nil"/>
                    <w:tr2bl w:val="nil"/>
                  </w:tcBorders>
                  <w:vAlign w:val="center"/>
                </w:tcPr>
                <w:p w14:paraId="6F8BBC99">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35</w:t>
                  </w:r>
                </w:p>
              </w:tc>
              <w:tc>
                <w:tcPr>
                  <w:tcW w:w="2206" w:type="dxa"/>
                  <w:tcBorders>
                    <w:tl2br w:val="nil"/>
                    <w:tr2bl w:val="nil"/>
                  </w:tcBorders>
                  <w:vAlign w:val="center"/>
                </w:tcPr>
                <w:p w14:paraId="4959753E">
                  <w:pPr>
                    <w:adjustRightInd w:val="0"/>
                    <w:spacing w:line="240" w:lineRule="auto"/>
                    <w:jc w:val="center"/>
                    <w:rPr>
                      <w:rFonts w:hint="default"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联东U谷西区二号院其他厂房</w:t>
                  </w:r>
                </w:p>
              </w:tc>
            </w:tr>
            <w:tr w14:paraId="00DF17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08" w:type="dxa"/>
                  <w:tcBorders>
                    <w:tl2br w:val="nil"/>
                    <w:tr2bl w:val="nil"/>
                  </w:tcBorders>
                  <w:vAlign w:val="center"/>
                </w:tcPr>
                <w:p w14:paraId="4CA3FBE6">
                  <w:pPr>
                    <w:adjustRightIn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1440" w:type="dxa"/>
                  <w:tcBorders>
                    <w:tl2br w:val="nil"/>
                    <w:tr2bl w:val="nil"/>
                  </w:tcBorders>
                  <w:vAlign w:val="center"/>
                </w:tcPr>
                <w:p w14:paraId="50AAB134">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西侧</w:t>
                  </w:r>
                </w:p>
              </w:tc>
              <w:tc>
                <w:tcPr>
                  <w:tcW w:w="1702" w:type="dxa"/>
                  <w:tcBorders>
                    <w:tl2br w:val="nil"/>
                    <w:tr2bl w:val="nil"/>
                  </w:tcBorders>
                  <w:vAlign w:val="center"/>
                </w:tcPr>
                <w:p w14:paraId="323BEA92">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紧邻</w:t>
                  </w:r>
                </w:p>
              </w:tc>
              <w:tc>
                <w:tcPr>
                  <w:tcW w:w="2206" w:type="dxa"/>
                  <w:tcBorders>
                    <w:tl2br w:val="nil"/>
                    <w:tr2bl w:val="nil"/>
                  </w:tcBorders>
                  <w:vAlign w:val="center"/>
                </w:tcPr>
                <w:p w14:paraId="42C6357F">
                  <w:pPr>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其他单元</w:t>
                  </w:r>
                </w:p>
              </w:tc>
            </w:tr>
            <w:tr w14:paraId="259720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08" w:type="dxa"/>
                  <w:tcBorders>
                    <w:tl2br w:val="nil"/>
                    <w:tr2bl w:val="nil"/>
                  </w:tcBorders>
                  <w:vAlign w:val="center"/>
                </w:tcPr>
                <w:p w14:paraId="7F135681">
                  <w:pPr>
                    <w:adjustRightIn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w:t>
                  </w:r>
                </w:p>
              </w:tc>
              <w:tc>
                <w:tcPr>
                  <w:tcW w:w="1440" w:type="dxa"/>
                  <w:tcBorders>
                    <w:tl2br w:val="nil"/>
                    <w:tr2bl w:val="nil"/>
                  </w:tcBorders>
                  <w:shd w:val="clear" w:color="auto" w:fill="auto"/>
                  <w:vAlign w:val="center"/>
                </w:tcPr>
                <w:p w14:paraId="7372DB97">
                  <w:pPr>
                    <w:adjustRightIn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北侧</w:t>
                  </w:r>
                </w:p>
              </w:tc>
              <w:tc>
                <w:tcPr>
                  <w:tcW w:w="1702" w:type="dxa"/>
                  <w:tcBorders>
                    <w:tl2br w:val="nil"/>
                    <w:tr2bl w:val="nil"/>
                  </w:tcBorders>
                  <w:shd w:val="clear" w:color="auto" w:fill="auto"/>
                  <w:vAlign w:val="center"/>
                </w:tcPr>
                <w:p w14:paraId="38E43D28">
                  <w:pPr>
                    <w:adjustRightIn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18</w:t>
                  </w:r>
                </w:p>
              </w:tc>
              <w:tc>
                <w:tcPr>
                  <w:tcW w:w="2206" w:type="dxa"/>
                  <w:tcBorders>
                    <w:tl2br w:val="nil"/>
                    <w:tr2bl w:val="nil"/>
                  </w:tcBorders>
                  <w:shd w:val="clear" w:color="auto" w:fill="auto"/>
                  <w:vAlign w:val="center"/>
                </w:tcPr>
                <w:p w14:paraId="0082A4C6">
                  <w:pPr>
                    <w:adjustRightIn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园区6号厂房</w:t>
                  </w:r>
                </w:p>
              </w:tc>
            </w:tr>
          </w:tbl>
          <w:p w14:paraId="7CA2D52B">
            <w:pPr>
              <w:numPr>
                <w:ilvl w:val="0"/>
                <w:numId w:val="0"/>
              </w:numPr>
              <w:adjustRightInd w:val="0"/>
              <w:spacing w:line="360" w:lineRule="auto"/>
              <w:jc w:val="both"/>
              <w:rPr>
                <w:rFonts w:hint="default" w:ascii="Times New Roman" w:hAnsi="Times New Roman" w:eastAsia="宋体" w:cs="Times New Roman"/>
                <w:color w:val="auto"/>
                <w:sz w:val="24"/>
                <w:highlight w:val="none"/>
              </w:rPr>
            </w:pPr>
          </w:p>
          <w:tbl>
            <w:tblPr>
              <w:tblStyle w:val="24"/>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86"/>
              <w:gridCol w:w="3987"/>
            </w:tblGrid>
            <w:tr w14:paraId="1EE3E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6" w:type="dxa"/>
                  <w:tcBorders>
                    <w:tl2br w:val="nil"/>
                    <w:tr2bl w:val="nil"/>
                  </w:tcBorders>
                </w:tcPr>
                <w:p w14:paraId="7A0E15D5">
                  <w:pPr>
                    <w:numPr>
                      <w:ilvl w:val="0"/>
                      <w:numId w:val="0"/>
                    </w:numPr>
                    <w:adjustRightInd w:val="0"/>
                    <w:spacing w:line="360" w:lineRule="auto"/>
                    <w:jc w:val="both"/>
                    <w:rPr>
                      <w:rFonts w:hint="eastAsia" w:ascii="Times New Roman" w:hAnsi="Times New Roman" w:eastAsia="宋体" w:cs="Times New Roman"/>
                      <w:color w:val="auto"/>
                      <w:sz w:val="24"/>
                      <w:highlight w:val="none"/>
                      <w:vertAlign w:val="baseline"/>
                      <w:lang w:eastAsia="zh-CN"/>
                    </w:rPr>
                  </w:pPr>
                  <w:r>
                    <w:rPr>
                      <w:rFonts w:hint="eastAsia" w:ascii="Times New Roman" w:hAnsi="Times New Roman" w:eastAsia="宋体" w:cs="Times New Roman"/>
                      <w:color w:val="auto"/>
                      <w:sz w:val="24"/>
                      <w:highlight w:val="none"/>
                      <w:vertAlign w:val="baseline"/>
                      <w:lang w:eastAsia="zh-CN"/>
                    </w:rPr>
                    <w:drawing>
                      <wp:inline distT="0" distB="0" distL="114300" distR="114300">
                        <wp:extent cx="2392045" cy="1794510"/>
                        <wp:effectExtent l="0" t="0" r="635" b="3810"/>
                        <wp:docPr id="23" name="图片 23" descr="776e227c8bc0dd0ca0a69359f9ea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76e227c8bc0dd0ca0a69359f9ea799"/>
                                <pic:cNvPicPr>
                                  <a:picLocks noChangeAspect="1"/>
                                </pic:cNvPicPr>
                              </pic:nvPicPr>
                              <pic:blipFill>
                                <a:blip r:embed="rId16"/>
                                <a:stretch>
                                  <a:fillRect/>
                                </a:stretch>
                              </pic:blipFill>
                              <pic:spPr>
                                <a:xfrm>
                                  <a:off x="0" y="0"/>
                                  <a:ext cx="2392045" cy="1794510"/>
                                </a:xfrm>
                                <a:prstGeom prst="rect">
                                  <a:avLst/>
                                </a:prstGeom>
                              </pic:spPr>
                            </pic:pic>
                          </a:graphicData>
                        </a:graphic>
                      </wp:inline>
                    </w:drawing>
                  </w:r>
                </w:p>
              </w:tc>
              <w:tc>
                <w:tcPr>
                  <w:tcW w:w="3987" w:type="dxa"/>
                  <w:tcBorders>
                    <w:tl2br w:val="nil"/>
                    <w:tr2bl w:val="nil"/>
                  </w:tcBorders>
                </w:tcPr>
                <w:p w14:paraId="68E4FEB7">
                  <w:pPr>
                    <w:numPr>
                      <w:ilvl w:val="0"/>
                      <w:numId w:val="0"/>
                    </w:numPr>
                    <w:adjustRightInd w:val="0"/>
                    <w:spacing w:line="360" w:lineRule="auto"/>
                    <w:jc w:val="both"/>
                    <w:rPr>
                      <w:rFonts w:hint="eastAsia" w:ascii="Times New Roman" w:hAnsi="Times New Roman" w:eastAsia="宋体" w:cs="Times New Roman"/>
                      <w:color w:val="auto"/>
                      <w:sz w:val="24"/>
                      <w:highlight w:val="none"/>
                      <w:vertAlign w:val="baseline"/>
                      <w:lang w:eastAsia="zh-CN"/>
                    </w:rPr>
                  </w:pPr>
                  <w:r>
                    <w:rPr>
                      <w:rFonts w:hint="eastAsia" w:ascii="Times New Roman" w:hAnsi="Times New Roman" w:eastAsia="宋体" w:cs="Times New Roman"/>
                      <w:color w:val="auto"/>
                      <w:sz w:val="24"/>
                      <w:highlight w:val="none"/>
                      <w:vertAlign w:val="baseline"/>
                      <w:lang w:eastAsia="zh-CN"/>
                    </w:rPr>
                    <w:drawing>
                      <wp:inline distT="0" distB="0" distL="114300" distR="114300">
                        <wp:extent cx="2392045" cy="1794510"/>
                        <wp:effectExtent l="0" t="0" r="635" b="3810"/>
                        <wp:docPr id="21" name="图片 21" descr="599b67de778de91e4869e06dc04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99b67de778de91e4869e06dc042977"/>
                                <pic:cNvPicPr>
                                  <a:picLocks noChangeAspect="1"/>
                                </pic:cNvPicPr>
                              </pic:nvPicPr>
                              <pic:blipFill>
                                <a:blip r:embed="rId17"/>
                                <a:stretch>
                                  <a:fillRect/>
                                </a:stretch>
                              </pic:blipFill>
                              <pic:spPr>
                                <a:xfrm>
                                  <a:off x="0" y="0"/>
                                  <a:ext cx="2392045" cy="1794510"/>
                                </a:xfrm>
                                <a:prstGeom prst="rect">
                                  <a:avLst/>
                                </a:prstGeom>
                              </pic:spPr>
                            </pic:pic>
                          </a:graphicData>
                        </a:graphic>
                      </wp:inline>
                    </w:drawing>
                  </w:r>
                </w:p>
              </w:tc>
            </w:tr>
            <w:tr w14:paraId="11794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6" w:type="dxa"/>
                  <w:tcBorders>
                    <w:tl2br w:val="nil"/>
                    <w:tr2bl w:val="nil"/>
                  </w:tcBorders>
                </w:tcPr>
                <w:p w14:paraId="2E8C3FF3">
                  <w:pPr>
                    <w:numPr>
                      <w:ilvl w:val="0"/>
                      <w:numId w:val="0"/>
                    </w:numPr>
                    <w:adjustRightInd w:val="0"/>
                    <w:spacing w:line="360" w:lineRule="auto"/>
                    <w:jc w:val="center"/>
                    <w:rPr>
                      <w:rFonts w:hint="default" w:ascii="Times New Roman" w:hAnsi="Times New Roman" w:eastAsia="宋体" w:cs="Times New Roman"/>
                      <w:color w:val="auto"/>
                      <w:sz w:val="24"/>
                      <w:highlight w:val="none"/>
                      <w:vertAlign w:val="baseline"/>
                      <w:lang w:val="en-US" w:eastAsia="zh-CN"/>
                    </w:rPr>
                  </w:pPr>
                  <w:r>
                    <w:rPr>
                      <w:rFonts w:hint="eastAsia" w:cs="Times New Roman"/>
                      <w:color w:val="auto"/>
                      <w:sz w:val="24"/>
                      <w:highlight w:val="none"/>
                      <w:vertAlign w:val="baseline"/>
                      <w:lang w:val="en-US" w:eastAsia="zh-CN"/>
                    </w:rPr>
                    <w:t>项目东侧道路</w:t>
                  </w:r>
                </w:p>
              </w:tc>
              <w:tc>
                <w:tcPr>
                  <w:tcW w:w="3987" w:type="dxa"/>
                  <w:tcBorders>
                    <w:tl2br w:val="nil"/>
                    <w:tr2bl w:val="nil"/>
                  </w:tcBorders>
                </w:tcPr>
                <w:p w14:paraId="1E02A432">
                  <w:pPr>
                    <w:numPr>
                      <w:ilvl w:val="0"/>
                      <w:numId w:val="0"/>
                    </w:numPr>
                    <w:adjustRightInd w:val="0"/>
                    <w:spacing w:line="360" w:lineRule="auto"/>
                    <w:jc w:val="center"/>
                    <w:rPr>
                      <w:rFonts w:hint="default" w:ascii="Times New Roman" w:hAnsi="Times New Roman" w:eastAsia="宋体" w:cs="Times New Roman"/>
                      <w:color w:val="auto"/>
                      <w:sz w:val="24"/>
                      <w:highlight w:val="none"/>
                      <w:vertAlign w:val="baseline"/>
                    </w:rPr>
                  </w:pPr>
                  <w:r>
                    <w:rPr>
                      <w:rFonts w:hint="eastAsia" w:cs="Times New Roman"/>
                      <w:color w:val="auto"/>
                      <w:sz w:val="24"/>
                      <w:highlight w:val="none"/>
                      <w:vertAlign w:val="baseline"/>
                      <w:lang w:val="en-US" w:eastAsia="zh-CN"/>
                    </w:rPr>
                    <w:t>项目南侧道路</w:t>
                  </w:r>
                </w:p>
              </w:tc>
            </w:tr>
            <w:tr w14:paraId="1819F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6" w:type="dxa"/>
                  <w:tcBorders>
                    <w:tl2br w:val="nil"/>
                    <w:tr2bl w:val="nil"/>
                  </w:tcBorders>
                </w:tcPr>
                <w:p w14:paraId="62D50FF7">
                  <w:pPr>
                    <w:numPr>
                      <w:ilvl w:val="0"/>
                      <w:numId w:val="0"/>
                    </w:numPr>
                    <w:adjustRightInd w:val="0"/>
                    <w:spacing w:line="360" w:lineRule="auto"/>
                    <w:jc w:val="center"/>
                    <w:rPr>
                      <w:rFonts w:hint="eastAsia" w:ascii="Times New Roman" w:hAnsi="Times New Roman" w:eastAsia="宋体" w:cs="Times New Roman"/>
                      <w:color w:val="auto"/>
                      <w:sz w:val="24"/>
                      <w:highlight w:val="none"/>
                      <w:vertAlign w:val="baseline"/>
                      <w:lang w:eastAsia="zh-CN"/>
                    </w:rPr>
                  </w:pPr>
                  <w:r>
                    <w:rPr>
                      <w:rFonts w:hint="eastAsia" w:ascii="Times New Roman" w:hAnsi="Times New Roman" w:eastAsia="宋体" w:cs="Times New Roman"/>
                      <w:color w:val="auto"/>
                      <w:sz w:val="24"/>
                      <w:highlight w:val="none"/>
                      <w:vertAlign w:val="baseline"/>
                      <w:lang w:eastAsia="zh-CN"/>
                    </w:rPr>
                    <w:drawing>
                      <wp:inline distT="0" distB="0" distL="114300" distR="114300">
                        <wp:extent cx="2392045" cy="1794510"/>
                        <wp:effectExtent l="0" t="0" r="635" b="3810"/>
                        <wp:docPr id="18" name="图片 18" descr="b85d556625c27eebb1f66385db5a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85d556625c27eebb1f66385db5ad42"/>
                                <pic:cNvPicPr>
                                  <a:picLocks noChangeAspect="1"/>
                                </pic:cNvPicPr>
                              </pic:nvPicPr>
                              <pic:blipFill>
                                <a:blip r:embed="rId18"/>
                                <a:stretch>
                                  <a:fillRect/>
                                </a:stretch>
                              </pic:blipFill>
                              <pic:spPr>
                                <a:xfrm>
                                  <a:off x="0" y="0"/>
                                  <a:ext cx="2392045" cy="1794510"/>
                                </a:xfrm>
                                <a:prstGeom prst="rect">
                                  <a:avLst/>
                                </a:prstGeom>
                              </pic:spPr>
                            </pic:pic>
                          </a:graphicData>
                        </a:graphic>
                      </wp:inline>
                    </w:drawing>
                  </w:r>
                </w:p>
              </w:tc>
              <w:tc>
                <w:tcPr>
                  <w:tcW w:w="3987" w:type="dxa"/>
                  <w:tcBorders>
                    <w:tl2br w:val="nil"/>
                    <w:tr2bl w:val="nil"/>
                  </w:tcBorders>
                </w:tcPr>
                <w:p w14:paraId="2E6E2DAC">
                  <w:pPr>
                    <w:numPr>
                      <w:ilvl w:val="0"/>
                      <w:numId w:val="0"/>
                    </w:numPr>
                    <w:adjustRightInd w:val="0"/>
                    <w:spacing w:line="360" w:lineRule="auto"/>
                    <w:jc w:val="center"/>
                    <w:rPr>
                      <w:rFonts w:hint="eastAsia" w:ascii="Times New Roman" w:hAnsi="Times New Roman" w:eastAsia="宋体" w:cs="Times New Roman"/>
                      <w:color w:val="auto"/>
                      <w:sz w:val="24"/>
                      <w:highlight w:val="none"/>
                      <w:vertAlign w:val="baseline"/>
                      <w:lang w:eastAsia="zh-CN"/>
                    </w:rPr>
                  </w:pPr>
                  <w:r>
                    <w:rPr>
                      <w:rFonts w:hint="eastAsia" w:ascii="Times New Roman" w:hAnsi="Times New Roman" w:eastAsia="宋体" w:cs="Times New Roman"/>
                      <w:color w:val="auto"/>
                      <w:sz w:val="24"/>
                      <w:highlight w:val="none"/>
                      <w:vertAlign w:val="baseline"/>
                      <w:lang w:eastAsia="zh-CN"/>
                    </w:rPr>
                    <w:drawing>
                      <wp:inline distT="0" distB="0" distL="114300" distR="114300">
                        <wp:extent cx="2392045" cy="1794510"/>
                        <wp:effectExtent l="0" t="0" r="635" b="3810"/>
                        <wp:docPr id="20" name="图片 20" descr="aa2a3e46d8a57dcf5e7d02949f8a7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a2a3e46d8a57dcf5e7d02949f8a7cb"/>
                                <pic:cNvPicPr>
                                  <a:picLocks noChangeAspect="1"/>
                                </pic:cNvPicPr>
                              </pic:nvPicPr>
                              <pic:blipFill>
                                <a:blip r:embed="rId19"/>
                                <a:stretch>
                                  <a:fillRect/>
                                </a:stretch>
                              </pic:blipFill>
                              <pic:spPr>
                                <a:xfrm>
                                  <a:off x="0" y="0"/>
                                  <a:ext cx="2392045" cy="1794510"/>
                                </a:xfrm>
                                <a:prstGeom prst="rect">
                                  <a:avLst/>
                                </a:prstGeom>
                              </pic:spPr>
                            </pic:pic>
                          </a:graphicData>
                        </a:graphic>
                      </wp:inline>
                    </w:drawing>
                  </w:r>
                </w:p>
              </w:tc>
            </w:tr>
            <w:tr w14:paraId="42188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6" w:type="dxa"/>
                  <w:tcBorders>
                    <w:tl2br w:val="nil"/>
                    <w:tr2bl w:val="nil"/>
                  </w:tcBorders>
                </w:tcPr>
                <w:p w14:paraId="51428F5F">
                  <w:pPr>
                    <w:numPr>
                      <w:ilvl w:val="0"/>
                      <w:numId w:val="0"/>
                    </w:numPr>
                    <w:adjustRightInd w:val="0"/>
                    <w:spacing w:line="360" w:lineRule="auto"/>
                    <w:jc w:val="center"/>
                    <w:rPr>
                      <w:rFonts w:hint="default" w:ascii="Times New Roman" w:hAnsi="Times New Roman" w:eastAsia="宋体" w:cs="Times New Roman"/>
                      <w:color w:val="auto"/>
                      <w:sz w:val="24"/>
                      <w:highlight w:val="none"/>
                      <w:vertAlign w:val="baseline"/>
                    </w:rPr>
                  </w:pPr>
                  <w:r>
                    <w:rPr>
                      <w:rFonts w:hint="eastAsia" w:cs="Times New Roman"/>
                      <w:color w:val="auto"/>
                      <w:sz w:val="24"/>
                      <w:highlight w:val="none"/>
                      <w:vertAlign w:val="baseline"/>
                      <w:lang w:val="en-US" w:eastAsia="zh-CN"/>
                    </w:rPr>
                    <w:t>项目西侧道路</w:t>
                  </w:r>
                </w:p>
              </w:tc>
              <w:tc>
                <w:tcPr>
                  <w:tcW w:w="3987" w:type="dxa"/>
                  <w:tcBorders>
                    <w:tl2br w:val="nil"/>
                    <w:tr2bl w:val="nil"/>
                  </w:tcBorders>
                </w:tcPr>
                <w:p w14:paraId="7456FFE8">
                  <w:pPr>
                    <w:numPr>
                      <w:ilvl w:val="0"/>
                      <w:numId w:val="0"/>
                    </w:numPr>
                    <w:adjustRightInd w:val="0"/>
                    <w:spacing w:line="360" w:lineRule="auto"/>
                    <w:jc w:val="center"/>
                    <w:rPr>
                      <w:rFonts w:hint="default" w:ascii="Times New Roman" w:hAnsi="Times New Roman" w:eastAsia="宋体" w:cs="Times New Roman"/>
                      <w:color w:val="auto"/>
                      <w:sz w:val="24"/>
                      <w:highlight w:val="none"/>
                      <w:vertAlign w:val="baseline"/>
                    </w:rPr>
                  </w:pPr>
                  <w:r>
                    <w:rPr>
                      <w:rFonts w:hint="eastAsia" w:cs="Times New Roman"/>
                      <w:color w:val="auto"/>
                      <w:sz w:val="24"/>
                      <w:highlight w:val="none"/>
                      <w:vertAlign w:val="baseline"/>
                      <w:lang w:val="en-US" w:eastAsia="zh-CN"/>
                    </w:rPr>
                    <w:t>项目北侧道路</w:t>
                  </w:r>
                </w:p>
              </w:tc>
            </w:tr>
          </w:tbl>
          <w:p w14:paraId="511E0F45">
            <w:pPr>
              <w:numPr>
                <w:ilvl w:val="0"/>
                <w:numId w:val="16"/>
              </w:numPr>
              <w:adjustRightInd w:val="0"/>
              <w:spacing w:line="360" w:lineRule="auto"/>
              <w:ind w:left="425" w:leftChars="0" w:hanging="425" w:firstLineChars="0"/>
              <w:jc w:val="center"/>
              <w:rPr>
                <w:rFonts w:hint="default" w:ascii="Times New Roman" w:hAnsi="Times New Roman" w:eastAsia="宋体" w:cs="Times New Roman"/>
                <w:color w:val="auto"/>
                <w:sz w:val="24"/>
                <w:highlight w:val="none"/>
              </w:rPr>
            </w:pPr>
            <w:r>
              <w:rPr>
                <w:rFonts w:hint="eastAsia" w:cs="Times New Roman"/>
                <w:b/>
                <w:color w:val="auto"/>
                <w:sz w:val="24"/>
                <w:highlight w:val="none"/>
                <w:lang w:val="en-US" w:eastAsia="zh-CN"/>
              </w:rPr>
              <w:t>项目周边照片</w:t>
            </w:r>
          </w:p>
        </w:tc>
      </w:tr>
      <w:tr w14:paraId="1EF500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18" w:type="dxa"/>
            <w:vAlign w:val="center"/>
          </w:tcPr>
          <w:p w14:paraId="7C66032D">
            <w:pPr>
              <w:pStyle w:val="20"/>
              <w:adjustRightInd w:val="0"/>
              <w:snapToGrid w:val="0"/>
              <w:spacing w:before="0" w:beforeAutospacing="0" w:after="0" w:afterAutospacing="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工艺流程和产排污环节</w:t>
            </w:r>
          </w:p>
        </w:tc>
        <w:tc>
          <w:tcPr>
            <w:tcW w:w="8189" w:type="dxa"/>
          </w:tcPr>
          <w:p w14:paraId="4E71AAD0">
            <w:pPr>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一、</w:t>
            </w:r>
            <w:r>
              <w:rPr>
                <w:rFonts w:hint="default" w:ascii="Times New Roman" w:hAnsi="Times New Roman" w:eastAsia="宋体" w:cs="Times New Roman"/>
                <w:b/>
                <w:bCs/>
                <w:color w:val="auto"/>
                <w:sz w:val="24"/>
                <w:highlight w:val="none"/>
              </w:rPr>
              <w:t>施工期</w:t>
            </w:r>
          </w:p>
          <w:p w14:paraId="40867B67">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利用已建成房屋作为项目场所，施工期仅为厂房内简单装修和设备安装。主要污染物为施工噪声、施工人员生活污水，同时产生少量施工扬尘、施工固体废物（装修垃圾和生活垃圾）。随着施工期的结束，对环境的影响也随之消失。</w:t>
            </w:r>
          </w:p>
          <w:p w14:paraId="5A0DC028">
            <w:pPr>
              <w:numPr>
                <w:ilvl w:val="0"/>
                <w:numId w:val="16"/>
              </w:numPr>
              <w:adjustRightInd w:val="0"/>
              <w:spacing w:line="360" w:lineRule="auto"/>
              <w:ind w:left="425" w:leftChars="0" w:hanging="425"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drawing>
                <wp:anchor distT="0" distB="0" distL="114300" distR="114300" simplePos="0" relativeHeight="251664384" behindDoc="0" locked="0" layoutInCell="1" allowOverlap="1">
                  <wp:simplePos x="0" y="0"/>
                  <wp:positionH relativeFrom="column">
                    <wp:posOffset>304800</wp:posOffset>
                  </wp:positionH>
                  <wp:positionV relativeFrom="paragraph">
                    <wp:posOffset>5715</wp:posOffset>
                  </wp:positionV>
                  <wp:extent cx="4314825" cy="1774825"/>
                  <wp:effectExtent l="0" t="0" r="0" b="0"/>
                  <wp:wrapTopAndBottom/>
                  <wp:docPr id="150" name="ECB019B1-382A-4266-B25C-5B523AA43C14-1" descr="C:/Users/Administrator/AppData/Local/Temp/wps.sOBRP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ECB019B1-382A-4266-B25C-5B523AA43C14-1" descr="C:/Users/Administrator/AppData/Local/Temp/wps.sOBRPnwps"/>
                          <pic:cNvPicPr>
                            <a:picLocks noChangeAspect="1"/>
                          </pic:cNvPicPr>
                        </pic:nvPicPr>
                        <pic:blipFill>
                          <a:blip r:embed="rId20"/>
                          <a:srcRect t="10967" b="5363"/>
                          <a:stretch>
                            <a:fillRect/>
                          </a:stretch>
                        </pic:blipFill>
                        <pic:spPr>
                          <a:xfrm>
                            <a:off x="0" y="0"/>
                            <a:ext cx="4314825" cy="1774825"/>
                          </a:xfrm>
                          <a:prstGeom prst="rect">
                            <a:avLst/>
                          </a:prstGeom>
                        </pic:spPr>
                      </pic:pic>
                    </a:graphicData>
                  </a:graphic>
                </wp:anchor>
              </w:drawing>
            </w:r>
            <w:r>
              <w:rPr>
                <w:rFonts w:hint="default" w:ascii="Times New Roman" w:hAnsi="Times New Roman" w:eastAsia="宋体" w:cs="Times New Roman"/>
                <w:b/>
                <w:bCs/>
                <w:color w:val="auto"/>
                <w:sz w:val="24"/>
                <w:szCs w:val="32"/>
                <w:highlight w:val="none"/>
              </w:rPr>
              <w:t xml:space="preserve"> 项目施工期流程及产污节点图</w:t>
            </w:r>
          </w:p>
          <w:p w14:paraId="4001FB6E">
            <w:pPr>
              <w:numPr>
                <w:ilvl w:val="0"/>
                <w:numId w:val="17"/>
              </w:numPr>
              <w:adjustRightInd w:val="0"/>
              <w:snapToGrid w:val="0"/>
              <w:spacing w:line="360" w:lineRule="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运营期</w:t>
            </w:r>
          </w:p>
          <w:p w14:paraId="764C3978">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生产工艺流程</w:t>
            </w:r>
            <w:r>
              <w:rPr>
                <w:rFonts w:hint="eastAsia" w:cs="Times New Roman"/>
                <w:color w:val="auto"/>
                <w:sz w:val="24"/>
                <w:highlight w:val="none"/>
                <w:lang w:val="en-US" w:eastAsia="zh-CN"/>
              </w:rPr>
              <w:t>和产污环节</w:t>
            </w:r>
          </w:p>
          <w:p w14:paraId="7A912011">
            <w:pPr>
              <w:adjustRightIn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object>
                <v:shape id="_x0000_i1029" o:spt="75" type="#_x0000_t75" style="height:271.6pt;width:339.15pt;" o:ole="t" filled="f" o:preferrelative="t" stroked="f" coordsize="21600,21600">
                  <v:path/>
                  <v:fill on="f" focussize="0,0"/>
                  <v:stroke on="f"/>
                  <v:imagedata r:id="rId22" o:title=""/>
                  <o:lock v:ext="edit" aspectratio="f"/>
                  <w10:wrap type="none"/>
                  <w10:anchorlock/>
                </v:shape>
                <o:OLEObject Type="Embed" ProgID="Visio.Drawing.15" ShapeID="_x0000_i1029" DrawAspect="Content" ObjectID="_1468075727" r:id="rId21">
                  <o:LockedField>false</o:LockedField>
                </o:OLEObject>
              </w:object>
            </w:r>
          </w:p>
          <w:p w14:paraId="742EA3F9">
            <w:pPr>
              <w:numPr>
                <w:ilvl w:val="0"/>
                <w:numId w:val="16"/>
              </w:numPr>
              <w:adjustRightInd w:val="0"/>
              <w:spacing w:line="360" w:lineRule="auto"/>
              <w:ind w:left="425" w:leftChars="0" w:hanging="425" w:firstLineChars="0"/>
              <w:jc w:val="center"/>
              <w:rPr>
                <w:rFonts w:hint="default" w:ascii="Times New Roman" w:hAnsi="Times New Roman" w:eastAsia="宋体" w:cs="Times New Roman"/>
                <w:color w:val="auto"/>
                <w:sz w:val="24"/>
                <w:highlight w:val="none"/>
              </w:rPr>
            </w:pPr>
            <w:r>
              <w:rPr>
                <w:rFonts w:hint="eastAsia" w:cs="Times New Roman"/>
                <w:b/>
                <w:bCs/>
                <w:color w:val="auto"/>
                <w:sz w:val="24"/>
                <w:szCs w:val="32"/>
                <w:highlight w:val="none"/>
                <w:lang w:val="en-US" w:eastAsia="zh-CN"/>
              </w:rPr>
              <w:t>生产</w:t>
            </w:r>
            <w:r>
              <w:rPr>
                <w:rFonts w:hint="default" w:ascii="Times New Roman" w:hAnsi="Times New Roman" w:eastAsia="宋体" w:cs="Times New Roman"/>
                <w:b/>
                <w:bCs/>
                <w:color w:val="auto"/>
                <w:sz w:val="24"/>
                <w:szCs w:val="32"/>
                <w:highlight w:val="none"/>
              </w:rPr>
              <w:t>流程及产污节点图</w:t>
            </w:r>
          </w:p>
          <w:p w14:paraId="75473953">
            <w:pPr>
              <w:adjustRightInd w:val="0"/>
              <w:spacing w:line="360" w:lineRule="auto"/>
              <w:ind w:firstLine="480" w:firstLineChars="200"/>
              <w:rPr>
                <w:rFonts w:hint="eastAsia"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发酵准备：</w:t>
            </w:r>
            <w:r>
              <w:rPr>
                <w:rFonts w:hint="eastAsia" w:ascii="Times New Roman" w:hAnsi="Times New Roman" w:eastAsia="宋体" w:cs="Times New Roman"/>
                <w:color w:val="auto"/>
                <w:sz w:val="24"/>
                <w:highlight w:val="none"/>
              </w:rPr>
              <w:t>购买</w:t>
            </w:r>
            <w:r>
              <w:rPr>
                <w:rFonts w:hint="eastAsia" w:ascii="Times New Roman" w:hAnsi="Times New Roman" w:eastAsia="宋体" w:cs="Times New Roman"/>
                <w:color w:val="auto"/>
                <w:sz w:val="24"/>
                <w:highlight w:val="none"/>
                <w:lang w:val="en-US" w:eastAsia="zh-CN"/>
              </w:rPr>
              <w:t>国家标准消毒测试用</w:t>
            </w:r>
            <w:r>
              <w:rPr>
                <w:rFonts w:hint="eastAsia" w:ascii="Times New Roman" w:hAnsi="Times New Roman" w:eastAsia="宋体" w:cs="Times New Roman"/>
                <w:color w:val="auto"/>
                <w:sz w:val="24"/>
                <w:highlight w:val="none"/>
              </w:rPr>
              <w:t>安全原始菌种</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BSL1级安全菌种嗜热脂肪地芽孢杆菌</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准备发酵所需的耗材、用基础</w:t>
            </w:r>
            <w:r>
              <w:rPr>
                <w:rFonts w:hint="default" w:ascii="Times New Roman" w:hAnsi="Times New Roman" w:eastAsia="宋体" w:cs="Times New Roman"/>
                <w:color w:val="auto"/>
                <w:sz w:val="24"/>
                <w:highlight w:val="none"/>
                <w:lang w:val="en-US" w:eastAsia="zh-CN"/>
              </w:rPr>
              <w:t>TSB培养基</w:t>
            </w:r>
            <w:r>
              <w:rPr>
                <w:rFonts w:hint="eastAsia" w:ascii="Times New Roman" w:hAnsi="Times New Roman" w:eastAsia="宋体" w:cs="Times New Roman"/>
                <w:color w:val="auto"/>
                <w:sz w:val="24"/>
                <w:highlight w:val="none"/>
                <w:lang w:val="en-US" w:eastAsia="zh-CN"/>
              </w:rPr>
              <w:t>与纯化水配制</w:t>
            </w:r>
            <w:r>
              <w:rPr>
                <w:rFonts w:hint="eastAsia" w:eastAsia="宋体" w:cs="Times New Roman"/>
                <w:color w:val="auto"/>
                <w:sz w:val="24"/>
                <w:highlight w:val="none"/>
                <w:lang w:val="en-US" w:eastAsia="zh-CN"/>
              </w:rPr>
              <w:t>发酵</w:t>
            </w:r>
            <w:r>
              <w:rPr>
                <w:rFonts w:hint="eastAsia" w:ascii="Times New Roman" w:hAnsi="Times New Roman" w:eastAsia="宋体" w:cs="Times New Roman"/>
                <w:color w:val="auto"/>
                <w:sz w:val="24"/>
                <w:highlight w:val="none"/>
                <w:lang w:val="en-US" w:eastAsia="zh-CN"/>
              </w:rPr>
              <w:t>培养基</w:t>
            </w:r>
            <w:r>
              <w:rPr>
                <w:rFonts w:hint="eastAsia" w:eastAsia="宋体" w:cs="Times New Roman"/>
                <w:color w:val="auto"/>
                <w:sz w:val="24"/>
                <w:highlight w:val="none"/>
                <w:lang w:val="en-US" w:eastAsia="zh-CN"/>
              </w:rPr>
              <w:t>。</w:t>
            </w:r>
          </w:p>
          <w:p w14:paraId="0D59DAB4">
            <w:pPr>
              <w:adjustRightInd w:val="0"/>
              <w:spacing w:line="360" w:lineRule="auto"/>
              <w:ind w:firstLine="482" w:firstLineChars="200"/>
              <w:rPr>
                <w:rFonts w:hint="default" w:eastAsia="宋体" w:cs="Times New Roman"/>
                <w:b/>
                <w:bCs/>
                <w:color w:val="auto"/>
                <w:sz w:val="24"/>
                <w:highlight w:val="none"/>
                <w:lang w:val="en-US" w:eastAsia="zh-CN"/>
              </w:rPr>
            </w:pPr>
            <w:r>
              <w:rPr>
                <w:rFonts w:hint="eastAsia" w:eastAsia="宋体" w:cs="Times New Roman"/>
                <w:b/>
                <w:bCs/>
                <w:color w:val="auto"/>
                <w:sz w:val="24"/>
                <w:highlight w:val="none"/>
                <w:lang w:val="en-US" w:eastAsia="zh-CN"/>
              </w:rPr>
              <w:t>该过程产生废一次性</w:t>
            </w:r>
            <w:r>
              <w:rPr>
                <w:rFonts w:hint="eastAsia" w:cs="Times New Roman"/>
                <w:b/>
                <w:bCs/>
                <w:color w:val="auto"/>
                <w:sz w:val="24"/>
                <w:highlight w:val="none"/>
                <w:lang w:val="en-US" w:eastAsia="zh-CN"/>
              </w:rPr>
              <w:t>实验</w:t>
            </w:r>
            <w:r>
              <w:rPr>
                <w:rFonts w:hint="eastAsia" w:eastAsia="宋体" w:cs="Times New Roman"/>
                <w:b/>
                <w:bCs/>
                <w:color w:val="auto"/>
                <w:sz w:val="24"/>
                <w:highlight w:val="none"/>
                <w:lang w:val="en-US" w:eastAsia="zh-CN"/>
              </w:rPr>
              <w:t>耗材S1（废一次性手套、废移液枪头</w:t>
            </w:r>
            <w:r>
              <w:rPr>
                <w:rFonts w:hint="eastAsia" w:cs="Times New Roman"/>
                <w:b/>
                <w:bCs/>
                <w:color w:val="auto"/>
                <w:sz w:val="24"/>
                <w:highlight w:val="none"/>
                <w:lang w:val="en-US" w:eastAsia="zh-CN"/>
              </w:rPr>
              <w:t>等</w:t>
            </w:r>
            <w:r>
              <w:rPr>
                <w:rFonts w:hint="eastAsia" w:eastAsia="宋体" w:cs="Times New Roman"/>
                <w:b/>
                <w:bCs/>
                <w:color w:val="auto"/>
                <w:sz w:val="24"/>
                <w:highlight w:val="none"/>
                <w:lang w:val="en-US" w:eastAsia="zh-CN"/>
              </w:rPr>
              <w:t>）、清洗废液S2、清洗废水W1。</w:t>
            </w:r>
          </w:p>
          <w:p w14:paraId="75214700">
            <w:pPr>
              <w:adjustRightIn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发酵罐处理：用纯化水</w:t>
            </w:r>
            <w:r>
              <w:rPr>
                <w:rFonts w:hint="eastAsia" w:ascii="Times New Roman" w:hAnsi="Times New Roman" w:eastAsia="宋体" w:cs="Times New Roman"/>
                <w:color w:val="auto"/>
                <w:sz w:val="24"/>
                <w:highlight w:val="none"/>
                <w:lang w:val="en-US" w:eastAsia="zh-CN"/>
              </w:rPr>
              <w:t>清洗发酵罐，组装溶解氧</w:t>
            </w:r>
            <w:r>
              <w:rPr>
                <w:rFonts w:hint="eastAsia" w:ascii="Times New Roman" w:hAnsi="Times New Roman" w:eastAsia="宋体" w:cs="Times New Roman"/>
                <w:color w:val="auto"/>
                <w:sz w:val="24"/>
                <w:highlight w:val="none"/>
                <w:lang w:val="en-US" w:eastAsia="zh-CN"/>
              </w:rPr>
              <w:t>、p</w:t>
            </w:r>
            <w:r>
              <w:rPr>
                <w:rFonts w:hint="eastAsia" w:ascii="Times New Roman" w:hAnsi="Times New Roman" w:eastAsia="宋体" w:cs="Times New Roman"/>
                <w:color w:val="auto"/>
                <w:sz w:val="24"/>
                <w:highlight w:val="none"/>
                <w:lang w:val="en-US" w:eastAsia="zh-CN"/>
              </w:rPr>
              <w:t>H、温度电极，关闭</w:t>
            </w:r>
            <w:r>
              <w:rPr>
                <w:rFonts w:hint="eastAsia" w:ascii="Times New Roman" w:hAnsi="Times New Roman" w:eastAsia="宋体" w:cs="Times New Roman"/>
                <w:color w:val="auto"/>
                <w:sz w:val="24"/>
                <w:highlight w:val="none"/>
                <w:lang w:val="en-US" w:eastAsia="zh-CN"/>
              </w:rPr>
              <w:t>发酵罐底部放料口和取样口，将配制好的发酵</w:t>
            </w:r>
            <w:r>
              <w:rPr>
                <w:rFonts w:hint="eastAsia" w:ascii="Times New Roman" w:hAnsi="Times New Roman" w:eastAsia="宋体" w:cs="Times New Roman"/>
                <w:color w:val="auto"/>
                <w:sz w:val="24"/>
                <w:highlight w:val="none"/>
                <w:lang w:val="en-US" w:eastAsia="zh-CN"/>
              </w:rPr>
              <w:t>培养基加入发酵罐内，电加热控制发酵罐121℃、101kpa条件下灭菌30分钟。</w:t>
            </w:r>
          </w:p>
          <w:p w14:paraId="03572E77">
            <w:pPr>
              <w:adjustRightInd w:val="0"/>
              <w:spacing w:line="360" w:lineRule="auto"/>
              <w:ind w:firstLine="482" w:firstLineChars="200"/>
              <w:rPr>
                <w:rFonts w:hint="default" w:eastAsia="宋体" w:cs="Times New Roman"/>
                <w:b/>
                <w:bCs/>
                <w:color w:val="auto"/>
                <w:sz w:val="24"/>
                <w:highlight w:val="none"/>
                <w:lang w:val="en-US" w:eastAsia="zh-CN"/>
              </w:rPr>
            </w:pPr>
            <w:r>
              <w:rPr>
                <w:rFonts w:hint="eastAsia" w:eastAsia="宋体" w:cs="Times New Roman"/>
                <w:b/>
                <w:bCs/>
                <w:color w:val="auto"/>
                <w:sz w:val="24"/>
                <w:highlight w:val="none"/>
                <w:lang w:val="en-US" w:eastAsia="zh-CN"/>
              </w:rPr>
              <w:t>该过程产生清洗废水W1。</w:t>
            </w:r>
          </w:p>
          <w:p w14:paraId="621B483E">
            <w:pPr>
              <w:adjustRightIn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一级培养：在超净工作台内，将一定发酵</w:t>
            </w:r>
            <w:r>
              <w:rPr>
                <w:rFonts w:hint="eastAsia" w:ascii="Times New Roman" w:hAnsi="Times New Roman" w:eastAsia="宋体" w:cs="Times New Roman"/>
                <w:color w:val="auto"/>
                <w:sz w:val="24"/>
                <w:highlight w:val="none"/>
                <w:lang w:val="en-US" w:eastAsia="zh-CN"/>
              </w:rPr>
              <w:t>培养基加入摇瓶，按一定接种比例把原始菌种接种至摇瓶，然后转移至摇床</w:t>
            </w:r>
            <w:r>
              <w:rPr>
                <w:rFonts w:hint="eastAsia" w:ascii="Times New Roman" w:hAnsi="Times New Roman" w:eastAsia="宋体" w:cs="Times New Roman"/>
                <w:color w:val="auto"/>
                <w:sz w:val="24"/>
                <w:highlight w:val="none"/>
                <w:lang w:val="en-US" w:eastAsia="zh-CN"/>
              </w:rPr>
              <w:t>进行一级培养发酵</w:t>
            </w:r>
            <w:r>
              <w:rPr>
                <w:rFonts w:hint="eastAsia" w:ascii="Times New Roman" w:hAnsi="Times New Roman" w:eastAsia="宋体" w:cs="Times New Roman"/>
                <w:color w:val="auto"/>
                <w:sz w:val="24"/>
                <w:highlight w:val="none"/>
                <w:lang w:val="en-US" w:eastAsia="zh-CN"/>
              </w:rPr>
              <w:t>，一级发酵一定时间后用分光光度计</w:t>
            </w:r>
            <w:r>
              <w:rPr>
                <w:rFonts w:hint="eastAsia" w:ascii="Times New Roman" w:hAnsi="Times New Roman" w:eastAsia="宋体" w:cs="Times New Roman"/>
                <w:color w:val="auto"/>
                <w:sz w:val="24"/>
                <w:highlight w:val="none"/>
                <w:lang w:val="en-US" w:eastAsia="zh-CN"/>
              </w:rPr>
              <w:t>测量透光度、用显微镜观察菌体形态。</w:t>
            </w:r>
          </w:p>
          <w:p w14:paraId="24ED08C1">
            <w:pPr>
              <w:adjustRightInd w:val="0"/>
              <w:spacing w:line="360" w:lineRule="auto"/>
              <w:ind w:firstLine="482" w:firstLineChars="200"/>
              <w:rPr>
                <w:rFonts w:hint="default" w:eastAsia="宋体" w:cs="Times New Roman"/>
                <w:b/>
                <w:bCs/>
                <w:color w:val="auto"/>
                <w:sz w:val="24"/>
                <w:highlight w:val="none"/>
                <w:lang w:val="en-US" w:eastAsia="zh-CN"/>
              </w:rPr>
            </w:pPr>
            <w:r>
              <w:rPr>
                <w:rFonts w:hint="eastAsia" w:eastAsia="宋体" w:cs="Times New Roman"/>
                <w:b/>
                <w:bCs/>
                <w:color w:val="auto"/>
                <w:sz w:val="24"/>
                <w:highlight w:val="none"/>
                <w:lang w:val="en-US" w:eastAsia="zh-CN"/>
              </w:rPr>
              <w:t>该过程产生废一次性</w:t>
            </w:r>
            <w:r>
              <w:rPr>
                <w:rFonts w:hint="eastAsia" w:cs="Times New Roman"/>
                <w:b/>
                <w:bCs/>
                <w:color w:val="auto"/>
                <w:sz w:val="24"/>
                <w:highlight w:val="none"/>
                <w:lang w:val="en-US" w:eastAsia="zh-CN"/>
              </w:rPr>
              <w:t>实验</w:t>
            </w:r>
            <w:r>
              <w:rPr>
                <w:rFonts w:hint="eastAsia" w:eastAsia="宋体" w:cs="Times New Roman"/>
                <w:b/>
                <w:bCs/>
                <w:color w:val="auto"/>
                <w:sz w:val="24"/>
                <w:highlight w:val="none"/>
                <w:lang w:val="en-US" w:eastAsia="zh-CN"/>
              </w:rPr>
              <w:t>耗材S1（废一次性手套、废移液枪头</w:t>
            </w:r>
            <w:r>
              <w:rPr>
                <w:rFonts w:hint="eastAsia" w:cs="Times New Roman"/>
                <w:b/>
                <w:bCs/>
                <w:color w:val="auto"/>
                <w:sz w:val="24"/>
                <w:highlight w:val="none"/>
                <w:lang w:val="en-US" w:eastAsia="zh-CN"/>
              </w:rPr>
              <w:t>、废载玻片、盖玻片等</w:t>
            </w:r>
            <w:r>
              <w:rPr>
                <w:rFonts w:hint="eastAsia" w:eastAsia="宋体" w:cs="Times New Roman"/>
                <w:b/>
                <w:bCs/>
                <w:color w:val="auto"/>
                <w:sz w:val="24"/>
                <w:highlight w:val="none"/>
                <w:lang w:val="en-US" w:eastAsia="zh-CN"/>
              </w:rPr>
              <w:t>）、</w:t>
            </w:r>
            <w:r>
              <w:rPr>
                <w:rFonts w:hint="eastAsia" w:cs="Times New Roman"/>
                <w:b/>
                <w:bCs/>
                <w:color w:val="auto"/>
                <w:sz w:val="24"/>
                <w:highlight w:val="none"/>
                <w:lang w:val="en-US" w:eastAsia="zh-CN"/>
              </w:rPr>
              <w:t>检验废液S3、</w:t>
            </w:r>
            <w:r>
              <w:rPr>
                <w:rFonts w:hint="eastAsia" w:eastAsia="宋体" w:cs="Times New Roman"/>
                <w:b/>
                <w:bCs/>
                <w:color w:val="auto"/>
                <w:sz w:val="24"/>
                <w:highlight w:val="none"/>
                <w:lang w:val="en-US" w:eastAsia="zh-CN"/>
              </w:rPr>
              <w:t>清洗废液S2、清洗废水W1。</w:t>
            </w:r>
          </w:p>
          <w:p w14:paraId="44A9ABCD">
            <w:pPr>
              <w:adjustRightInd w:val="0"/>
              <w:spacing w:line="360" w:lineRule="auto"/>
              <w:ind w:firstLine="480" w:firstLineChars="200"/>
              <w:rPr>
                <w:rFonts w:hint="eastAsia"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（4）二级培养：以上一级培养液检测达到标准要求后，接种至发酵罐进行二级培养，设定通</w:t>
            </w:r>
            <w:r>
              <w:rPr>
                <w:rFonts w:hint="eastAsia" w:eastAsia="宋体" w:cs="Times New Roman"/>
                <w:color w:val="auto"/>
                <w:sz w:val="24"/>
                <w:highlight w:val="none"/>
                <w:lang w:val="en-US" w:eastAsia="zh-CN"/>
              </w:rPr>
              <w:t>空气</w:t>
            </w:r>
            <w:r>
              <w:rPr>
                <w:rFonts w:hint="eastAsia" w:ascii="Times New Roman" w:hAnsi="Times New Roman" w:eastAsia="宋体" w:cs="Times New Roman"/>
                <w:color w:val="auto"/>
                <w:sz w:val="24"/>
                <w:highlight w:val="none"/>
                <w:lang w:val="en-US" w:eastAsia="zh-CN"/>
              </w:rPr>
              <w:t>量</w:t>
            </w:r>
            <w:r>
              <w:rPr>
                <w:rFonts w:hint="eastAsia" w:eastAsia="宋体" w:cs="Times New Roman"/>
                <w:color w:val="auto"/>
                <w:sz w:val="24"/>
                <w:highlight w:val="none"/>
                <w:lang w:val="en-US" w:eastAsia="zh-CN"/>
              </w:rPr>
              <w:t>并</w:t>
            </w:r>
            <w:r>
              <w:rPr>
                <w:rFonts w:hint="eastAsia" w:cs="Times New Roman"/>
                <w:color w:val="auto"/>
                <w:sz w:val="24"/>
                <w:highlight w:val="none"/>
                <w:lang w:val="en-US" w:eastAsia="zh-CN"/>
              </w:rPr>
              <w:t>与</w:t>
            </w:r>
            <w:r>
              <w:rPr>
                <w:rFonts w:hint="eastAsia" w:ascii="Times New Roman" w:hAnsi="Times New Roman" w:eastAsia="宋体" w:cs="Times New Roman"/>
                <w:color w:val="auto"/>
                <w:sz w:val="24"/>
                <w:highlight w:val="none"/>
                <w:lang w:val="en-US" w:eastAsia="zh-CN"/>
              </w:rPr>
              <w:t>溶氧</w:t>
            </w:r>
            <w:r>
              <w:rPr>
                <w:rFonts w:hint="eastAsia" w:eastAsia="宋体" w:cs="Times New Roman"/>
                <w:color w:val="auto"/>
                <w:sz w:val="24"/>
                <w:highlight w:val="none"/>
                <w:lang w:val="en-US" w:eastAsia="zh-CN"/>
              </w:rPr>
              <w:t>自动</w:t>
            </w:r>
            <w:r>
              <w:rPr>
                <w:rFonts w:hint="eastAsia" w:ascii="Times New Roman" w:hAnsi="Times New Roman" w:eastAsia="宋体" w:cs="Times New Roman"/>
                <w:color w:val="auto"/>
                <w:sz w:val="24"/>
                <w:highlight w:val="none"/>
                <w:lang w:val="en-US" w:eastAsia="zh-CN"/>
              </w:rPr>
              <w:t>关联，pH与酸碱补料</w:t>
            </w:r>
            <w:r>
              <w:rPr>
                <w:rFonts w:hint="eastAsia" w:eastAsia="宋体" w:cs="Times New Roman"/>
                <w:color w:val="auto"/>
                <w:sz w:val="24"/>
                <w:highlight w:val="none"/>
                <w:lang w:val="en-US" w:eastAsia="zh-CN"/>
              </w:rPr>
              <w:t>自动</w:t>
            </w:r>
            <w:r>
              <w:rPr>
                <w:rFonts w:hint="eastAsia" w:ascii="Times New Roman" w:hAnsi="Times New Roman" w:eastAsia="宋体" w:cs="Times New Roman"/>
                <w:color w:val="auto"/>
                <w:sz w:val="24"/>
                <w:highlight w:val="none"/>
                <w:lang w:val="en-US" w:eastAsia="zh-CN"/>
              </w:rPr>
              <w:t>关联</w:t>
            </w:r>
            <w:r>
              <w:rPr>
                <w:rFonts w:hint="eastAsia" w:eastAsia="宋体" w:cs="Times New Roman"/>
                <w:color w:val="auto"/>
                <w:sz w:val="24"/>
                <w:highlight w:val="none"/>
                <w:lang w:val="en-US" w:eastAsia="zh-CN"/>
              </w:rPr>
              <w:t>，用磷酸与氢氧化钠稀溶液调节</w:t>
            </w:r>
            <w:r>
              <w:rPr>
                <w:rFonts w:hint="eastAsia" w:ascii="Times New Roman" w:hAnsi="Times New Roman" w:eastAsia="宋体" w:cs="Times New Roman"/>
                <w:color w:val="auto"/>
                <w:sz w:val="24"/>
                <w:highlight w:val="none"/>
                <w:lang w:val="en-US" w:eastAsia="zh-CN"/>
              </w:rPr>
              <w:t>pH。待培养一定</w:t>
            </w:r>
            <w:r>
              <w:rPr>
                <w:rFonts w:hint="eastAsia" w:eastAsia="宋体" w:cs="Times New Roman"/>
                <w:color w:val="auto"/>
                <w:sz w:val="24"/>
                <w:highlight w:val="none"/>
                <w:lang w:val="en-US" w:eastAsia="zh-CN"/>
              </w:rPr>
              <w:t>时间</w:t>
            </w:r>
            <w:r>
              <w:rPr>
                <w:rFonts w:hint="eastAsia" w:ascii="Times New Roman" w:hAnsi="Times New Roman" w:eastAsia="宋体" w:cs="Times New Roman"/>
                <w:color w:val="auto"/>
                <w:sz w:val="24"/>
                <w:highlight w:val="none"/>
                <w:lang w:val="en-US" w:eastAsia="zh-CN"/>
              </w:rPr>
              <w:t>后</w:t>
            </w:r>
            <w:r>
              <w:rPr>
                <w:rFonts w:hint="eastAsia" w:eastAsia="宋体" w:cs="Times New Roman"/>
                <w:color w:val="auto"/>
                <w:sz w:val="24"/>
                <w:highlight w:val="none"/>
                <w:lang w:val="en-US" w:eastAsia="zh-CN"/>
              </w:rPr>
              <w:t>取样用分光光度计</w:t>
            </w:r>
            <w:r>
              <w:rPr>
                <w:rFonts w:hint="eastAsia" w:ascii="Times New Roman" w:hAnsi="Times New Roman" w:eastAsia="宋体" w:cs="Times New Roman"/>
                <w:color w:val="auto"/>
                <w:sz w:val="24"/>
                <w:highlight w:val="none"/>
                <w:lang w:val="en-US" w:eastAsia="zh-CN"/>
              </w:rPr>
              <w:t>检测透光度</w:t>
            </w:r>
            <w:r>
              <w:rPr>
                <w:rFonts w:hint="eastAsia" w:cs="Times New Roman"/>
                <w:color w:val="auto"/>
                <w:sz w:val="24"/>
                <w:highlight w:val="none"/>
                <w:lang w:val="en-US" w:eastAsia="zh-CN"/>
              </w:rPr>
              <w:t>，取一定体积培养液离心，通过称量离心沉淀物的质量</w:t>
            </w:r>
            <w:r>
              <w:rPr>
                <w:rFonts w:hint="eastAsia" w:eastAsia="宋体" w:cs="Times New Roman"/>
                <w:color w:val="auto"/>
                <w:sz w:val="24"/>
                <w:highlight w:val="none"/>
                <w:lang w:val="en-US" w:eastAsia="zh-CN"/>
              </w:rPr>
              <w:t>检测</w:t>
            </w:r>
            <w:r>
              <w:rPr>
                <w:rFonts w:hint="eastAsia" w:ascii="Times New Roman" w:hAnsi="Times New Roman" w:eastAsia="宋体" w:cs="Times New Roman"/>
                <w:color w:val="auto"/>
                <w:sz w:val="24"/>
                <w:highlight w:val="none"/>
                <w:lang w:val="en-US" w:eastAsia="zh-CN"/>
              </w:rPr>
              <w:t>湿重</w:t>
            </w:r>
            <w:r>
              <w:rPr>
                <w:rFonts w:hint="eastAsia" w:cs="Times New Roman"/>
                <w:color w:val="auto"/>
                <w:sz w:val="24"/>
                <w:highlight w:val="none"/>
                <w:lang w:val="en-US" w:eastAsia="zh-CN"/>
              </w:rPr>
              <w:t>，</w:t>
            </w:r>
            <w:r>
              <w:rPr>
                <w:rFonts w:hint="eastAsia" w:eastAsia="宋体" w:cs="Times New Roman"/>
                <w:color w:val="auto"/>
                <w:sz w:val="24"/>
                <w:highlight w:val="none"/>
                <w:lang w:val="en-US" w:eastAsia="zh-CN"/>
              </w:rPr>
              <w:t>用显微镜</w:t>
            </w:r>
            <w:r>
              <w:rPr>
                <w:rFonts w:hint="eastAsia" w:cs="Times New Roman"/>
                <w:color w:val="auto"/>
                <w:sz w:val="24"/>
                <w:highlight w:val="none"/>
                <w:lang w:val="en-US" w:eastAsia="zh-CN"/>
              </w:rPr>
              <w:t>观察菌体形态</w:t>
            </w:r>
            <w:r>
              <w:rPr>
                <w:rFonts w:hint="eastAsia" w:ascii="Times New Roman" w:hAnsi="Times New Roman" w:eastAsia="宋体" w:cs="Times New Roman"/>
                <w:color w:val="auto"/>
                <w:sz w:val="24"/>
                <w:highlight w:val="none"/>
                <w:lang w:val="en-US" w:eastAsia="zh-CN"/>
              </w:rPr>
              <w:t>，透光度</w:t>
            </w:r>
            <w:r>
              <w:rPr>
                <w:rFonts w:hint="eastAsia"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湿重</w:t>
            </w:r>
            <w:r>
              <w:rPr>
                <w:rFonts w:hint="eastAsia" w:eastAsia="宋体" w:cs="Times New Roman"/>
                <w:color w:val="auto"/>
                <w:sz w:val="24"/>
                <w:highlight w:val="none"/>
                <w:lang w:val="en-US" w:eastAsia="zh-CN"/>
              </w:rPr>
              <w:t>、镜检</w:t>
            </w:r>
            <w:r>
              <w:rPr>
                <w:rFonts w:hint="eastAsia" w:ascii="Times New Roman" w:hAnsi="Times New Roman" w:eastAsia="宋体" w:cs="Times New Roman"/>
                <w:color w:val="auto"/>
                <w:sz w:val="24"/>
                <w:highlight w:val="none"/>
                <w:lang w:val="en-US" w:eastAsia="zh-CN"/>
              </w:rPr>
              <w:t>达到一定数值后开始加入微量硫酸锰诱导，</w:t>
            </w:r>
            <w:r>
              <w:rPr>
                <w:rFonts w:hint="eastAsia" w:eastAsia="宋体" w:cs="Times New Roman"/>
                <w:color w:val="auto"/>
                <w:sz w:val="24"/>
                <w:highlight w:val="none"/>
                <w:lang w:val="en-US" w:eastAsia="zh-CN"/>
              </w:rPr>
              <w:t>进一步</w:t>
            </w:r>
            <w:r>
              <w:rPr>
                <w:rFonts w:hint="eastAsia" w:ascii="Times New Roman" w:hAnsi="Times New Roman" w:eastAsia="宋体" w:cs="Times New Roman"/>
                <w:color w:val="auto"/>
                <w:sz w:val="24"/>
                <w:highlight w:val="none"/>
                <w:lang w:val="en-US" w:eastAsia="zh-CN"/>
              </w:rPr>
              <w:t>通过透光度</w:t>
            </w:r>
            <w:r>
              <w:rPr>
                <w:rFonts w:hint="eastAsia"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湿重</w:t>
            </w:r>
            <w:r>
              <w:rPr>
                <w:rFonts w:hint="eastAsia"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镜检</w:t>
            </w:r>
            <w:r>
              <w:rPr>
                <w:rFonts w:hint="eastAsia" w:cs="Times New Roman"/>
                <w:color w:val="auto"/>
                <w:sz w:val="24"/>
                <w:highlight w:val="none"/>
                <w:lang w:val="en-US" w:eastAsia="zh-CN"/>
              </w:rPr>
              <w:t>检测</w:t>
            </w:r>
            <w:r>
              <w:rPr>
                <w:rFonts w:hint="eastAsia" w:eastAsia="宋体" w:cs="Times New Roman"/>
                <w:color w:val="auto"/>
                <w:sz w:val="24"/>
                <w:highlight w:val="none"/>
                <w:lang w:val="en-US" w:eastAsia="zh-CN"/>
              </w:rPr>
              <w:t>来</w:t>
            </w:r>
            <w:r>
              <w:rPr>
                <w:rFonts w:hint="eastAsia" w:ascii="Times New Roman" w:hAnsi="Times New Roman" w:eastAsia="宋体" w:cs="Times New Roman"/>
                <w:color w:val="auto"/>
                <w:sz w:val="24"/>
                <w:highlight w:val="none"/>
                <w:lang w:val="en-US" w:eastAsia="zh-CN"/>
              </w:rPr>
              <w:t>确定芽孢产生数量</w:t>
            </w:r>
            <w:r>
              <w:rPr>
                <w:rFonts w:hint="eastAsia"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直至达到标准要求</w:t>
            </w:r>
            <w:r>
              <w:rPr>
                <w:rFonts w:hint="eastAsia" w:eastAsia="宋体" w:cs="Times New Roman"/>
                <w:color w:val="auto"/>
                <w:sz w:val="24"/>
                <w:highlight w:val="none"/>
                <w:lang w:val="en-US" w:eastAsia="zh-CN"/>
              </w:rPr>
              <w:t>。</w:t>
            </w:r>
          </w:p>
          <w:p w14:paraId="068F11C3">
            <w:pPr>
              <w:adjustRightInd w:val="0"/>
              <w:spacing w:line="360" w:lineRule="auto"/>
              <w:ind w:firstLine="482" w:firstLineChars="200"/>
              <w:rPr>
                <w:rFonts w:hint="default" w:eastAsia="宋体" w:cs="Times New Roman"/>
                <w:b/>
                <w:bCs/>
                <w:color w:val="auto"/>
                <w:sz w:val="24"/>
                <w:highlight w:val="none"/>
                <w:lang w:val="en-US" w:eastAsia="zh-CN"/>
              </w:rPr>
            </w:pPr>
            <w:r>
              <w:rPr>
                <w:rFonts w:hint="eastAsia" w:eastAsia="宋体" w:cs="Times New Roman"/>
                <w:b/>
                <w:bCs/>
                <w:color w:val="auto"/>
                <w:sz w:val="24"/>
                <w:highlight w:val="none"/>
                <w:lang w:val="en-US" w:eastAsia="zh-CN"/>
              </w:rPr>
              <w:t>该过程产生废一次性耗材S1（废一次性手套、废移液枪头、废一次性离心管）、</w:t>
            </w:r>
            <w:r>
              <w:rPr>
                <w:rFonts w:hint="eastAsia" w:cs="Times New Roman"/>
                <w:b/>
                <w:bCs/>
                <w:color w:val="auto"/>
                <w:sz w:val="24"/>
                <w:highlight w:val="none"/>
                <w:lang w:val="en-US" w:eastAsia="zh-CN"/>
              </w:rPr>
              <w:t>检验废液S3、</w:t>
            </w:r>
            <w:r>
              <w:rPr>
                <w:rFonts w:hint="eastAsia" w:eastAsia="宋体" w:cs="Times New Roman"/>
                <w:b/>
                <w:bCs/>
                <w:color w:val="auto"/>
                <w:sz w:val="24"/>
                <w:highlight w:val="none"/>
                <w:lang w:val="en-US" w:eastAsia="zh-CN"/>
              </w:rPr>
              <w:t>清洗废液S2、清洗废水W1。</w:t>
            </w:r>
          </w:p>
          <w:p w14:paraId="576049C1">
            <w:pPr>
              <w:adjustRightIn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冷藏：以上达到标准要求的培养液冷却至常温后，装入无菌瓶中，</w:t>
            </w:r>
            <w:r>
              <w:rPr>
                <w:rFonts w:hint="eastAsia" w:ascii="Times New Roman" w:hAnsi="Times New Roman" w:eastAsia="宋体" w:cs="Times New Roman"/>
                <w:color w:val="auto"/>
                <w:sz w:val="24"/>
                <w:highlight w:val="none"/>
                <w:lang w:val="en-US" w:eastAsia="zh-CN"/>
              </w:rPr>
              <w:t>转冰箱4℃冷藏，清洗发酵罐。</w:t>
            </w:r>
          </w:p>
          <w:p w14:paraId="3D213E3A">
            <w:pPr>
              <w:adjustRightInd w:val="0"/>
              <w:spacing w:line="360" w:lineRule="auto"/>
              <w:ind w:firstLine="482" w:firstLineChars="200"/>
              <w:rPr>
                <w:rFonts w:hint="default" w:eastAsia="宋体" w:cs="Times New Roman"/>
                <w:b/>
                <w:bCs/>
                <w:color w:val="auto"/>
                <w:sz w:val="24"/>
                <w:highlight w:val="none"/>
                <w:lang w:val="en-US" w:eastAsia="zh-CN"/>
              </w:rPr>
            </w:pPr>
            <w:r>
              <w:rPr>
                <w:rFonts w:hint="eastAsia" w:eastAsia="宋体" w:cs="Times New Roman"/>
                <w:b/>
                <w:bCs/>
                <w:color w:val="auto"/>
                <w:sz w:val="24"/>
                <w:highlight w:val="none"/>
                <w:lang w:val="en-US" w:eastAsia="zh-CN"/>
              </w:rPr>
              <w:t>该过程产生清洗废液S2、清洗废水W1。</w:t>
            </w:r>
          </w:p>
          <w:p w14:paraId="4B1AE549">
            <w:pPr>
              <w:adjustRightInd w:val="0"/>
              <w:spacing w:line="360" w:lineRule="auto"/>
              <w:ind w:firstLine="480" w:firstLineChars="200"/>
              <w:rPr>
                <w:rFonts w:hint="eastAsia"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（6）离心：开启离心机，设定温度预冷，预冷完成后将</w:t>
            </w:r>
            <w:r>
              <w:rPr>
                <w:rFonts w:hint="eastAsia" w:eastAsia="宋体" w:cs="Times New Roman"/>
                <w:color w:val="auto"/>
                <w:sz w:val="24"/>
                <w:highlight w:val="none"/>
                <w:lang w:val="en-US" w:eastAsia="zh-CN"/>
              </w:rPr>
              <w:t>以上培养</w:t>
            </w:r>
            <w:r>
              <w:rPr>
                <w:rFonts w:hint="eastAsia" w:ascii="Times New Roman" w:hAnsi="Times New Roman" w:eastAsia="宋体" w:cs="Times New Roman"/>
                <w:color w:val="auto"/>
                <w:sz w:val="24"/>
                <w:highlight w:val="none"/>
                <w:lang w:val="en-US" w:eastAsia="zh-CN"/>
              </w:rPr>
              <w:t>液离心，</w:t>
            </w:r>
            <w:r>
              <w:rPr>
                <w:rFonts w:hint="eastAsia" w:eastAsia="宋体" w:cs="Times New Roman"/>
                <w:color w:val="auto"/>
                <w:sz w:val="24"/>
                <w:highlight w:val="none"/>
                <w:lang w:val="en-US" w:eastAsia="zh-CN"/>
              </w:rPr>
              <w:t>上清液收集做危险废物处理，</w:t>
            </w:r>
            <w:r>
              <w:rPr>
                <w:rFonts w:hint="eastAsia" w:ascii="Times New Roman" w:hAnsi="Times New Roman" w:eastAsia="宋体" w:cs="Times New Roman"/>
                <w:color w:val="auto"/>
                <w:sz w:val="24"/>
                <w:highlight w:val="none"/>
                <w:lang w:val="en-US" w:eastAsia="zh-CN"/>
              </w:rPr>
              <w:t>离心沉淀加适量生理盐水溶解</w:t>
            </w:r>
            <w:r>
              <w:rPr>
                <w:rFonts w:hint="eastAsia" w:eastAsia="宋体" w:cs="Times New Roman"/>
                <w:color w:val="auto"/>
                <w:sz w:val="24"/>
                <w:highlight w:val="none"/>
                <w:lang w:val="en-US" w:eastAsia="zh-CN"/>
              </w:rPr>
              <w:t>。</w:t>
            </w:r>
          </w:p>
          <w:p w14:paraId="1855F7E5">
            <w:pPr>
              <w:adjustRightInd w:val="0"/>
              <w:spacing w:line="360" w:lineRule="auto"/>
              <w:ind w:firstLine="482" w:firstLineChars="200"/>
              <w:rPr>
                <w:rFonts w:hint="default" w:eastAsia="宋体" w:cs="Times New Roman"/>
                <w:b/>
                <w:bCs/>
                <w:color w:val="auto"/>
                <w:sz w:val="24"/>
                <w:highlight w:val="none"/>
                <w:lang w:val="en-US" w:eastAsia="zh-CN"/>
              </w:rPr>
            </w:pPr>
            <w:r>
              <w:rPr>
                <w:rFonts w:hint="eastAsia" w:eastAsia="宋体" w:cs="Times New Roman"/>
                <w:b/>
                <w:bCs/>
                <w:color w:val="auto"/>
                <w:sz w:val="24"/>
                <w:highlight w:val="none"/>
                <w:lang w:val="en-US" w:eastAsia="zh-CN"/>
              </w:rPr>
              <w:t>该过程产生废一次性耗材S1（废一次性手套、废移液枪头、废一次性离心管</w:t>
            </w:r>
            <w:r>
              <w:rPr>
                <w:rFonts w:hint="eastAsia" w:cs="Times New Roman"/>
                <w:b/>
                <w:bCs/>
                <w:color w:val="auto"/>
                <w:sz w:val="24"/>
                <w:highlight w:val="none"/>
                <w:lang w:val="en-US" w:eastAsia="zh-CN"/>
              </w:rPr>
              <w:t>等</w:t>
            </w:r>
            <w:r>
              <w:rPr>
                <w:rFonts w:hint="eastAsia" w:eastAsia="宋体" w:cs="Times New Roman"/>
                <w:b/>
                <w:bCs/>
                <w:color w:val="auto"/>
                <w:sz w:val="24"/>
                <w:highlight w:val="none"/>
                <w:lang w:val="en-US" w:eastAsia="zh-CN"/>
              </w:rPr>
              <w:t>）、</w:t>
            </w:r>
            <w:r>
              <w:rPr>
                <w:rFonts w:hint="eastAsia" w:cs="Times New Roman"/>
                <w:b/>
                <w:bCs/>
                <w:color w:val="auto"/>
                <w:sz w:val="24"/>
                <w:highlight w:val="none"/>
                <w:lang w:val="en-US" w:eastAsia="zh-CN"/>
              </w:rPr>
              <w:t>废上清液S4、</w:t>
            </w:r>
            <w:r>
              <w:rPr>
                <w:rFonts w:hint="eastAsia" w:eastAsia="宋体" w:cs="Times New Roman"/>
                <w:b/>
                <w:bCs/>
                <w:color w:val="auto"/>
                <w:sz w:val="24"/>
                <w:highlight w:val="none"/>
                <w:lang w:val="en-US" w:eastAsia="zh-CN"/>
              </w:rPr>
              <w:t>清洗废液S2、清洗废水W1。</w:t>
            </w:r>
          </w:p>
          <w:p w14:paraId="796CFDED">
            <w:pPr>
              <w:adjustRightInd w:val="0"/>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（7）</w:t>
            </w:r>
            <w:r>
              <w:rPr>
                <w:rFonts w:hint="eastAsia" w:eastAsia="宋体" w:cs="Times New Roman"/>
                <w:color w:val="auto"/>
                <w:sz w:val="24"/>
                <w:highlight w:val="none"/>
                <w:lang w:val="en-US" w:eastAsia="zh-CN"/>
              </w:rPr>
              <w:t>检测：取一定量以上离心溶解液，用纯化水稀释一定浓度涂板，</w:t>
            </w:r>
            <w:r>
              <w:rPr>
                <w:rFonts w:hint="eastAsia" w:cs="Times New Roman"/>
                <w:color w:val="auto"/>
                <w:sz w:val="24"/>
                <w:highlight w:val="none"/>
                <w:lang w:val="en-US" w:eastAsia="zh-CN"/>
              </w:rPr>
              <w:t>在培养箱培养一定时间后观察菌落形态</w:t>
            </w:r>
            <w:r>
              <w:rPr>
                <w:rFonts w:hint="eastAsia" w:ascii="Times New Roman" w:hAnsi="Times New Roman" w:eastAsia="宋体" w:cs="Times New Roman"/>
                <w:color w:val="auto"/>
                <w:sz w:val="24"/>
                <w:highlight w:val="none"/>
                <w:lang w:val="en-US" w:eastAsia="zh-CN"/>
              </w:rPr>
              <w:t>，合格后上灌装机</w:t>
            </w:r>
            <w:r>
              <w:rPr>
                <w:rFonts w:hint="eastAsia" w:ascii="Times New Roman" w:hAnsi="Times New Roman" w:eastAsia="宋体" w:cs="Times New Roman"/>
                <w:color w:val="auto"/>
                <w:sz w:val="24"/>
                <w:highlight w:val="none"/>
              </w:rPr>
              <w:t>包装。</w:t>
            </w:r>
          </w:p>
          <w:p w14:paraId="43A18AC4">
            <w:pPr>
              <w:adjustRightInd w:val="0"/>
              <w:spacing w:line="360" w:lineRule="auto"/>
              <w:ind w:firstLine="482" w:firstLineChars="200"/>
              <w:rPr>
                <w:rFonts w:hint="default" w:eastAsia="宋体" w:cs="Times New Roman"/>
                <w:b/>
                <w:bCs/>
                <w:color w:val="auto"/>
                <w:sz w:val="24"/>
                <w:highlight w:val="none"/>
                <w:lang w:val="en-US" w:eastAsia="zh-CN"/>
              </w:rPr>
            </w:pPr>
            <w:r>
              <w:rPr>
                <w:rFonts w:hint="eastAsia" w:eastAsia="宋体" w:cs="Times New Roman"/>
                <w:b/>
                <w:bCs/>
                <w:color w:val="auto"/>
                <w:sz w:val="24"/>
                <w:highlight w:val="none"/>
                <w:lang w:val="en-US" w:eastAsia="zh-CN"/>
              </w:rPr>
              <w:t>该过程产生废一次性耗材S1（废一次性手套、废移液枪头</w:t>
            </w:r>
            <w:r>
              <w:rPr>
                <w:rFonts w:hint="eastAsia" w:cs="Times New Roman"/>
                <w:b/>
                <w:bCs/>
                <w:color w:val="auto"/>
                <w:sz w:val="24"/>
                <w:highlight w:val="none"/>
                <w:lang w:val="en-US" w:eastAsia="zh-CN"/>
              </w:rPr>
              <w:t>等</w:t>
            </w:r>
            <w:r>
              <w:rPr>
                <w:rFonts w:hint="eastAsia" w:eastAsia="宋体" w:cs="Times New Roman"/>
                <w:b/>
                <w:bCs/>
                <w:color w:val="auto"/>
                <w:sz w:val="24"/>
                <w:highlight w:val="none"/>
                <w:lang w:val="en-US" w:eastAsia="zh-CN"/>
              </w:rPr>
              <w:t>）、</w:t>
            </w:r>
            <w:r>
              <w:rPr>
                <w:rFonts w:hint="eastAsia" w:cs="Times New Roman"/>
                <w:b/>
                <w:bCs/>
                <w:color w:val="auto"/>
                <w:sz w:val="24"/>
                <w:highlight w:val="none"/>
                <w:lang w:val="en-US" w:eastAsia="zh-CN"/>
              </w:rPr>
              <w:t>废上清液S4、检验废液S3、废培养基S5、废样品S6、</w:t>
            </w:r>
            <w:r>
              <w:rPr>
                <w:rFonts w:hint="eastAsia" w:eastAsia="宋体" w:cs="Times New Roman"/>
                <w:b/>
                <w:bCs/>
                <w:color w:val="auto"/>
                <w:sz w:val="24"/>
                <w:highlight w:val="none"/>
                <w:lang w:val="en-US" w:eastAsia="zh-CN"/>
              </w:rPr>
              <w:t>清洗废液S2、清洗废水W1。</w:t>
            </w:r>
          </w:p>
          <w:p w14:paraId="2F5CA5A9">
            <w:pPr>
              <w:adjustRightInd w:val="0"/>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8</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包装</w:t>
            </w:r>
            <w:r>
              <w:rPr>
                <w:rFonts w:hint="eastAsia" w:eastAsia="宋体" w:cs="Times New Roman"/>
                <w:color w:val="auto"/>
                <w:sz w:val="24"/>
                <w:highlight w:val="none"/>
                <w:lang w:val="en-US" w:eastAsia="zh-CN"/>
              </w:rPr>
              <w:t>：</w:t>
            </w:r>
            <w:r>
              <w:rPr>
                <w:rFonts w:hint="eastAsia" w:cs="Times New Roman"/>
                <w:color w:val="auto"/>
                <w:sz w:val="24"/>
                <w:highlight w:val="none"/>
                <w:lang w:val="en-US" w:eastAsia="zh-CN"/>
              </w:rPr>
              <w:t>以上检测合格产品用自动灌装机罐装入库，每罐装一批用纯水对灌装机清洗</w:t>
            </w:r>
            <w:r>
              <w:rPr>
                <w:rFonts w:hint="eastAsia" w:ascii="Times New Roman" w:hAnsi="Times New Roman" w:eastAsia="宋体" w:cs="Times New Roman"/>
                <w:color w:val="auto"/>
                <w:sz w:val="24"/>
                <w:highlight w:val="none"/>
              </w:rPr>
              <w:t>。</w:t>
            </w:r>
          </w:p>
          <w:p w14:paraId="6884CD7C">
            <w:pPr>
              <w:adjustRightInd w:val="0"/>
              <w:spacing w:line="360" w:lineRule="auto"/>
              <w:ind w:firstLine="482" w:firstLineChars="200"/>
              <w:rPr>
                <w:rFonts w:hint="default" w:eastAsia="宋体" w:cs="Times New Roman"/>
                <w:b/>
                <w:bCs/>
                <w:color w:val="auto"/>
                <w:sz w:val="24"/>
                <w:highlight w:val="none"/>
                <w:lang w:val="en-US" w:eastAsia="zh-CN"/>
              </w:rPr>
            </w:pPr>
            <w:r>
              <w:rPr>
                <w:rFonts w:hint="eastAsia" w:eastAsia="宋体" w:cs="Times New Roman"/>
                <w:b/>
                <w:bCs/>
                <w:color w:val="auto"/>
                <w:sz w:val="24"/>
                <w:highlight w:val="none"/>
                <w:lang w:val="en-US" w:eastAsia="zh-CN"/>
              </w:rPr>
              <w:t>该过程产生废一次性耗材S1（废一次性手套）、清洗废液S2、清洗废水W1。</w:t>
            </w:r>
          </w:p>
          <w:p w14:paraId="0D5D43EF">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2、研发</w:t>
            </w:r>
            <w:r>
              <w:rPr>
                <w:rFonts w:hint="eastAsia" w:ascii="Times New Roman" w:hAnsi="Times New Roman" w:eastAsia="宋体" w:cs="Times New Roman"/>
                <w:color w:val="auto"/>
                <w:sz w:val="24"/>
                <w:highlight w:val="none"/>
                <w:lang w:val="en-US" w:eastAsia="zh-CN"/>
              </w:rPr>
              <w:t>工艺流程</w:t>
            </w:r>
            <w:r>
              <w:rPr>
                <w:rFonts w:hint="eastAsia" w:cs="Times New Roman"/>
                <w:color w:val="auto"/>
                <w:sz w:val="24"/>
                <w:highlight w:val="none"/>
                <w:lang w:val="en-US" w:eastAsia="zh-CN"/>
              </w:rPr>
              <w:t>和产污环节</w:t>
            </w:r>
          </w:p>
          <w:p w14:paraId="131E92B5">
            <w:pPr>
              <w:adjustRightInd w:val="0"/>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object>
                <v:shape id="_x0000_i1030" o:spt="75" type="#_x0000_t75" style="height:79.35pt;width:318.4pt;" o:ole="t" filled="f" o:preferrelative="t" stroked="f" coordsize="21600,21600">
                  <v:path/>
                  <v:fill on="f" focussize="0,0"/>
                  <v:stroke on="f"/>
                  <v:imagedata r:id="rId24" o:title=""/>
                  <o:lock v:ext="edit" aspectratio="f"/>
                  <w10:wrap type="none"/>
                  <w10:anchorlock/>
                </v:shape>
                <o:OLEObject Type="Embed" ProgID="Visio.Drawing.15" ShapeID="_x0000_i1030" DrawAspect="Content" ObjectID="_1468075728" r:id="rId23">
                  <o:LockedField>false</o:LockedField>
                </o:OLEObject>
              </w:object>
            </w:r>
          </w:p>
          <w:p w14:paraId="2008B120">
            <w:pPr>
              <w:numPr>
                <w:ilvl w:val="0"/>
                <w:numId w:val="16"/>
              </w:numPr>
              <w:adjustRightInd w:val="0"/>
              <w:spacing w:line="360" w:lineRule="auto"/>
              <w:ind w:left="425" w:leftChars="0" w:hanging="425" w:firstLineChars="0"/>
              <w:jc w:val="center"/>
              <w:rPr>
                <w:rFonts w:hint="default" w:ascii="Times New Roman" w:hAnsi="Times New Roman" w:eastAsia="宋体" w:cs="Times New Roman"/>
                <w:color w:val="auto"/>
                <w:sz w:val="24"/>
                <w:highlight w:val="none"/>
              </w:rPr>
            </w:pPr>
            <w:r>
              <w:rPr>
                <w:rFonts w:hint="eastAsia" w:cs="Times New Roman"/>
                <w:b/>
                <w:bCs/>
                <w:color w:val="auto"/>
                <w:sz w:val="24"/>
                <w:szCs w:val="32"/>
                <w:highlight w:val="none"/>
                <w:lang w:val="en-US" w:eastAsia="zh-CN"/>
              </w:rPr>
              <w:t>研发</w:t>
            </w:r>
            <w:r>
              <w:rPr>
                <w:rFonts w:hint="default" w:ascii="Times New Roman" w:hAnsi="Times New Roman" w:eastAsia="宋体" w:cs="Times New Roman"/>
                <w:b/>
                <w:bCs/>
                <w:color w:val="auto"/>
                <w:sz w:val="24"/>
                <w:szCs w:val="32"/>
                <w:highlight w:val="none"/>
              </w:rPr>
              <w:t>流程及产污节点图</w:t>
            </w:r>
          </w:p>
          <w:p w14:paraId="3D8F243E">
            <w:pPr>
              <w:adjustRightIn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培养发酵：在超净工作台内，将一定发酵培养基加入摇瓶，按一定接种比例把原始菌种</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嗜热脂肪地芽孢杆菌</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接种至摇瓶，然后转移至摇床进行培养发酵。</w:t>
            </w:r>
          </w:p>
          <w:p w14:paraId="7DC40B8E">
            <w:pPr>
              <w:adjustRightInd w:val="0"/>
              <w:spacing w:line="360" w:lineRule="auto"/>
              <w:ind w:firstLine="482" w:firstLineChars="200"/>
              <w:rPr>
                <w:rFonts w:hint="default" w:eastAsia="宋体" w:cs="Times New Roman"/>
                <w:b/>
                <w:bCs/>
                <w:color w:val="auto"/>
                <w:sz w:val="24"/>
                <w:highlight w:val="none"/>
                <w:lang w:val="en-US" w:eastAsia="zh-CN"/>
              </w:rPr>
            </w:pPr>
            <w:r>
              <w:rPr>
                <w:rFonts w:hint="eastAsia" w:eastAsia="宋体" w:cs="Times New Roman"/>
                <w:b/>
                <w:bCs/>
                <w:color w:val="auto"/>
                <w:sz w:val="24"/>
                <w:highlight w:val="none"/>
                <w:lang w:val="en-US" w:eastAsia="zh-CN"/>
              </w:rPr>
              <w:t>该过程产生废一次性</w:t>
            </w:r>
            <w:r>
              <w:rPr>
                <w:rFonts w:hint="eastAsia" w:cs="Times New Roman"/>
                <w:b/>
                <w:bCs/>
                <w:color w:val="auto"/>
                <w:sz w:val="24"/>
                <w:highlight w:val="none"/>
                <w:lang w:val="en-US" w:eastAsia="zh-CN"/>
              </w:rPr>
              <w:t>实验</w:t>
            </w:r>
            <w:r>
              <w:rPr>
                <w:rFonts w:hint="eastAsia" w:eastAsia="宋体" w:cs="Times New Roman"/>
                <w:b/>
                <w:bCs/>
                <w:color w:val="auto"/>
                <w:sz w:val="24"/>
                <w:highlight w:val="none"/>
                <w:lang w:val="en-US" w:eastAsia="zh-CN"/>
              </w:rPr>
              <w:t>耗材S1（废一次性手套、废移液枪头</w:t>
            </w:r>
            <w:r>
              <w:rPr>
                <w:rFonts w:hint="eastAsia" w:cs="Times New Roman"/>
                <w:b/>
                <w:bCs/>
                <w:color w:val="auto"/>
                <w:sz w:val="24"/>
                <w:highlight w:val="none"/>
                <w:lang w:val="en-US" w:eastAsia="zh-CN"/>
              </w:rPr>
              <w:t>、废载玻片、盖玻片等</w:t>
            </w:r>
            <w:r>
              <w:rPr>
                <w:rFonts w:hint="eastAsia" w:eastAsia="宋体" w:cs="Times New Roman"/>
                <w:b/>
                <w:bCs/>
                <w:color w:val="auto"/>
                <w:sz w:val="24"/>
                <w:highlight w:val="none"/>
                <w:lang w:val="en-US" w:eastAsia="zh-CN"/>
              </w:rPr>
              <w:t>）、</w:t>
            </w:r>
            <w:r>
              <w:rPr>
                <w:rFonts w:hint="eastAsia" w:cs="Times New Roman"/>
                <w:b/>
                <w:bCs/>
                <w:color w:val="auto"/>
                <w:sz w:val="24"/>
                <w:highlight w:val="none"/>
                <w:lang w:val="en-US" w:eastAsia="zh-CN"/>
              </w:rPr>
              <w:t>检验废液S3、</w:t>
            </w:r>
            <w:r>
              <w:rPr>
                <w:rFonts w:hint="eastAsia" w:eastAsia="宋体" w:cs="Times New Roman"/>
                <w:b/>
                <w:bCs/>
                <w:color w:val="auto"/>
                <w:sz w:val="24"/>
                <w:highlight w:val="none"/>
                <w:lang w:val="en-US" w:eastAsia="zh-CN"/>
              </w:rPr>
              <w:t>清洗废液S2、清洗废水W1。</w:t>
            </w:r>
          </w:p>
          <w:p w14:paraId="5533C4F6">
            <w:pPr>
              <w:numPr>
                <w:ilvl w:val="0"/>
                <w:numId w:val="18"/>
              </w:numPr>
              <w:adjustRightIn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检测</w:t>
            </w:r>
            <w:r>
              <w:rPr>
                <w:rFonts w:hint="eastAsia" w:ascii="Times New Roman" w:hAnsi="Times New Roman" w:eastAsia="宋体" w:cs="Times New Roman"/>
                <w:color w:val="auto"/>
                <w:sz w:val="24"/>
                <w:highlight w:val="none"/>
                <w:lang w:val="en-US" w:eastAsia="zh-CN"/>
              </w:rPr>
              <w:t>：用分光光度计测量透光度、用显微镜观察菌体形态</w:t>
            </w:r>
          </w:p>
          <w:p w14:paraId="6A199043">
            <w:pPr>
              <w:adjustRightInd w:val="0"/>
              <w:spacing w:line="360" w:lineRule="auto"/>
              <w:ind w:firstLine="482" w:firstLineChars="200"/>
              <w:rPr>
                <w:rFonts w:hint="default" w:eastAsia="宋体" w:cs="Times New Roman"/>
                <w:b/>
                <w:bCs/>
                <w:color w:val="auto"/>
                <w:sz w:val="24"/>
                <w:highlight w:val="none"/>
                <w:lang w:val="en-US" w:eastAsia="zh-CN"/>
              </w:rPr>
            </w:pPr>
            <w:r>
              <w:rPr>
                <w:rFonts w:hint="eastAsia" w:eastAsia="宋体" w:cs="Times New Roman"/>
                <w:b/>
                <w:bCs/>
                <w:color w:val="auto"/>
                <w:sz w:val="24"/>
                <w:highlight w:val="none"/>
                <w:lang w:val="en-US" w:eastAsia="zh-CN"/>
              </w:rPr>
              <w:t>该过程产生废一次性</w:t>
            </w:r>
            <w:r>
              <w:rPr>
                <w:rFonts w:hint="eastAsia" w:cs="Times New Roman"/>
                <w:b/>
                <w:bCs/>
                <w:color w:val="auto"/>
                <w:sz w:val="24"/>
                <w:highlight w:val="none"/>
                <w:lang w:val="en-US" w:eastAsia="zh-CN"/>
              </w:rPr>
              <w:t>实验</w:t>
            </w:r>
            <w:r>
              <w:rPr>
                <w:rFonts w:hint="eastAsia" w:eastAsia="宋体" w:cs="Times New Roman"/>
                <w:b/>
                <w:bCs/>
                <w:color w:val="auto"/>
                <w:sz w:val="24"/>
                <w:highlight w:val="none"/>
                <w:lang w:val="en-US" w:eastAsia="zh-CN"/>
              </w:rPr>
              <w:t>耗材S1（废一次性手套、废移液枪头</w:t>
            </w:r>
            <w:r>
              <w:rPr>
                <w:rFonts w:hint="eastAsia" w:cs="Times New Roman"/>
                <w:b/>
                <w:bCs/>
                <w:color w:val="auto"/>
                <w:sz w:val="24"/>
                <w:highlight w:val="none"/>
                <w:lang w:val="en-US" w:eastAsia="zh-CN"/>
              </w:rPr>
              <w:t>、废载玻片、盖玻片等</w:t>
            </w:r>
            <w:r>
              <w:rPr>
                <w:rFonts w:hint="eastAsia" w:eastAsia="宋体" w:cs="Times New Roman"/>
                <w:b/>
                <w:bCs/>
                <w:color w:val="auto"/>
                <w:sz w:val="24"/>
                <w:highlight w:val="none"/>
                <w:lang w:val="en-US" w:eastAsia="zh-CN"/>
              </w:rPr>
              <w:t>）、</w:t>
            </w:r>
            <w:r>
              <w:rPr>
                <w:rFonts w:hint="eastAsia" w:cs="Times New Roman"/>
                <w:b/>
                <w:bCs/>
                <w:color w:val="auto"/>
                <w:sz w:val="24"/>
                <w:highlight w:val="none"/>
                <w:lang w:val="en-US" w:eastAsia="zh-CN"/>
              </w:rPr>
              <w:t>检验废液S3、</w:t>
            </w:r>
            <w:r>
              <w:rPr>
                <w:rFonts w:hint="eastAsia" w:eastAsia="宋体" w:cs="Times New Roman"/>
                <w:b/>
                <w:bCs/>
                <w:color w:val="auto"/>
                <w:sz w:val="24"/>
                <w:highlight w:val="none"/>
                <w:lang w:val="en-US" w:eastAsia="zh-CN"/>
              </w:rPr>
              <w:t>清洗废液S2、清洗废水W1。</w:t>
            </w:r>
          </w:p>
          <w:p w14:paraId="20CCC06A">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其他产污环节：员工产生生活污水W2、生活垃圾S7；纯水制备产生制备废水W3、废滤芯S8、废反渗透膜S9；新风系统产生空气过滤废滤芯S10；废上清液、检测废液、实验器具、废一次性耗材、废样品要高压蒸汽灭菌，会产生高压蒸汽灭菌废水W4；原辅料脱包会产生不沾染化学试剂的废包装物S11；研发生产过程检验产生废样品S12、废试剂瓶S13。</w:t>
            </w:r>
          </w:p>
          <w:p w14:paraId="1B554284">
            <w:pPr>
              <w:adjustRightIn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根据本项目的性质，运营期的主要污染源及污染因子识别见下表。</w:t>
            </w:r>
          </w:p>
          <w:p w14:paraId="615A0136">
            <w:pPr>
              <w:numPr>
                <w:ilvl w:val="0"/>
                <w:numId w:val="13"/>
              </w:numPr>
              <w:adjustRightInd w:val="0"/>
              <w:snapToGrid w:val="0"/>
              <w:spacing w:line="360" w:lineRule="auto"/>
              <w:jc w:val="center"/>
              <w:rPr>
                <w:rFonts w:hint="default" w:ascii="Times New Roman" w:hAnsi="Times New Roman" w:eastAsia="宋体" w:cs="Times New Roman"/>
                <w:b/>
                <w:color w:val="auto"/>
                <w:sz w:val="24"/>
                <w:highlight w:val="none"/>
                <w:lang w:val="zh-CN"/>
              </w:rPr>
            </w:pPr>
            <w:r>
              <w:rPr>
                <w:rFonts w:hint="default" w:ascii="Times New Roman" w:hAnsi="Times New Roman" w:eastAsia="宋体" w:cs="Times New Roman"/>
                <w:b/>
                <w:color w:val="auto"/>
                <w:sz w:val="24"/>
                <w:highlight w:val="none"/>
                <w:lang w:val="zh-CN"/>
              </w:rPr>
              <w:t>主要污染源及污染因子识别表</w:t>
            </w:r>
          </w:p>
          <w:tbl>
            <w:tblPr>
              <w:tblStyle w:val="23"/>
              <w:tblW w:w="7816"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134" w:type="dxa"/>
                <w:bottom w:w="0" w:type="dxa"/>
                <w:right w:w="1701" w:type="dxa"/>
              </w:tblCellMar>
            </w:tblPr>
            <w:tblGrid>
              <w:gridCol w:w="907"/>
              <w:gridCol w:w="1958"/>
              <w:gridCol w:w="2568"/>
              <w:gridCol w:w="2383"/>
            </w:tblGrid>
            <w:tr w14:paraId="614A2B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406" w:hRule="atLeast"/>
                <w:jc w:val="center"/>
              </w:trPr>
              <w:tc>
                <w:tcPr>
                  <w:tcW w:w="907" w:type="dxa"/>
                  <w:tcBorders>
                    <w:tl2br w:val="nil"/>
                    <w:tr2bl w:val="nil"/>
                  </w:tcBorders>
                  <w:tcMar>
                    <w:top w:w="0" w:type="dxa"/>
                    <w:left w:w="113" w:type="dxa"/>
                    <w:bottom w:w="0" w:type="dxa"/>
                    <w:right w:w="113" w:type="dxa"/>
                  </w:tcMar>
                  <w:vAlign w:val="center"/>
                </w:tcPr>
                <w:p w14:paraId="61B0F0B0">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zh-CN"/>
                    </w:rPr>
                    <w:t>污染物类别</w:t>
                  </w:r>
                </w:p>
              </w:tc>
              <w:tc>
                <w:tcPr>
                  <w:tcW w:w="1958" w:type="dxa"/>
                  <w:tcBorders>
                    <w:tl2br w:val="nil"/>
                    <w:tr2bl w:val="nil"/>
                  </w:tcBorders>
                  <w:tcMar>
                    <w:top w:w="0" w:type="dxa"/>
                    <w:left w:w="113" w:type="dxa"/>
                    <w:bottom w:w="0" w:type="dxa"/>
                    <w:right w:w="113" w:type="dxa"/>
                  </w:tcMar>
                  <w:vAlign w:val="center"/>
                </w:tcPr>
                <w:p w14:paraId="5EC9A50F">
                  <w:pPr>
                    <w:adjustRightInd w:val="0"/>
                    <w:snapToGrid w:val="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val="en-US" w:eastAsia="zh-CN"/>
                    </w:rPr>
                    <w:t>排污节点</w:t>
                  </w:r>
                </w:p>
              </w:tc>
              <w:tc>
                <w:tcPr>
                  <w:tcW w:w="2568" w:type="dxa"/>
                  <w:tcBorders>
                    <w:tl2br w:val="nil"/>
                    <w:tr2bl w:val="nil"/>
                  </w:tcBorders>
                  <w:tcMar>
                    <w:top w:w="0" w:type="dxa"/>
                    <w:left w:w="113" w:type="dxa"/>
                    <w:bottom w:w="0" w:type="dxa"/>
                    <w:right w:w="113" w:type="dxa"/>
                  </w:tcMar>
                  <w:vAlign w:val="center"/>
                </w:tcPr>
                <w:p w14:paraId="4D6C8F8B">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2383" w:type="dxa"/>
                  <w:tcBorders>
                    <w:tl2br w:val="nil"/>
                    <w:tr2bl w:val="nil"/>
                  </w:tcBorders>
                  <w:tcMar>
                    <w:top w:w="0" w:type="dxa"/>
                    <w:left w:w="113" w:type="dxa"/>
                    <w:bottom w:w="0" w:type="dxa"/>
                    <w:right w:w="113" w:type="dxa"/>
                  </w:tcMar>
                  <w:vAlign w:val="center"/>
                </w:tcPr>
                <w:p w14:paraId="08284C65">
                  <w:pPr>
                    <w:adjustRightInd w:val="0"/>
                    <w:snapToGrid w:val="0"/>
                    <w:jc w:val="center"/>
                    <w:rPr>
                      <w:rFonts w:hint="default" w:ascii="Times New Roman" w:hAnsi="Times New Roman" w:eastAsia="宋体" w:cs="Times New Roman"/>
                      <w:b/>
                      <w:bCs/>
                      <w:color w:val="auto"/>
                      <w:szCs w:val="21"/>
                      <w:highlight w:val="none"/>
                      <w:lang w:val="zh-CN" w:eastAsia="zh-CN"/>
                    </w:rPr>
                  </w:pPr>
                  <w:r>
                    <w:rPr>
                      <w:rFonts w:hint="default" w:ascii="Times New Roman" w:hAnsi="Times New Roman" w:eastAsia="宋体" w:cs="Times New Roman"/>
                      <w:b/>
                      <w:bCs/>
                      <w:color w:val="auto"/>
                      <w:szCs w:val="21"/>
                      <w:highlight w:val="none"/>
                      <w:lang w:val="en-US" w:eastAsia="zh-CN"/>
                    </w:rPr>
                    <w:t>治理措施</w:t>
                  </w:r>
                </w:p>
              </w:tc>
            </w:tr>
            <w:tr w14:paraId="5CFAFF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519" w:hRule="atLeast"/>
                <w:jc w:val="center"/>
              </w:trPr>
              <w:tc>
                <w:tcPr>
                  <w:tcW w:w="907" w:type="dxa"/>
                  <w:vMerge w:val="restart"/>
                  <w:tcBorders>
                    <w:tl2br w:val="nil"/>
                    <w:tr2bl w:val="nil"/>
                  </w:tcBorders>
                  <w:tcMar>
                    <w:top w:w="0" w:type="dxa"/>
                    <w:left w:w="113" w:type="dxa"/>
                    <w:bottom w:w="0" w:type="dxa"/>
                    <w:right w:w="113" w:type="dxa"/>
                  </w:tcMar>
                  <w:vAlign w:val="center"/>
                </w:tcPr>
                <w:p w14:paraId="0843FE7F">
                  <w:pPr>
                    <w:adjustRightInd w:val="0"/>
                    <w:snapToGrid w:val="0"/>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en-US" w:eastAsia="zh-CN"/>
                    </w:rPr>
                    <w:t>废水</w:t>
                  </w:r>
                </w:p>
              </w:tc>
              <w:tc>
                <w:tcPr>
                  <w:tcW w:w="1958" w:type="dxa"/>
                  <w:tcBorders>
                    <w:tl2br w:val="nil"/>
                    <w:tr2bl w:val="nil"/>
                  </w:tcBorders>
                  <w:tcMar>
                    <w:top w:w="0" w:type="dxa"/>
                    <w:left w:w="113" w:type="dxa"/>
                    <w:bottom w:w="0" w:type="dxa"/>
                    <w:right w:w="113" w:type="dxa"/>
                  </w:tcMar>
                  <w:vAlign w:val="center"/>
                </w:tcPr>
                <w:p w14:paraId="5E5EEAC6">
                  <w:pPr>
                    <w:adjustRightInd w:val="0"/>
                    <w:snapToGrid w:val="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生活污水</w:t>
                  </w:r>
                </w:p>
              </w:tc>
              <w:tc>
                <w:tcPr>
                  <w:tcW w:w="2568" w:type="dxa"/>
                  <w:tcBorders>
                    <w:tl2br w:val="nil"/>
                    <w:tr2bl w:val="nil"/>
                  </w:tcBorders>
                  <w:tcMar>
                    <w:top w:w="0" w:type="dxa"/>
                    <w:left w:w="113" w:type="dxa"/>
                    <w:bottom w:w="0" w:type="dxa"/>
                    <w:right w:w="113" w:type="dxa"/>
                  </w:tcMar>
                  <w:vAlign w:val="center"/>
                </w:tcPr>
                <w:p w14:paraId="0A552B5A">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pH、COD</w:t>
                  </w:r>
                  <w:r>
                    <w:rPr>
                      <w:rFonts w:hint="default" w:ascii="Times New Roman" w:hAnsi="Times New Roman" w:eastAsia="宋体" w:cs="Times New Roman"/>
                      <w:color w:val="auto"/>
                      <w:kern w:val="0"/>
                      <w:sz w:val="21"/>
                      <w:szCs w:val="21"/>
                      <w:vertAlign w:val="subscript"/>
                      <w:lang w:val="en-US" w:eastAsia="zh-CN" w:bidi="ar"/>
                    </w:rPr>
                    <w:t>Cr</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BOD</w:t>
                  </w:r>
                  <w:r>
                    <w:rPr>
                      <w:rFonts w:hint="default" w:ascii="Times New Roman" w:hAnsi="Times New Roman" w:eastAsia="宋体" w:cs="Times New Roman"/>
                      <w:color w:val="auto"/>
                      <w:kern w:val="0"/>
                      <w:sz w:val="21"/>
                      <w:szCs w:val="21"/>
                      <w:vertAlign w:val="subscript"/>
                      <w:lang w:val="en-US" w:eastAsia="zh-CN" w:bidi="ar"/>
                    </w:rPr>
                    <w:t>5</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SS、氨氮</w:t>
                  </w:r>
                </w:p>
              </w:tc>
              <w:tc>
                <w:tcPr>
                  <w:tcW w:w="2383" w:type="dxa"/>
                  <w:vMerge w:val="restart"/>
                  <w:tcBorders>
                    <w:tl2br w:val="nil"/>
                    <w:tr2bl w:val="nil"/>
                  </w:tcBorders>
                  <w:tcMar>
                    <w:top w:w="0" w:type="dxa"/>
                    <w:left w:w="113" w:type="dxa"/>
                    <w:bottom w:w="0" w:type="dxa"/>
                    <w:right w:w="113" w:type="dxa"/>
                  </w:tcMar>
                  <w:vAlign w:val="center"/>
                </w:tcPr>
                <w:p w14:paraId="65961B36">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容器第三遍及以后清洗废水、</w:t>
                  </w:r>
                  <w:r>
                    <w:rPr>
                      <w:rFonts w:hint="eastAsia" w:ascii="Times New Roman" w:hAnsi="Times New Roman" w:eastAsia="宋体" w:cs="Times New Roman"/>
                      <w:color w:val="auto"/>
                      <w:kern w:val="0"/>
                      <w:sz w:val="21"/>
                      <w:szCs w:val="21"/>
                      <w:lang w:val="en-US" w:eastAsia="zh-CN" w:bidi="ar"/>
                    </w:rPr>
                    <w:t>生活污水</w:t>
                  </w:r>
                  <w:r>
                    <w:rPr>
                      <w:rFonts w:hint="eastAsia" w:cs="Times New Roman"/>
                      <w:color w:val="auto"/>
                      <w:kern w:val="0"/>
                      <w:sz w:val="21"/>
                      <w:szCs w:val="21"/>
                      <w:lang w:val="en-US" w:eastAsia="zh-CN" w:bidi="ar"/>
                    </w:rPr>
                    <w:t>、高压蒸汽灭菌废水、纯水制备废水</w:t>
                  </w:r>
                  <w:r>
                    <w:rPr>
                      <w:rFonts w:hint="eastAsia" w:ascii="Times New Roman" w:hAnsi="Times New Roman" w:eastAsia="宋体" w:cs="Times New Roman"/>
                      <w:color w:val="auto"/>
                      <w:kern w:val="0"/>
                      <w:sz w:val="21"/>
                      <w:szCs w:val="21"/>
                      <w:lang w:val="en-US" w:eastAsia="zh-CN" w:bidi="ar"/>
                    </w:rPr>
                    <w:t>一起进园区化粪池处理，最后经市政管网排入</w:t>
                  </w:r>
                  <w:r>
                    <w:rPr>
                      <w:rFonts w:hint="eastAsia" w:cs="Times New Roman"/>
                      <w:color w:val="auto"/>
                      <w:kern w:val="0"/>
                      <w:sz w:val="21"/>
                      <w:szCs w:val="21"/>
                      <w:lang w:val="en-US" w:eastAsia="zh-CN" w:bidi="ar"/>
                    </w:rPr>
                    <w:t>金桥基地第一污水处理厂</w:t>
                  </w:r>
                </w:p>
              </w:tc>
            </w:tr>
            <w:tr w14:paraId="0A94A2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519" w:hRule="atLeast"/>
                <w:jc w:val="center"/>
              </w:trPr>
              <w:tc>
                <w:tcPr>
                  <w:tcW w:w="907" w:type="dxa"/>
                  <w:vMerge w:val="continue"/>
                  <w:tcBorders>
                    <w:tl2br w:val="nil"/>
                    <w:tr2bl w:val="nil"/>
                  </w:tcBorders>
                  <w:tcMar>
                    <w:top w:w="0" w:type="dxa"/>
                    <w:left w:w="113" w:type="dxa"/>
                    <w:bottom w:w="0" w:type="dxa"/>
                    <w:right w:w="113" w:type="dxa"/>
                  </w:tcMar>
                  <w:vAlign w:val="center"/>
                </w:tcPr>
                <w:p w14:paraId="49A92012">
                  <w:pPr>
                    <w:adjustRightInd w:val="0"/>
                    <w:snapToGrid w:val="0"/>
                    <w:jc w:val="center"/>
                    <w:rPr>
                      <w:rFonts w:hint="default" w:ascii="Times New Roman" w:hAnsi="Times New Roman" w:eastAsia="宋体" w:cs="Times New Roman"/>
                      <w:color w:val="auto"/>
                      <w:szCs w:val="21"/>
                      <w:highlight w:val="none"/>
                      <w:lang w:val="zh-CN"/>
                    </w:rPr>
                  </w:pPr>
                </w:p>
              </w:tc>
              <w:tc>
                <w:tcPr>
                  <w:tcW w:w="1958" w:type="dxa"/>
                  <w:tcBorders>
                    <w:tl2br w:val="nil"/>
                    <w:tr2bl w:val="nil"/>
                  </w:tcBorders>
                  <w:shd w:val="clear" w:color="auto" w:fill="auto"/>
                  <w:tcMar>
                    <w:top w:w="0" w:type="dxa"/>
                    <w:left w:w="113" w:type="dxa"/>
                    <w:bottom w:w="0" w:type="dxa"/>
                    <w:right w:w="113" w:type="dxa"/>
                  </w:tcMar>
                  <w:vAlign w:val="center"/>
                </w:tcPr>
                <w:p w14:paraId="4B37BF16">
                  <w:pPr>
                    <w:keepNext w:val="0"/>
                    <w:keepLines w:val="0"/>
                    <w:widowControl/>
                    <w:suppressLineNumbers w:val="0"/>
                    <w:ind w:firstLine="210" w:firstLineChars="100"/>
                    <w:jc w:val="center"/>
                    <w:rPr>
                      <w:rFonts w:hint="default" w:ascii="Times New Roman" w:hAnsi="Times New Roman" w:eastAsia="宋体" w:cs="Times New Roman"/>
                      <w:color w:val="auto"/>
                      <w:kern w:val="2"/>
                      <w:sz w:val="21"/>
                      <w:szCs w:val="21"/>
                      <w:highlight w:val="none"/>
                      <w:lang w:val="zh-CN" w:eastAsia="zh-CN" w:bidi="ar-SA"/>
                    </w:rPr>
                  </w:pPr>
                  <w:r>
                    <w:rPr>
                      <w:rFonts w:hint="eastAsia" w:cs="Times New Roman"/>
                      <w:color w:val="auto"/>
                      <w:kern w:val="0"/>
                      <w:sz w:val="21"/>
                      <w:szCs w:val="21"/>
                      <w:lang w:val="en-US" w:eastAsia="zh-CN" w:bidi="ar"/>
                    </w:rPr>
                    <w:t>容器第三次及以后</w:t>
                  </w:r>
                  <w:r>
                    <w:rPr>
                      <w:rFonts w:hint="default" w:ascii="Times New Roman" w:hAnsi="Times New Roman" w:eastAsia="宋体" w:cs="Times New Roman"/>
                      <w:color w:val="auto"/>
                      <w:kern w:val="0"/>
                      <w:sz w:val="21"/>
                      <w:szCs w:val="21"/>
                      <w:lang w:val="en-US" w:eastAsia="zh-CN" w:bidi="ar"/>
                    </w:rPr>
                    <w:t>清洗废水</w:t>
                  </w:r>
                </w:p>
              </w:tc>
              <w:tc>
                <w:tcPr>
                  <w:tcW w:w="2568" w:type="dxa"/>
                  <w:tcBorders>
                    <w:tl2br w:val="nil"/>
                    <w:tr2bl w:val="nil"/>
                  </w:tcBorders>
                  <w:shd w:val="clear" w:color="auto" w:fill="auto"/>
                  <w:tcMar>
                    <w:top w:w="0" w:type="dxa"/>
                    <w:left w:w="113" w:type="dxa"/>
                    <w:bottom w:w="0" w:type="dxa"/>
                    <w:right w:w="113" w:type="dxa"/>
                  </w:tcMar>
                  <w:vAlign w:val="center"/>
                </w:tcPr>
                <w:p w14:paraId="60E973AF">
                  <w:pPr>
                    <w:keepNext w:val="0"/>
                    <w:keepLines w:val="0"/>
                    <w:widowControl/>
                    <w:suppressLineNumbers w:val="0"/>
                    <w:jc w:val="center"/>
                    <w:rPr>
                      <w:rFonts w:hint="default" w:ascii="Times New Roman" w:hAnsi="Times New Roman" w:eastAsia="宋体" w:cs="Times New Roman"/>
                      <w:color w:val="auto"/>
                      <w:kern w:val="0"/>
                      <w:sz w:val="21"/>
                      <w:szCs w:val="21"/>
                      <w:lang w:val="zh-CN" w:eastAsia="zh-CN" w:bidi="ar"/>
                    </w:rPr>
                  </w:pPr>
                  <w:r>
                    <w:rPr>
                      <w:rFonts w:hint="default" w:ascii="Times New Roman" w:hAnsi="Times New Roman" w:eastAsia="宋体" w:cs="Times New Roman"/>
                      <w:color w:val="auto"/>
                      <w:kern w:val="0"/>
                      <w:sz w:val="21"/>
                      <w:szCs w:val="21"/>
                      <w:lang w:val="en-US" w:eastAsia="zh-CN" w:bidi="ar"/>
                    </w:rPr>
                    <w:t>pH、COD</w:t>
                  </w:r>
                  <w:r>
                    <w:rPr>
                      <w:rFonts w:hint="default" w:ascii="Times New Roman" w:hAnsi="Times New Roman" w:eastAsia="宋体" w:cs="Times New Roman"/>
                      <w:color w:val="auto"/>
                      <w:kern w:val="0"/>
                      <w:sz w:val="21"/>
                      <w:szCs w:val="21"/>
                      <w:vertAlign w:val="subscript"/>
                      <w:lang w:val="en-US" w:eastAsia="zh-CN" w:bidi="ar"/>
                    </w:rPr>
                    <w:t>Cr</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BOD</w:t>
                  </w:r>
                  <w:r>
                    <w:rPr>
                      <w:rFonts w:hint="default" w:ascii="Times New Roman" w:hAnsi="Times New Roman" w:eastAsia="宋体" w:cs="Times New Roman"/>
                      <w:color w:val="auto"/>
                      <w:kern w:val="0"/>
                      <w:sz w:val="21"/>
                      <w:szCs w:val="21"/>
                      <w:vertAlign w:val="subscript"/>
                      <w:lang w:val="en-US" w:eastAsia="zh-CN" w:bidi="ar"/>
                    </w:rPr>
                    <w:t>5</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SS、氨氮</w:t>
                  </w:r>
                </w:p>
              </w:tc>
              <w:tc>
                <w:tcPr>
                  <w:tcW w:w="2383" w:type="dxa"/>
                  <w:vMerge w:val="continue"/>
                  <w:tcBorders>
                    <w:tl2br w:val="nil"/>
                    <w:tr2bl w:val="nil"/>
                  </w:tcBorders>
                  <w:shd w:val="clear" w:color="auto" w:fill="auto"/>
                  <w:tcMar>
                    <w:top w:w="0" w:type="dxa"/>
                    <w:left w:w="113" w:type="dxa"/>
                    <w:bottom w:w="0" w:type="dxa"/>
                    <w:right w:w="113" w:type="dxa"/>
                  </w:tcMar>
                  <w:vAlign w:val="center"/>
                </w:tcPr>
                <w:p w14:paraId="63C767B4">
                  <w:pPr>
                    <w:keepNext w:val="0"/>
                    <w:keepLines w:val="0"/>
                    <w:widowControl/>
                    <w:suppressLineNumbers w:val="0"/>
                    <w:jc w:val="center"/>
                    <w:rPr>
                      <w:rFonts w:hint="default" w:ascii="Times New Roman" w:hAnsi="Times New Roman" w:eastAsia="宋体" w:cs="Times New Roman"/>
                      <w:color w:val="auto"/>
                      <w:kern w:val="0"/>
                      <w:sz w:val="21"/>
                      <w:szCs w:val="21"/>
                      <w:lang w:val="zh-CN" w:eastAsia="zh-CN" w:bidi="ar"/>
                    </w:rPr>
                  </w:pPr>
                </w:p>
              </w:tc>
            </w:tr>
            <w:tr w14:paraId="0A830D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519" w:hRule="atLeast"/>
                <w:jc w:val="center"/>
              </w:trPr>
              <w:tc>
                <w:tcPr>
                  <w:tcW w:w="907" w:type="dxa"/>
                  <w:vMerge w:val="continue"/>
                  <w:tcBorders>
                    <w:tl2br w:val="nil"/>
                    <w:tr2bl w:val="nil"/>
                  </w:tcBorders>
                  <w:tcMar>
                    <w:top w:w="0" w:type="dxa"/>
                    <w:left w:w="113" w:type="dxa"/>
                    <w:bottom w:w="0" w:type="dxa"/>
                    <w:right w:w="113" w:type="dxa"/>
                  </w:tcMar>
                  <w:vAlign w:val="center"/>
                </w:tcPr>
                <w:p w14:paraId="3E734AFD">
                  <w:pPr>
                    <w:adjustRightInd w:val="0"/>
                    <w:snapToGrid w:val="0"/>
                    <w:jc w:val="center"/>
                    <w:rPr>
                      <w:rFonts w:hint="default" w:ascii="Times New Roman" w:hAnsi="Times New Roman" w:eastAsia="宋体" w:cs="Times New Roman"/>
                      <w:color w:val="auto"/>
                      <w:szCs w:val="21"/>
                      <w:highlight w:val="none"/>
                      <w:lang w:val="zh-CN"/>
                    </w:rPr>
                  </w:pPr>
                </w:p>
              </w:tc>
              <w:tc>
                <w:tcPr>
                  <w:tcW w:w="1958" w:type="dxa"/>
                  <w:tcBorders>
                    <w:tl2br w:val="nil"/>
                    <w:tr2bl w:val="nil"/>
                  </w:tcBorders>
                  <w:shd w:val="clear" w:color="auto" w:fill="auto"/>
                  <w:tcMar>
                    <w:top w:w="0" w:type="dxa"/>
                    <w:left w:w="113" w:type="dxa"/>
                    <w:bottom w:w="0" w:type="dxa"/>
                    <w:right w:w="113" w:type="dxa"/>
                  </w:tcMar>
                  <w:vAlign w:val="center"/>
                </w:tcPr>
                <w:p w14:paraId="3999A65E">
                  <w:pPr>
                    <w:keepNext w:val="0"/>
                    <w:keepLines w:val="0"/>
                    <w:widowControl/>
                    <w:suppressLineNumbers w:val="0"/>
                    <w:ind w:firstLine="210" w:firstLineChars="100"/>
                    <w:jc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纯水制备废水</w:t>
                  </w:r>
                </w:p>
              </w:tc>
              <w:tc>
                <w:tcPr>
                  <w:tcW w:w="2568" w:type="dxa"/>
                  <w:tcBorders>
                    <w:tl2br w:val="nil"/>
                    <w:tr2bl w:val="nil"/>
                  </w:tcBorders>
                  <w:shd w:val="clear" w:color="auto" w:fill="auto"/>
                  <w:tcMar>
                    <w:top w:w="0" w:type="dxa"/>
                    <w:left w:w="113" w:type="dxa"/>
                    <w:bottom w:w="0" w:type="dxa"/>
                    <w:right w:w="113" w:type="dxa"/>
                  </w:tcMar>
                  <w:vAlign w:val="center"/>
                </w:tcPr>
                <w:p w14:paraId="58C55D28">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pH、COD</w:t>
                  </w:r>
                  <w:r>
                    <w:rPr>
                      <w:rFonts w:hint="default" w:ascii="Times New Roman" w:hAnsi="Times New Roman" w:eastAsia="宋体" w:cs="Times New Roman"/>
                      <w:color w:val="auto"/>
                      <w:kern w:val="0"/>
                      <w:sz w:val="21"/>
                      <w:szCs w:val="21"/>
                      <w:vertAlign w:val="subscript"/>
                      <w:lang w:val="en-US" w:eastAsia="zh-CN" w:bidi="ar"/>
                    </w:rPr>
                    <w:t>Cr</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BOD</w:t>
                  </w:r>
                  <w:r>
                    <w:rPr>
                      <w:rFonts w:hint="default" w:ascii="Times New Roman" w:hAnsi="Times New Roman" w:eastAsia="宋体" w:cs="Times New Roman"/>
                      <w:color w:val="auto"/>
                      <w:kern w:val="0"/>
                      <w:sz w:val="21"/>
                      <w:szCs w:val="21"/>
                      <w:vertAlign w:val="subscript"/>
                      <w:lang w:val="en-US" w:eastAsia="zh-CN" w:bidi="ar"/>
                    </w:rPr>
                    <w:t>5</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SS、</w:t>
                  </w:r>
                  <w:r>
                    <w:rPr>
                      <w:rFonts w:hint="eastAsia" w:cs="Times New Roman"/>
                      <w:color w:val="auto"/>
                      <w:kern w:val="0"/>
                      <w:sz w:val="21"/>
                      <w:szCs w:val="21"/>
                      <w:lang w:val="en-US" w:eastAsia="zh-CN" w:bidi="ar"/>
                    </w:rPr>
                    <w:t>可溶性固体总量</w:t>
                  </w:r>
                </w:p>
              </w:tc>
              <w:tc>
                <w:tcPr>
                  <w:tcW w:w="2383" w:type="dxa"/>
                  <w:vMerge w:val="continue"/>
                  <w:tcBorders>
                    <w:tl2br w:val="nil"/>
                    <w:tr2bl w:val="nil"/>
                  </w:tcBorders>
                  <w:shd w:val="clear" w:color="auto" w:fill="auto"/>
                  <w:tcMar>
                    <w:top w:w="0" w:type="dxa"/>
                    <w:left w:w="113" w:type="dxa"/>
                    <w:bottom w:w="0" w:type="dxa"/>
                    <w:right w:w="113" w:type="dxa"/>
                  </w:tcMar>
                  <w:vAlign w:val="center"/>
                </w:tcPr>
                <w:p w14:paraId="70BA07A7">
                  <w:pPr>
                    <w:keepNext w:val="0"/>
                    <w:keepLines w:val="0"/>
                    <w:widowControl/>
                    <w:suppressLineNumbers w:val="0"/>
                    <w:jc w:val="center"/>
                    <w:rPr>
                      <w:rFonts w:hint="default" w:ascii="Times New Roman" w:hAnsi="Times New Roman" w:eastAsia="宋体" w:cs="Times New Roman"/>
                      <w:color w:val="auto"/>
                      <w:kern w:val="0"/>
                      <w:sz w:val="21"/>
                      <w:szCs w:val="21"/>
                      <w:lang w:val="zh-CN" w:eastAsia="zh-CN" w:bidi="ar"/>
                    </w:rPr>
                  </w:pPr>
                </w:p>
              </w:tc>
            </w:tr>
            <w:tr w14:paraId="240E35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519" w:hRule="atLeast"/>
                <w:jc w:val="center"/>
              </w:trPr>
              <w:tc>
                <w:tcPr>
                  <w:tcW w:w="907" w:type="dxa"/>
                  <w:vMerge w:val="continue"/>
                  <w:tcBorders>
                    <w:tl2br w:val="nil"/>
                    <w:tr2bl w:val="nil"/>
                  </w:tcBorders>
                  <w:tcMar>
                    <w:top w:w="0" w:type="dxa"/>
                    <w:left w:w="113" w:type="dxa"/>
                    <w:bottom w:w="0" w:type="dxa"/>
                    <w:right w:w="113" w:type="dxa"/>
                  </w:tcMar>
                  <w:vAlign w:val="center"/>
                </w:tcPr>
                <w:p w14:paraId="33733E65">
                  <w:pPr>
                    <w:adjustRightInd w:val="0"/>
                    <w:snapToGrid w:val="0"/>
                    <w:jc w:val="center"/>
                    <w:rPr>
                      <w:rFonts w:hint="default" w:ascii="Times New Roman" w:hAnsi="Times New Roman" w:eastAsia="宋体" w:cs="Times New Roman"/>
                      <w:color w:val="auto"/>
                      <w:szCs w:val="21"/>
                      <w:highlight w:val="none"/>
                      <w:lang w:val="zh-CN"/>
                    </w:rPr>
                  </w:pPr>
                </w:p>
              </w:tc>
              <w:tc>
                <w:tcPr>
                  <w:tcW w:w="1958" w:type="dxa"/>
                  <w:tcBorders>
                    <w:tl2br w:val="nil"/>
                    <w:tr2bl w:val="nil"/>
                  </w:tcBorders>
                  <w:shd w:val="clear" w:color="auto" w:fill="auto"/>
                  <w:tcMar>
                    <w:top w:w="0" w:type="dxa"/>
                    <w:left w:w="113" w:type="dxa"/>
                    <w:bottom w:w="0" w:type="dxa"/>
                    <w:right w:w="113" w:type="dxa"/>
                  </w:tcMar>
                  <w:vAlign w:val="center"/>
                </w:tcPr>
                <w:p w14:paraId="5EB22197">
                  <w:pPr>
                    <w:keepNext w:val="0"/>
                    <w:keepLines w:val="0"/>
                    <w:widowControl/>
                    <w:suppressLineNumbers w:val="0"/>
                    <w:jc w:val="both"/>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高压蒸汽灭菌废水</w:t>
                  </w:r>
                </w:p>
              </w:tc>
              <w:tc>
                <w:tcPr>
                  <w:tcW w:w="2568" w:type="dxa"/>
                  <w:tcBorders>
                    <w:tl2br w:val="nil"/>
                    <w:tr2bl w:val="nil"/>
                  </w:tcBorders>
                  <w:shd w:val="clear" w:color="auto" w:fill="auto"/>
                  <w:tcMar>
                    <w:top w:w="0" w:type="dxa"/>
                    <w:left w:w="113" w:type="dxa"/>
                    <w:bottom w:w="0" w:type="dxa"/>
                    <w:right w:w="113" w:type="dxa"/>
                  </w:tcMar>
                  <w:vAlign w:val="center"/>
                </w:tcPr>
                <w:p w14:paraId="67EF0A1E">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pH、COD</w:t>
                  </w:r>
                  <w:r>
                    <w:rPr>
                      <w:rFonts w:hint="default" w:ascii="Times New Roman" w:hAnsi="Times New Roman" w:eastAsia="宋体" w:cs="Times New Roman"/>
                      <w:color w:val="auto"/>
                      <w:kern w:val="0"/>
                      <w:sz w:val="21"/>
                      <w:szCs w:val="21"/>
                      <w:vertAlign w:val="subscript"/>
                      <w:lang w:val="en-US" w:eastAsia="zh-CN" w:bidi="ar"/>
                    </w:rPr>
                    <w:t>Cr</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BOD</w:t>
                  </w:r>
                  <w:r>
                    <w:rPr>
                      <w:rFonts w:hint="default" w:ascii="Times New Roman" w:hAnsi="Times New Roman" w:eastAsia="宋体" w:cs="Times New Roman"/>
                      <w:color w:val="auto"/>
                      <w:kern w:val="0"/>
                      <w:sz w:val="21"/>
                      <w:szCs w:val="21"/>
                      <w:vertAlign w:val="subscript"/>
                      <w:lang w:val="en-US" w:eastAsia="zh-CN" w:bidi="ar"/>
                    </w:rPr>
                    <w:t>5</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SS、氨氮</w:t>
                  </w:r>
                </w:p>
              </w:tc>
              <w:tc>
                <w:tcPr>
                  <w:tcW w:w="2383" w:type="dxa"/>
                  <w:vMerge w:val="continue"/>
                  <w:tcBorders>
                    <w:tl2br w:val="nil"/>
                    <w:tr2bl w:val="nil"/>
                  </w:tcBorders>
                  <w:shd w:val="clear" w:color="auto" w:fill="auto"/>
                  <w:tcMar>
                    <w:top w:w="0" w:type="dxa"/>
                    <w:left w:w="113" w:type="dxa"/>
                    <w:bottom w:w="0" w:type="dxa"/>
                    <w:right w:w="113" w:type="dxa"/>
                  </w:tcMar>
                  <w:vAlign w:val="center"/>
                </w:tcPr>
                <w:p w14:paraId="3AC78F16">
                  <w:pPr>
                    <w:keepNext w:val="0"/>
                    <w:keepLines w:val="0"/>
                    <w:widowControl/>
                    <w:suppressLineNumbers w:val="0"/>
                    <w:jc w:val="center"/>
                    <w:rPr>
                      <w:rFonts w:hint="default" w:ascii="Times New Roman" w:hAnsi="Times New Roman" w:eastAsia="宋体" w:cs="Times New Roman"/>
                      <w:color w:val="auto"/>
                      <w:kern w:val="0"/>
                      <w:sz w:val="21"/>
                      <w:szCs w:val="21"/>
                      <w:lang w:val="zh-CN" w:eastAsia="zh-CN" w:bidi="ar"/>
                    </w:rPr>
                  </w:pPr>
                </w:p>
              </w:tc>
            </w:tr>
            <w:tr w14:paraId="6D70F6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519" w:hRule="atLeast"/>
                <w:jc w:val="center"/>
              </w:trPr>
              <w:tc>
                <w:tcPr>
                  <w:tcW w:w="907" w:type="dxa"/>
                  <w:tcBorders>
                    <w:tl2br w:val="nil"/>
                    <w:tr2bl w:val="nil"/>
                  </w:tcBorders>
                  <w:tcMar>
                    <w:top w:w="0" w:type="dxa"/>
                    <w:left w:w="113" w:type="dxa"/>
                    <w:bottom w:w="0" w:type="dxa"/>
                    <w:right w:w="113" w:type="dxa"/>
                  </w:tcMar>
                  <w:vAlign w:val="center"/>
                </w:tcPr>
                <w:p w14:paraId="31331001">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噪声</w:t>
                  </w:r>
                </w:p>
              </w:tc>
              <w:tc>
                <w:tcPr>
                  <w:tcW w:w="1958" w:type="dxa"/>
                  <w:tcBorders>
                    <w:tl2br w:val="nil"/>
                    <w:tr2bl w:val="nil"/>
                  </w:tcBorders>
                  <w:tcMar>
                    <w:top w:w="0" w:type="dxa"/>
                    <w:left w:w="113" w:type="dxa"/>
                    <w:bottom w:w="0" w:type="dxa"/>
                    <w:right w:w="113" w:type="dxa"/>
                  </w:tcMar>
                  <w:vAlign w:val="center"/>
                </w:tcPr>
                <w:p w14:paraId="7F66156C">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实验</w:t>
                  </w:r>
                  <w:r>
                    <w:rPr>
                      <w:rFonts w:hint="eastAsia" w:cs="Times New Roman"/>
                      <w:color w:val="auto"/>
                      <w:szCs w:val="21"/>
                      <w:highlight w:val="none"/>
                      <w:lang w:val="en-US" w:eastAsia="zh-CN"/>
                    </w:rPr>
                    <w:t>设备</w:t>
                  </w:r>
                  <w:r>
                    <w:rPr>
                      <w:rFonts w:hint="default" w:ascii="Times New Roman" w:hAnsi="Times New Roman" w:eastAsia="宋体" w:cs="Times New Roman"/>
                      <w:color w:val="auto"/>
                      <w:szCs w:val="21"/>
                      <w:highlight w:val="none"/>
                      <w:lang w:val="en-US" w:eastAsia="zh-CN"/>
                    </w:rPr>
                    <w:t>、公用工程、环保设施运行</w:t>
                  </w:r>
                </w:p>
              </w:tc>
              <w:tc>
                <w:tcPr>
                  <w:tcW w:w="2568" w:type="dxa"/>
                  <w:tcBorders>
                    <w:tl2br w:val="nil"/>
                    <w:tr2bl w:val="nil"/>
                  </w:tcBorders>
                  <w:tcMar>
                    <w:top w:w="0" w:type="dxa"/>
                    <w:left w:w="113" w:type="dxa"/>
                    <w:bottom w:w="0" w:type="dxa"/>
                    <w:right w:w="113" w:type="dxa"/>
                  </w:tcMar>
                  <w:vAlign w:val="center"/>
                </w:tcPr>
                <w:p w14:paraId="759F3306">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等效连续A声级</w:t>
                  </w:r>
                </w:p>
              </w:tc>
              <w:tc>
                <w:tcPr>
                  <w:tcW w:w="2383" w:type="dxa"/>
                  <w:tcBorders>
                    <w:tl2br w:val="nil"/>
                    <w:tr2bl w:val="nil"/>
                  </w:tcBorders>
                  <w:tcMar>
                    <w:top w:w="0" w:type="dxa"/>
                    <w:left w:w="113" w:type="dxa"/>
                    <w:bottom w:w="0" w:type="dxa"/>
                    <w:right w:w="113" w:type="dxa"/>
                  </w:tcMar>
                  <w:vAlign w:val="center"/>
                </w:tcPr>
                <w:p w14:paraId="259FF395">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选用低噪声设备、厂房隔声、设置隔声罩、减振垫等措施。</w:t>
                  </w:r>
                </w:p>
              </w:tc>
            </w:tr>
            <w:tr w14:paraId="510756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519" w:hRule="atLeast"/>
                <w:jc w:val="center"/>
              </w:trPr>
              <w:tc>
                <w:tcPr>
                  <w:tcW w:w="907" w:type="dxa"/>
                  <w:vMerge w:val="restart"/>
                  <w:tcBorders>
                    <w:tl2br w:val="nil"/>
                    <w:tr2bl w:val="nil"/>
                  </w:tcBorders>
                  <w:tcMar>
                    <w:top w:w="0" w:type="dxa"/>
                    <w:left w:w="113" w:type="dxa"/>
                    <w:bottom w:w="0" w:type="dxa"/>
                    <w:right w:w="113" w:type="dxa"/>
                  </w:tcMar>
                  <w:vAlign w:val="center"/>
                </w:tcPr>
                <w:p w14:paraId="527979BD">
                  <w:pPr>
                    <w:adjustRightInd w:val="0"/>
                    <w:snapToGrid w:val="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固体废物</w:t>
                  </w:r>
                </w:p>
              </w:tc>
              <w:tc>
                <w:tcPr>
                  <w:tcW w:w="1958" w:type="dxa"/>
                  <w:tcBorders>
                    <w:tl2br w:val="nil"/>
                    <w:tr2bl w:val="nil"/>
                  </w:tcBorders>
                  <w:tcMar>
                    <w:top w:w="0" w:type="dxa"/>
                    <w:left w:w="113" w:type="dxa"/>
                    <w:bottom w:w="0" w:type="dxa"/>
                    <w:right w:w="113" w:type="dxa"/>
                  </w:tcMar>
                  <w:vAlign w:val="center"/>
                </w:tcPr>
                <w:p w14:paraId="263DAD44">
                  <w:pPr>
                    <w:adjustRightInd w:val="0"/>
                    <w:snapToGrid w:val="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员工生活</w:t>
                  </w:r>
                </w:p>
              </w:tc>
              <w:tc>
                <w:tcPr>
                  <w:tcW w:w="2568" w:type="dxa"/>
                  <w:tcBorders>
                    <w:tl2br w:val="nil"/>
                    <w:tr2bl w:val="nil"/>
                  </w:tcBorders>
                  <w:shd w:val="clear" w:color="auto" w:fill="auto"/>
                  <w:tcMar>
                    <w:top w:w="0" w:type="dxa"/>
                    <w:left w:w="113" w:type="dxa"/>
                    <w:bottom w:w="0" w:type="dxa"/>
                    <w:right w:w="113" w:type="dxa"/>
                  </w:tcMar>
                  <w:vAlign w:val="center"/>
                </w:tcPr>
                <w:p w14:paraId="2F2BF4B3">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生活垃圾</w:t>
                  </w:r>
                </w:p>
              </w:tc>
              <w:tc>
                <w:tcPr>
                  <w:tcW w:w="2383" w:type="dxa"/>
                  <w:tcBorders>
                    <w:tl2br w:val="nil"/>
                    <w:tr2bl w:val="nil"/>
                  </w:tcBorders>
                  <w:shd w:val="clear" w:color="auto" w:fill="auto"/>
                  <w:tcMar>
                    <w:top w:w="0" w:type="dxa"/>
                    <w:left w:w="113" w:type="dxa"/>
                    <w:bottom w:w="0" w:type="dxa"/>
                    <w:right w:w="113" w:type="dxa"/>
                  </w:tcMar>
                  <w:vAlign w:val="center"/>
                </w:tcPr>
                <w:p w14:paraId="5450C917">
                  <w:pPr>
                    <w:keepNext w:val="0"/>
                    <w:keepLines w:val="0"/>
                    <w:widowControl/>
                    <w:suppressLineNumbers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 w:val="21"/>
                      <w:szCs w:val="21"/>
                      <w:lang w:val="en-US" w:eastAsia="zh-CN" w:bidi="ar"/>
                    </w:rPr>
                    <w:t>分类收集后由当地环卫部门清运</w:t>
                  </w:r>
                </w:p>
              </w:tc>
            </w:tr>
            <w:tr w14:paraId="388C9A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264" w:hRule="atLeast"/>
                <w:jc w:val="center"/>
              </w:trPr>
              <w:tc>
                <w:tcPr>
                  <w:tcW w:w="907" w:type="dxa"/>
                  <w:vMerge w:val="continue"/>
                  <w:tcBorders>
                    <w:tl2br w:val="nil"/>
                    <w:tr2bl w:val="nil"/>
                  </w:tcBorders>
                  <w:tcMar>
                    <w:top w:w="0" w:type="dxa"/>
                    <w:left w:w="113" w:type="dxa"/>
                    <w:bottom w:w="0" w:type="dxa"/>
                    <w:right w:w="113" w:type="dxa"/>
                  </w:tcMar>
                  <w:vAlign w:val="center"/>
                </w:tcPr>
                <w:p w14:paraId="082CDA05">
                  <w:pPr>
                    <w:adjustRightInd w:val="0"/>
                    <w:snapToGrid w:val="0"/>
                    <w:jc w:val="center"/>
                    <w:rPr>
                      <w:rFonts w:hint="default" w:ascii="Times New Roman" w:hAnsi="Times New Roman" w:eastAsia="宋体" w:cs="Times New Roman"/>
                      <w:color w:val="auto"/>
                      <w:szCs w:val="21"/>
                      <w:highlight w:val="none"/>
                      <w:lang w:val="zh-CN"/>
                    </w:rPr>
                  </w:pPr>
                </w:p>
              </w:tc>
              <w:tc>
                <w:tcPr>
                  <w:tcW w:w="1958" w:type="dxa"/>
                  <w:vMerge w:val="restart"/>
                  <w:tcBorders>
                    <w:tl2br w:val="nil"/>
                    <w:tr2bl w:val="nil"/>
                  </w:tcBorders>
                  <w:shd w:val="clear" w:color="auto" w:fill="auto"/>
                  <w:tcMar>
                    <w:top w:w="0" w:type="dxa"/>
                    <w:left w:w="113" w:type="dxa"/>
                    <w:bottom w:w="0" w:type="dxa"/>
                    <w:right w:w="113" w:type="dxa"/>
                  </w:tcMar>
                  <w:vAlign w:val="center"/>
                </w:tcPr>
                <w:p w14:paraId="70CC0C09">
                  <w:pPr>
                    <w:adjustRightInd w:val="0"/>
                    <w:snapToGrid w:val="0"/>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en-US" w:eastAsia="zh-CN"/>
                    </w:rPr>
                    <w:t>一般</w:t>
                  </w:r>
                  <w:r>
                    <w:rPr>
                      <w:rFonts w:hint="eastAsia" w:ascii="Times New Roman" w:hAnsi="Times New Roman" w:eastAsia="宋体" w:cs="Times New Roman"/>
                      <w:color w:val="auto"/>
                      <w:szCs w:val="21"/>
                      <w:highlight w:val="none"/>
                      <w:lang w:val="en-US" w:eastAsia="zh-CN"/>
                    </w:rPr>
                    <w:t>工业</w:t>
                  </w:r>
                  <w:r>
                    <w:rPr>
                      <w:rFonts w:hint="default" w:ascii="Times New Roman" w:hAnsi="Times New Roman" w:eastAsia="宋体" w:cs="Times New Roman"/>
                      <w:color w:val="auto"/>
                      <w:szCs w:val="21"/>
                      <w:highlight w:val="none"/>
                      <w:lang w:val="en-US" w:eastAsia="zh-CN"/>
                    </w:rPr>
                    <w:t>固体废物</w:t>
                  </w:r>
                </w:p>
              </w:tc>
              <w:tc>
                <w:tcPr>
                  <w:tcW w:w="2568" w:type="dxa"/>
                  <w:tcBorders>
                    <w:tl2br w:val="nil"/>
                    <w:tr2bl w:val="nil"/>
                  </w:tcBorders>
                  <w:shd w:val="clear" w:color="auto" w:fill="auto"/>
                  <w:tcMar>
                    <w:top w:w="0" w:type="dxa"/>
                    <w:left w:w="113" w:type="dxa"/>
                    <w:bottom w:w="0" w:type="dxa"/>
                    <w:right w:w="113" w:type="dxa"/>
                  </w:tcMar>
                  <w:vAlign w:val="center"/>
                </w:tcPr>
                <w:p w14:paraId="48F76392">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不沾染化学试剂的</w:t>
                  </w:r>
                </w:p>
                <w:p w14:paraId="20714A2A">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废包装物</w:t>
                  </w:r>
                </w:p>
              </w:tc>
              <w:tc>
                <w:tcPr>
                  <w:tcW w:w="2383" w:type="dxa"/>
                  <w:tcBorders>
                    <w:tl2br w:val="nil"/>
                    <w:tr2bl w:val="nil"/>
                  </w:tcBorders>
                  <w:shd w:val="clear" w:color="auto" w:fill="auto"/>
                  <w:tcMar>
                    <w:top w:w="0" w:type="dxa"/>
                    <w:left w:w="113" w:type="dxa"/>
                    <w:bottom w:w="0" w:type="dxa"/>
                    <w:right w:w="113" w:type="dxa"/>
                  </w:tcMar>
                  <w:vAlign w:val="center"/>
                </w:tcPr>
                <w:p w14:paraId="784A7C00">
                  <w:pPr>
                    <w:keepNext w:val="0"/>
                    <w:keepLines w:val="0"/>
                    <w:widowControl/>
                    <w:suppressLineNumbers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物资部门回收</w:t>
                  </w:r>
                </w:p>
              </w:tc>
            </w:tr>
            <w:tr w14:paraId="68BD1E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264" w:hRule="atLeast"/>
                <w:jc w:val="center"/>
              </w:trPr>
              <w:tc>
                <w:tcPr>
                  <w:tcW w:w="907" w:type="dxa"/>
                  <w:vMerge w:val="continue"/>
                  <w:tcBorders>
                    <w:tl2br w:val="nil"/>
                    <w:tr2bl w:val="nil"/>
                  </w:tcBorders>
                  <w:tcMar>
                    <w:top w:w="0" w:type="dxa"/>
                    <w:left w:w="113" w:type="dxa"/>
                    <w:bottom w:w="0" w:type="dxa"/>
                    <w:right w:w="113" w:type="dxa"/>
                  </w:tcMar>
                  <w:vAlign w:val="center"/>
                </w:tcPr>
                <w:p w14:paraId="6B85A68A">
                  <w:pPr>
                    <w:adjustRightInd w:val="0"/>
                    <w:snapToGrid w:val="0"/>
                    <w:jc w:val="center"/>
                    <w:rPr>
                      <w:rFonts w:hint="default" w:ascii="Times New Roman" w:hAnsi="Times New Roman" w:eastAsia="宋体" w:cs="Times New Roman"/>
                      <w:color w:val="auto"/>
                      <w:szCs w:val="21"/>
                      <w:highlight w:val="none"/>
                      <w:lang w:val="zh-CN"/>
                    </w:rPr>
                  </w:pPr>
                </w:p>
              </w:tc>
              <w:tc>
                <w:tcPr>
                  <w:tcW w:w="1958" w:type="dxa"/>
                  <w:vMerge w:val="continue"/>
                  <w:tcBorders>
                    <w:tl2br w:val="nil"/>
                    <w:tr2bl w:val="nil"/>
                  </w:tcBorders>
                  <w:shd w:val="clear" w:color="auto" w:fill="auto"/>
                  <w:tcMar>
                    <w:top w:w="0" w:type="dxa"/>
                    <w:left w:w="113" w:type="dxa"/>
                    <w:bottom w:w="0" w:type="dxa"/>
                    <w:right w:w="113" w:type="dxa"/>
                  </w:tcMar>
                  <w:vAlign w:val="center"/>
                </w:tcPr>
                <w:p w14:paraId="3FE468D8">
                  <w:pPr>
                    <w:adjustRightInd w:val="0"/>
                    <w:snapToGrid w:val="0"/>
                    <w:jc w:val="center"/>
                    <w:rPr>
                      <w:rFonts w:hint="default" w:ascii="Times New Roman" w:hAnsi="Times New Roman" w:eastAsia="宋体" w:cs="Times New Roman"/>
                      <w:color w:val="auto"/>
                      <w:szCs w:val="21"/>
                      <w:highlight w:val="none"/>
                      <w:lang w:val="en-US" w:eastAsia="zh-CN"/>
                    </w:rPr>
                  </w:pPr>
                </w:p>
              </w:tc>
              <w:tc>
                <w:tcPr>
                  <w:tcW w:w="2568" w:type="dxa"/>
                  <w:tcBorders>
                    <w:tl2br w:val="nil"/>
                    <w:tr2bl w:val="nil"/>
                  </w:tcBorders>
                  <w:shd w:val="clear" w:color="auto" w:fill="auto"/>
                  <w:tcMar>
                    <w:top w:w="0" w:type="dxa"/>
                    <w:left w:w="113" w:type="dxa"/>
                    <w:bottom w:w="0" w:type="dxa"/>
                    <w:right w:w="113" w:type="dxa"/>
                  </w:tcMar>
                  <w:vAlign w:val="center"/>
                </w:tcPr>
                <w:p w14:paraId="7EC2420C">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纯水制备</w:t>
                  </w:r>
                  <w:r>
                    <w:rPr>
                      <w:rFonts w:hint="eastAsia" w:ascii="Times New Roman" w:hAnsi="Times New Roman" w:eastAsia="宋体" w:cs="Times New Roman"/>
                      <w:color w:val="auto"/>
                      <w:szCs w:val="21"/>
                      <w:highlight w:val="none"/>
                      <w:lang w:val="en-US" w:eastAsia="zh-CN"/>
                    </w:rPr>
                    <w:t>废滤芯、废反渗透膜</w:t>
                  </w:r>
                  <w:r>
                    <w:rPr>
                      <w:rFonts w:hint="eastAsia"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新风系统产生空气过滤废滤芯</w:t>
                  </w:r>
                </w:p>
              </w:tc>
              <w:tc>
                <w:tcPr>
                  <w:tcW w:w="2383" w:type="dxa"/>
                  <w:tcBorders>
                    <w:tl2br w:val="nil"/>
                    <w:tr2bl w:val="nil"/>
                  </w:tcBorders>
                  <w:shd w:val="clear" w:color="auto" w:fill="auto"/>
                  <w:tcMar>
                    <w:top w:w="0" w:type="dxa"/>
                    <w:left w:w="113" w:type="dxa"/>
                    <w:bottom w:w="0" w:type="dxa"/>
                    <w:right w:w="113" w:type="dxa"/>
                  </w:tcMar>
                  <w:vAlign w:val="center"/>
                </w:tcPr>
                <w:p w14:paraId="0595AE79">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厂家回收</w:t>
                  </w:r>
                </w:p>
              </w:tc>
            </w:tr>
            <w:tr w14:paraId="1DF0E3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397" w:hRule="atLeast"/>
                <w:jc w:val="center"/>
              </w:trPr>
              <w:tc>
                <w:tcPr>
                  <w:tcW w:w="907" w:type="dxa"/>
                  <w:vMerge w:val="continue"/>
                  <w:tcBorders>
                    <w:tl2br w:val="nil"/>
                    <w:tr2bl w:val="nil"/>
                  </w:tcBorders>
                  <w:tcMar>
                    <w:top w:w="0" w:type="dxa"/>
                    <w:left w:w="0" w:type="dxa"/>
                    <w:bottom w:w="0" w:type="dxa"/>
                    <w:right w:w="0" w:type="dxa"/>
                  </w:tcMar>
                  <w:vAlign w:val="center"/>
                </w:tcPr>
                <w:p w14:paraId="0DBAB791">
                  <w:pPr>
                    <w:adjustRightInd w:val="0"/>
                    <w:snapToGrid w:val="0"/>
                    <w:jc w:val="center"/>
                    <w:rPr>
                      <w:rFonts w:hint="default" w:ascii="Times New Roman" w:hAnsi="Times New Roman" w:eastAsia="宋体" w:cs="Times New Roman"/>
                      <w:color w:val="auto"/>
                      <w:szCs w:val="21"/>
                      <w:highlight w:val="none"/>
                      <w:lang w:val="zh-CN"/>
                    </w:rPr>
                  </w:pPr>
                </w:p>
              </w:tc>
              <w:tc>
                <w:tcPr>
                  <w:tcW w:w="1958" w:type="dxa"/>
                  <w:tcBorders>
                    <w:tl2br w:val="nil"/>
                    <w:tr2bl w:val="nil"/>
                  </w:tcBorders>
                  <w:tcMar>
                    <w:top w:w="0" w:type="dxa"/>
                    <w:left w:w="0" w:type="dxa"/>
                    <w:bottom w:w="0" w:type="dxa"/>
                    <w:right w:w="0" w:type="dxa"/>
                  </w:tcMar>
                  <w:vAlign w:val="center"/>
                </w:tcPr>
                <w:p w14:paraId="6DF31D39">
                  <w:pPr>
                    <w:adjustRightInd w:val="0"/>
                    <w:snapToGrid w:val="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危险废物</w:t>
                  </w:r>
                </w:p>
              </w:tc>
              <w:tc>
                <w:tcPr>
                  <w:tcW w:w="2568" w:type="dxa"/>
                  <w:tcBorders>
                    <w:tl2br w:val="nil"/>
                    <w:tr2bl w:val="nil"/>
                  </w:tcBorders>
                  <w:shd w:val="clear" w:color="auto" w:fill="auto"/>
                  <w:tcMar>
                    <w:top w:w="0" w:type="dxa"/>
                    <w:left w:w="0" w:type="dxa"/>
                    <w:bottom w:w="0" w:type="dxa"/>
                    <w:right w:w="0" w:type="dxa"/>
                  </w:tcMar>
                  <w:vAlign w:val="center"/>
                </w:tcPr>
                <w:p w14:paraId="5E8FCFCC">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废试剂瓶、废一次性实验耗材、废培养基、检测废液、清洗废液、废样品</w:t>
                  </w:r>
                </w:p>
              </w:tc>
              <w:tc>
                <w:tcPr>
                  <w:tcW w:w="2383" w:type="dxa"/>
                  <w:tcBorders>
                    <w:tl2br w:val="nil"/>
                    <w:tr2bl w:val="nil"/>
                  </w:tcBorders>
                  <w:tcMar>
                    <w:top w:w="0" w:type="dxa"/>
                    <w:left w:w="0" w:type="dxa"/>
                    <w:bottom w:w="0" w:type="dxa"/>
                    <w:right w:w="0" w:type="dxa"/>
                  </w:tcMar>
                  <w:vAlign w:val="center"/>
                </w:tcPr>
                <w:p w14:paraId="6E2D160C">
                  <w:pPr>
                    <w:adjustRightInd w:val="0"/>
                    <w:snapToGrid w:val="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en-US" w:eastAsia="zh-CN"/>
                    </w:rPr>
                    <w:t>暂存</w:t>
                  </w:r>
                  <w:r>
                    <w:rPr>
                      <w:rFonts w:hint="eastAsia" w:ascii="Times New Roman" w:hAnsi="Times New Roman" w:eastAsia="宋体" w:cs="Times New Roman"/>
                      <w:color w:val="auto"/>
                      <w:szCs w:val="21"/>
                      <w:highlight w:val="none"/>
                      <w:lang w:val="en-US" w:eastAsia="zh-CN"/>
                    </w:rPr>
                    <w:t>危险废物</w:t>
                  </w:r>
                  <w:r>
                    <w:rPr>
                      <w:rFonts w:hint="default" w:ascii="Times New Roman" w:hAnsi="Times New Roman" w:eastAsia="宋体" w:cs="Times New Roman"/>
                      <w:color w:val="auto"/>
                      <w:szCs w:val="21"/>
                      <w:highlight w:val="none"/>
                      <w:lang w:val="en-US" w:eastAsia="zh-CN"/>
                    </w:rPr>
                    <w:t>暂存间，定期交</w:t>
                  </w:r>
                  <w:r>
                    <w:rPr>
                      <w:rFonts w:hint="eastAsia" w:ascii="Times New Roman" w:hAnsi="Times New Roman" w:eastAsia="宋体" w:cs="Times New Roman"/>
                      <w:color w:val="auto"/>
                      <w:szCs w:val="21"/>
                      <w:highlight w:val="none"/>
                      <w:lang w:val="en-US" w:eastAsia="zh-CN"/>
                    </w:rPr>
                    <w:t>资质</w:t>
                  </w:r>
                  <w:r>
                    <w:rPr>
                      <w:rFonts w:hint="default" w:ascii="Times New Roman" w:hAnsi="Times New Roman" w:eastAsia="宋体" w:cs="Times New Roman"/>
                      <w:color w:val="auto"/>
                      <w:szCs w:val="21"/>
                      <w:highlight w:val="none"/>
                      <w:lang w:val="en-US" w:eastAsia="zh-CN"/>
                    </w:rPr>
                    <w:t>处置</w:t>
                  </w:r>
                </w:p>
                <w:p w14:paraId="3BDC398F">
                  <w:pPr>
                    <w:adjustRightInd w:val="0"/>
                    <w:snapToGrid w:val="0"/>
                    <w:jc w:val="center"/>
                    <w:rPr>
                      <w:rFonts w:hint="default" w:ascii="Times New Roman" w:hAnsi="Times New Roman" w:eastAsia="宋体" w:cs="Times New Roman"/>
                      <w:color w:val="auto"/>
                      <w:szCs w:val="21"/>
                      <w:highlight w:val="none"/>
                      <w:lang w:val="zh-CN"/>
                    </w:rPr>
                  </w:pPr>
                </w:p>
              </w:tc>
            </w:tr>
          </w:tbl>
          <w:p w14:paraId="1B4F77AD">
            <w:pPr>
              <w:numPr>
                <w:ilvl w:val="0"/>
                <w:numId w:val="0"/>
              </w:numPr>
              <w:adjustRightInd w:val="0"/>
              <w:spacing w:line="360" w:lineRule="auto"/>
              <w:jc w:val="both"/>
              <w:rPr>
                <w:rFonts w:hint="default" w:ascii="Times New Roman" w:hAnsi="Times New Roman" w:eastAsia="宋体" w:cs="Times New Roman"/>
                <w:color w:val="auto"/>
                <w:sz w:val="24"/>
                <w:highlight w:val="none"/>
              </w:rPr>
            </w:pPr>
          </w:p>
        </w:tc>
      </w:tr>
      <w:tr w14:paraId="1FF35D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51" w:hRule="atLeast"/>
          <w:jc w:val="center"/>
        </w:trPr>
        <w:tc>
          <w:tcPr>
            <w:tcW w:w="818" w:type="dxa"/>
            <w:vAlign w:val="center"/>
          </w:tcPr>
          <w:p w14:paraId="3D991629">
            <w:pPr>
              <w:pStyle w:val="20"/>
              <w:adjustRightInd w:val="0"/>
              <w:snapToGrid w:val="0"/>
              <w:spacing w:before="0" w:beforeAutospacing="0" w:after="0" w:afterAutospacing="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bCs/>
                <w:color w:val="auto"/>
                <w:kern w:val="2"/>
                <w:szCs w:val="24"/>
                <w:highlight w:val="none"/>
              </w:rPr>
              <w:t>与项目有关的原有环境污染问题</w:t>
            </w:r>
          </w:p>
        </w:tc>
        <w:tc>
          <w:tcPr>
            <w:tcW w:w="8189" w:type="dxa"/>
            <w:vAlign w:val="top"/>
          </w:tcPr>
          <w:p w14:paraId="17FA3B9B">
            <w:pPr>
              <w:numPr>
                <w:ilvl w:val="0"/>
                <w:numId w:val="0"/>
              </w:numPr>
              <w:adjustRightInd w:val="0"/>
              <w:spacing w:line="360" w:lineRule="auto"/>
              <w:ind w:leftChars="0"/>
              <w:jc w:val="both"/>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四、本项目现场照片</w:t>
            </w:r>
          </w:p>
          <w:tbl>
            <w:tblPr>
              <w:tblStyle w:val="24"/>
              <w:tblW w:w="79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86"/>
              <w:gridCol w:w="3987"/>
            </w:tblGrid>
            <w:tr w14:paraId="33FF9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986" w:type="dxa"/>
                  <w:tcBorders>
                    <w:tl2br w:val="nil"/>
                    <w:tr2bl w:val="nil"/>
                  </w:tcBorders>
                  <w:vAlign w:val="center"/>
                </w:tcPr>
                <w:p w14:paraId="6874C5DC">
                  <w:pPr>
                    <w:numPr>
                      <w:ilvl w:val="0"/>
                      <w:numId w:val="0"/>
                    </w:numPr>
                    <w:adjustRightInd w:val="0"/>
                    <w:spacing w:line="360" w:lineRule="auto"/>
                    <w:jc w:val="center"/>
                    <w:rPr>
                      <w:rFonts w:hint="default" w:cs="Times New Roman"/>
                      <w:b w:val="0"/>
                      <w:bCs w:val="0"/>
                      <w:color w:val="auto"/>
                      <w:sz w:val="24"/>
                      <w:highlight w:val="none"/>
                      <w:vertAlign w:val="baseline"/>
                      <w:lang w:val="en-US" w:eastAsia="zh-CN"/>
                    </w:rPr>
                  </w:pPr>
                  <w:r>
                    <w:rPr>
                      <w:rFonts w:hint="default" w:cs="Times New Roman"/>
                      <w:b w:val="0"/>
                      <w:bCs w:val="0"/>
                      <w:color w:val="auto"/>
                      <w:sz w:val="24"/>
                      <w:highlight w:val="none"/>
                      <w:vertAlign w:val="baseline"/>
                      <w:lang w:val="en-US" w:eastAsia="zh-CN"/>
                    </w:rPr>
                    <w:drawing>
                      <wp:inline distT="0" distB="0" distL="114300" distR="114300">
                        <wp:extent cx="2392045" cy="1794510"/>
                        <wp:effectExtent l="0" t="0" r="635" b="3810"/>
                        <wp:docPr id="38" name="图片 38" descr="6433f59c540d2c24e3972edd8bd9d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6433f59c540d2c24e3972edd8bd9df3"/>
                                <pic:cNvPicPr>
                                  <a:picLocks noChangeAspect="1"/>
                                </pic:cNvPicPr>
                              </pic:nvPicPr>
                              <pic:blipFill>
                                <a:blip r:embed="rId25"/>
                                <a:stretch>
                                  <a:fillRect/>
                                </a:stretch>
                              </pic:blipFill>
                              <pic:spPr>
                                <a:xfrm>
                                  <a:off x="0" y="0"/>
                                  <a:ext cx="2392045" cy="1794510"/>
                                </a:xfrm>
                                <a:prstGeom prst="rect">
                                  <a:avLst/>
                                </a:prstGeom>
                              </pic:spPr>
                            </pic:pic>
                          </a:graphicData>
                        </a:graphic>
                      </wp:inline>
                    </w:drawing>
                  </w:r>
                </w:p>
              </w:tc>
              <w:tc>
                <w:tcPr>
                  <w:tcW w:w="3987" w:type="dxa"/>
                  <w:tcBorders>
                    <w:tl2br w:val="nil"/>
                    <w:tr2bl w:val="nil"/>
                  </w:tcBorders>
                  <w:vAlign w:val="center"/>
                </w:tcPr>
                <w:p w14:paraId="0E9049D7">
                  <w:pPr>
                    <w:numPr>
                      <w:ilvl w:val="0"/>
                      <w:numId w:val="0"/>
                    </w:numPr>
                    <w:adjustRightInd w:val="0"/>
                    <w:spacing w:line="360" w:lineRule="auto"/>
                    <w:jc w:val="center"/>
                    <w:rPr>
                      <w:rFonts w:hint="default" w:cs="Times New Roman"/>
                      <w:b w:val="0"/>
                      <w:bCs w:val="0"/>
                      <w:color w:val="auto"/>
                      <w:sz w:val="24"/>
                      <w:highlight w:val="none"/>
                      <w:vertAlign w:val="baseline"/>
                      <w:lang w:val="en-US" w:eastAsia="zh-CN"/>
                    </w:rPr>
                  </w:pPr>
                  <w:r>
                    <w:rPr>
                      <w:rFonts w:hint="default" w:cs="Times New Roman"/>
                      <w:b w:val="0"/>
                      <w:bCs w:val="0"/>
                      <w:color w:val="auto"/>
                      <w:sz w:val="24"/>
                      <w:highlight w:val="none"/>
                      <w:vertAlign w:val="baseline"/>
                      <w:lang w:val="en-US" w:eastAsia="zh-CN"/>
                    </w:rPr>
                    <w:drawing>
                      <wp:inline distT="0" distB="0" distL="114300" distR="114300">
                        <wp:extent cx="2392045" cy="1794510"/>
                        <wp:effectExtent l="0" t="0" r="635" b="3810"/>
                        <wp:docPr id="39" name="图片 39" descr="6c24f30d59d82c08f8d40a7fa48e4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6c24f30d59d82c08f8d40a7fa48e46e"/>
                                <pic:cNvPicPr>
                                  <a:picLocks noChangeAspect="1"/>
                                </pic:cNvPicPr>
                              </pic:nvPicPr>
                              <pic:blipFill>
                                <a:blip r:embed="rId26"/>
                                <a:stretch>
                                  <a:fillRect/>
                                </a:stretch>
                              </pic:blipFill>
                              <pic:spPr>
                                <a:xfrm>
                                  <a:off x="0" y="0"/>
                                  <a:ext cx="2392045" cy="1794510"/>
                                </a:xfrm>
                                <a:prstGeom prst="rect">
                                  <a:avLst/>
                                </a:prstGeom>
                              </pic:spPr>
                            </pic:pic>
                          </a:graphicData>
                        </a:graphic>
                      </wp:inline>
                    </w:drawing>
                  </w:r>
                </w:p>
              </w:tc>
            </w:tr>
          </w:tbl>
          <w:p w14:paraId="706B3246">
            <w:pPr>
              <w:numPr>
                <w:ilvl w:val="0"/>
                <w:numId w:val="16"/>
              </w:numPr>
              <w:adjustRightInd w:val="0"/>
              <w:spacing w:line="360" w:lineRule="auto"/>
              <w:ind w:left="425" w:leftChars="0" w:hanging="425" w:firstLineChars="0"/>
              <w:jc w:val="center"/>
              <w:rPr>
                <w:rFonts w:hint="default" w:cs="Times New Roman"/>
                <w:b/>
                <w:bCs/>
                <w:color w:val="auto"/>
                <w:sz w:val="24"/>
                <w:highlight w:val="none"/>
                <w:lang w:val="en-US" w:eastAsia="zh-CN"/>
              </w:rPr>
            </w:pPr>
            <w:r>
              <w:rPr>
                <w:rFonts w:hint="eastAsia" w:cs="Times New Roman"/>
                <w:b/>
                <w:bCs/>
                <w:color w:val="auto"/>
                <w:sz w:val="24"/>
                <w:highlight w:val="none"/>
                <w:lang w:val="en-US" w:eastAsia="zh-CN"/>
              </w:rPr>
              <w:t>项目现场照片</w:t>
            </w:r>
          </w:p>
          <w:p w14:paraId="380156CD">
            <w:pPr>
              <w:numPr>
                <w:ilvl w:val="0"/>
                <w:numId w:val="0"/>
              </w:numPr>
              <w:adjustRightInd w:val="0"/>
              <w:spacing w:line="360" w:lineRule="auto"/>
              <w:ind w:firstLine="480" w:firstLineChars="200"/>
              <w:jc w:val="both"/>
              <w:rPr>
                <w:rFonts w:hint="default" w:cs="Times New Roman"/>
                <w:color w:val="auto"/>
                <w:sz w:val="24"/>
                <w:highlight w:val="none"/>
                <w:lang w:val="en-US" w:eastAsia="zh-CN"/>
              </w:rPr>
            </w:pPr>
          </w:p>
        </w:tc>
      </w:tr>
    </w:tbl>
    <w:p w14:paraId="56BD53D3">
      <w:pPr>
        <w:rPr>
          <w:rFonts w:hint="default" w:ascii="Times New Roman" w:hAnsi="Times New Roman" w:eastAsia="宋体" w:cs="Times New Roman"/>
          <w:color w:val="auto"/>
          <w:highlight w:val="none"/>
        </w:rPr>
        <w:sectPr>
          <w:pgSz w:w="11906" w:h="16838"/>
          <w:pgMar w:top="1701" w:right="1531" w:bottom="1860"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2AD430B">
      <w:pPr>
        <w:pStyle w:val="2"/>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b w:val="0"/>
          <w:bCs w:val="0"/>
          <w:color w:val="auto"/>
          <w:sz w:val="36"/>
          <w:szCs w:val="36"/>
          <w:highlight w:val="none"/>
        </w:rPr>
        <w:t>三、区域环境质量现状、环境保护目标及评价标准</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47"/>
      </w:tblGrid>
      <w:tr w14:paraId="2429DC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800" w:type="dxa"/>
            <w:vAlign w:val="center"/>
          </w:tcPr>
          <w:p w14:paraId="0BF1D33E">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区域环境质量现状</w:t>
            </w:r>
          </w:p>
        </w:tc>
        <w:tc>
          <w:tcPr>
            <w:tcW w:w="8147" w:type="dxa"/>
            <w:vAlign w:val="center"/>
          </w:tcPr>
          <w:p w14:paraId="5741A79F">
            <w:pPr>
              <w:pStyle w:val="20"/>
              <w:numPr>
                <w:ilvl w:val="0"/>
                <w:numId w:val="0"/>
              </w:numPr>
              <w:adjustRightInd w:val="0"/>
              <w:snapToGrid w:val="0"/>
              <w:spacing w:before="0" w:beforeAutospacing="0" w:after="0" w:afterAutospacing="0" w:line="360" w:lineRule="auto"/>
              <w:jc w:val="both"/>
              <w:rPr>
                <w:rFonts w:hint="default" w:ascii="Times New Roman" w:hAnsi="Times New Roman" w:eastAsia="宋体" w:cs="Times New Roman"/>
                <w:b/>
                <w:bCs/>
                <w:color w:val="auto"/>
                <w:szCs w:val="24"/>
                <w:highlight w:val="none"/>
              </w:rPr>
            </w:pPr>
            <w:r>
              <w:rPr>
                <w:rFonts w:hint="eastAsia" w:ascii="Times New Roman" w:hAnsi="Times New Roman" w:cs="Times New Roman"/>
                <w:b/>
                <w:bCs/>
                <w:color w:val="auto"/>
                <w:szCs w:val="24"/>
                <w:highlight w:val="none"/>
                <w:lang w:val="en-US" w:eastAsia="zh-CN"/>
              </w:rPr>
              <w:t>一、</w:t>
            </w:r>
            <w:r>
              <w:rPr>
                <w:rFonts w:hint="default" w:ascii="Times New Roman" w:hAnsi="Times New Roman" w:eastAsia="宋体" w:cs="Times New Roman"/>
                <w:b/>
                <w:bCs/>
                <w:color w:val="auto"/>
                <w:szCs w:val="24"/>
                <w:highlight w:val="none"/>
              </w:rPr>
              <w:t>大气环境</w:t>
            </w:r>
          </w:p>
          <w:p w14:paraId="0CC85E26">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highlight w:val="none"/>
              </w:rPr>
              <w:t>本项目所在区域为二类环境空气功能区，环境空气质量执行《环境空气质量标准》（GB3095-2012）及其修改单中的二级浓度限值。</w:t>
            </w:r>
          </w:p>
          <w:p w14:paraId="7DD0940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根据北京202</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年5月北京市生态环境局发布的《202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年北京市生态环境状况公报》中的空气质量数据，对项目所在区域</w:t>
            </w:r>
            <w:r>
              <w:rPr>
                <w:rFonts w:hint="default" w:ascii="Times New Roman" w:hAnsi="Times New Roman" w:eastAsia="宋体" w:cs="Times New Roman"/>
                <w:color w:val="auto"/>
                <w:sz w:val="24"/>
                <w:highlight w:val="none"/>
                <w:lang w:val="en-US" w:eastAsia="zh-CN"/>
              </w:rPr>
              <w:t>及北京市</w:t>
            </w:r>
            <w:r>
              <w:rPr>
                <w:rFonts w:hint="default" w:ascii="Times New Roman" w:hAnsi="Times New Roman" w:eastAsia="宋体" w:cs="Times New Roman"/>
                <w:color w:val="auto"/>
                <w:sz w:val="24"/>
                <w:highlight w:val="none"/>
              </w:rPr>
              <w:t>空气质量进行评价，统计数据见下表。</w:t>
            </w:r>
          </w:p>
          <w:p w14:paraId="364B4A5E">
            <w:pPr>
              <w:numPr>
                <w:ilvl w:val="0"/>
                <w:numId w:val="19"/>
              </w:numPr>
              <w:spacing w:line="360" w:lineRule="auto"/>
              <w:jc w:val="center"/>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通州</w:t>
            </w:r>
            <w:r>
              <w:rPr>
                <w:rFonts w:hint="default" w:ascii="Times New Roman" w:hAnsi="Times New Roman" w:eastAsia="宋体" w:cs="Times New Roman"/>
                <w:b/>
                <w:bCs/>
                <w:color w:val="auto"/>
                <w:sz w:val="24"/>
                <w:highlight w:val="none"/>
              </w:rPr>
              <w:t>区202</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年环境空气质量数据</w:t>
            </w:r>
          </w:p>
          <w:tbl>
            <w:tblPr>
              <w:tblStyle w:val="50"/>
              <w:tblW w:w="4900" w:type="pct"/>
              <w:jc w:val="center"/>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1554"/>
              <w:gridCol w:w="1554"/>
              <w:gridCol w:w="1554"/>
              <w:gridCol w:w="1557"/>
            </w:tblGrid>
            <w:tr w14:paraId="22DDF1F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611" w:type="dxa"/>
                  <w:tcBorders>
                    <w:tl2br w:val="nil"/>
                    <w:tr2bl w:val="nil"/>
                  </w:tcBorders>
                  <w:vAlign w:val="center"/>
                </w:tcPr>
                <w:p w14:paraId="1172D559">
                  <w:pPr>
                    <w:pStyle w:val="49"/>
                    <w:spacing w:before="37" w:line="215"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pacing w:val="2"/>
                      <w:sz w:val="21"/>
                      <w:szCs w:val="21"/>
                      <w:highlight w:val="none"/>
                      <w:lang w:eastAsia="zh-CN"/>
                    </w:rPr>
                    <w:t>项目</w:t>
                  </w:r>
                </w:p>
              </w:tc>
              <w:tc>
                <w:tcPr>
                  <w:tcW w:w="1611" w:type="dxa"/>
                  <w:tcBorders>
                    <w:tl2br w:val="nil"/>
                    <w:tr2bl w:val="nil"/>
                  </w:tcBorders>
                  <w:vAlign w:val="center"/>
                </w:tcPr>
                <w:p w14:paraId="7A725BAB">
                  <w:pPr>
                    <w:pStyle w:val="49"/>
                    <w:spacing w:before="37" w:line="215" w:lineRule="auto"/>
                    <w:ind w:left="113"/>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SO</w:t>
                  </w:r>
                  <w:r>
                    <w:rPr>
                      <w:rFonts w:hint="default" w:ascii="Times New Roman" w:hAnsi="Times New Roman" w:eastAsia="宋体" w:cs="Times New Roman"/>
                      <w:b/>
                      <w:bCs/>
                      <w:color w:val="auto"/>
                      <w:spacing w:val="6"/>
                      <w:position w:val="-1"/>
                      <w:sz w:val="21"/>
                      <w:szCs w:val="21"/>
                      <w:highlight w:val="none"/>
                      <w:vertAlign w:val="subscript"/>
                      <w:lang w:eastAsia="zh-CN"/>
                    </w:rPr>
                    <w:t>2</w:t>
                  </w:r>
                  <w:r>
                    <w:rPr>
                      <w:rFonts w:hint="default" w:ascii="Times New Roman" w:hAnsi="Times New Roman" w:eastAsia="宋体" w:cs="Times New Roman"/>
                      <w:b/>
                      <w:bCs/>
                      <w:color w:val="auto"/>
                      <w:spacing w:val="2"/>
                      <w:sz w:val="21"/>
                      <w:szCs w:val="21"/>
                      <w:highlight w:val="none"/>
                      <w:lang w:eastAsia="zh-CN"/>
                    </w:rPr>
                    <w:t>(</w:t>
                  </w:r>
                  <w:r>
                    <w:rPr>
                      <w:rFonts w:hint="default" w:ascii="Times New Roman" w:hAnsi="Times New Roman" w:eastAsia="宋体" w:cs="Times New Roman"/>
                      <w:b/>
                      <w:bCs/>
                      <w:color w:val="auto"/>
                      <w:spacing w:val="2"/>
                      <w:sz w:val="21"/>
                      <w:szCs w:val="21"/>
                      <w:highlight w:val="none"/>
                    </w:rPr>
                    <w:t>μ</w:t>
                  </w:r>
                  <w:r>
                    <w:rPr>
                      <w:rFonts w:hint="default" w:ascii="Times New Roman" w:hAnsi="Times New Roman" w:eastAsia="宋体" w:cs="Times New Roman"/>
                      <w:b/>
                      <w:bCs/>
                      <w:color w:val="auto"/>
                      <w:spacing w:val="2"/>
                      <w:sz w:val="21"/>
                      <w:szCs w:val="21"/>
                      <w:highlight w:val="none"/>
                      <w:lang w:eastAsia="zh-CN"/>
                    </w:rPr>
                    <w:t>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pacing w:val="2"/>
                      <w:sz w:val="21"/>
                      <w:szCs w:val="21"/>
                      <w:highlight w:val="none"/>
                      <w:lang w:eastAsia="zh-CN"/>
                    </w:rPr>
                    <w:t>）</w:t>
                  </w:r>
                </w:p>
              </w:tc>
              <w:tc>
                <w:tcPr>
                  <w:tcW w:w="1611" w:type="dxa"/>
                  <w:tcBorders>
                    <w:tl2br w:val="nil"/>
                    <w:tr2bl w:val="nil"/>
                  </w:tcBorders>
                  <w:vAlign w:val="center"/>
                </w:tcPr>
                <w:p w14:paraId="1DFE62F8">
                  <w:pPr>
                    <w:pStyle w:val="49"/>
                    <w:spacing w:before="37" w:line="215" w:lineRule="auto"/>
                    <w:ind w:left="84"/>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NO</w:t>
                  </w:r>
                  <w:r>
                    <w:rPr>
                      <w:rFonts w:hint="default" w:ascii="Times New Roman" w:hAnsi="Times New Roman" w:eastAsia="宋体" w:cs="Times New Roman"/>
                      <w:b/>
                      <w:bCs/>
                      <w:color w:val="auto"/>
                      <w:spacing w:val="14"/>
                      <w:position w:val="-1"/>
                      <w:sz w:val="21"/>
                      <w:szCs w:val="21"/>
                      <w:highlight w:val="none"/>
                      <w:vertAlign w:val="subscript"/>
                      <w:lang w:eastAsia="zh-CN"/>
                    </w:rPr>
                    <w:t>2</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μ</w:t>
                  </w:r>
                  <w:r>
                    <w:rPr>
                      <w:rFonts w:hint="default" w:ascii="Times New Roman" w:hAnsi="Times New Roman" w:eastAsia="宋体" w:cs="Times New Roman"/>
                      <w:b/>
                      <w:bCs/>
                      <w:color w:val="auto"/>
                      <w:spacing w:val="1"/>
                      <w:sz w:val="21"/>
                      <w:szCs w:val="21"/>
                      <w:highlight w:val="none"/>
                      <w:lang w:eastAsia="zh-CN"/>
                    </w:rPr>
                    <w:t>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pacing w:val="1"/>
                      <w:sz w:val="21"/>
                      <w:szCs w:val="21"/>
                      <w:highlight w:val="none"/>
                      <w:lang w:eastAsia="zh-CN"/>
                    </w:rPr>
                    <w:t>）</w:t>
                  </w:r>
                </w:p>
              </w:tc>
              <w:tc>
                <w:tcPr>
                  <w:tcW w:w="1611" w:type="dxa"/>
                  <w:tcBorders>
                    <w:tl2br w:val="nil"/>
                    <w:tr2bl w:val="nil"/>
                  </w:tcBorders>
                  <w:vAlign w:val="center"/>
                </w:tcPr>
                <w:p w14:paraId="4FC1B28F">
                  <w:pPr>
                    <w:pStyle w:val="49"/>
                    <w:spacing w:before="37" w:line="215" w:lineRule="auto"/>
                    <w:ind w:left="105"/>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PM</w:t>
                  </w:r>
                  <w:r>
                    <w:rPr>
                      <w:rFonts w:hint="default" w:ascii="Times New Roman" w:hAnsi="Times New Roman" w:eastAsia="宋体" w:cs="Times New Roman"/>
                      <w:b/>
                      <w:bCs/>
                      <w:color w:val="auto"/>
                      <w:spacing w:val="3"/>
                      <w:position w:val="-1"/>
                      <w:sz w:val="21"/>
                      <w:szCs w:val="21"/>
                      <w:highlight w:val="none"/>
                      <w:vertAlign w:val="subscript"/>
                      <w:lang w:eastAsia="zh-CN"/>
                    </w:rPr>
                    <w:t>10</w:t>
                  </w:r>
                  <w:r>
                    <w:rPr>
                      <w:rFonts w:hint="default" w:ascii="Times New Roman" w:hAnsi="Times New Roman" w:eastAsia="宋体" w:cs="Times New Roman"/>
                      <w:b/>
                      <w:bCs/>
                      <w:color w:val="auto"/>
                      <w:spacing w:val="3"/>
                      <w:sz w:val="21"/>
                      <w:szCs w:val="21"/>
                      <w:highlight w:val="none"/>
                      <w:lang w:eastAsia="zh-CN"/>
                    </w:rPr>
                    <w:t>(</w:t>
                  </w:r>
                  <w:r>
                    <w:rPr>
                      <w:rFonts w:hint="default" w:ascii="Times New Roman" w:hAnsi="Times New Roman" w:eastAsia="宋体" w:cs="Times New Roman"/>
                      <w:b/>
                      <w:bCs/>
                      <w:color w:val="auto"/>
                      <w:spacing w:val="3"/>
                      <w:sz w:val="21"/>
                      <w:szCs w:val="21"/>
                      <w:highlight w:val="none"/>
                    </w:rPr>
                    <w:t>μ</w:t>
                  </w:r>
                  <w:r>
                    <w:rPr>
                      <w:rFonts w:hint="default" w:ascii="Times New Roman" w:hAnsi="Times New Roman" w:eastAsia="宋体" w:cs="Times New Roman"/>
                      <w:b/>
                      <w:bCs/>
                      <w:color w:val="auto"/>
                      <w:spacing w:val="3"/>
                      <w:sz w:val="21"/>
                      <w:szCs w:val="21"/>
                      <w:highlight w:val="none"/>
                      <w:lang w:eastAsia="zh-CN"/>
                    </w:rPr>
                    <w:t>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pacing w:val="3"/>
                      <w:sz w:val="21"/>
                      <w:szCs w:val="21"/>
                      <w:highlight w:val="none"/>
                      <w:lang w:eastAsia="zh-CN"/>
                    </w:rPr>
                    <w:t>）</w:t>
                  </w:r>
                </w:p>
              </w:tc>
              <w:tc>
                <w:tcPr>
                  <w:tcW w:w="1614" w:type="dxa"/>
                  <w:tcBorders>
                    <w:tl2br w:val="nil"/>
                    <w:tr2bl w:val="nil"/>
                  </w:tcBorders>
                  <w:vAlign w:val="center"/>
                </w:tcPr>
                <w:p w14:paraId="45B1C25A">
                  <w:pPr>
                    <w:pStyle w:val="49"/>
                    <w:spacing w:before="37" w:line="215" w:lineRule="auto"/>
                    <w:ind w:left="86"/>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PM</w:t>
                  </w:r>
                  <w:r>
                    <w:rPr>
                      <w:rFonts w:hint="default" w:ascii="Times New Roman" w:hAnsi="Times New Roman" w:eastAsia="宋体" w:cs="Times New Roman"/>
                      <w:b/>
                      <w:bCs/>
                      <w:color w:val="auto"/>
                      <w:spacing w:val="3"/>
                      <w:position w:val="-1"/>
                      <w:sz w:val="21"/>
                      <w:szCs w:val="21"/>
                      <w:highlight w:val="none"/>
                      <w:vertAlign w:val="subscript"/>
                      <w:lang w:eastAsia="zh-CN"/>
                    </w:rPr>
                    <w:t>2.5</w:t>
                  </w:r>
                  <w:r>
                    <w:rPr>
                      <w:rFonts w:hint="default" w:ascii="Times New Roman" w:hAnsi="Times New Roman" w:eastAsia="宋体" w:cs="Times New Roman"/>
                      <w:b/>
                      <w:bCs/>
                      <w:color w:val="auto"/>
                      <w:spacing w:val="3"/>
                      <w:sz w:val="21"/>
                      <w:szCs w:val="21"/>
                      <w:highlight w:val="none"/>
                      <w:lang w:eastAsia="zh-CN"/>
                    </w:rPr>
                    <w:t>(</w:t>
                  </w:r>
                  <w:r>
                    <w:rPr>
                      <w:rFonts w:hint="default" w:ascii="Times New Roman" w:hAnsi="Times New Roman" w:eastAsia="宋体" w:cs="Times New Roman"/>
                      <w:b/>
                      <w:bCs/>
                      <w:color w:val="auto"/>
                      <w:spacing w:val="3"/>
                      <w:sz w:val="21"/>
                      <w:szCs w:val="21"/>
                      <w:highlight w:val="none"/>
                    </w:rPr>
                    <w:t>μ</w:t>
                  </w:r>
                  <w:r>
                    <w:rPr>
                      <w:rFonts w:hint="default" w:ascii="Times New Roman" w:hAnsi="Times New Roman" w:eastAsia="宋体" w:cs="Times New Roman"/>
                      <w:b/>
                      <w:bCs/>
                      <w:color w:val="auto"/>
                      <w:spacing w:val="3"/>
                      <w:sz w:val="21"/>
                      <w:szCs w:val="21"/>
                      <w:highlight w:val="none"/>
                      <w:lang w:eastAsia="zh-CN"/>
                    </w:rPr>
                    <w:t>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pacing w:val="3"/>
                      <w:sz w:val="21"/>
                      <w:szCs w:val="21"/>
                      <w:highlight w:val="none"/>
                      <w:lang w:eastAsia="zh-CN"/>
                    </w:rPr>
                    <w:t>）</w:t>
                  </w:r>
                </w:p>
              </w:tc>
            </w:tr>
            <w:tr w14:paraId="27AAE8D7">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611" w:type="dxa"/>
                  <w:tcBorders>
                    <w:tl2br w:val="nil"/>
                    <w:tr2bl w:val="nil"/>
                  </w:tcBorders>
                  <w:vAlign w:val="center"/>
                </w:tcPr>
                <w:p w14:paraId="37EB2CE6">
                  <w:pPr>
                    <w:pStyle w:val="49"/>
                    <w:spacing w:before="33" w:line="216"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pacing w:val="6"/>
                      <w:sz w:val="21"/>
                      <w:szCs w:val="21"/>
                      <w:highlight w:val="none"/>
                      <w:lang w:val="en-US" w:eastAsia="zh-CN"/>
                    </w:rPr>
                    <w:t>现状</w:t>
                  </w:r>
                  <w:r>
                    <w:rPr>
                      <w:rFonts w:hint="default" w:ascii="Times New Roman" w:hAnsi="Times New Roman" w:eastAsia="宋体" w:cs="Times New Roman"/>
                      <w:b w:val="0"/>
                      <w:bCs w:val="0"/>
                      <w:color w:val="auto"/>
                      <w:spacing w:val="6"/>
                      <w:sz w:val="21"/>
                      <w:szCs w:val="21"/>
                      <w:highlight w:val="none"/>
                      <w:lang w:eastAsia="zh-CN"/>
                    </w:rPr>
                    <w:t>浓度</w:t>
                  </w:r>
                </w:p>
              </w:tc>
              <w:tc>
                <w:tcPr>
                  <w:tcW w:w="1611" w:type="dxa"/>
                  <w:tcBorders>
                    <w:tl2br w:val="nil"/>
                    <w:tr2bl w:val="nil"/>
                  </w:tcBorders>
                  <w:vAlign w:val="center"/>
                </w:tcPr>
                <w:p w14:paraId="6B544503">
                  <w:pPr>
                    <w:spacing w:before="68" w:line="195" w:lineRule="auto"/>
                    <w:jc w:val="center"/>
                    <w:rPr>
                      <w:rFonts w:hint="default" w:ascii="Times New Roman" w:hAnsi="Times New Roman" w:eastAsia="宋体" w:cs="Times New Roman"/>
                      <w:b w:val="0"/>
                      <w:bCs w:val="0"/>
                      <w:color w:val="auto"/>
                      <w:szCs w:val="21"/>
                      <w:highlight w:val="none"/>
                      <w:lang w:eastAsia="zh-CN"/>
                    </w:rPr>
                  </w:pPr>
                  <w:r>
                    <w:rPr>
                      <w:rFonts w:hint="eastAsia" w:cs="Times New Roman"/>
                      <w:b w:val="0"/>
                      <w:bCs w:val="0"/>
                      <w:color w:val="auto"/>
                      <w:szCs w:val="21"/>
                      <w:highlight w:val="none"/>
                      <w:lang w:val="en-US" w:eastAsia="zh-CN"/>
                    </w:rPr>
                    <w:t>3</w:t>
                  </w:r>
                </w:p>
              </w:tc>
              <w:tc>
                <w:tcPr>
                  <w:tcW w:w="1611" w:type="dxa"/>
                  <w:tcBorders>
                    <w:tl2br w:val="nil"/>
                    <w:tr2bl w:val="nil"/>
                  </w:tcBorders>
                  <w:vAlign w:val="center"/>
                </w:tcPr>
                <w:p w14:paraId="6A4EA0E2">
                  <w:pPr>
                    <w:spacing w:before="68" w:line="195" w:lineRule="auto"/>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30</w:t>
                  </w:r>
                </w:p>
              </w:tc>
              <w:tc>
                <w:tcPr>
                  <w:tcW w:w="1611" w:type="dxa"/>
                  <w:tcBorders>
                    <w:tl2br w:val="nil"/>
                    <w:tr2bl w:val="nil"/>
                  </w:tcBorders>
                  <w:vAlign w:val="center"/>
                </w:tcPr>
                <w:p w14:paraId="6D6459C7">
                  <w:pPr>
                    <w:spacing w:before="68" w:line="195" w:lineRule="auto"/>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60</w:t>
                  </w:r>
                </w:p>
              </w:tc>
              <w:tc>
                <w:tcPr>
                  <w:tcW w:w="1614" w:type="dxa"/>
                  <w:tcBorders>
                    <w:tl2br w:val="nil"/>
                    <w:tr2bl w:val="nil"/>
                  </w:tcBorders>
                  <w:vAlign w:val="center"/>
                </w:tcPr>
                <w:p w14:paraId="4A64486D">
                  <w:pPr>
                    <w:spacing w:before="68" w:line="195" w:lineRule="auto"/>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33.9</w:t>
                  </w:r>
                </w:p>
              </w:tc>
            </w:tr>
            <w:tr w14:paraId="6242348D">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1611" w:type="dxa"/>
                  <w:tcBorders>
                    <w:tl2br w:val="nil"/>
                    <w:tr2bl w:val="nil"/>
                  </w:tcBorders>
                  <w:vAlign w:val="center"/>
                </w:tcPr>
                <w:p w14:paraId="0944C9BD">
                  <w:pPr>
                    <w:pStyle w:val="49"/>
                    <w:spacing w:before="33" w:line="216" w:lineRule="auto"/>
                    <w:jc w:val="center"/>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平均时间</w:t>
                  </w:r>
                </w:p>
              </w:tc>
              <w:tc>
                <w:tcPr>
                  <w:tcW w:w="1611" w:type="dxa"/>
                  <w:tcBorders>
                    <w:tl2br w:val="nil"/>
                    <w:tr2bl w:val="nil"/>
                  </w:tcBorders>
                  <w:vAlign w:val="center"/>
                </w:tcPr>
                <w:p w14:paraId="000ABF8D">
                  <w:pPr>
                    <w:spacing w:before="68" w:line="195" w:lineRule="auto"/>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rPr>
                    <w:t>年均值</w:t>
                  </w:r>
                </w:p>
              </w:tc>
              <w:tc>
                <w:tcPr>
                  <w:tcW w:w="1611" w:type="dxa"/>
                  <w:tcBorders>
                    <w:tl2br w:val="nil"/>
                    <w:tr2bl w:val="nil"/>
                  </w:tcBorders>
                  <w:vAlign w:val="center"/>
                </w:tcPr>
                <w:p w14:paraId="756468AB">
                  <w:pPr>
                    <w:spacing w:before="68" w:line="195" w:lineRule="auto"/>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rPr>
                    <w:t>年均值</w:t>
                  </w:r>
                </w:p>
              </w:tc>
              <w:tc>
                <w:tcPr>
                  <w:tcW w:w="1611" w:type="dxa"/>
                  <w:tcBorders>
                    <w:tl2br w:val="nil"/>
                    <w:tr2bl w:val="nil"/>
                  </w:tcBorders>
                  <w:vAlign w:val="center"/>
                </w:tcPr>
                <w:p w14:paraId="46919B0B">
                  <w:pPr>
                    <w:spacing w:before="68" w:line="195" w:lineRule="auto"/>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pacing w:val="2"/>
                      <w:szCs w:val="21"/>
                      <w:highlight w:val="none"/>
                      <w:lang w:val="en-US" w:eastAsia="zh-CN"/>
                    </w:rPr>
                    <w:t>24小时平均</w:t>
                  </w:r>
                </w:p>
              </w:tc>
              <w:tc>
                <w:tcPr>
                  <w:tcW w:w="1614" w:type="dxa"/>
                  <w:tcBorders>
                    <w:tl2br w:val="nil"/>
                    <w:tr2bl w:val="nil"/>
                  </w:tcBorders>
                  <w:vAlign w:val="center"/>
                </w:tcPr>
                <w:p w14:paraId="0B9E428A">
                  <w:pPr>
                    <w:spacing w:before="68" w:line="195"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2"/>
                      <w:szCs w:val="21"/>
                      <w:highlight w:val="none"/>
                      <w:lang w:val="en-US" w:eastAsia="zh-CN"/>
                    </w:rPr>
                    <w:t>24小时平均</w:t>
                  </w:r>
                </w:p>
              </w:tc>
            </w:tr>
            <w:tr w14:paraId="4777F29F">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9" w:hRule="atLeast"/>
                <w:jc w:val="center"/>
              </w:trPr>
              <w:tc>
                <w:tcPr>
                  <w:tcW w:w="1611" w:type="dxa"/>
                  <w:tcBorders>
                    <w:tl2br w:val="nil"/>
                    <w:tr2bl w:val="nil"/>
                  </w:tcBorders>
                  <w:vAlign w:val="center"/>
                </w:tcPr>
                <w:p w14:paraId="2948021E">
                  <w:pPr>
                    <w:pStyle w:val="49"/>
                    <w:spacing w:before="34" w:line="214"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pacing w:val="6"/>
                      <w:sz w:val="21"/>
                      <w:szCs w:val="21"/>
                      <w:highlight w:val="none"/>
                      <w:lang w:eastAsia="zh-CN"/>
                    </w:rPr>
                    <w:t>标准值</w:t>
                  </w:r>
                </w:p>
              </w:tc>
              <w:tc>
                <w:tcPr>
                  <w:tcW w:w="1611" w:type="dxa"/>
                  <w:tcBorders>
                    <w:tl2br w:val="nil"/>
                    <w:tr2bl w:val="nil"/>
                  </w:tcBorders>
                  <w:vAlign w:val="center"/>
                </w:tcPr>
                <w:p w14:paraId="4400BC4D">
                  <w:pPr>
                    <w:spacing w:before="70" w:line="195"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60</w:t>
                  </w:r>
                </w:p>
              </w:tc>
              <w:tc>
                <w:tcPr>
                  <w:tcW w:w="1611" w:type="dxa"/>
                  <w:tcBorders>
                    <w:tl2br w:val="nil"/>
                    <w:tr2bl w:val="nil"/>
                  </w:tcBorders>
                  <w:vAlign w:val="center"/>
                </w:tcPr>
                <w:p w14:paraId="5D89B6AC">
                  <w:pPr>
                    <w:spacing w:before="70" w:line="195"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3"/>
                      <w:szCs w:val="21"/>
                      <w:highlight w:val="none"/>
                    </w:rPr>
                    <w:t>40</w:t>
                  </w:r>
                </w:p>
              </w:tc>
              <w:tc>
                <w:tcPr>
                  <w:tcW w:w="1611" w:type="dxa"/>
                  <w:tcBorders>
                    <w:tl2br w:val="nil"/>
                    <w:tr2bl w:val="nil"/>
                  </w:tcBorders>
                  <w:vAlign w:val="center"/>
                </w:tcPr>
                <w:p w14:paraId="443C8AD5">
                  <w:pPr>
                    <w:spacing w:before="70" w:line="195"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1"/>
                      <w:szCs w:val="21"/>
                      <w:highlight w:val="none"/>
                    </w:rPr>
                    <w:t>70</w:t>
                  </w:r>
                </w:p>
              </w:tc>
              <w:tc>
                <w:tcPr>
                  <w:tcW w:w="1614" w:type="dxa"/>
                  <w:tcBorders>
                    <w:tl2br w:val="nil"/>
                    <w:tr2bl w:val="nil"/>
                  </w:tcBorders>
                  <w:vAlign w:val="center"/>
                </w:tcPr>
                <w:p w14:paraId="49689C3B">
                  <w:pPr>
                    <w:spacing w:before="70" w:line="195"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35</w:t>
                  </w:r>
                </w:p>
              </w:tc>
            </w:tr>
            <w:tr w14:paraId="7087835C">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611" w:type="dxa"/>
                  <w:tcBorders>
                    <w:tl2br w:val="nil"/>
                    <w:tr2bl w:val="nil"/>
                  </w:tcBorders>
                  <w:vAlign w:val="center"/>
                </w:tcPr>
                <w:p w14:paraId="44D061EA">
                  <w:pPr>
                    <w:pStyle w:val="49"/>
                    <w:spacing w:before="36" w:line="216"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pacing w:val="7"/>
                      <w:sz w:val="21"/>
                      <w:szCs w:val="21"/>
                      <w:highlight w:val="none"/>
                      <w:lang w:val="en-US" w:eastAsia="zh-CN"/>
                    </w:rPr>
                    <w:t>达标情况</w:t>
                  </w:r>
                </w:p>
              </w:tc>
              <w:tc>
                <w:tcPr>
                  <w:tcW w:w="1611" w:type="dxa"/>
                  <w:tcBorders>
                    <w:tl2br w:val="nil"/>
                    <w:tr2bl w:val="nil"/>
                  </w:tcBorders>
                  <w:vAlign w:val="center"/>
                </w:tcPr>
                <w:p w14:paraId="2C76A57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1611" w:type="dxa"/>
                  <w:tcBorders>
                    <w:tl2br w:val="nil"/>
                    <w:tr2bl w:val="nil"/>
                  </w:tcBorders>
                  <w:vAlign w:val="center"/>
                </w:tcPr>
                <w:p w14:paraId="5C043DE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1611" w:type="dxa"/>
                  <w:tcBorders>
                    <w:tl2br w:val="nil"/>
                    <w:tr2bl w:val="nil"/>
                  </w:tcBorders>
                  <w:vAlign w:val="center"/>
                </w:tcPr>
                <w:p w14:paraId="16C9DA6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1614" w:type="dxa"/>
                  <w:tcBorders>
                    <w:tl2br w:val="nil"/>
                    <w:tr2bl w:val="nil"/>
                  </w:tcBorders>
                  <w:vAlign w:val="center"/>
                </w:tcPr>
                <w:p w14:paraId="0A24226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r>
          </w:tbl>
          <w:p w14:paraId="757675FB">
            <w:pPr>
              <w:numPr>
                <w:ilvl w:val="0"/>
                <w:numId w:val="0"/>
              </w:numPr>
              <w:ind w:leftChars="0"/>
              <w:jc w:val="both"/>
              <w:rPr>
                <w:rFonts w:hint="default" w:ascii="Times New Roman" w:hAnsi="Times New Roman" w:eastAsia="宋体" w:cs="Times New Roman"/>
                <w:b/>
                <w:bCs/>
                <w:color w:val="auto"/>
                <w:sz w:val="24"/>
                <w:highlight w:val="none"/>
              </w:rPr>
            </w:pPr>
          </w:p>
          <w:p w14:paraId="45CC6BB2">
            <w:pPr>
              <w:numPr>
                <w:ilvl w:val="0"/>
                <w:numId w:val="19"/>
              </w:num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北京市202</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年环境空气质量数据</w:t>
            </w:r>
          </w:p>
          <w:tbl>
            <w:tblPr>
              <w:tblStyle w:val="50"/>
              <w:tblW w:w="4899" w:type="pct"/>
              <w:tblInd w:w="6" w:type="dxa"/>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990"/>
              <w:gridCol w:w="921"/>
              <w:gridCol w:w="1048"/>
              <w:gridCol w:w="974"/>
              <w:gridCol w:w="1002"/>
              <w:gridCol w:w="1592"/>
              <w:gridCol w:w="1245"/>
            </w:tblGrid>
            <w:tr w14:paraId="6DFCBCDD">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990" w:type="dxa"/>
                  <w:tcBorders>
                    <w:tl2br w:val="nil"/>
                    <w:tr2bl w:val="nil"/>
                  </w:tcBorders>
                  <w:vAlign w:val="center"/>
                </w:tcPr>
                <w:p w14:paraId="4E4C75B0">
                  <w:pPr>
                    <w:pStyle w:val="4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
                      <w:sz w:val="21"/>
                      <w:szCs w:val="21"/>
                      <w:highlight w:val="none"/>
                    </w:rPr>
                    <w:t>项目</w:t>
                  </w:r>
                </w:p>
              </w:tc>
              <w:tc>
                <w:tcPr>
                  <w:tcW w:w="921" w:type="dxa"/>
                  <w:tcBorders>
                    <w:tl2br w:val="nil"/>
                    <w:tr2bl w:val="nil"/>
                  </w:tcBorders>
                  <w:vAlign w:val="center"/>
                </w:tcPr>
                <w:p w14:paraId="664BBB99">
                  <w:pPr>
                    <w:jc w:val="center"/>
                    <w:rPr>
                      <w:rFonts w:hint="default" w:ascii="Times New Roman" w:hAnsi="Times New Roman" w:eastAsia="宋体" w:cs="Times New Roman"/>
                      <w:b/>
                      <w:bCs/>
                      <w:color w:val="auto"/>
                      <w:spacing w:val="6"/>
                      <w:position w:val="-1"/>
                      <w:szCs w:val="21"/>
                      <w:highlight w:val="none"/>
                    </w:rPr>
                  </w:pPr>
                  <w:r>
                    <w:rPr>
                      <w:rFonts w:hint="default" w:ascii="Times New Roman" w:hAnsi="Times New Roman" w:eastAsia="宋体" w:cs="Times New Roman"/>
                      <w:b/>
                      <w:bCs/>
                      <w:color w:val="auto"/>
                      <w:szCs w:val="21"/>
                      <w:highlight w:val="none"/>
                    </w:rPr>
                    <w:t>SO</w:t>
                  </w:r>
                  <w:r>
                    <w:rPr>
                      <w:rFonts w:hint="default" w:ascii="Times New Roman" w:hAnsi="Times New Roman" w:eastAsia="宋体" w:cs="Times New Roman"/>
                      <w:b/>
                      <w:bCs/>
                      <w:color w:val="auto"/>
                      <w:spacing w:val="6"/>
                      <w:position w:val="-1"/>
                      <w:szCs w:val="21"/>
                      <w:highlight w:val="none"/>
                      <w:vertAlign w:val="subscript"/>
                    </w:rPr>
                    <w:t>2</w:t>
                  </w:r>
                </w:p>
                <w:p w14:paraId="0268D48C">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pacing w:val="3"/>
                      <w:szCs w:val="21"/>
                      <w:highlight w:val="none"/>
                    </w:rPr>
                    <w:t>(μg/m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pacing w:val="3"/>
                      <w:szCs w:val="21"/>
                      <w:highlight w:val="none"/>
                    </w:rPr>
                    <w:t>)</w:t>
                  </w:r>
                </w:p>
              </w:tc>
              <w:tc>
                <w:tcPr>
                  <w:tcW w:w="1048" w:type="dxa"/>
                  <w:tcBorders>
                    <w:tl2br w:val="nil"/>
                    <w:tr2bl w:val="nil"/>
                  </w:tcBorders>
                  <w:vAlign w:val="center"/>
                </w:tcPr>
                <w:p w14:paraId="0AAEAAEC">
                  <w:pPr>
                    <w:jc w:val="center"/>
                    <w:rPr>
                      <w:rFonts w:hint="default" w:ascii="Times New Roman" w:hAnsi="Times New Roman" w:eastAsia="宋体" w:cs="Times New Roman"/>
                      <w:b/>
                      <w:bCs/>
                      <w:color w:val="auto"/>
                      <w:spacing w:val="14"/>
                      <w:position w:val="-1"/>
                      <w:szCs w:val="21"/>
                      <w:highlight w:val="none"/>
                    </w:rPr>
                  </w:pPr>
                  <w:r>
                    <w:rPr>
                      <w:rFonts w:hint="default" w:ascii="Times New Roman" w:hAnsi="Times New Roman" w:eastAsia="宋体" w:cs="Times New Roman"/>
                      <w:b/>
                      <w:bCs/>
                      <w:color w:val="auto"/>
                      <w:szCs w:val="21"/>
                      <w:highlight w:val="none"/>
                    </w:rPr>
                    <w:t>NO</w:t>
                  </w:r>
                  <w:r>
                    <w:rPr>
                      <w:rFonts w:hint="default" w:ascii="Times New Roman" w:hAnsi="Times New Roman" w:eastAsia="宋体" w:cs="Times New Roman"/>
                      <w:b/>
                      <w:bCs/>
                      <w:color w:val="auto"/>
                      <w:spacing w:val="14"/>
                      <w:position w:val="-1"/>
                      <w:szCs w:val="21"/>
                      <w:highlight w:val="none"/>
                      <w:vertAlign w:val="subscript"/>
                    </w:rPr>
                    <w:t>2</w:t>
                  </w:r>
                </w:p>
                <w:p w14:paraId="69DFCBB8">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pacing w:val="2"/>
                      <w:szCs w:val="21"/>
                      <w:highlight w:val="none"/>
                    </w:rPr>
                    <w:t>(μg/m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pacing w:val="2"/>
                      <w:szCs w:val="21"/>
                      <w:highlight w:val="none"/>
                    </w:rPr>
                    <w:t>)</w:t>
                  </w:r>
                </w:p>
              </w:tc>
              <w:tc>
                <w:tcPr>
                  <w:tcW w:w="974" w:type="dxa"/>
                  <w:tcBorders>
                    <w:tl2br w:val="nil"/>
                    <w:tr2bl w:val="nil"/>
                  </w:tcBorders>
                  <w:vAlign w:val="center"/>
                </w:tcPr>
                <w:p w14:paraId="49973437">
                  <w:pPr>
                    <w:pStyle w:val="49"/>
                    <w:jc w:val="center"/>
                    <w:rPr>
                      <w:rFonts w:hint="default" w:ascii="Times New Roman" w:hAnsi="Times New Roman" w:eastAsia="宋体" w:cs="Times New Roman"/>
                      <w:b/>
                      <w:bCs/>
                      <w:color w:val="auto"/>
                      <w:spacing w:val="9"/>
                      <w:position w:val="-1"/>
                      <w:sz w:val="21"/>
                      <w:szCs w:val="21"/>
                      <w:highlight w:val="none"/>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pacing w:val="9"/>
                      <w:position w:val="-1"/>
                      <w:sz w:val="21"/>
                      <w:szCs w:val="21"/>
                      <w:highlight w:val="none"/>
                      <w:vertAlign w:val="subscript"/>
                    </w:rPr>
                    <w:t>10</w:t>
                  </w:r>
                </w:p>
                <w:p w14:paraId="48BAFF7E">
                  <w:pPr>
                    <w:pStyle w:val="4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(μg/m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z w:val="21"/>
                      <w:szCs w:val="21"/>
                      <w:highlight w:val="none"/>
                    </w:rPr>
                    <w:t>）</w:t>
                  </w:r>
                </w:p>
              </w:tc>
              <w:tc>
                <w:tcPr>
                  <w:tcW w:w="1002" w:type="dxa"/>
                  <w:tcBorders>
                    <w:tl2br w:val="nil"/>
                    <w:tr2bl w:val="nil"/>
                  </w:tcBorders>
                  <w:vAlign w:val="center"/>
                </w:tcPr>
                <w:p w14:paraId="48E852A0">
                  <w:pPr>
                    <w:pStyle w:val="49"/>
                    <w:jc w:val="center"/>
                    <w:rPr>
                      <w:rFonts w:hint="default" w:ascii="Times New Roman" w:hAnsi="Times New Roman" w:eastAsia="宋体" w:cs="Times New Roman"/>
                      <w:b/>
                      <w:bCs/>
                      <w:color w:val="auto"/>
                      <w:spacing w:val="6"/>
                      <w:position w:val="-1"/>
                      <w:sz w:val="21"/>
                      <w:szCs w:val="21"/>
                      <w:highlight w:val="none"/>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pacing w:val="6"/>
                      <w:position w:val="-1"/>
                      <w:sz w:val="21"/>
                      <w:szCs w:val="21"/>
                      <w:highlight w:val="none"/>
                      <w:vertAlign w:val="subscript"/>
                    </w:rPr>
                    <w:t>2.5</w:t>
                  </w:r>
                </w:p>
                <w:p w14:paraId="13B69367">
                  <w:pPr>
                    <w:pStyle w:val="4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(μg/m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z w:val="21"/>
                      <w:szCs w:val="21"/>
                      <w:highlight w:val="none"/>
                    </w:rPr>
                    <w:t>）</w:t>
                  </w:r>
                </w:p>
              </w:tc>
              <w:tc>
                <w:tcPr>
                  <w:tcW w:w="1592" w:type="dxa"/>
                  <w:tcBorders>
                    <w:tl2br w:val="nil"/>
                    <w:tr2bl w:val="nil"/>
                  </w:tcBorders>
                  <w:vAlign w:val="center"/>
                </w:tcPr>
                <w:p w14:paraId="5E4190A3">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CO</w:t>
                  </w:r>
                  <w:r>
                    <w:rPr>
                      <w:rFonts w:hint="default" w:ascii="Times New Roman" w:hAnsi="Times New Roman" w:eastAsia="宋体" w:cs="Times New Roman"/>
                      <w:b/>
                      <w:bCs/>
                      <w:color w:val="auto"/>
                      <w:spacing w:val="7"/>
                      <w:szCs w:val="21"/>
                      <w:highlight w:val="none"/>
                    </w:rPr>
                    <w:t>-24h-95</w:t>
                  </w:r>
                  <w:r>
                    <w:rPr>
                      <w:rFonts w:hint="default" w:ascii="Times New Roman" w:hAnsi="Times New Roman" w:eastAsia="宋体" w:cs="Times New Roman"/>
                      <w:b/>
                      <w:bCs/>
                      <w:color w:val="auto"/>
                      <w:szCs w:val="21"/>
                      <w:highlight w:val="none"/>
                    </w:rPr>
                    <w:t>per</w:t>
                  </w:r>
                </w:p>
                <w:p w14:paraId="14569C3A">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pacing w:val="1"/>
                      <w:szCs w:val="21"/>
                      <w:highlight w:val="none"/>
                    </w:rPr>
                    <w:t>(μg/m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pacing w:val="1"/>
                      <w:szCs w:val="21"/>
                      <w:highlight w:val="none"/>
                    </w:rPr>
                    <w:t>）</w:t>
                  </w:r>
                </w:p>
              </w:tc>
              <w:tc>
                <w:tcPr>
                  <w:tcW w:w="1245" w:type="dxa"/>
                  <w:tcBorders>
                    <w:tl2br w:val="nil"/>
                    <w:tr2bl w:val="nil"/>
                  </w:tcBorders>
                  <w:vAlign w:val="center"/>
                </w:tcPr>
                <w:p w14:paraId="59B41CD5">
                  <w:pPr>
                    <w:pStyle w:val="49"/>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pacing w:val="5"/>
                      <w:sz w:val="21"/>
                      <w:szCs w:val="21"/>
                      <w:highlight w:val="none"/>
                      <w:lang w:eastAsia="zh-CN"/>
                    </w:rPr>
                    <w:t>O</w:t>
                  </w:r>
                  <w:r>
                    <w:rPr>
                      <w:rFonts w:hint="default" w:ascii="Times New Roman" w:hAnsi="Times New Roman" w:eastAsia="宋体" w:cs="Times New Roman"/>
                      <w:b/>
                      <w:bCs/>
                      <w:color w:val="auto"/>
                      <w:spacing w:val="5"/>
                      <w:sz w:val="21"/>
                      <w:szCs w:val="21"/>
                      <w:highlight w:val="none"/>
                      <w:vertAlign w:val="subscript"/>
                      <w:lang w:eastAsia="zh-CN"/>
                    </w:rPr>
                    <w:t>3</w:t>
                  </w:r>
                  <w:r>
                    <w:rPr>
                      <w:rFonts w:hint="default" w:ascii="Times New Roman" w:hAnsi="Times New Roman" w:eastAsia="宋体" w:cs="Times New Roman"/>
                      <w:b/>
                      <w:bCs/>
                      <w:color w:val="auto"/>
                      <w:spacing w:val="5"/>
                      <w:sz w:val="21"/>
                      <w:szCs w:val="21"/>
                      <w:highlight w:val="none"/>
                      <w:lang w:eastAsia="zh-CN"/>
                    </w:rPr>
                    <w:t>-8h-90</w:t>
                  </w:r>
                  <w:r>
                    <w:rPr>
                      <w:rFonts w:hint="default" w:ascii="Times New Roman" w:hAnsi="Times New Roman" w:eastAsia="宋体" w:cs="Times New Roman"/>
                      <w:b/>
                      <w:bCs/>
                      <w:color w:val="auto"/>
                      <w:sz w:val="21"/>
                      <w:szCs w:val="21"/>
                      <w:highlight w:val="none"/>
                      <w:lang w:eastAsia="zh-CN"/>
                    </w:rPr>
                    <w:t>per</w:t>
                  </w:r>
                </w:p>
                <w:p w14:paraId="6DC30752">
                  <w:pPr>
                    <w:pStyle w:val="49"/>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μ</w:t>
                  </w:r>
                  <w:r>
                    <w:rPr>
                      <w:rFonts w:hint="default" w:ascii="Times New Roman" w:hAnsi="Times New Roman" w:eastAsia="宋体" w:cs="Times New Roman"/>
                      <w:b/>
                      <w:bCs/>
                      <w:color w:val="auto"/>
                      <w:spacing w:val="1"/>
                      <w:sz w:val="21"/>
                      <w:szCs w:val="21"/>
                      <w:highlight w:val="none"/>
                      <w:lang w:eastAsia="zh-CN"/>
                    </w:rPr>
                    <w:t>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pacing w:val="1"/>
                      <w:sz w:val="21"/>
                      <w:szCs w:val="21"/>
                      <w:highlight w:val="none"/>
                      <w:lang w:eastAsia="zh-CN"/>
                    </w:rPr>
                    <w:t>）</w:t>
                  </w:r>
                </w:p>
              </w:tc>
            </w:tr>
            <w:tr w14:paraId="5D5C6A57">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990" w:type="dxa"/>
                  <w:tcBorders>
                    <w:tl2br w:val="nil"/>
                    <w:tr2bl w:val="nil"/>
                  </w:tcBorders>
                  <w:vAlign w:val="center"/>
                </w:tcPr>
                <w:p w14:paraId="13E64FAB">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现状浓度</w:t>
                  </w:r>
                </w:p>
              </w:tc>
              <w:tc>
                <w:tcPr>
                  <w:tcW w:w="921" w:type="dxa"/>
                  <w:tcBorders>
                    <w:tl2br w:val="nil"/>
                    <w:tr2bl w:val="nil"/>
                  </w:tcBorders>
                  <w:vAlign w:val="center"/>
                </w:tcPr>
                <w:p w14:paraId="058AFD7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w:t>
                  </w:r>
                </w:p>
              </w:tc>
              <w:tc>
                <w:tcPr>
                  <w:tcW w:w="1048" w:type="dxa"/>
                  <w:tcBorders>
                    <w:tl2br w:val="nil"/>
                    <w:tr2bl w:val="nil"/>
                  </w:tcBorders>
                  <w:vAlign w:val="center"/>
                </w:tcPr>
                <w:p w14:paraId="402A3D08">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pacing w:val="2"/>
                      <w:szCs w:val="21"/>
                      <w:highlight w:val="none"/>
                    </w:rPr>
                    <w:t>2</w:t>
                  </w:r>
                  <w:r>
                    <w:rPr>
                      <w:rFonts w:hint="default" w:ascii="Times New Roman" w:hAnsi="Times New Roman" w:eastAsia="宋体" w:cs="Times New Roman"/>
                      <w:b w:val="0"/>
                      <w:bCs w:val="0"/>
                      <w:color w:val="auto"/>
                      <w:spacing w:val="2"/>
                      <w:szCs w:val="21"/>
                      <w:highlight w:val="none"/>
                      <w:lang w:val="en-US" w:eastAsia="zh-CN"/>
                    </w:rPr>
                    <w:t>4</w:t>
                  </w:r>
                </w:p>
              </w:tc>
              <w:tc>
                <w:tcPr>
                  <w:tcW w:w="974" w:type="dxa"/>
                  <w:tcBorders>
                    <w:tl2br w:val="nil"/>
                    <w:tr2bl w:val="nil"/>
                  </w:tcBorders>
                  <w:vAlign w:val="center"/>
                </w:tcPr>
                <w:p w14:paraId="2F743958">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54</w:t>
                  </w:r>
                </w:p>
              </w:tc>
              <w:tc>
                <w:tcPr>
                  <w:tcW w:w="1002" w:type="dxa"/>
                  <w:tcBorders>
                    <w:tl2br w:val="nil"/>
                    <w:tr2bl w:val="nil"/>
                  </w:tcBorders>
                  <w:vAlign w:val="center"/>
                </w:tcPr>
                <w:p w14:paraId="18C8ABDB">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rPr>
                    <w:t>3</w:t>
                  </w:r>
                  <w:r>
                    <w:rPr>
                      <w:rFonts w:hint="default" w:ascii="Times New Roman" w:hAnsi="Times New Roman" w:eastAsia="宋体" w:cs="Times New Roman"/>
                      <w:b w:val="0"/>
                      <w:bCs w:val="0"/>
                      <w:color w:val="auto"/>
                      <w:szCs w:val="21"/>
                      <w:highlight w:val="none"/>
                      <w:lang w:val="en-US" w:eastAsia="zh-CN"/>
                    </w:rPr>
                    <w:t>0.5</w:t>
                  </w:r>
                </w:p>
              </w:tc>
              <w:tc>
                <w:tcPr>
                  <w:tcW w:w="1592" w:type="dxa"/>
                  <w:tcBorders>
                    <w:tl2br w:val="nil"/>
                    <w:tr2bl w:val="nil"/>
                  </w:tcBorders>
                  <w:vAlign w:val="center"/>
                </w:tcPr>
                <w:p w14:paraId="65759D9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2"/>
                      <w:szCs w:val="21"/>
                      <w:highlight w:val="none"/>
                    </w:rPr>
                    <w:t>900</w:t>
                  </w:r>
                </w:p>
              </w:tc>
              <w:tc>
                <w:tcPr>
                  <w:tcW w:w="1245" w:type="dxa"/>
                  <w:tcBorders>
                    <w:tl2br w:val="nil"/>
                    <w:tr2bl w:val="nil"/>
                  </w:tcBorders>
                  <w:vAlign w:val="center"/>
                </w:tcPr>
                <w:p w14:paraId="6C2B8A10">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pacing w:val="-3"/>
                      <w:szCs w:val="21"/>
                      <w:highlight w:val="none"/>
                    </w:rPr>
                    <w:t>17</w:t>
                  </w:r>
                  <w:r>
                    <w:rPr>
                      <w:rFonts w:hint="default" w:ascii="Times New Roman" w:hAnsi="Times New Roman" w:eastAsia="宋体" w:cs="Times New Roman"/>
                      <w:b w:val="0"/>
                      <w:bCs w:val="0"/>
                      <w:color w:val="auto"/>
                      <w:spacing w:val="-3"/>
                      <w:szCs w:val="21"/>
                      <w:highlight w:val="none"/>
                      <w:lang w:val="en-US" w:eastAsia="zh-CN"/>
                    </w:rPr>
                    <w:t>1</w:t>
                  </w:r>
                </w:p>
              </w:tc>
            </w:tr>
            <w:tr w14:paraId="57E532F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990" w:type="dxa"/>
                  <w:tcBorders>
                    <w:tl2br w:val="nil"/>
                    <w:tr2bl w:val="nil"/>
                  </w:tcBorders>
                  <w:vAlign w:val="center"/>
                </w:tcPr>
                <w:p w14:paraId="10893302">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平均时间</w:t>
                  </w:r>
                </w:p>
              </w:tc>
              <w:tc>
                <w:tcPr>
                  <w:tcW w:w="1969" w:type="dxa"/>
                  <w:gridSpan w:val="2"/>
                  <w:tcBorders>
                    <w:tl2br w:val="nil"/>
                    <w:tr2bl w:val="nil"/>
                  </w:tcBorders>
                  <w:vAlign w:val="center"/>
                </w:tcPr>
                <w:p w14:paraId="1961369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年均值</w:t>
                  </w:r>
                </w:p>
              </w:tc>
              <w:tc>
                <w:tcPr>
                  <w:tcW w:w="1976" w:type="dxa"/>
                  <w:gridSpan w:val="2"/>
                  <w:tcBorders>
                    <w:tl2br w:val="nil"/>
                    <w:tr2bl w:val="nil"/>
                  </w:tcBorders>
                  <w:vAlign w:val="center"/>
                </w:tcPr>
                <w:p w14:paraId="3330F065">
                  <w:pPr>
                    <w:jc w:val="center"/>
                    <w:rPr>
                      <w:rFonts w:hint="default" w:ascii="Times New Roman" w:hAnsi="Times New Roman" w:eastAsia="宋体" w:cs="Times New Roman"/>
                      <w:b w:val="0"/>
                      <w:bCs w:val="0"/>
                      <w:color w:val="auto"/>
                      <w:spacing w:val="2"/>
                      <w:szCs w:val="21"/>
                      <w:highlight w:val="none"/>
                      <w:lang w:val="en-US" w:eastAsia="zh-CN"/>
                    </w:rPr>
                  </w:pPr>
                  <w:r>
                    <w:rPr>
                      <w:rFonts w:hint="default" w:ascii="Times New Roman" w:hAnsi="Times New Roman" w:eastAsia="宋体" w:cs="Times New Roman"/>
                      <w:b w:val="0"/>
                      <w:bCs w:val="0"/>
                      <w:color w:val="auto"/>
                      <w:spacing w:val="2"/>
                      <w:szCs w:val="21"/>
                      <w:highlight w:val="none"/>
                      <w:lang w:val="en-US" w:eastAsia="zh-CN"/>
                    </w:rPr>
                    <w:t>24小时平均</w:t>
                  </w:r>
                </w:p>
              </w:tc>
              <w:tc>
                <w:tcPr>
                  <w:tcW w:w="2837" w:type="dxa"/>
                  <w:gridSpan w:val="2"/>
                  <w:tcBorders>
                    <w:tl2br w:val="nil"/>
                    <w:tr2bl w:val="nil"/>
                  </w:tcBorders>
                  <w:vAlign w:val="center"/>
                </w:tcPr>
                <w:p w14:paraId="0C8A87C9">
                  <w:pPr>
                    <w:jc w:val="center"/>
                    <w:rPr>
                      <w:rFonts w:hint="default" w:ascii="Times New Roman" w:hAnsi="Times New Roman" w:eastAsia="宋体" w:cs="Times New Roman"/>
                      <w:b w:val="0"/>
                      <w:bCs w:val="0"/>
                      <w:color w:val="auto"/>
                      <w:spacing w:val="-3"/>
                      <w:szCs w:val="21"/>
                      <w:highlight w:val="none"/>
                      <w:lang w:val="en-US" w:eastAsia="zh-CN"/>
                    </w:rPr>
                  </w:pPr>
                  <w:r>
                    <w:rPr>
                      <w:rFonts w:hint="default" w:ascii="Times New Roman" w:hAnsi="Times New Roman" w:eastAsia="宋体" w:cs="Times New Roman"/>
                      <w:b w:val="0"/>
                      <w:bCs w:val="0"/>
                      <w:color w:val="auto"/>
                      <w:spacing w:val="-3"/>
                      <w:szCs w:val="21"/>
                      <w:highlight w:val="none"/>
                      <w:lang w:val="en-US" w:eastAsia="zh-CN"/>
                    </w:rPr>
                    <w:t>日最大8小时平均</w:t>
                  </w:r>
                </w:p>
              </w:tc>
            </w:tr>
            <w:tr w14:paraId="1F60BB4B">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990" w:type="dxa"/>
                  <w:tcBorders>
                    <w:tl2br w:val="nil"/>
                    <w:tr2bl w:val="nil"/>
                  </w:tcBorders>
                  <w:vAlign w:val="center"/>
                </w:tcPr>
                <w:p w14:paraId="3D68866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标准值</w:t>
                  </w:r>
                </w:p>
              </w:tc>
              <w:tc>
                <w:tcPr>
                  <w:tcW w:w="921" w:type="dxa"/>
                  <w:tcBorders>
                    <w:tl2br w:val="nil"/>
                    <w:tr2bl w:val="nil"/>
                  </w:tcBorders>
                  <w:vAlign w:val="center"/>
                </w:tcPr>
                <w:p w14:paraId="6DF95F2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60</w:t>
                  </w:r>
                </w:p>
              </w:tc>
              <w:tc>
                <w:tcPr>
                  <w:tcW w:w="1048" w:type="dxa"/>
                  <w:tcBorders>
                    <w:tl2br w:val="nil"/>
                    <w:tr2bl w:val="nil"/>
                  </w:tcBorders>
                  <w:vAlign w:val="center"/>
                </w:tcPr>
                <w:p w14:paraId="12C55D4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3"/>
                      <w:szCs w:val="21"/>
                      <w:highlight w:val="none"/>
                    </w:rPr>
                    <w:t>40</w:t>
                  </w:r>
                </w:p>
              </w:tc>
              <w:tc>
                <w:tcPr>
                  <w:tcW w:w="974" w:type="dxa"/>
                  <w:tcBorders>
                    <w:tl2br w:val="nil"/>
                    <w:tr2bl w:val="nil"/>
                  </w:tcBorders>
                  <w:vAlign w:val="center"/>
                </w:tcPr>
                <w:p w14:paraId="3898201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1"/>
                      <w:szCs w:val="21"/>
                      <w:highlight w:val="none"/>
                    </w:rPr>
                    <w:t>70</w:t>
                  </w:r>
                </w:p>
              </w:tc>
              <w:tc>
                <w:tcPr>
                  <w:tcW w:w="1002" w:type="dxa"/>
                  <w:tcBorders>
                    <w:tl2br w:val="nil"/>
                    <w:tr2bl w:val="nil"/>
                  </w:tcBorders>
                  <w:vAlign w:val="center"/>
                </w:tcPr>
                <w:p w14:paraId="3F1508F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35</w:t>
                  </w:r>
                </w:p>
              </w:tc>
              <w:tc>
                <w:tcPr>
                  <w:tcW w:w="1592" w:type="dxa"/>
                  <w:tcBorders>
                    <w:tl2br w:val="nil"/>
                    <w:tr2bl w:val="nil"/>
                  </w:tcBorders>
                  <w:vAlign w:val="center"/>
                </w:tcPr>
                <w:p w14:paraId="2507004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4"/>
                      <w:szCs w:val="21"/>
                      <w:highlight w:val="none"/>
                    </w:rPr>
                    <w:t>4000</w:t>
                  </w:r>
                </w:p>
              </w:tc>
              <w:tc>
                <w:tcPr>
                  <w:tcW w:w="1245" w:type="dxa"/>
                  <w:tcBorders>
                    <w:tl2br w:val="nil"/>
                    <w:tr2bl w:val="nil"/>
                  </w:tcBorders>
                  <w:vAlign w:val="center"/>
                </w:tcPr>
                <w:p w14:paraId="18A2248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3"/>
                      <w:szCs w:val="21"/>
                      <w:highlight w:val="none"/>
                    </w:rPr>
                    <w:t>160</w:t>
                  </w:r>
                </w:p>
              </w:tc>
            </w:tr>
            <w:tr w14:paraId="4B48F169">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90" w:type="dxa"/>
                  <w:tcBorders>
                    <w:tl2br w:val="nil"/>
                    <w:tr2bl w:val="nil"/>
                  </w:tcBorders>
                  <w:vAlign w:val="center"/>
                </w:tcPr>
                <w:p w14:paraId="093D33FC">
                  <w:pPr>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达标情况</w:t>
                  </w:r>
                </w:p>
              </w:tc>
              <w:tc>
                <w:tcPr>
                  <w:tcW w:w="921" w:type="dxa"/>
                  <w:tcBorders>
                    <w:tl2br w:val="nil"/>
                    <w:tr2bl w:val="nil"/>
                  </w:tcBorders>
                  <w:vAlign w:val="center"/>
                </w:tcPr>
                <w:p w14:paraId="0BFFF389">
                  <w:pPr>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达标</w:t>
                  </w:r>
                </w:p>
              </w:tc>
              <w:tc>
                <w:tcPr>
                  <w:tcW w:w="1048" w:type="dxa"/>
                  <w:tcBorders>
                    <w:tl2br w:val="nil"/>
                    <w:tr2bl w:val="nil"/>
                  </w:tcBorders>
                  <w:vAlign w:val="center"/>
                </w:tcPr>
                <w:p w14:paraId="752E8FF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974" w:type="dxa"/>
                  <w:tcBorders>
                    <w:tl2br w:val="nil"/>
                    <w:tr2bl w:val="nil"/>
                  </w:tcBorders>
                  <w:vAlign w:val="center"/>
                </w:tcPr>
                <w:p w14:paraId="165584E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1002" w:type="dxa"/>
                  <w:tcBorders>
                    <w:tl2br w:val="nil"/>
                    <w:tr2bl w:val="nil"/>
                  </w:tcBorders>
                  <w:vAlign w:val="center"/>
                </w:tcPr>
                <w:p w14:paraId="69D8056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1592" w:type="dxa"/>
                  <w:tcBorders>
                    <w:tl2br w:val="nil"/>
                    <w:tr2bl w:val="nil"/>
                  </w:tcBorders>
                  <w:vAlign w:val="center"/>
                </w:tcPr>
                <w:p w14:paraId="1F5433C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1245" w:type="dxa"/>
                  <w:tcBorders>
                    <w:tl2br w:val="nil"/>
                    <w:tr2bl w:val="nil"/>
                  </w:tcBorders>
                  <w:vAlign w:val="center"/>
                </w:tcPr>
                <w:p w14:paraId="7C545B8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不达标</w:t>
                  </w:r>
                </w:p>
              </w:tc>
            </w:tr>
          </w:tbl>
          <w:p w14:paraId="218031B0">
            <w:pPr>
              <w:pStyle w:val="20"/>
              <w:numPr>
                <w:ilvl w:val="0"/>
                <w:numId w:val="0"/>
              </w:numPr>
              <w:adjustRightInd w:val="0"/>
              <w:snapToGrid w:val="0"/>
              <w:spacing w:before="0" w:beforeAutospacing="0" w:after="0" w:afterAutospacing="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val="en-US" w:eastAsia="zh-CN"/>
              </w:rPr>
              <w:t>以上分析</w:t>
            </w:r>
            <w:r>
              <w:rPr>
                <w:rFonts w:hint="default" w:ascii="Times New Roman" w:hAnsi="Times New Roman" w:eastAsia="宋体" w:cs="Times New Roman"/>
                <w:color w:val="auto"/>
                <w:sz w:val="24"/>
                <w:highlight w:val="none"/>
              </w:rPr>
              <w:t>可知，2024年</w:t>
            </w:r>
            <w:r>
              <w:rPr>
                <w:rFonts w:hint="eastAsia" w:ascii="Times New Roman" w:hAnsi="Times New Roman" w:cs="Times New Roman"/>
                <w:color w:val="auto"/>
                <w:sz w:val="24"/>
                <w:highlight w:val="none"/>
                <w:lang w:val="en-US" w:eastAsia="zh-CN"/>
              </w:rPr>
              <w:t>通州</w:t>
            </w:r>
            <w:r>
              <w:rPr>
                <w:rFonts w:hint="default" w:ascii="Times New Roman" w:hAnsi="Times New Roman" w:eastAsia="宋体" w:cs="Times New Roman"/>
                <w:color w:val="auto"/>
                <w:sz w:val="24"/>
                <w:highlight w:val="none"/>
              </w:rPr>
              <w:t>区各污染物浓度均达到《环境空气质量标准》(GB3095-2012)限值要求，北京市</w:t>
            </w:r>
            <w:r>
              <w:rPr>
                <w:rFonts w:hint="default" w:ascii="Times New Roman" w:hAnsi="Times New Roman" w:eastAsia="宋体" w:cs="Times New Roman"/>
                <w:color w:val="auto"/>
                <w:sz w:val="24"/>
                <w:highlight w:val="none"/>
                <w:lang w:val="en-US" w:eastAsia="zh-CN"/>
              </w:rPr>
              <w:t>O</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rPr>
              <w:t>日最大8小时平均浓度未能达到《环境空气质量标准》(GB3095-2012)限值要求，其他污染物现状浓度达到上述标准要求，判定项目</w:t>
            </w:r>
            <w:r>
              <w:rPr>
                <w:rFonts w:hint="default" w:ascii="Times New Roman" w:hAnsi="Times New Roman" w:eastAsia="宋体" w:cs="Times New Roman"/>
                <w:color w:val="auto"/>
                <w:sz w:val="24"/>
                <w:highlight w:val="none"/>
                <w:lang w:val="en-US" w:eastAsia="zh-CN"/>
              </w:rPr>
              <w:t>所在地</w:t>
            </w:r>
            <w:r>
              <w:rPr>
                <w:rFonts w:hint="default" w:ascii="Times New Roman" w:hAnsi="Times New Roman" w:eastAsia="宋体" w:cs="Times New Roman"/>
                <w:color w:val="auto"/>
                <w:sz w:val="24"/>
                <w:highlight w:val="none"/>
              </w:rPr>
              <w:t>为环境空气质量不达标区。</w:t>
            </w:r>
          </w:p>
          <w:p w14:paraId="77D1B795">
            <w:pPr>
              <w:pStyle w:val="20"/>
              <w:numPr>
                <w:ilvl w:val="0"/>
                <w:numId w:val="0"/>
              </w:numPr>
              <w:adjustRightInd w:val="0"/>
              <w:snapToGrid w:val="0"/>
              <w:spacing w:before="0" w:beforeAutospacing="0" w:after="0" w:afterAutospacing="0" w:line="360" w:lineRule="auto"/>
              <w:rPr>
                <w:rFonts w:hint="default" w:ascii="Times New Roman" w:hAnsi="Times New Roman" w:eastAsia="宋体" w:cs="Times New Roman"/>
                <w:b/>
                <w:bCs/>
                <w:color w:val="auto"/>
                <w:szCs w:val="24"/>
                <w:highlight w:val="none"/>
              </w:rPr>
            </w:pPr>
            <w:r>
              <w:rPr>
                <w:rFonts w:hint="eastAsia" w:ascii="Times New Roman" w:hAnsi="Times New Roman" w:cs="Times New Roman"/>
                <w:b/>
                <w:bCs/>
                <w:color w:val="auto"/>
                <w:szCs w:val="24"/>
                <w:highlight w:val="none"/>
                <w:lang w:val="en-US" w:eastAsia="zh-CN"/>
              </w:rPr>
              <w:t>二、</w:t>
            </w:r>
            <w:r>
              <w:rPr>
                <w:rFonts w:hint="default" w:ascii="Times New Roman" w:hAnsi="Times New Roman" w:eastAsia="宋体" w:cs="Times New Roman"/>
                <w:b/>
                <w:bCs/>
                <w:color w:val="auto"/>
                <w:szCs w:val="24"/>
                <w:highlight w:val="none"/>
              </w:rPr>
              <w:t>地表水环境</w:t>
            </w:r>
          </w:p>
          <w:p w14:paraId="1B1A5814">
            <w:pPr>
              <w:adjustRightIn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项目所在地附近地表水为</w:t>
            </w:r>
            <w:r>
              <w:rPr>
                <w:rFonts w:hint="eastAsia" w:cs="Times New Roman"/>
                <w:color w:val="auto"/>
                <w:sz w:val="24"/>
                <w:highlight w:val="none"/>
                <w:lang w:eastAsia="zh-CN"/>
              </w:rPr>
              <w:t>凤港减河</w:t>
            </w:r>
            <w:r>
              <w:rPr>
                <w:rFonts w:hint="default" w:ascii="Times New Roman" w:hAnsi="Times New Roman" w:eastAsia="宋体" w:cs="Times New Roman"/>
                <w:color w:val="auto"/>
                <w:sz w:val="24"/>
                <w:highlight w:val="none"/>
              </w:rPr>
              <w:t>，位于项目</w:t>
            </w:r>
            <w:r>
              <w:rPr>
                <w:rFonts w:hint="eastAsia" w:cs="Times New Roman"/>
                <w:color w:val="auto"/>
                <w:sz w:val="24"/>
                <w:szCs w:val="32"/>
                <w:highlight w:val="none"/>
                <w:lang w:val="en-US" w:eastAsia="zh-CN"/>
              </w:rPr>
              <w:t>南</w:t>
            </w:r>
            <w:r>
              <w:rPr>
                <w:rFonts w:hint="default" w:ascii="Times New Roman" w:hAnsi="Times New Roman" w:eastAsia="宋体" w:cs="Times New Roman"/>
                <w:color w:val="auto"/>
                <w:sz w:val="24"/>
                <w:szCs w:val="32"/>
                <w:highlight w:val="none"/>
              </w:rPr>
              <w:t>侧</w:t>
            </w:r>
            <w:r>
              <w:rPr>
                <w:rFonts w:hint="eastAsia" w:cs="Times New Roman"/>
                <w:color w:val="auto"/>
                <w:sz w:val="24"/>
                <w:highlight w:val="none"/>
                <w:lang w:val="en-US" w:eastAsia="zh-CN"/>
              </w:rPr>
              <w:t>1.8</w:t>
            </w:r>
            <w:r>
              <w:rPr>
                <w:rFonts w:hint="default" w:ascii="Times New Roman" w:hAnsi="Times New Roman" w:eastAsia="宋体" w:cs="Times New Roman"/>
                <w:color w:val="auto"/>
                <w:sz w:val="24"/>
                <w:highlight w:val="none"/>
              </w:rPr>
              <w:t>km。根据北京市五大水系各河流、水库水体功能划分与水质分类，</w:t>
            </w:r>
            <w:r>
              <w:rPr>
                <w:rFonts w:hint="eastAsia" w:cs="Times New Roman"/>
                <w:color w:val="auto"/>
                <w:sz w:val="24"/>
                <w:highlight w:val="none"/>
                <w:lang w:eastAsia="zh-CN"/>
              </w:rPr>
              <w:t>凤港减河</w:t>
            </w:r>
            <w:r>
              <w:rPr>
                <w:rFonts w:hint="default" w:ascii="Times New Roman" w:hAnsi="Times New Roman" w:eastAsia="宋体" w:cs="Times New Roman"/>
                <w:color w:val="auto"/>
                <w:sz w:val="24"/>
                <w:highlight w:val="none"/>
              </w:rPr>
              <w:t>为Ⅴ类功能水体（农业用水区及一般景观要求水域），执行《地表水环境质量标准》（GB3838-2002）中的Ⅴ类标准。</w:t>
            </w:r>
          </w:p>
          <w:p w14:paraId="09404D4F">
            <w:pPr>
              <w:adjustRightInd w:val="0"/>
              <w:spacing w:line="360" w:lineRule="auto"/>
              <w:ind w:firstLine="480"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sz w:val="24"/>
                <w:highlight w:val="none"/>
              </w:rPr>
              <w:t>根据北京市生态环境局2024年</w:t>
            </w:r>
            <w:r>
              <w:rPr>
                <w:rFonts w:hint="eastAsia" w:cs="Times New Roman"/>
                <w:color w:val="auto"/>
                <w:sz w:val="24"/>
                <w:highlight w:val="none"/>
                <w:lang w:val="en-US" w:eastAsia="zh-CN"/>
              </w:rPr>
              <w:t>12</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202</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11</w:t>
            </w:r>
            <w:r>
              <w:rPr>
                <w:rFonts w:hint="default" w:ascii="Times New Roman" w:hAnsi="Times New Roman" w:eastAsia="宋体" w:cs="Times New Roman"/>
                <w:color w:val="auto"/>
                <w:sz w:val="24"/>
                <w:highlight w:val="none"/>
              </w:rPr>
              <w:t>月地表水环境质量月报资料，</w:t>
            </w:r>
            <w:r>
              <w:rPr>
                <w:rFonts w:hint="eastAsia" w:cs="Times New Roman"/>
                <w:color w:val="auto"/>
                <w:sz w:val="24"/>
                <w:highlight w:val="none"/>
                <w:lang w:eastAsia="zh-CN"/>
              </w:rPr>
              <w:t>凤港减河</w:t>
            </w:r>
            <w:r>
              <w:rPr>
                <w:rFonts w:hint="default" w:ascii="Times New Roman" w:hAnsi="Times New Roman" w:eastAsia="宋体" w:cs="Times New Roman"/>
                <w:color w:val="auto"/>
                <w:sz w:val="24"/>
                <w:highlight w:val="none"/>
              </w:rPr>
              <w:t>水质均能达到《地表水环境质量标准》（GB3838-2002）中的Ⅴ类水质标准要求。具体统计结果见下表。</w:t>
            </w:r>
          </w:p>
          <w:p w14:paraId="660CB8B2">
            <w:pPr>
              <w:numPr>
                <w:ilvl w:val="0"/>
                <w:numId w:val="19"/>
              </w:numPr>
              <w:jc w:val="center"/>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凤港减河</w:t>
            </w:r>
            <w:r>
              <w:rPr>
                <w:rFonts w:hint="default" w:ascii="Times New Roman" w:hAnsi="Times New Roman" w:eastAsia="宋体" w:cs="Times New Roman"/>
                <w:b/>
                <w:bCs/>
                <w:color w:val="auto"/>
                <w:sz w:val="24"/>
                <w:highlight w:val="none"/>
              </w:rPr>
              <w:t>水质状况一览表</w:t>
            </w:r>
          </w:p>
          <w:tbl>
            <w:tblPr>
              <w:tblStyle w:val="23"/>
              <w:tblW w:w="4989"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59"/>
              <w:gridCol w:w="659"/>
              <w:gridCol w:w="659"/>
              <w:gridCol w:w="659"/>
              <w:gridCol w:w="659"/>
              <w:gridCol w:w="659"/>
              <w:gridCol w:w="660"/>
              <w:gridCol w:w="660"/>
              <w:gridCol w:w="660"/>
              <w:gridCol w:w="660"/>
              <w:gridCol w:w="660"/>
              <w:gridCol w:w="660"/>
            </w:tblGrid>
            <w:tr w14:paraId="2245AE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1" w:hRule="atLeast"/>
              </w:trPr>
              <w:tc>
                <w:tcPr>
                  <w:tcW w:w="659" w:type="dxa"/>
                  <w:tcBorders>
                    <w:tl2br w:val="nil"/>
                    <w:tr2bl w:val="nil"/>
                  </w:tcBorders>
                  <w:vAlign w:val="center"/>
                </w:tcPr>
                <w:p w14:paraId="16F707A6">
                  <w:pPr>
                    <w:adjustRightInd w:val="0"/>
                    <w:snapToGrid w:val="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rPr>
                    <w:t>2024年</w:t>
                  </w:r>
                </w:p>
              </w:tc>
              <w:tc>
                <w:tcPr>
                  <w:tcW w:w="7255" w:type="dxa"/>
                  <w:gridSpan w:val="11"/>
                  <w:tcBorders>
                    <w:tl2br w:val="nil"/>
                    <w:tr2bl w:val="nil"/>
                  </w:tcBorders>
                  <w:vAlign w:val="center"/>
                </w:tcPr>
                <w:p w14:paraId="5E15AD32">
                  <w:pPr>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b/>
                      <w:color w:val="auto"/>
                      <w:szCs w:val="21"/>
                      <w:highlight w:val="none"/>
                      <w:lang w:val="en-US" w:eastAsia="zh-CN"/>
                    </w:rPr>
                    <w:t>2025年</w:t>
                  </w:r>
                </w:p>
              </w:tc>
            </w:tr>
            <w:tr w14:paraId="7AACBB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9" w:type="dxa"/>
                  <w:tcBorders>
                    <w:tl2br w:val="nil"/>
                    <w:tr2bl w:val="nil"/>
                  </w:tcBorders>
                  <w:shd w:val="clear" w:color="auto" w:fill="auto"/>
                  <w:vAlign w:val="center"/>
                </w:tcPr>
                <w:p w14:paraId="4B0EECDE">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12</w:t>
                  </w:r>
                  <w:r>
                    <w:rPr>
                      <w:rFonts w:hint="default" w:ascii="Times New Roman" w:hAnsi="Times New Roman" w:eastAsia="宋体" w:cs="Times New Roman"/>
                      <w:b/>
                      <w:bCs/>
                      <w:color w:val="auto"/>
                      <w:szCs w:val="21"/>
                      <w:highlight w:val="none"/>
                    </w:rPr>
                    <w:t>月</w:t>
                  </w:r>
                </w:p>
              </w:tc>
              <w:tc>
                <w:tcPr>
                  <w:tcW w:w="659" w:type="dxa"/>
                  <w:tcBorders>
                    <w:tl2br w:val="nil"/>
                    <w:tr2bl w:val="nil"/>
                  </w:tcBorders>
                  <w:shd w:val="clear" w:color="auto" w:fill="auto"/>
                  <w:vAlign w:val="center"/>
                </w:tcPr>
                <w:p w14:paraId="5E994670">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rPr>
                    <w:t>月</w:t>
                  </w:r>
                </w:p>
              </w:tc>
              <w:tc>
                <w:tcPr>
                  <w:tcW w:w="659" w:type="dxa"/>
                  <w:tcBorders>
                    <w:tl2br w:val="nil"/>
                    <w:tr2bl w:val="nil"/>
                  </w:tcBorders>
                  <w:shd w:val="clear" w:color="auto" w:fill="auto"/>
                  <w:vAlign w:val="center"/>
                </w:tcPr>
                <w:p w14:paraId="60D7FC22">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月</w:t>
                  </w:r>
                </w:p>
              </w:tc>
              <w:tc>
                <w:tcPr>
                  <w:tcW w:w="659" w:type="dxa"/>
                  <w:tcBorders>
                    <w:tl2br w:val="nil"/>
                    <w:tr2bl w:val="nil"/>
                  </w:tcBorders>
                  <w:shd w:val="clear" w:color="auto" w:fill="auto"/>
                  <w:vAlign w:val="center"/>
                </w:tcPr>
                <w:p w14:paraId="73A53493">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月</w:t>
                  </w:r>
                </w:p>
              </w:tc>
              <w:tc>
                <w:tcPr>
                  <w:tcW w:w="659" w:type="dxa"/>
                  <w:tcBorders>
                    <w:tl2br w:val="nil"/>
                    <w:tr2bl w:val="nil"/>
                  </w:tcBorders>
                  <w:shd w:val="clear" w:color="auto" w:fill="auto"/>
                  <w:vAlign w:val="center"/>
                </w:tcPr>
                <w:p w14:paraId="799AA921">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4</w:t>
                  </w:r>
                  <w:r>
                    <w:rPr>
                      <w:rFonts w:hint="default" w:ascii="Times New Roman" w:hAnsi="Times New Roman" w:eastAsia="宋体" w:cs="Times New Roman"/>
                      <w:b/>
                      <w:bCs/>
                      <w:color w:val="auto"/>
                      <w:szCs w:val="21"/>
                      <w:highlight w:val="none"/>
                    </w:rPr>
                    <w:t>月</w:t>
                  </w:r>
                </w:p>
              </w:tc>
              <w:tc>
                <w:tcPr>
                  <w:tcW w:w="659" w:type="dxa"/>
                  <w:tcBorders>
                    <w:tl2br w:val="nil"/>
                    <w:tr2bl w:val="nil"/>
                  </w:tcBorders>
                  <w:shd w:val="clear" w:color="auto" w:fill="auto"/>
                  <w:vAlign w:val="center"/>
                </w:tcPr>
                <w:p w14:paraId="59845016">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5</w:t>
                  </w:r>
                  <w:r>
                    <w:rPr>
                      <w:rFonts w:hint="default" w:ascii="Times New Roman" w:hAnsi="Times New Roman" w:eastAsia="宋体" w:cs="Times New Roman"/>
                      <w:b/>
                      <w:bCs/>
                      <w:color w:val="auto"/>
                      <w:szCs w:val="21"/>
                      <w:highlight w:val="none"/>
                    </w:rPr>
                    <w:t>月</w:t>
                  </w:r>
                </w:p>
              </w:tc>
              <w:tc>
                <w:tcPr>
                  <w:tcW w:w="660" w:type="dxa"/>
                  <w:tcBorders>
                    <w:tl2br w:val="nil"/>
                    <w:tr2bl w:val="nil"/>
                  </w:tcBorders>
                  <w:shd w:val="clear" w:color="auto" w:fill="auto"/>
                  <w:vAlign w:val="center"/>
                </w:tcPr>
                <w:p w14:paraId="6FA5A9EA">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6</w:t>
                  </w:r>
                  <w:r>
                    <w:rPr>
                      <w:rFonts w:hint="default" w:ascii="Times New Roman" w:hAnsi="Times New Roman" w:eastAsia="宋体" w:cs="Times New Roman"/>
                      <w:b/>
                      <w:bCs/>
                      <w:color w:val="auto"/>
                      <w:szCs w:val="21"/>
                      <w:highlight w:val="none"/>
                    </w:rPr>
                    <w:t>月</w:t>
                  </w:r>
                </w:p>
              </w:tc>
              <w:tc>
                <w:tcPr>
                  <w:tcW w:w="660" w:type="dxa"/>
                  <w:tcBorders>
                    <w:tl2br w:val="nil"/>
                    <w:tr2bl w:val="nil"/>
                  </w:tcBorders>
                  <w:shd w:val="clear" w:color="auto" w:fill="auto"/>
                  <w:vAlign w:val="center"/>
                </w:tcPr>
                <w:p w14:paraId="01AF6AA3">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7</w:t>
                  </w:r>
                  <w:r>
                    <w:rPr>
                      <w:rFonts w:hint="default" w:ascii="Times New Roman" w:hAnsi="Times New Roman" w:eastAsia="宋体" w:cs="Times New Roman"/>
                      <w:b/>
                      <w:bCs/>
                      <w:color w:val="auto"/>
                      <w:szCs w:val="21"/>
                      <w:highlight w:val="none"/>
                    </w:rPr>
                    <w:t>月</w:t>
                  </w:r>
                </w:p>
              </w:tc>
              <w:tc>
                <w:tcPr>
                  <w:tcW w:w="660" w:type="dxa"/>
                  <w:tcBorders>
                    <w:tl2br w:val="nil"/>
                    <w:tr2bl w:val="nil"/>
                  </w:tcBorders>
                  <w:shd w:val="clear" w:color="auto" w:fill="auto"/>
                  <w:vAlign w:val="center"/>
                </w:tcPr>
                <w:p w14:paraId="3F454C7E">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cs="Times New Roman"/>
                      <w:b/>
                      <w:bCs/>
                      <w:color w:val="auto"/>
                      <w:szCs w:val="21"/>
                      <w:highlight w:val="none"/>
                      <w:lang w:val="en-US" w:eastAsia="zh-CN"/>
                    </w:rPr>
                    <w:t>8</w:t>
                  </w:r>
                  <w:r>
                    <w:rPr>
                      <w:rFonts w:hint="default" w:ascii="Times New Roman" w:hAnsi="Times New Roman" w:eastAsia="宋体" w:cs="Times New Roman"/>
                      <w:b/>
                      <w:bCs/>
                      <w:color w:val="auto"/>
                      <w:szCs w:val="21"/>
                      <w:highlight w:val="none"/>
                    </w:rPr>
                    <w:t>月</w:t>
                  </w:r>
                </w:p>
              </w:tc>
              <w:tc>
                <w:tcPr>
                  <w:tcW w:w="660" w:type="dxa"/>
                  <w:tcBorders>
                    <w:tl2br w:val="nil"/>
                    <w:tr2bl w:val="nil"/>
                  </w:tcBorders>
                  <w:shd w:val="clear" w:color="auto" w:fill="auto"/>
                  <w:vAlign w:val="center"/>
                </w:tcPr>
                <w:p w14:paraId="26573D2E">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9月</w:t>
                  </w:r>
                </w:p>
              </w:tc>
              <w:tc>
                <w:tcPr>
                  <w:tcW w:w="660" w:type="dxa"/>
                  <w:tcBorders>
                    <w:tl2br w:val="nil"/>
                    <w:tr2bl w:val="nil"/>
                  </w:tcBorders>
                  <w:shd w:val="clear" w:color="auto" w:fill="auto"/>
                  <w:vAlign w:val="center"/>
                </w:tcPr>
                <w:p w14:paraId="64C37CAE">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10月</w:t>
                  </w:r>
                </w:p>
              </w:tc>
              <w:tc>
                <w:tcPr>
                  <w:tcW w:w="660" w:type="dxa"/>
                  <w:tcBorders>
                    <w:tl2br w:val="nil"/>
                    <w:tr2bl w:val="nil"/>
                  </w:tcBorders>
                  <w:shd w:val="clear" w:color="auto" w:fill="auto"/>
                  <w:vAlign w:val="center"/>
                </w:tcPr>
                <w:p w14:paraId="39CD23DE">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1</w:t>
                  </w:r>
                  <w:r>
                    <w:rPr>
                      <w:rFonts w:hint="eastAsia" w:cs="Times New Roman"/>
                      <w:b/>
                      <w:bCs/>
                      <w:color w:val="auto"/>
                      <w:kern w:val="2"/>
                      <w:sz w:val="21"/>
                      <w:szCs w:val="21"/>
                      <w:highlight w:val="none"/>
                      <w:lang w:val="en-US" w:eastAsia="zh-CN" w:bidi="ar-SA"/>
                    </w:rPr>
                    <w:t>1</w:t>
                  </w:r>
                  <w:r>
                    <w:rPr>
                      <w:rFonts w:hint="eastAsia" w:ascii="Times New Roman" w:hAnsi="Times New Roman" w:eastAsia="宋体" w:cs="Times New Roman"/>
                      <w:b/>
                      <w:bCs/>
                      <w:color w:val="auto"/>
                      <w:kern w:val="2"/>
                      <w:sz w:val="21"/>
                      <w:szCs w:val="21"/>
                      <w:highlight w:val="none"/>
                      <w:lang w:val="en-US" w:eastAsia="zh-CN" w:bidi="ar-SA"/>
                    </w:rPr>
                    <w:t>月</w:t>
                  </w:r>
                </w:p>
              </w:tc>
            </w:tr>
            <w:tr w14:paraId="284E2F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9" w:type="dxa"/>
                  <w:tcBorders>
                    <w:tl2br w:val="nil"/>
                    <w:tr2bl w:val="nil"/>
                  </w:tcBorders>
                  <w:shd w:val="clear" w:color="auto" w:fill="auto"/>
                  <w:vAlign w:val="center"/>
                </w:tcPr>
                <w:p w14:paraId="7D42DBBD">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59" w:type="dxa"/>
                  <w:tcBorders>
                    <w:tl2br w:val="nil"/>
                    <w:tr2bl w:val="nil"/>
                  </w:tcBorders>
                  <w:shd w:val="clear" w:color="auto" w:fill="auto"/>
                  <w:vAlign w:val="center"/>
                </w:tcPr>
                <w:p w14:paraId="4796C6E7">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II</w:t>
                  </w:r>
                </w:p>
              </w:tc>
              <w:tc>
                <w:tcPr>
                  <w:tcW w:w="659" w:type="dxa"/>
                  <w:tcBorders>
                    <w:tl2br w:val="nil"/>
                    <w:tr2bl w:val="nil"/>
                  </w:tcBorders>
                  <w:shd w:val="clear" w:color="auto" w:fill="auto"/>
                  <w:vAlign w:val="center"/>
                </w:tcPr>
                <w:p w14:paraId="2B326977">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59" w:type="dxa"/>
                  <w:tcBorders>
                    <w:tl2br w:val="nil"/>
                    <w:tr2bl w:val="nil"/>
                  </w:tcBorders>
                  <w:shd w:val="clear" w:color="auto" w:fill="auto"/>
                  <w:vAlign w:val="center"/>
                </w:tcPr>
                <w:p w14:paraId="0912DEF7">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59" w:type="dxa"/>
                  <w:tcBorders>
                    <w:tl2br w:val="nil"/>
                    <w:tr2bl w:val="nil"/>
                  </w:tcBorders>
                  <w:shd w:val="clear" w:color="auto" w:fill="auto"/>
                  <w:vAlign w:val="center"/>
                </w:tcPr>
                <w:p w14:paraId="14BF8D69">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59" w:type="dxa"/>
                  <w:tcBorders>
                    <w:tl2br w:val="nil"/>
                    <w:tr2bl w:val="nil"/>
                  </w:tcBorders>
                  <w:shd w:val="clear" w:color="auto" w:fill="auto"/>
                  <w:vAlign w:val="center"/>
                </w:tcPr>
                <w:p w14:paraId="3B93494B">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60" w:type="dxa"/>
                  <w:tcBorders>
                    <w:tl2br w:val="nil"/>
                    <w:tr2bl w:val="nil"/>
                  </w:tcBorders>
                  <w:shd w:val="clear" w:color="auto" w:fill="auto"/>
                  <w:vAlign w:val="center"/>
                </w:tcPr>
                <w:p w14:paraId="03796B29">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60" w:type="dxa"/>
                  <w:tcBorders>
                    <w:tl2br w:val="nil"/>
                    <w:tr2bl w:val="nil"/>
                  </w:tcBorders>
                  <w:shd w:val="clear" w:color="auto" w:fill="auto"/>
                  <w:vAlign w:val="center"/>
                </w:tcPr>
                <w:p w14:paraId="7BB5BFE5">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II</w:t>
                  </w:r>
                </w:p>
              </w:tc>
              <w:tc>
                <w:tcPr>
                  <w:tcW w:w="660" w:type="dxa"/>
                  <w:tcBorders>
                    <w:tl2br w:val="nil"/>
                    <w:tr2bl w:val="nil"/>
                  </w:tcBorders>
                  <w:shd w:val="clear" w:color="auto" w:fill="auto"/>
                  <w:vAlign w:val="center"/>
                </w:tcPr>
                <w:p w14:paraId="70A46C46">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60" w:type="dxa"/>
                  <w:tcBorders>
                    <w:tl2br w:val="nil"/>
                    <w:tr2bl w:val="nil"/>
                  </w:tcBorders>
                  <w:shd w:val="clear" w:color="auto" w:fill="auto"/>
                  <w:vAlign w:val="center"/>
                </w:tcPr>
                <w:p w14:paraId="5E6F41E5">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60" w:type="dxa"/>
                  <w:tcBorders>
                    <w:tl2br w:val="nil"/>
                    <w:tr2bl w:val="nil"/>
                  </w:tcBorders>
                  <w:shd w:val="clear" w:color="auto" w:fill="auto"/>
                  <w:vAlign w:val="center"/>
                </w:tcPr>
                <w:p w14:paraId="2477EB55">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II</w:t>
                  </w:r>
                </w:p>
              </w:tc>
              <w:tc>
                <w:tcPr>
                  <w:tcW w:w="660" w:type="dxa"/>
                  <w:tcBorders>
                    <w:tl2br w:val="nil"/>
                    <w:tr2bl w:val="nil"/>
                  </w:tcBorders>
                  <w:shd w:val="clear" w:color="auto" w:fill="auto"/>
                  <w:vAlign w:val="center"/>
                </w:tcPr>
                <w:p w14:paraId="75E4D229">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II</w:t>
                  </w:r>
                </w:p>
              </w:tc>
            </w:tr>
          </w:tbl>
          <w:p w14:paraId="319FC05F">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根据上述分析，2024年</w:t>
            </w:r>
            <w:r>
              <w:rPr>
                <w:rFonts w:hint="eastAsia" w:cs="Times New Roman"/>
                <w:color w:val="auto"/>
                <w:sz w:val="24"/>
                <w:highlight w:val="none"/>
                <w:lang w:val="en-US" w:eastAsia="zh-CN"/>
              </w:rPr>
              <w:t>12</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202</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11</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eastAsia="zh-CN"/>
              </w:rPr>
              <w:t>凤港减河</w:t>
            </w:r>
            <w:r>
              <w:rPr>
                <w:rFonts w:hint="default" w:ascii="Times New Roman" w:hAnsi="Times New Roman" w:eastAsia="宋体" w:cs="Times New Roman"/>
                <w:color w:val="auto"/>
                <w:sz w:val="24"/>
                <w:highlight w:val="none"/>
              </w:rPr>
              <w:t>现状水质均能达到《地表水环境质量标准》（GB3838-2002）中的Ⅴ类水质标准要求。</w:t>
            </w:r>
          </w:p>
          <w:p w14:paraId="7DAD3A8C">
            <w:pPr>
              <w:pStyle w:val="20"/>
              <w:numPr>
                <w:ilvl w:val="0"/>
                <w:numId w:val="0"/>
              </w:numPr>
              <w:adjustRightInd w:val="0"/>
              <w:snapToGrid w:val="0"/>
              <w:spacing w:before="0" w:beforeAutospacing="0" w:after="0" w:afterAutospacing="0" w:line="360" w:lineRule="auto"/>
              <w:rPr>
                <w:rFonts w:hint="default" w:ascii="Times New Roman" w:hAnsi="Times New Roman" w:eastAsia="宋体" w:cs="Times New Roman"/>
                <w:b/>
                <w:color w:val="auto"/>
                <w:szCs w:val="21"/>
                <w:highlight w:val="none"/>
              </w:rPr>
            </w:pPr>
            <w:r>
              <w:rPr>
                <w:rFonts w:hint="eastAsia" w:ascii="Times New Roman" w:hAnsi="Times New Roman" w:cs="Times New Roman"/>
                <w:b/>
                <w:color w:val="auto"/>
                <w:szCs w:val="21"/>
                <w:highlight w:val="none"/>
                <w:lang w:val="en-US" w:eastAsia="zh-CN"/>
              </w:rPr>
              <w:t>三、</w:t>
            </w:r>
            <w:r>
              <w:rPr>
                <w:rFonts w:hint="default" w:ascii="Times New Roman" w:hAnsi="Times New Roman" w:eastAsia="宋体" w:cs="Times New Roman"/>
                <w:b/>
                <w:color w:val="auto"/>
                <w:szCs w:val="21"/>
                <w:highlight w:val="none"/>
              </w:rPr>
              <w:t>声环境</w:t>
            </w:r>
          </w:p>
          <w:p w14:paraId="24547B9D">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w:t>
            </w:r>
            <w:r>
              <w:rPr>
                <w:rFonts w:hint="default" w:ascii="Times New Roman" w:hAnsi="Times New Roman" w:eastAsia="宋体" w:cs="Times New Roman"/>
                <w:color w:val="auto"/>
                <w:sz w:val="24"/>
                <w:highlight w:val="none"/>
                <w:lang w:val="en-US" w:eastAsia="zh-CN"/>
              </w:rPr>
              <w:t>项目位于</w:t>
            </w:r>
            <w:r>
              <w:rPr>
                <w:rFonts w:hint="eastAsia" w:cs="Times New Roman"/>
                <w:color w:val="auto"/>
                <w:sz w:val="24"/>
                <w:highlight w:val="none"/>
                <w:lang w:val="en-US" w:eastAsia="zh-CN"/>
              </w:rPr>
              <w:t>北京经济技术开发区(通州)景盛南二街10号院10号楼3层301</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根据《北京市通州区人民政府关于印发通州区声环境功能区划实施细则的通知》（通政发〔</w:t>
            </w:r>
            <w:r>
              <w:rPr>
                <w:rFonts w:hint="default" w:ascii="Times New Roman" w:hAnsi="Times New Roman" w:eastAsia="宋体" w:cs="Times New Roman"/>
                <w:color w:val="auto"/>
                <w:sz w:val="24"/>
                <w:highlight w:val="none"/>
                <w:lang w:val="en-US" w:eastAsia="zh-CN"/>
              </w:rPr>
              <w:t>2023</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号）中规定，本项目所在区域声环境功能区划为</w:t>
            </w:r>
            <w:r>
              <w:rPr>
                <w:rFonts w:hint="default"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类区，声环境质量执行《声环境质量标准》（</w:t>
            </w:r>
            <w:r>
              <w:rPr>
                <w:rFonts w:hint="default" w:ascii="Times New Roman" w:hAnsi="Times New Roman" w:eastAsia="宋体" w:cs="Times New Roman"/>
                <w:color w:val="auto"/>
                <w:sz w:val="24"/>
                <w:highlight w:val="none"/>
                <w:lang w:val="en-US" w:eastAsia="zh-CN"/>
              </w:rPr>
              <w:t>GB3096-2008</w:t>
            </w:r>
            <w:r>
              <w:rPr>
                <w:rFonts w:hint="eastAsia" w:ascii="Times New Roman" w:hAnsi="Times New Roman" w:eastAsia="宋体" w:cs="Times New Roman"/>
                <w:color w:val="auto"/>
                <w:sz w:val="24"/>
                <w:highlight w:val="none"/>
                <w:lang w:val="en-US" w:eastAsia="zh-CN"/>
              </w:rPr>
              <w:t>）中的</w:t>
            </w:r>
            <w:r>
              <w:rPr>
                <w:rFonts w:hint="default"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类标准。</w:t>
            </w:r>
          </w:p>
          <w:p w14:paraId="572ABFD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根据《建设项目环境影响报告表编制技术指南（污染影响类）（试行）》，本项目厂界外50m范围内无声环境保护目标，无需开展</w:t>
            </w:r>
            <w:r>
              <w:rPr>
                <w:rFonts w:hint="default" w:ascii="Times New Roman" w:hAnsi="Times New Roman" w:eastAsia="宋体" w:cs="Times New Roman"/>
                <w:color w:val="auto"/>
                <w:sz w:val="24"/>
                <w:highlight w:val="none"/>
              </w:rPr>
              <w:t>声环境质量现状监测。</w:t>
            </w:r>
          </w:p>
          <w:p w14:paraId="410E0BA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项目所在通州区声环境功能区位置关系见</w:t>
            </w:r>
            <w:r>
              <w:rPr>
                <w:rFonts w:hint="eastAsia" w:cs="Times New Roman"/>
                <w:color w:val="auto"/>
                <w:sz w:val="24"/>
                <w:highlight w:val="none"/>
                <w:lang w:val="en-US" w:eastAsia="zh-CN"/>
              </w:rPr>
              <w:t>下</w:t>
            </w:r>
            <w:r>
              <w:rPr>
                <w:rFonts w:hint="default" w:ascii="Times New Roman" w:hAnsi="Times New Roman" w:eastAsia="宋体" w:cs="Times New Roman"/>
                <w:color w:val="auto"/>
                <w:sz w:val="24"/>
                <w:highlight w:val="none"/>
              </w:rPr>
              <w:t>图。</w:t>
            </w:r>
          </w:p>
          <w:p w14:paraId="4E808B1A">
            <w:pPr>
              <w:spacing w:line="360" w:lineRule="auto"/>
              <w:ind w:firstLine="420" w:firstLineChars="200"/>
              <w:rPr>
                <w:rFonts w:hint="default" w:ascii="Times New Roman" w:hAnsi="Times New Roman" w:eastAsia="宋体" w:cs="Times New Roman"/>
                <w:color w:val="auto"/>
                <w:sz w:val="24"/>
                <w:highlight w:val="none"/>
              </w:rPr>
            </w:pPr>
            <w:r>
              <w:rPr>
                <w:sz w:val="21"/>
              </w:rPr>
              <mc:AlternateContent>
                <mc:Choice Requires="wps">
                  <w:drawing>
                    <wp:anchor distT="0" distB="0" distL="114300" distR="114300" simplePos="0" relativeHeight="251672576" behindDoc="0" locked="0" layoutInCell="1" allowOverlap="1">
                      <wp:simplePos x="0" y="0"/>
                      <wp:positionH relativeFrom="column">
                        <wp:posOffset>1464310</wp:posOffset>
                      </wp:positionH>
                      <wp:positionV relativeFrom="paragraph">
                        <wp:posOffset>3023235</wp:posOffset>
                      </wp:positionV>
                      <wp:extent cx="678815" cy="256540"/>
                      <wp:effectExtent l="836295" t="6350" r="8890" b="346710"/>
                      <wp:wrapNone/>
                      <wp:docPr id="30" name="矩形标注 30"/>
                      <wp:cNvGraphicFramePr/>
                      <a:graphic xmlns:a="http://schemas.openxmlformats.org/drawingml/2006/main">
                        <a:graphicData uri="http://schemas.microsoft.com/office/word/2010/wordprocessingShape">
                          <wps:wsp>
                            <wps:cNvSpPr/>
                            <wps:spPr>
                              <a:xfrm>
                                <a:off x="3104515" y="4100830"/>
                                <a:ext cx="678815" cy="256540"/>
                              </a:xfrm>
                              <a:prstGeom prst="wedgeRectCallout">
                                <a:avLst>
                                  <a:gd name="adj1" fmla="val -165809"/>
                                  <a:gd name="adj2" fmla="val 173267"/>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46936D35">
                                  <w:pPr>
                                    <w:jc w:val="center"/>
                                    <w:rPr>
                                      <w:rFonts w:hint="default" w:eastAsia="宋体"/>
                                      <w:lang w:val="en-US" w:eastAsia="zh-CN"/>
                                    </w:rPr>
                                  </w:pPr>
                                  <w:r>
                                    <w:rPr>
                                      <w:rFonts w:hint="eastAsia"/>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15.3pt;margin-top:238.05pt;height:20.2pt;width:53.45pt;z-index:251672576;v-text-anchor:middle;mso-width-relative:page;mso-height-relative:page;" fillcolor="#5B9BD5 [3204]" filled="t" stroked="t" coordsize="21600,21600" o:gfxdata="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qfzSc2gAAAAsBAAAPAAAAAAAAAAEAIAAAACIAAABkcnMvZG93bnJldi54bWxQSwECFAAU&#10;AAAACACHTuJAQdKHaNMCAACUBQAADgAAAAAAAAABACAAAAApAQAAZHJzL2Uyb0RvYy54bWxQSwUG&#10;AAAAAAYABgBZAQAAbgYAAAAA&#10;" adj="-25015,48226">
                      <v:fill on="t" focussize="0,0"/>
                      <v:stroke weight="1pt" color="#2E75B6 [2404]" miterlimit="8" joinstyle="miter"/>
                      <v:imagedata o:title=""/>
                      <o:lock v:ext="edit" aspectratio="f"/>
                      <v:textbox>
                        <w:txbxContent>
                          <w:p w14:paraId="46936D35">
                            <w:pPr>
                              <w:jc w:val="center"/>
                              <w:rPr>
                                <w:rFonts w:hint="default" w:eastAsia="宋体"/>
                                <w:lang w:val="en-US" w:eastAsia="zh-CN"/>
                              </w:rPr>
                            </w:pPr>
                            <w:r>
                              <w:rPr>
                                <w:rFonts w:hint="eastAsia"/>
                                <w:lang w:val="en-US" w:eastAsia="zh-CN"/>
                              </w:rPr>
                              <w:t>本项目</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597535</wp:posOffset>
                      </wp:positionH>
                      <wp:positionV relativeFrom="paragraph">
                        <wp:posOffset>3545840</wp:posOffset>
                      </wp:positionV>
                      <wp:extent cx="75565" cy="75565"/>
                      <wp:effectExtent l="6350" t="6350" r="9525" b="9525"/>
                      <wp:wrapNone/>
                      <wp:docPr id="31" name="椭圆 31"/>
                      <wp:cNvGraphicFramePr/>
                      <a:graphic xmlns:a="http://schemas.openxmlformats.org/drawingml/2006/main">
                        <a:graphicData uri="http://schemas.microsoft.com/office/word/2010/wordprocessingShape">
                          <wps:wsp>
                            <wps:cNvSpPr/>
                            <wps:spPr>
                              <a:xfrm>
                                <a:off x="2245360" y="4655185"/>
                                <a:ext cx="75565" cy="75565"/>
                              </a:xfrm>
                              <a:prstGeom prst="ellipse">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7.05pt;margin-top:279.2pt;height:5.95pt;width:5.95pt;z-index:251673600;v-text-anchor:middle;mso-width-relative:page;mso-height-relative:page;" fillcolor="#FF0000" filled="t" stroked="t" coordsize="21600,21600" o:gfxdata="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1lEec1wAAAAoB&#10;AAAPAAAAAAAAAAEAIAAAACIAAABkcnMvZG93bnJldi54bWxQSwECFAAUAAAACACHTuJAeImuR44C&#10;AAAkBQAADgAAAAAAAAABACAAAAAmAQAAZHJzL2Uyb0RvYy54bWxQSwUGAAAAAAYABgBZAQAAJgYA&#10;AAAA&#10;">
                      <v:fill on="t" focussize="0,0"/>
                      <v:stroke weight="1pt" color="#2E75B6 [2404]" miterlimit="8" joinstyle="miter"/>
                      <v:imagedata o:title=""/>
                      <o:lock v:ext="edit" aspectratio="f"/>
                    </v:shape>
                  </w:pict>
                </mc:Fallback>
              </mc:AlternateContent>
            </w:r>
            <w:r>
              <w:drawing>
                <wp:inline distT="0" distB="0" distL="114300" distR="114300">
                  <wp:extent cx="3931920" cy="5539740"/>
                  <wp:effectExtent l="0" t="0" r="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7"/>
                          <a:stretch>
                            <a:fillRect/>
                          </a:stretch>
                        </pic:blipFill>
                        <pic:spPr>
                          <a:xfrm>
                            <a:off x="0" y="0"/>
                            <a:ext cx="3931920" cy="5539740"/>
                          </a:xfrm>
                          <a:prstGeom prst="rect">
                            <a:avLst/>
                          </a:prstGeom>
                          <a:noFill/>
                          <a:ln>
                            <a:noFill/>
                          </a:ln>
                        </pic:spPr>
                      </pic:pic>
                    </a:graphicData>
                  </a:graphic>
                </wp:inline>
              </w:drawing>
            </w:r>
          </w:p>
          <w:p w14:paraId="06F0F744">
            <w:pPr>
              <w:pStyle w:val="20"/>
              <w:numPr>
                <w:ilvl w:val="0"/>
                <w:numId w:val="20"/>
              </w:numPr>
              <w:adjustRightInd w:val="0"/>
              <w:snapToGrid w:val="0"/>
              <w:spacing w:before="0" w:beforeAutospacing="0" w:after="0" w:afterAutospacing="0" w:line="360" w:lineRule="auto"/>
              <w:ind w:left="425" w:leftChars="0" w:hanging="425" w:firstLineChars="0"/>
              <w:jc w:val="center"/>
              <w:rPr>
                <w:rFonts w:hint="eastAsia" w:ascii="Times New Roman" w:hAnsi="Times New Roman" w:cs="Times New Roman"/>
                <w:b/>
                <w:bCs/>
                <w:color w:val="auto"/>
                <w:szCs w:val="24"/>
                <w:highlight w:val="none"/>
                <w:lang w:val="en-US" w:eastAsia="zh-CN"/>
              </w:rPr>
            </w:pPr>
            <w:r>
              <w:rPr>
                <w:rFonts w:hint="default" w:ascii="Times New Roman" w:hAnsi="Times New Roman" w:eastAsia="宋体" w:cs="Times New Roman"/>
                <w:b/>
                <w:bCs/>
                <w:color w:val="auto"/>
                <w:sz w:val="24"/>
                <w:highlight w:val="none"/>
              </w:rPr>
              <w:t>项目所在通州区声环境功能区位置关系图</w:t>
            </w:r>
          </w:p>
          <w:p w14:paraId="1E0DAF49">
            <w:pPr>
              <w:pStyle w:val="20"/>
              <w:numPr>
                <w:ilvl w:val="0"/>
                <w:numId w:val="0"/>
              </w:numPr>
              <w:adjustRightInd w:val="0"/>
              <w:snapToGrid w:val="0"/>
              <w:spacing w:before="0" w:beforeAutospacing="0" w:after="0" w:afterAutospacing="0" w:line="360" w:lineRule="auto"/>
              <w:rPr>
                <w:rFonts w:hint="default" w:ascii="Times New Roman" w:hAnsi="Times New Roman" w:eastAsia="宋体" w:cs="Times New Roman"/>
                <w:b/>
                <w:bCs/>
                <w:color w:val="auto"/>
                <w:szCs w:val="24"/>
                <w:highlight w:val="none"/>
              </w:rPr>
            </w:pPr>
            <w:r>
              <w:rPr>
                <w:rFonts w:hint="eastAsia" w:ascii="Times New Roman" w:hAnsi="Times New Roman" w:cs="Times New Roman"/>
                <w:b/>
                <w:bCs/>
                <w:color w:val="auto"/>
                <w:szCs w:val="24"/>
                <w:highlight w:val="none"/>
                <w:lang w:val="en-US" w:eastAsia="zh-CN"/>
              </w:rPr>
              <w:t>四、</w:t>
            </w:r>
            <w:r>
              <w:rPr>
                <w:rFonts w:hint="default" w:ascii="Times New Roman" w:hAnsi="Times New Roman" w:eastAsia="宋体" w:cs="Times New Roman"/>
                <w:b/>
                <w:bCs/>
                <w:color w:val="auto"/>
                <w:szCs w:val="24"/>
                <w:highlight w:val="none"/>
              </w:rPr>
              <w:t>生态环境</w:t>
            </w:r>
          </w:p>
          <w:p w14:paraId="76E61D6D">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本项目位于现有产业园区内，不新增占地，根据《建设项目环境影响报告表编制技术指南（污染影响类）（试行）》，可不进行生态现状调查。</w:t>
            </w:r>
          </w:p>
          <w:p w14:paraId="7503D6DB">
            <w:pPr>
              <w:pStyle w:val="20"/>
              <w:numPr>
                <w:ilvl w:val="0"/>
                <w:numId w:val="0"/>
              </w:numPr>
              <w:adjustRightInd w:val="0"/>
              <w:snapToGrid w:val="0"/>
              <w:spacing w:before="0" w:beforeAutospacing="0" w:after="0" w:afterAutospacing="0" w:line="360" w:lineRule="auto"/>
              <w:rPr>
                <w:rFonts w:hint="default" w:ascii="Times New Roman" w:hAnsi="Times New Roman" w:eastAsia="宋体" w:cs="Times New Roman"/>
                <w:b/>
                <w:color w:val="auto"/>
                <w:szCs w:val="24"/>
                <w:highlight w:val="none"/>
              </w:rPr>
            </w:pPr>
            <w:r>
              <w:rPr>
                <w:rFonts w:hint="eastAsia" w:ascii="Times New Roman" w:hAnsi="Times New Roman" w:cs="Times New Roman"/>
                <w:b/>
                <w:bCs/>
                <w:color w:val="auto"/>
                <w:szCs w:val="24"/>
                <w:highlight w:val="none"/>
                <w:lang w:val="en-US" w:eastAsia="zh-CN"/>
              </w:rPr>
              <w:t>五、</w:t>
            </w:r>
            <w:r>
              <w:rPr>
                <w:rFonts w:hint="default" w:ascii="Times New Roman" w:hAnsi="Times New Roman" w:eastAsia="宋体" w:cs="Times New Roman"/>
                <w:b/>
                <w:bCs/>
                <w:color w:val="auto"/>
                <w:szCs w:val="24"/>
                <w:highlight w:val="none"/>
              </w:rPr>
              <w:t>地下水</w:t>
            </w:r>
            <w:r>
              <w:rPr>
                <w:rFonts w:hint="default" w:ascii="Times New Roman" w:hAnsi="Times New Roman" w:eastAsia="宋体" w:cs="Times New Roman"/>
                <w:b/>
                <w:color w:val="auto"/>
                <w:szCs w:val="24"/>
                <w:highlight w:val="none"/>
              </w:rPr>
              <w:t>、土壤环境</w:t>
            </w:r>
          </w:p>
          <w:p w14:paraId="2F567DEE">
            <w:pPr>
              <w:adjustRightInd w:val="0"/>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w:t>
            </w:r>
            <w:r>
              <w:rPr>
                <w:rFonts w:hint="eastAsia" w:cs="Times New Roman"/>
                <w:color w:val="auto"/>
                <w:sz w:val="24"/>
                <w:szCs w:val="32"/>
                <w:highlight w:val="none"/>
                <w:lang w:val="en-US" w:eastAsia="zh-CN"/>
              </w:rPr>
              <w:t>利用</w:t>
            </w:r>
            <w:r>
              <w:rPr>
                <w:rFonts w:hint="default" w:ascii="Times New Roman" w:hAnsi="Times New Roman" w:eastAsia="宋体" w:cs="Times New Roman"/>
                <w:color w:val="auto"/>
                <w:sz w:val="24"/>
                <w:szCs w:val="32"/>
                <w:highlight w:val="none"/>
              </w:rPr>
              <w:t>现有房屋进行建设，项目运营后</w:t>
            </w:r>
            <w:r>
              <w:rPr>
                <w:rFonts w:hint="eastAsia" w:ascii="Times New Roman" w:hAnsi="Times New Roman" w:eastAsia="宋体" w:cs="Times New Roman"/>
                <w:color w:val="auto"/>
                <w:sz w:val="24"/>
                <w:szCs w:val="32"/>
                <w:highlight w:val="none"/>
                <w:lang w:val="en-US" w:eastAsia="zh-CN"/>
              </w:rPr>
              <w:t>容器第三遍及以后清洗废水</w:t>
            </w:r>
            <w:r>
              <w:rPr>
                <w:rFonts w:hint="eastAsia"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生活污水、高压蒸汽灭菌废水</w:t>
            </w:r>
            <w:r>
              <w:rPr>
                <w:rFonts w:hint="default" w:ascii="Times New Roman" w:hAnsi="Times New Roman" w:eastAsia="宋体" w:cs="Times New Roman"/>
                <w:color w:val="auto"/>
                <w:sz w:val="24"/>
                <w:szCs w:val="32"/>
                <w:highlight w:val="none"/>
              </w:rPr>
              <w:t>一同</w:t>
            </w:r>
            <w:r>
              <w:rPr>
                <w:rFonts w:hint="eastAsia" w:ascii="Times New Roman" w:hAnsi="Times New Roman" w:eastAsia="宋体" w:cs="Times New Roman"/>
                <w:color w:val="auto"/>
                <w:sz w:val="24"/>
                <w:szCs w:val="32"/>
                <w:highlight w:val="none"/>
                <w:lang w:val="en-US" w:eastAsia="zh-CN"/>
              </w:rPr>
              <w:t>进</w:t>
            </w:r>
            <w:r>
              <w:rPr>
                <w:rFonts w:hint="default" w:ascii="Times New Roman" w:hAnsi="Times New Roman" w:eastAsia="宋体" w:cs="Times New Roman"/>
                <w:color w:val="auto"/>
                <w:sz w:val="24"/>
                <w:szCs w:val="32"/>
                <w:highlight w:val="none"/>
              </w:rPr>
              <w:t>园区化粪池处理后排入市政管网</w:t>
            </w:r>
            <w:r>
              <w:rPr>
                <w:rFonts w:hint="eastAsia"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lang w:val="en-US" w:eastAsia="zh-CN"/>
              </w:rPr>
              <w:t>危险废物暂存间、实验室均</w:t>
            </w:r>
            <w:r>
              <w:rPr>
                <w:rFonts w:hint="default" w:ascii="Times New Roman" w:hAnsi="Times New Roman" w:eastAsia="宋体" w:cs="Times New Roman"/>
                <w:color w:val="auto"/>
                <w:sz w:val="24"/>
                <w:szCs w:val="32"/>
                <w:highlight w:val="none"/>
              </w:rPr>
              <w:t>采取分区防渗措施，</w:t>
            </w:r>
            <w:r>
              <w:rPr>
                <w:rFonts w:hint="eastAsia" w:cs="Times New Roman"/>
                <w:color w:val="auto"/>
                <w:sz w:val="24"/>
                <w:szCs w:val="32"/>
                <w:highlight w:val="none"/>
                <w:lang w:val="en-US" w:eastAsia="zh-CN"/>
              </w:rPr>
              <w:t>全部污染源位于3层，</w:t>
            </w:r>
            <w:r>
              <w:rPr>
                <w:rFonts w:hint="default" w:ascii="Times New Roman" w:hAnsi="Times New Roman" w:eastAsia="宋体" w:cs="Times New Roman"/>
                <w:color w:val="auto"/>
                <w:sz w:val="24"/>
                <w:szCs w:val="32"/>
                <w:highlight w:val="none"/>
              </w:rPr>
              <w:t>与地下水及土壤环境有物理隔离，可有效阻断地下水环境污染途径；固体废物均得到合理处置，不存在土壤及地下水环境污染途径，无需进行地下水、土壤环境质量现状调查。</w:t>
            </w:r>
          </w:p>
        </w:tc>
      </w:tr>
      <w:tr w14:paraId="1E8E8F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74F7D1DF">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环境保护目标</w:t>
            </w:r>
          </w:p>
        </w:tc>
        <w:tc>
          <w:tcPr>
            <w:tcW w:w="8147" w:type="dxa"/>
            <w:vAlign w:val="center"/>
          </w:tcPr>
          <w:p w14:paraId="623B3C0A">
            <w:pPr>
              <w:pStyle w:val="20"/>
              <w:numPr>
                <w:ilvl w:val="0"/>
                <w:numId w:val="21"/>
              </w:numPr>
              <w:adjustRightInd w:val="0"/>
              <w:snapToGrid w:val="0"/>
              <w:spacing w:before="0" w:beforeAutospacing="0" w:after="0" w:afterAutospacing="0" w:line="360" w:lineRule="auto"/>
              <w:rPr>
                <w:rFonts w:hint="default" w:ascii="Times New Roman" w:hAnsi="Times New Roman" w:eastAsia="宋体" w:cs="Times New Roman"/>
                <w:color w:val="auto"/>
                <w:sz w:val="32"/>
                <w:szCs w:val="22"/>
                <w:highlight w:val="none"/>
              </w:rPr>
            </w:pPr>
            <w:r>
              <w:rPr>
                <w:rFonts w:hint="default" w:ascii="Times New Roman" w:hAnsi="Times New Roman" w:eastAsia="宋体" w:cs="Times New Roman"/>
                <w:b/>
                <w:bCs/>
                <w:color w:val="auto"/>
                <w:szCs w:val="24"/>
                <w:highlight w:val="none"/>
              </w:rPr>
              <w:t>大气</w:t>
            </w:r>
            <w:r>
              <w:rPr>
                <w:rFonts w:hint="default" w:ascii="Times New Roman" w:hAnsi="Times New Roman" w:eastAsia="宋体" w:cs="Times New Roman"/>
                <w:b/>
                <w:bCs/>
                <w:color w:val="auto"/>
                <w:sz w:val="22"/>
                <w:szCs w:val="22"/>
                <w:highlight w:val="none"/>
                <w:lang w:bidi="ar"/>
              </w:rPr>
              <w:t>环境</w:t>
            </w:r>
          </w:p>
          <w:p w14:paraId="157B385B">
            <w:pPr>
              <w:adjustRightInd w:val="0"/>
              <w:spacing w:line="360" w:lineRule="auto"/>
              <w:ind w:firstLine="480" w:firstLineChars="200"/>
              <w:rPr>
                <w:rFonts w:hint="default" w:ascii="Times New Roman" w:hAnsi="Times New Roman" w:eastAsia="宋体" w:cs="Times New Roman"/>
                <w:color w:val="auto"/>
                <w:sz w:val="24"/>
                <w:szCs w:val="32"/>
                <w:highlight w:val="none"/>
                <w:lang w:val="en-US"/>
              </w:rPr>
            </w:pPr>
            <w:r>
              <w:rPr>
                <w:rFonts w:hint="eastAsia" w:cs="Times New Roman"/>
                <w:color w:val="auto"/>
                <w:sz w:val="24"/>
                <w:szCs w:val="32"/>
                <w:highlight w:val="none"/>
                <w:lang w:val="en-US" w:eastAsia="zh-CN"/>
              </w:rPr>
              <w:t>本</w:t>
            </w:r>
            <w:r>
              <w:rPr>
                <w:rFonts w:hint="default" w:ascii="Times New Roman" w:hAnsi="Times New Roman" w:eastAsia="宋体" w:cs="Times New Roman"/>
                <w:color w:val="auto"/>
                <w:sz w:val="24"/>
                <w:szCs w:val="32"/>
                <w:highlight w:val="none"/>
                <w:lang w:val="en-US" w:eastAsia="zh-CN"/>
              </w:rPr>
              <w:t>项目厂界外500m范围内无风景名胜区、自然保护区等保护目标，厂界外500m范围内大气环境保护目标为</w:t>
            </w:r>
            <w:r>
              <w:rPr>
                <w:rFonts w:hint="eastAsia" w:cs="Times New Roman"/>
                <w:color w:val="auto"/>
                <w:sz w:val="24"/>
                <w:szCs w:val="32"/>
                <w:highlight w:val="none"/>
                <w:lang w:val="en-US" w:eastAsia="zh-CN"/>
              </w:rPr>
              <w:t>马驹桥中心小学小张湾校区、金色音画幼儿园</w:t>
            </w:r>
            <w:r>
              <w:rPr>
                <w:rFonts w:hint="default" w:ascii="Times New Roman" w:hAnsi="Times New Roman" w:eastAsia="宋体" w:cs="Times New Roman"/>
                <w:color w:val="auto"/>
                <w:sz w:val="24"/>
                <w:szCs w:val="32"/>
                <w:highlight w:val="none"/>
                <w:lang w:val="en-US" w:eastAsia="zh-CN"/>
              </w:rPr>
              <w:t>，大气环境保护目标</w:t>
            </w:r>
            <w:r>
              <w:rPr>
                <w:rFonts w:hint="eastAsia" w:ascii="Times New Roman" w:hAnsi="Times New Roman" w:eastAsia="宋体" w:cs="Times New Roman"/>
                <w:color w:val="auto"/>
                <w:sz w:val="24"/>
                <w:szCs w:val="32"/>
                <w:highlight w:val="none"/>
                <w:lang w:val="en-US" w:eastAsia="zh-CN"/>
              </w:rPr>
              <w:t>具体情况见下表。</w:t>
            </w:r>
          </w:p>
          <w:p w14:paraId="21B0FB3E">
            <w:pPr>
              <w:numPr>
                <w:ilvl w:val="0"/>
                <w:numId w:val="19"/>
              </w:numPr>
              <w:jc w:val="center"/>
              <w:rPr>
                <w:color w:val="auto"/>
              </w:rPr>
            </w:pPr>
            <w:r>
              <w:rPr>
                <w:rFonts w:hint="eastAsia" w:ascii="宋体" w:hAnsi="宋体" w:cs="宋体"/>
                <w:b/>
                <w:bCs/>
                <w:color w:val="auto"/>
                <w:kern w:val="0"/>
                <w:sz w:val="24"/>
                <w:szCs w:val="24"/>
                <w:lang w:val="en-US" w:eastAsia="zh-CN" w:bidi="ar"/>
              </w:rPr>
              <w:t>大气</w:t>
            </w:r>
            <w:r>
              <w:rPr>
                <w:rFonts w:hint="eastAsia" w:ascii="宋体" w:hAnsi="宋体" w:eastAsia="宋体" w:cs="宋体"/>
                <w:b/>
                <w:bCs/>
                <w:color w:val="auto"/>
                <w:kern w:val="0"/>
                <w:sz w:val="24"/>
                <w:szCs w:val="24"/>
                <w:lang w:val="en-US" w:eastAsia="zh-CN" w:bidi="ar"/>
              </w:rPr>
              <w:t>环境保护目标一览表</w:t>
            </w:r>
          </w:p>
          <w:tbl>
            <w:tblPr>
              <w:tblStyle w:val="24"/>
              <w:tblW w:w="7931"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898"/>
              <w:gridCol w:w="796"/>
              <w:gridCol w:w="797"/>
              <w:gridCol w:w="1102"/>
              <w:gridCol w:w="2237"/>
            </w:tblGrid>
            <w:tr w14:paraId="510820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vAlign w:val="center"/>
                </w:tcPr>
                <w:p w14:paraId="1DE658D5">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环境保护</w:t>
                  </w:r>
                </w:p>
                <w:p w14:paraId="1EC81098">
                  <w:pPr>
                    <w:keepNext w:val="0"/>
                    <w:keepLines w:val="0"/>
                    <w:widowControl/>
                    <w:suppressLineNumbers w:val="0"/>
                    <w:jc w:val="center"/>
                    <w:rPr>
                      <w:b/>
                      <w:bCs/>
                      <w:color w:val="auto"/>
                      <w:sz w:val="21"/>
                      <w:szCs w:val="21"/>
                      <w:vertAlign w:val="baseline"/>
                    </w:rPr>
                  </w:pPr>
                  <w:r>
                    <w:rPr>
                      <w:rFonts w:hint="eastAsia" w:ascii="宋体" w:hAnsi="宋体" w:eastAsia="宋体" w:cs="宋体"/>
                      <w:b/>
                      <w:bCs/>
                      <w:color w:val="auto"/>
                      <w:kern w:val="0"/>
                      <w:sz w:val="21"/>
                      <w:szCs w:val="21"/>
                      <w:lang w:val="en-US" w:eastAsia="zh-CN" w:bidi="ar"/>
                    </w:rPr>
                    <w:t>要素</w:t>
                  </w:r>
                </w:p>
              </w:tc>
              <w:tc>
                <w:tcPr>
                  <w:tcW w:w="1898" w:type="dxa"/>
                  <w:tcBorders>
                    <w:tl2br w:val="nil"/>
                    <w:tr2bl w:val="nil"/>
                  </w:tcBorders>
                  <w:vAlign w:val="center"/>
                </w:tcPr>
                <w:p w14:paraId="24161B7F">
                  <w:pPr>
                    <w:numPr>
                      <w:ilvl w:val="0"/>
                      <w:numId w:val="0"/>
                    </w:numPr>
                    <w:jc w:val="center"/>
                    <w:rPr>
                      <w:b/>
                      <w:bCs/>
                      <w:color w:val="auto"/>
                      <w:sz w:val="21"/>
                      <w:szCs w:val="21"/>
                      <w:vertAlign w:val="baseline"/>
                    </w:rPr>
                  </w:pPr>
                  <w:r>
                    <w:rPr>
                      <w:rFonts w:hint="eastAsia" w:ascii="宋体" w:hAnsi="宋体" w:eastAsia="宋体" w:cs="宋体"/>
                      <w:b/>
                      <w:bCs/>
                      <w:color w:val="auto"/>
                      <w:kern w:val="0"/>
                      <w:sz w:val="21"/>
                      <w:szCs w:val="21"/>
                      <w:lang w:val="en-US" w:eastAsia="zh-CN" w:bidi="ar"/>
                    </w:rPr>
                    <w:t>环境保护目标</w:t>
                  </w:r>
                </w:p>
              </w:tc>
              <w:tc>
                <w:tcPr>
                  <w:tcW w:w="796" w:type="dxa"/>
                  <w:tcBorders>
                    <w:tl2br w:val="nil"/>
                    <w:tr2bl w:val="nil"/>
                  </w:tcBorders>
                  <w:vAlign w:val="center"/>
                </w:tcPr>
                <w:p w14:paraId="6CB9A5C6">
                  <w:pPr>
                    <w:numPr>
                      <w:ilvl w:val="0"/>
                      <w:numId w:val="0"/>
                    </w:numPr>
                    <w:jc w:val="center"/>
                    <w:rPr>
                      <w:b/>
                      <w:bCs/>
                      <w:color w:val="auto"/>
                      <w:sz w:val="21"/>
                      <w:szCs w:val="21"/>
                      <w:vertAlign w:val="baseline"/>
                    </w:rPr>
                  </w:pPr>
                  <w:r>
                    <w:rPr>
                      <w:rFonts w:hint="eastAsia" w:ascii="宋体" w:hAnsi="宋体" w:eastAsia="宋体" w:cs="宋体"/>
                      <w:b/>
                      <w:bCs/>
                      <w:color w:val="auto"/>
                      <w:kern w:val="0"/>
                      <w:sz w:val="21"/>
                      <w:szCs w:val="21"/>
                      <w:lang w:val="en-US" w:eastAsia="zh-CN" w:bidi="ar"/>
                    </w:rPr>
                    <w:t>方位</w:t>
                  </w:r>
                </w:p>
              </w:tc>
              <w:tc>
                <w:tcPr>
                  <w:tcW w:w="797" w:type="dxa"/>
                  <w:tcBorders>
                    <w:tl2br w:val="nil"/>
                    <w:tr2bl w:val="nil"/>
                  </w:tcBorders>
                  <w:vAlign w:val="center"/>
                </w:tcPr>
                <w:p w14:paraId="0EDFA6E0">
                  <w:pPr>
                    <w:numPr>
                      <w:ilvl w:val="0"/>
                      <w:numId w:val="0"/>
                    </w:numPr>
                    <w:jc w:val="center"/>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距离</w:t>
                  </w:r>
                </w:p>
                <w:p w14:paraId="3E23FBE4">
                  <w:pPr>
                    <w:numPr>
                      <w:ilvl w:val="0"/>
                      <w:numId w:val="0"/>
                    </w:numPr>
                    <w:jc w:val="center"/>
                    <w:rPr>
                      <w:rFonts w:hint="default" w:ascii="宋体" w:hAnsi="宋体" w:eastAsia="宋体" w:cs="宋体"/>
                      <w:b/>
                      <w:bCs/>
                      <w:color w:val="auto"/>
                      <w:kern w:val="0"/>
                      <w:sz w:val="21"/>
                      <w:szCs w:val="21"/>
                      <w:lang w:val="en-US" w:eastAsia="zh-CN" w:bidi="ar"/>
                    </w:rPr>
                  </w:pPr>
                  <w:r>
                    <w:rPr>
                      <w:rFonts w:hint="eastAsia" w:ascii="宋体" w:hAnsi="宋体" w:cs="宋体"/>
                      <w:b/>
                      <w:bCs/>
                      <w:color w:val="auto"/>
                      <w:kern w:val="0"/>
                      <w:sz w:val="21"/>
                      <w:szCs w:val="21"/>
                      <w:lang w:val="en-US" w:eastAsia="zh-CN" w:bidi="ar"/>
                    </w:rPr>
                    <w:t>m</w:t>
                  </w:r>
                </w:p>
              </w:tc>
              <w:tc>
                <w:tcPr>
                  <w:tcW w:w="1102" w:type="dxa"/>
                  <w:tcBorders>
                    <w:tl2br w:val="nil"/>
                    <w:tr2bl w:val="nil"/>
                  </w:tcBorders>
                  <w:vAlign w:val="center"/>
                </w:tcPr>
                <w:p w14:paraId="72E13D4E">
                  <w:pPr>
                    <w:numPr>
                      <w:ilvl w:val="0"/>
                      <w:numId w:val="0"/>
                    </w:numPr>
                    <w:jc w:val="center"/>
                    <w:rPr>
                      <w:b/>
                      <w:bCs/>
                      <w:color w:val="auto"/>
                      <w:sz w:val="21"/>
                      <w:szCs w:val="21"/>
                      <w:vertAlign w:val="baseline"/>
                    </w:rPr>
                  </w:pPr>
                  <w:r>
                    <w:rPr>
                      <w:rFonts w:hint="eastAsia" w:ascii="宋体" w:hAnsi="宋体" w:eastAsia="宋体" w:cs="宋体"/>
                      <w:b/>
                      <w:bCs/>
                      <w:color w:val="auto"/>
                      <w:kern w:val="0"/>
                      <w:sz w:val="21"/>
                      <w:szCs w:val="21"/>
                      <w:lang w:val="en-US" w:eastAsia="zh-CN" w:bidi="ar"/>
                    </w:rPr>
                    <w:t>保护对象</w:t>
                  </w:r>
                </w:p>
              </w:tc>
              <w:tc>
                <w:tcPr>
                  <w:tcW w:w="2237" w:type="dxa"/>
                  <w:tcBorders>
                    <w:tl2br w:val="nil"/>
                    <w:tr2bl w:val="nil"/>
                  </w:tcBorders>
                  <w:vAlign w:val="center"/>
                </w:tcPr>
                <w:p w14:paraId="06042FBB">
                  <w:pPr>
                    <w:keepNext w:val="0"/>
                    <w:keepLines w:val="0"/>
                    <w:widowControl/>
                    <w:suppressLineNumbers w:val="0"/>
                    <w:jc w:val="center"/>
                    <w:rPr>
                      <w:b/>
                      <w:bCs/>
                      <w:color w:val="auto"/>
                      <w:sz w:val="21"/>
                      <w:szCs w:val="21"/>
                      <w:vertAlign w:val="baseline"/>
                    </w:rPr>
                  </w:pPr>
                  <w:r>
                    <w:rPr>
                      <w:rFonts w:hint="eastAsia" w:ascii="宋体" w:hAnsi="宋体" w:eastAsia="宋体" w:cs="宋体"/>
                      <w:b/>
                      <w:bCs/>
                      <w:color w:val="auto"/>
                      <w:kern w:val="0"/>
                      <w:sz w:val="21"/>
                      <w:szCs w:val="21"/>
                      <w:lang w:val="en-US" w:eastAsia="zh-CN" w:bidi="ar"/>
                    </w:rPr>
                    <w:t>保护级别</w:t>
                  </w:r>
                </w:p>
              </w:tc>
            </w:tr>
            <w:tr w14:paraId="2AE77A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1" w:type="dxa"/>
                  <w:vMerge w:val="restart"/>
                  <w:tcBorders>
                    <w:tl2br w:val="nil"/>
                    <w:tr2bl w:val="nil"/>
                  </w:tcBorders>
                  <w:vAlign w:val="center"/>
                </w:tcPr>
                <w:p w14:paraId="6A0C1FF0">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大气环境</w:t>
                  </w:r>
                </w:p>
              </w:tc>
              <w:tc>
                <w:tcPr>
                  <w:tcW w:w="1898" w:type="dxa"/>
                  <w:tcBorders>
                    <w:tl2br w:val="nil"/>
                    <w:tr2bl w:val="nil"/>
                  </w:tcBorders>
                  <w:vAlign w:val="center"/>
                </w:tcPr>
                <w:p w14:paraId="1334DF78">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马驹桥中心小学小张湾校区</w:t>
                  </w:r>
                </w:p>
              </w:tc>
              <w:tc>
                <w:tcPr>
                  <w:tcW w:w="796" w:type="dxa"/>
                  <w:tcBorders>
                    <w:tl2br w:val="nil"/>
                    <w:tr2bl w:val="nil"/>
                  </w:tcBorders>
                  <w:vAlign w:val="center"/>
                </w:tcPr>
                <w:p w14:paraId="3AA0B39D">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东南</w:t>
                  </w:r>
                </w:p>
              </w:tc>
              <w:tc>
                <w:tcPr>
                  <w:tcW w:w="797" w:type="dxa"/>
                  <w:tcBorders>
                    <w:tl2br w:val="nil"/>
                    <w:tr2bl w:val="nil"/>
                  </w:tcBorders>
                  <w:vAlign w:val="center"/>
                </w:tcPr>
                <w:p w14:paraId="3F0BEABE">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约310</w:t>
                  </w:r>
                </w:p>
              </w:tc>
              <w:tc>
                <w:tcPr>
                  <w:tcW w:w="1102" w:type="dxa"/>
                  <w:tcBorders>
                    <w:tl2br w:val="nil"/>
                    <w:tr2bl w:val="nil"/>
                  </w:tcBorders>
                  <w:vAlign w:val="center"/>
                </w:tcPr>
                <w:p w14:paraId="0B76FCE2">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师生</w:t>
                  </w:r>
                </w:p>
              </w:tc>
              <w:tc>
                <w:tcPr>
                  <w:tcW w:w="2237" w:type="dxa"/>
                  <w:vMerge w:val="restart"/>
                  <w:tcBorders>
                    <w:tl2br w:val="nil"/>
                    <w:tr2bl w:val="nil"/>
                  </w:tcBorders>
                  <w:vAlign w:val="center"/>
                </w:tcPr>
                <w:p w14:paraId="4FD20090">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《环境空气质量标准》</w:t>
                  </w:r>
                </w:p>
                <w:p w14:paraId="6712E227">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r>
                    <w:rPr>
                      <w:rFonts w:hint="default"/>
                      <w:b w:val="0"/>
                      <w:bCs w:val="0"/>
                      <w:color w:val="auto"/>
                      <w:sz w:val="21"/>
                      <w:szCs w:val="21"/>
                      <w:vertAlign w:val="baseline"/>
                      <w:lang w:val="en-US" w:eastAsia="zh-CN"/>
                    </w:rPr>
                    <w:t>GB3095-2012</w:t>
                  </w:r>
                  <w:r>
                    <w:rPr>
                      <w:rFonts w:hint="eastAsia"/>
                      <w:b w:val="0"/>
                      <w:bCs w:val="0"/>
                      <w:color w:val="auto"/>
                      <w:sz w:val="21"/>
                      <w:szCs w:val="21"/>
                      <w:vertAlign w:val="baseline"/>
                      <w:lang w:val="en-US" w:eastAsia="zh-CN"/>
                    </w:rPr>
                    <w:t>）及其修改单中的二级标准</w:t>
                  </w:r>
                </w:p>
              </w:tc>
            </w:tr>
            <w:tr w14:paraId="3B9224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1" w:type="dxa"/>
                  <w:vMerge w:val="continue"/>
                  <w:tcBorders>
                    <w:tl2br w:val="nil"/>
                    <w:tr2bl w:val="nil"/>
                  </w:tcBorders>
                  <w:vAlign w:val="center"/>
                </w:tcPr>
                <w:p w14:paraId="440D91F6">
                  <w:pPr>
                    <w:numPr>
                      <w:ilvl w:val="0"/>
                      <w:numId w:val="0"/>
                    </w:numPr>
                    <w:jc w:val="center"/>
                    <w:rPr>
                      <w:b w:val="0"/>
                      <w:bCs w:val="0"/>
                      <w:color w:val="auto"/>
                      <w:sz w:val="21"/>
                      <w:szCs w:val="21"/>
                      <w:vertAlign w:val="baseline"/>
                    </w:rPr>
                  </w:pPr>
                </w:p>
              </w:tc>
              <w:tc>
                <w:tcPr>
                  <w:tcW w:w="1898" w:type="dxa"/>
                  <w:tcBorders>
                    <w:tl2br w:val="nil"/>
                    <w:tr2bl w:val="nil"/>
                  </w:tcBorders>
                  <w:vAlign w:val="center"/>
                </w:tcPr>
                <w:p w14:paraId="7D270B01">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金色音画幼儿园</w:t>
                  </w:r>
                </w:p>
              </w:tc>
              <w:tc>
                <w:tcPr>
                  <w:tcW w:w="796" w:type="dxa"/>
                  <w:tcBorders>
                    <w:tl2br w:val="nil"/>
                    <w:tr2bl w:val="nil"/>
                  </w:tcBorders>
                  <w:vAlign w:val="center"/>
                </w:tcPr>
                <w:p w14:paraId="26C12D4C">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西北</w:t>
                  </w:r>
                </w:p>
              </w:tc>
              <w:tc>
                <w:tcPr>
                  <w:tcW w:w="797" w:type="dxa"/>
                  <w:tcBorders>
                    <w:tl2br w:val="nil"/>
                    <w:tr2bl w:val="nil"/>
                  </w:tcBorders>
                  <w:vAlign w:val="center"/>
                </w:tcPr>
                <w:p w14:paraId="638AFD4C">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约311</w:t>
                  </w:r>
                </w:p>
              </w:tc>
              <w:tc>
                <w:tcPr>
                  <w:tcW w:w="1102" w:type="dxa"/>
                  <w:tcBorders>
                    <w:tl2br w:val="nil"/>
                    <w:tr2bl w:val="nil"/>
                  </w:tcBorders>
                  <w:vAlign w:val="center"/>
                </w:tcPr>
                <w:p w14:paraId="66F0FB92">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师生</w:t>
                  </w:r>
                </w:p>
              </w:tc>
              <w:tc>
                <w:tcPr>
                  <w:tcW w:w="2237" w:type="dxa"/>
                  <w:vMerge w:val="continue"/>
                  <w:tcBorders>
                    <w:tl2br w:val="nil"/>
                    <w:tr2bl w:val="nil"/>
                  </w:tcBorders>
                  <w:vAlign w:val="center"/>
                </w:tcPr>
                <w:p w14:paraId="0A74D868">
                  <w:pPr>
                    <w:numPr>
                      <w:ilvl w:val="0"/>
                      <w:numId w:val="0"/>
                    </w:numPr>
                    <w:jc w:val="center"/>
                    <w:rPr>
                      <w:b w:val="0"/>
                      <w:bCs w:val="0"/>
                      <w:color w:val="auto"/>
                      <w:sz w:val="21"/>
                      <w:szCs w:val="21"/>
                      <w:vertAlign w:val="baseline"/>
                    </w:rPr>
                  </w:pPr>
                </w:p>
              </w:tc>
            </w:tr>
          </w:tbl>
          <w:p w14:paraId="332DC40A">
            <w:pPr>
              <w:pStyle w:val="20"/>
              <w:numPr>
                <w:ilvl w:val="0"/>
                <w:numId w:val="21"/>
              </w:numPr>
              <w:adjustRightInd w:val="0"/>
              <w:snapToGrid w:val="0"/>
              <w:spacing w:before="0" w:beforeAutospacing="0" w:after="0" w:afterAutospacing="0" w:line="360" w:lineRule="auto"/>
              <w:rPr>
                <w:rFonts w:hint="default" w:ascii="Times New Roman" w:hAnsi="Times New Roman" w:eastAsia="宋体" w:cs="Times New Roman"/>
                <w:b/>
                <w:bCs/>
                <w:color w:val="auto"/>
                <w:sz w:val="22"/>
                <w:szCs w:val="22"/>
                <w:highlight w:val="none"/>
                <w:lang w:bidi="ar"/>
              </w:rPr>
            </w:pPr>
            <w:r>
              <w:rPr>
                <w:rFonts w:hint="default" w:ascii="Times New Roman" w:hAnsi="Times New Roman" w:eastAsia="宋体" w:cs="Times New Roman"/>
                <w:b/>
                <w:bCs/>
                <w:color w:val="auto"/>
                <w:sz w:val="22"/>
                <w:szCs w:val="22"/>
                <w:highlight w:val="none"/>
                <w:lang w:bidi="ar"/>
              </w:rPr>
              <w:t>声环境</w:t>
            </w:r>
          </w:p>
          <w:p w14:paraId="5842A38F">
            <w:pPr>
              <w:autoSpaceDE w:val="0"/>
              <w:autoSpaceDN w:val="0"/>
              <w:adjustRightInd w:val="0"/>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项目厂界外50m范围内无声环境保护目标。</w:t>
            </w:r>
          </w:p>
          <w:p w14:paraId="44B57210">
            <w:pPr>
              <w:pStyle w:val="20"/>
              <w:numPr>
                <w:ilvl w:val="0"/>
                <w:numId w:val="21"/>
              </w:numPr>
              <w:adjustRightInd w:val="0"/>
              <w:snapToGrid w:val="0"/>
              <w:spacing w:before="0" w:beforeAutospacing="0" w:after="0" w:afterAutospacing="0" w:line="360" w:lineRule="auto"/>
              <w:rPr>
                <w:rFonts w:hint="default" w:ascii="Times New Roman" w:hAnsi="Times New Roman" w:eastAsia="宋体" w:cs="Times New Roman"/>
                <w:b/>
                <w:bCs/>
                <w:color w:val="auto"/>
                <w:sz w:val="22"/>
                <w:szCs w:val="22"/>
                <w:highlight w:val="none"/>
                <w:lang w:bidi="ar"/>
              </w:rPr>
            </w:pPr>
            <w:r>
              <w:rPr>
                <w:rFonts w:hint="default" w:ascii="Times New Roman" w:hAnsi="Times New Roman" w:eastAsia="宋体" w:cs="Times New Roman"/>
                <w:b/>
                <w:bCs/>
                <w:color w:val="auto"/>
                <w:szCs w:val="24"/>
                <w:highlight w:val="none"/>
              </w:rPr>
              <w:t>地下水</w:t>
            </w:r>
            <w:r>
              <w:rPr>
                <w:rFonts w:hint="default" w:ascii="Times New Roman" w:hAnsi="Times New Roman" w:eastAsia="宋体" w:cs="Times New Roman"/>
                <w:b/>
                <w:bCs/>
                <w:color w:val="auto"/>
                <w:sz w:val="22"/>
                <w:szCs w:val="22"/>
                <w:highlight w:val="none"/>
                <w:lang w:bidi="ar"/>
              </w:rPr>
              <w:t>环境</w:t>
            </w:r>
          </w:p>
          <w:p w14:paraId="6A7F0BDF">
            <w:pPr>
              <w:adjustRightInd w:val="0"/>
              <w:spacing w:line="360" w:lineRule="auto"/>
              <w:ind w:firstLine="480" w:firstLineChars="200"/>
              <w:rPr>
                <w:rFonts w:hint="default" w:ascii="Times New Roman" w:hAnsi="Times New Roman" w:eastAsia="宋体" w:cs="Times New Roman"/>
                <w:color w:val="auto"/>
                <w:sz w:val="24"/>
                <w:szCs w:val="32"/>
                <w:highlight w:val="none"/>
                <w:lang w:val="en-US"/>
              </w:rPr>
            </w:pPr>
            <w:r>
              <w:rPr>
                <w:rFonts w:hint="eastAsia" w:ascii="Times New Roman" w:hAnsi="Times New Roman" w:eastAsia="宋体" w:cs="Times New Roman"/>
                <w:color w:val="auto"/>
                <w:sz w:val="24"/>
                <w:szCs w:val="32"/>
                <w:highlight w:val="none"/>
                <w:lang w:val="en-US" w:eastAsia="zh-CN"/>
              </w:rPr>
              <w:t>根据《北京市人民政府关于通州区集中式饮用水水源保护区划定方案的批复》(京政函[2014]164号)、《北京市人民政府关于调整通州区集中式饮用水水源保护区范围的批复》(京政函[2016]24 号)、《北京市人民政府关于调整市级地下饮用水水源保护区范围的通知》（京政发[2015]33号）和《北京市人民政府关于调整部分市级饮用水水源保护区范围的批复》（京政字[2021]41号），北京金桥科技产业基地水厂水源地为乡镇级水源地，以水源井为核心的30米范围内为一级保护区范围，未设二级保护区范围</w:t>
            </w:r>
            <w:r>
              <w:rPr>
                <w:rFonts w:hint="eastAsia" w:cs="Times New Roman"/>
                <w:color w:val="auto"/>
                <w:sz w:val="24"/>
                <w:szCs w:val="32"/>
                <w:highlight w:val="none"/>
                <w:lang w:val="en-US" w:eastAsia="zh-CN"/>
              </w:rPr>
              <w:t>。</w:t>
            </w:r>
            <w:r>
              <w:rPr>
                <w:rFonts w:hint="eastAsia" w:ascii="Times New Roman" w:hAnsi="Times New Roman" w:eastAsia="宋体" w:cs="Times New Roman"/>
                <w:color w:val="auto"/>
                <w:kern w:val="2"/>
                <w:sz w:val="24"/>
                <w:szCs w:val="32"/>
                <w:highlight w:val="none"/>
                <w:lang w:val="en-US" w:eastAsia="zh-CN" w:bidi="ar-SA"/>
              </w:rPr>
              <w:t>根据《北京市通州区马驹桥镇人民政府办公室马驹桥镇集中式水源保护区管理规范》（马政办发(2021)14号）</w:t>
            </w:r>
            <w:r>
              <w:rPr>
                <w:rFonts w:hint="eastAsia" w:eastAsia="宋体" w:cs="Times New Roman"/>
                <w:color w:val="auto"/>
                <w:kern w:val="2"/>
                <w:sz w:val="24"/>
                <w:szCs w:val="32"/>
                <w:highlight w:val="none"/>
                <w:lang w:val="en-US" w:eastAsia="zh-CN" w:bidi="ar-SA"/>
              </w:rPr>
              <w:t>，</w:t>
            </w:r>
            <w:r>
              <w:rPr>
                <w:rFonts w:hint="eastAsia" w:ascii="Times New Roman" w:hAnsi="Times New Roman" w:eastAsia="宋体" w:cs="Times New Roman"/>
                <w:color w:val="auto"/>
                <w:sz w:val="24"/>
                <w:szCs w:val="32"/>
                <w:highlight w:val="none"/>
                <w:lang w:val="en-US" w:eastAsia="zh-CN"/>
              </w:rPr>
              <w:t>项目厂界外500米范围内分布有北京金桥科技产业基地水厂</w:t>
            </w:r>
            <w:r>
              <w:rPr>
                <w:rFonts w:hint="eastAsia" w:cs="Times New Roman"/>
                <w:color w:val="auto"/>
                <w:sz w:val="24"/>
                <w:szCs w:val="32"/>
                <w:highlight w:val="none"/>
                <w:lang w:val="en-US" w:eastAsia="zh-CN"/>
              </w:rPr>
              <w:t>1号</w:t>
            </w:r>
            <w:r>
              <w:rPr>
                <w:rFonts w:hint="eastAsia" w:ascii="Times New Roman" w:hAnsi="Times New Roman" w:eastAsia="宋体" w:cs="Times New Roman"/>
                <w:color w:val="auto"/>
                <w:sz w:val="24"/>
                <w:szCs w:val="32"/>
                <w:highlight w:val="none"/>
                <w:lang w:val="en-US" w:eastAsia="zh-CN"/>
              </w:rPr>
              <w:t>水源井，</w:t>
            </w:r>
            <w:r>
              <w:rPr>
                <w:rFonts w:hint="eastAsia" w:cs="Times New Roman"/>
                <w:color w:val="auto"/>
                <w:sz w:val="24"/>
                <w:szCs w:val="32"/>
                <w:highlight w:val="none"/>
                <w:lang w:val="en-US" w:eastAsia="zh-CN"/>
              </w:rPr>
              <w:t>地下水</w:t>
            </w:r>
            <w:r>
              <w:rPr>
                <w:rFonts w:hint="default" w:ascii="Times New Roman" w:hAnsi="Times New Roman" w:eastAsia="宋体" w:cs="Times New Roman"/>
                <w:color w:val="auto"/>
                <w:sz w:val="24"/>
                <w:szCs w:val="32"/>
                <w:highlight w:val="none"/>
                <w:lang w:val="en-US" w:eastAsia="zh-CN"/>
              </w:rPr>
              <w:t>环境保护目标</w:t>
            </w:r>
            <w:r>
              <w:rPr>
                <w:rFonts w:hint="eastAsia" w:ascii="Times New Roman" w:hAnsi="Times New Roman" w:eastAsia="宋体" w:cs="Times New Roman"/>
                <w:color w:val="auto"/>
                <w:sz w:val="24"/>
                <w:szCs w:val="32"/>
                <w:highlight w:val="none"/>
                <w:lang w:val="en-US" w:eastAsia="zh-CN"/>
              </w:rPr>
              <w:t>具体情况见下表。</w:t>
            </w:r>
          </w:p>
          <w:p w14:paraId="510B7215">
            <w:pPr>
              <w:numPr>
                <w:ilvl w:val="0"/>
                <w:numId w:val="19"/>
              </w:numPr>
              <w:jc w:val="center"/>
              <w:rPr>
                <w:color w:val="auto"/>
              </w:rPr>
            </w:pPr>
            <w:r>
              <w:rPr>
                <w:rFonts w:hint="eastAsia" w:ascii="宋体" w:hAnsi="宋体" w:cs="宋体"/>
                <w:b/>
                <w:bCs/>
                <w:color w:val="auto"/>
                <w:kern w:val="0"/>
                <w:sz w:val="24"/>
                <w:szCs w:val="24"/>
                <w:lang w:val="en-US" w:eastAsia="zh-CN" w:bidi="ar"/>
              </w:rPr>
              <w:t>地下水</w:t>
            </w:r>
            <w:r>
              <w:rPr>
                <w:rFonts w:hint="eastAsia" w:ascii="宋体" w:hAnsi="宋体" w:eastAsia="宋体" w:cs="宋体"/>
                <w:b/>
                <w:bCs/>
                <w:color w:val="auto"/>
                <w:kern w:val="0"/>
                <w:sz w:val="24"/>
                <w:szCs w:val="24"/>
                <w:lang w:val="en-US" w:eastAsia="zh-CN" w:bidi="ar"/>
              </w:rPr>
              <w:t>环境保护目标一览表</w:t>
            </w:r>
          </w:p>
          <w:p w14:paraId="5890B1FF">
            <w:pPr>
              <w:numPr>
                <w:ilvl w:val="0"/>
                <w:numId w:val="0"/>
              </w:numPr>
              <w:ind w:leftChars="0"/>
              <w:jc w:val="both"/>
              <w:rPr>
                <w:color w:val="auto"/>
              </w:rPr>
            </w:pPr>
          </w:p>
          <w:tbl>
            <w:tblPr>
              <w:tblStyle w:val="24"/>
              <w:tblW w:w="4899"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2450"/>
              <w:gridCol w:w="993"/>
              <w:gridCol w:w="1374"/>
              <w:gridCol w:w="1702"/>
            </w:tblGrid>
            <w:tr w14:paraId="427A0C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3" w:type="dxa"/>
                  <w:tcBorders>
                    <w:tl2br w:val="nil"/>
                    <w:tr2bl w:val="nil"/>
                  </w:tcBorders>
                  <w:vAlign w:val="center"/>
                </w:tcPr>
                <w:p w14:paraId="23ED6408">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环境保护</w:t>
                  </w:r>
                </w:p>
                <w:p w14:paraId="4E0D2801">
                  <w:pPr>
                    <w:keepNext w:val="0"/>
                    <w:keepLines w:val="0"/>
                    <w:widowControl/>
                    <w:suppressLineNumbers w:val="0"/>
                    <w:jc w:val="center"/>
                    <w:rPr>
                      <w:b/>
                      <w:bCs/>
                      <w:color w:val="auto"/>
                      <w:sz w:val="21"/>
                      <w:szCs w:val="21"/>
                      <w:vertAlign w:val="baseline"/>
                    </w:rPr>
                  </w:pPr>
                  <w:r>
                    <w:rPr>
                      <w:rFonts w:hint="eastAsia" w:ascii="宋体" w:hAnsi="宋体" w:eastAsia="宋体" w:cs="宋体"/>
                      <w:b/>
                      <w:bCs/>
                      <w:color w:val="auto"/>
                      <w:kern w:val="0"/>
                      <w:sz w:val="21"/>
                      <w:szCs w:val="21"/>
                      <w:lang w:val="en-US" w:eastAsia="zh-CN" w:bidi="ar"/>
                    </w:rPr>
                    <w:t>要素</w:t>
                  </w:r>
                </w:p>
              </w:tc>
              <w:tc>
                <w:tcPr>
                  <w:tcW w:w="2450" w:type="dxa"/>
                  <w:tcBorders>
                    <w:tl2br w:val="nil"/>
                    <w:tr2bl w:val="nil"/>
                  </w:tcBorders>
                  <w:vAlign w:val="center"/>
                </w:tcPr>
                <w:p w14:paraId="04BC1D5A">
                  <w:pPr>
                    <w:numPr>
                      <w:ilvl w:val="0"/>
                      <w:numId w:val="0"/>
                    </w:numPr>
                    <w:jc w:val="center"/>
                    <w:rPr>
                      <w:b/>
                      <w:bCs/>
                      <w:color w:val="auto"/>
                      <w:sz w:val="21"/>
                      <w:szCs w:val="21"/>
                      <w:vertAlign w:val="baseline"/>
                    </w:rPr>
                  </w:pPr>
                  <w:r>
                    <w:rPr>
                      <w:rFonts w:hint="eastAsia" w:ascii="宋体" w:hAnsi="宋体" w:eastAsia="宋体" w:cs="宋体"/>
                      <w:b/>
                      <w:bCs/>
                      <w:color w:val="auto"/>
                      <w:kern w:val="0"/>
                      <w:sz w:val="21"/>
                      <w:szCs w:val="21"/>
                      <w:lang w:val="en-US" w:eastAsia="zh-CN" w:bidi="ar"/>
                    </w:rPr>
                    <w:t>环境保护目标</w:t>
                  </w:r>
                </w:p>
              </w:tc>
              <w:tc>
                <w:tcPr>
                  <w:tcW w:w="993" w:type="dxa"/>
                  <w:tcBorders>
                    <w:tl2br w:val="nil"/>
                    <w:tr2bl w:val="nil"/>
                  </w:tcBorders>
                  <w:vAlign w:val="center"/>
                </w:tcPr>
                <w:p w14:paraId="4CB4CA4D">
                  <w:pPr>
                    <w:numPr>
                      <w:ilvl w:val="0"/>
                      <w:numId w:val="0"/>
                    </w:numPr>
                    <w:jc w:val="center"/>
                    <w:rPr>
                      <w:b/>
                      <w:bCs/>
                      <w:color w:val="auto"/>
                      <w:sz w:val="21"/>
                      <w:szCs w:val="21"/>
                      <w:vertAlign w:val="baseline"/>
                    </w:rPr>
                  </w:pPr>
                  <w:r>
                    <w:rPr>
                      <w:rFonts w:hint="eastAsia" w:ascii="宋体" w:hAnsi="宋体" w:eastAsia="宋体" w:cs="宋体"/>
                      <w:b/>
                      <w:bCs/>
                      <w:color w:val="auto"/>
                      <w:kern w:val="0"/>
                      <w:sz w:val="21"/>
                      <w:szCs w:val="21"/>
                      <w:lang w:val="en-US" w:eastAsia="zh-CN" w:bidi="ar"/>
                    </w:rPr>
                    <w:t>方位</w:t>
                  </w:r>
                </w:p>
              </w:tc>
              <w:tc>
                <w:tcPr>
                  <w:tcW w:w="1374" w:type="dxa"/>
                  <w:tcBorders>
                    <w:tl2br w:val="nil"/>
                    <w:tr2bl w:val="nil"/>
                  </w:tcBorders>
                  <w:vAlign w:val="center"/>
                </w:tcPr>
                <w:p w14:paraId="21BBCC19">
                  <w:pPr>
                    <w:numPr>
                      <w:ilvl w:val="0"/>
                      <w:numId w:val="0"/>
                    </w:numPr>
                    <w:jc w:val="center"/>
                    <w:rPr>
                      <w:rFonts w:hint="default"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距离</w:t>
                  </w:r>
                  <w:r>
                    <w:rPr>
                      <w:rFonts w:hint="eastAsia" w:ascii="宋体" w:hAnsi="宋体" w:cs="宋体"/>
                      <w:b/>
                      <w:bCs/>
                      <w:color w:val="auto"/>
                      <w:kern w:val="0"/>
                      <w:sz w:val="21"/>
                      <w:szCs w:val="21"/>
                      <w:lang w:val="en-US" w:eastAsia="zh-CN" w:bidi="ar"/>
                    </w:rPr>
                    <w:t>，m</w:t>
                  </w:r>
                </w:p>
              </w:tc>
              <w:tc>
                <w:tcPr>
                  <w:tcW w:w="1702" w:type="dxa"/>
                  <w:tcBorders>
                    <w:tl2br w:val="nil"/>
                    <w:tr2bl w:val="nil"/>
                  </w:tcBorders>
                  <w:vAlign w:val="center"/>
                </w:tcPr>
                <w:p w14:paraId="36815C08">
                  <w:pPr>
                    <w:keepNext w:val="0"/>
                    <w:keepLines w:val="0"/>
                    <w:widowControl/>
                    <w:suppressLineNumbers w:val="0"/>
                    <w:jc w:val="center"/>
                    <w:rPr>
                      <w:b/>
                      <w:bCs/>
                      <w:color w:val="auto"/>
                      <w:sz w:val="21"/>
                      <w:szCs w:val="21"/>
                      <w:vertAlign w:val="baseline"/>
                    </w:rPr>
                  </w:pPr>
                  <w:r>
                    <w:rPr>
                      <w:rFonts w:hint="eastAsia" w:ascii="宋体" w:hAnsi="宋体" w:eastAsia="宋体" w:cs="宋体"/>
                      <w:b/>
                      <w:bCs/>
                      <w:color w:val="auto"/>
                      <w:kern w:val="0"/>
                      <w:sz w:val="21"/>
                      <w:szCs w:val="21"/>
                      <w:lang w:val="en-US" w:eastAsia="zh-CN" w:bidi="ar"/>
                    </w:rPr>
                    <w:t>保护级别</w:t>
                  </w:r>
                </w:p>
              </w:tc>
            </w:tr>
            <w:tr w14:paraId="3792CB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3" w:type="dxa"/>
                  <w:tcBorders>
                    <w:tl2br w:val="nil"/>
                    <w:tr2bl w:val="nil"/>
                  </w:tcBorders>
                  <w:vAlign w:val="center"/>
                </w:tcPr>
                <w:p w14:paraId="148459B4">
                  <w:pPr>
                    <w:numPr>
                      <w:ilvl w:val="0"/>
                      <w:numId w:val="0"/>
                    </w:numPr>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地下水</w:t>
                  </w:r>
                </w:p>
              </w:tc>
              <w:tc>
                <w:tcPr>
                  <w:tcW w:w="2450" w:type="dxa"/>
                  <w:tcBorders>
                    <w:tl2br w:val="nil"/>
                    <w:tr2bl w:val="nil"/>
                  </w:tcBorders>
                  <w:vAlign w:val="center"/>
                </w:tcPr>
                <w:p w14:paraId="25C879FC">
                  <w:pPr>
                    <w:numPr>
                      <w:ilvl w:val="0"/>
                      <w:numId w:val="0"/>
                    </w:numPr>
                    <w:jc w:val="center"/>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北京金桥科技产业基地水厂1号水源井</w:t>
                  </w:r>
                </w:p>
              </w:tc>
              <w:tc>
                <w:tcPr>
                  <w:tcW w:w="993" w:type="dxa"/>
                  <w:tcBorders>
                    <w:tl2br w:val="nil"/>
                    <w:tr2bl w:val="nil"/>
                  </w:tcBorders>
                  <w:vAlign w:val="center"/>
                </w:tcPr>
                <w:p w14:paraId="6CDCC82C">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东南</w:t>
                  </w:r>
                </w:p>
              </w:tc>
              <w:tc>
                <w:tcPr>
                  <w:tcW w:w="1374" w:type="dxa"/>
                  <w:tcBorders>
                    <w:tl2br w:val="nil"/>
                    <w:tr2bl w:val="nil"/>
                  </w:tcBorders>
                  <w:vAlign w:val="center"/>
                </w:tcPr>
                <w:p w14:paraId="2FB1E16B">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约490</w:t>
                  </w:r>
                </w:p>
              </w:tc>
              <w:tc>
                <w:tcPr>
                  <w:tcW w:w="1702" w:type="dxa"/>
                  <w:tcBorders>
                    <w:tl2br w:val="nil"/>
                    <w:tr2bl w:val="nil"/>
                  </w:tcBorders>
                  <w:vAlign w:val="center"/>
                </w:tcPr>
                <w:p w14:paraId="0AB65EBB">
                  <w:pPr>
                    <w:numPr>
                      <w:ilvl w:val="0"/>
                      <w:numId w:val="0"/>
                    </w:numPr>
                    <w:jc w:val="center"/>
                    <w:rPr>
                      <w:b w:val="0"/>
                      <w:bCs w:val="0"/>
                      <w:color w:val="auto"/>
                      <w:sz w:val="21"/>
                      <w:szCs w:val="21"/>
                      <w:vertAlign w:val="baseline"/>
                    </w:rPr>
                  </w:pPr>
                  <w:r>
                    <w:rPr>
                      <w:rFonts w:hint="default" w:ascii="Times New Roman" w:hAnsi="Times New Roman" w:eastAsia="宋体" w:cs="Times New Roman"/>
                      <w:color w:val="auto"/>
                      <w:sz w:val="21"/>
                      <w:szCs w:val="21"/>
                      <w:highlight w:val="none"/>
                      <w:vertAlign w:val="baseline"/>
                      <w:lang w:val="en-US" w:eastAsia="zh-CN"/>
                    </w:rPr>
                    <w:t>水源井周围30m一级保护区</w:t>
                  </w:r>
                </w:p>
              </w:tc>
            </w:tr>
          </w:tbl>
          <w:p w14:paraId="25CA5E73">
            <w:pPr>
              <w:pStyle w:val="20"/>
              <w:numPr>
                <w:ilvl w:val="0"/>
                <w:numId w:val="21"/>
              </w:numPr>
              <w:adjustRightInd w:val="0"/>
              <w:snapToGrid w:val="0"/>
              <w:spacing w:before="0" w:beforeAutospacing="0" w:after="0" w:afterAutospacing="0" w:line="360" w:lineRule="auto"/>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szCs w:val="24"/>
                <w:highlight w:val="none"/>
              </w:rPr>
              <w:t>生态环境</w:t>
            </w:r>
          </w:p>
          <w:p w14:paraId="717D9936">
            <w:pPr>
              <w:autoSpaceDE w:val="0"/>
              <w:autoSpaceDN w:val="0"/>
              <w:adjustRightInd w:val="0"/>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本项目租用园区内现有房屋，不新增建设用地，</w:t>
            </w:r>
            <w:r>
              <w:rPr>
                <w:rFonts w:hint="eastAsia" w:cs="Times New Roman"/>
                <w:color w:val="auto"/>
                <w:sz w:val="24"/>
                <w:szCs w:val="32"/>
                <w:highlight w:val="none"/>
                <w:lang w:val="en-US" w:eastAsia="zh-CN"/>
              </w:rPr>
              <w:t>无生态环境保护目标</w:t>
            </w:r>
            <w:r>
              <w:rPr>
                <w:rFonts w:hint="default" w:ascii="Times New Roman" w:hAnsi="Times New Roman" w:eastAsia="宋体" w:cs="Times New Roman"/>
                <w:color w:val="auto"/>
                <w:sz w:val="24"/>
                <w:szCs w:val="32"/>
                <w:highlight w:val="none"/>
              </w:rPr>
              <w:t>。</w:t>
            </w:r>
          </w:p>
        </w:tc>
      </w:tr>
      <w:tr w14:paraId="0B225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800" w:type="dxa"/>
            <w:tcMar>
              <w:left w:w="28" w:type="dxa"/>
              <w:right w:w="28" w:type="dxa"/>
            </w:tcMar>
            <w:vAlign w:val="center"/>
          </w:tcPr>
          <w:p w14:paraId="5E2B765B">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污染物排放控</w:t>
            </w:r>
          </w:p>
          <w:p w14:paraId="446860F8">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制标准</w:t>
            </w:r>
          </w:p>
        </w:tc>
        <w:tc>
          <w:tcPr>
            <w:tcW w:w="8147" w:type="dxa"/>
            <w:vAlign w:val="center"/>
          </w:tcPr>
          <w:p w14:paraId="4725D350">
            <w:pPr>
              <w:pStyle w:val="6"/>
              <w:adjustRightInd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1、废气</w:t>
            </w:r>
          </w:p>
          <w:p w14:paraId="1B064D53">
            <w:pPr>
              <w:pStyle w:val="6"/>
              <w:adjustRightInd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w:t>
            </w:r>
            <w:r>
              <w:rPr>
                <w:rFonts w:hint="eastAsia" w:eastAsia="宋体" w:cs="Times New Roman"/>
                <w:color w:val="auto"/>
                <w:sz w:val="24"/>
                <w:szCs w:val="24"/>
                <w:highlight w:val="none"/>
                <w:lang w:val="en-US" w:eastAsia="zh-CN"/>
              </w:rPr>
              <w:t>研发生产</w:t>
            </w:r>
            <w:r>
              <w:rPr>
                <w:rFonts w:hint="eastAsia" w:ascii="Times New Roman" w:hAnsi="Times New Roman" w:eastAsia="宋体" w:cs="Times New Roman"/>
                <w:color w:val="auto"/>
                <w:sz w:val="24"/>
                <w:szCs w:val="24"/>
                <w:highlight w:val="none"/>
                <w:lang w:val="en-US" w:eastAsia="zh-CN"/>
              </w:rPr>
              <w:t>过程不使用涉及挥发性有机物的原辅料，工作台面</w:t>
            </w:r>
            <w:r>
              <w:rPr>
                <w:rFonts w:hint="eastAsia" w:eastAsia="宋体" w:cs="Times New Roman"/>
                <w:color w:val="auto"/>
                <w:sz w:val="24"/>
                <w:szCs w:val="24"/>
                <w:highlight w:val="none"/>
                <w:lang w:val="en-US" w:eastAsia="zh-CN"/>
              </w:rPr>
              <w:t>及手部</w:t>
            </w:r>
            <w:r>
              <w:rPr>
                <w:rFonts w:hint="eastAsia" w:ascii="Times New Roman" w:hAnsi="Times New Roman" w:eastAsia="宋体" w:cs="Times New Roman"/>
                <w:color w:val="auto"/>
                <w:sz w:val="24"/>
                <w:szCs w:val="24"/>
                <w:highlight w:val="none"/>
                <w:lang w:val="en-US" w:eastAsia="zh-CN"/>
              </w:rPr>
              <w:t>用酒精消毒，乙醇挥发会产生挥发性有机物（以非甲烷总烃计）。项目乙醇使用量较少，消毒产生的挥发性有机物以无组织形式排放。执行标准见下表。</w:t>
            </w:r>
          </w:p>
          <w:p w14:paraId="4369C000">
            <w:pPr>
              <w:numPr>
                <w:ilvl w:val="0"/>
                <w:numId w:val="19"/>
              </w:numPr>
              <w:jc w:val="center"/>
              <w:rPr>
                <w:rFonts w:hint="default"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项目废气执行标准</w:t>
            </w:r>
          </w:p>
          <w:tbl>
            <w:tblPr>
              <w:tblStyle w:val="24"/>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388"/>
              <w:gridCol w:w="1495"/>
              <w:gridCol w:w="3791"/>
            </w:tblGrid>
            <w:tr w14:paraId="6CE64B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tcBorders>
                    <w:tl2br w:val="nil"/>
                    <w:tr2bl w:val="nil"/>
                  </w:tcBorders>
                  <w:vAlign w:val="center"/>
                </w:tcPr>
                <w:p w14:paraId="50737E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排放形式</w:t>
                  </w:r>
                </w:p>
              </w:tc>
              <w:tc>
                <w:tcPr>
                  <w:tcW w:w="1388" w:type="dxa"/>
                  <w:tcBorders>
                    <w:tl2br w:val="nil"/>
                    <w:tr2bl w:val="nil"/>
                  </w:tcBorders>
                  <w:vAlign w:val="center"/>
                </w:tcPr>
                <w:p w14:paraId="3ED9B6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污染物</w:t>
                  </w:r>
                </w:p>
              </w:tc>
              <w:tc>
                <w:tcPr>
                  <w:tcW w:w="1495" w:type="dxa"/>
                  <w:tcBorders>
                    <w:tl2br w:val="nil"/>
                    <w:tr2bl w:val="nil"/>
                  </w:tcBorders>
                  <w:vAlign w:val="center"/>
                </w:tcPr>
                <w:p w14:paraId="3ACBE4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标准限值</w:t>
                  </w:r>
                </w:p>
              </w:tc>
              <w:tc>
                <w:tcPr>
                  <w:tcW w:w="3791" w:type="dxa"/>
                  <w:tcBorders>
                    <w:tl2br w:val="nil"/>
                    <w:tr2bl w:val="nil"/>
                  </w:tcBorders>
                  <w:vAlign w:val="center"/>
                </w:tcPr>
                <w:p w14:paraId="508595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执行标准</w:t>
                  </w:r>
                </w:p>
              </w:tc>
            </w:tr>
            <w:tr w14:paraId="166ABF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tcBorders>
                    <w:tl2br w:val="nil"/>
                    <w:tr2bl w:val="nil"/>
                  </w:tcBorders>
                  <w:vAlign w:val="center"/>
                </w:tcPr>
                <w:p w14:paraId="0B1E6B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无组织</w:t>
                  </w:r>
                </w:p>
              </w:tc>
              <w:tc>
                <w:tcPr>
                  <w:tcW w:w="1388" w:type="dxa"/>
                  <w:tcBorders>
                    <w:tl2br w:val="nil"/>
                    <w:tr2bl w:val="nil"/>
                  </w:tcBorders>
                  <w:vAlign w:val="center"/>
                </w:tcPr>
                <w:p w14:paraId="1024E5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非甲烷总烃</w:t>
                  </w:r>
                </w:p>
              </w:tc>
              <w:tc>
                <w:tcPr>
                  <w:tcW w:w="1495" w:type="dxa"/>
                  <w:tcBorders>
                    <w:tl2br w:val="nil"/>
                    <w:tr2bl w:val="nil"/>
                  </w:tcBorders>
                  <w:vAlign w:val="center"/>
                </w:tcPr>
                <w:p w14:paraId="4CC74E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1.0mg/m</w:t>
                  </w:r>
                  <w:r>
                    <w:rPr>
                      <w:rFonts w:hint="eastAsia"/>
                      <w:color w:val="auto"/>
                      <w:sz w:val="21"/>
                      <w:szCs w:val="21"/>
                      <w:vertAlign w:val="superscript"/>
                      <w:lang w:val="en-US" w:eastAsia="zh-CN"/>
                    </w:rPr>
                    <w:t>3</w:t>
                  </w:r>
                </w:p>
              </w:tc>
              <w:tc>
                <w:tcPr>
                  <w:tcW w:w="3791" w:type="dxa"/>
                  <w:tcBorders>
                    <w:tl2br w:val="nil"/>
                    <w:tr2bl w:val="nil"/>
                  </w:tcBorders>
                  <w:vAlign w:val="center"/>
                </w:tcPr>
                <w:p w14:paraId="694FB0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《大气污染物综合排放标准》DB11/501-2017中“表3生产工艺废气及其他废气大气污染物排放限值-单位周界无组织排放监控点浓度限值”</w:t>
                  </w:r>
                </w:p>
              </w:tc>
            </w:tr>
          </w:tbl>
          <w:p w14:paraId="5CFA7DFC">
            <w:pPr>
              <w:pStyle w:val="6"/>
              <w:adjustRightInd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eastAsia" w:eastAsia="宋体" w:cs="Times New Roman"/>
                <w:b/>
                <w:bCs/>
                <w:color w:val="auto"/>
                <w:sz w:val="24"/>
                <w:szCs w:val="24"/>
                <w:highlight w:val="none"/>
                <w:lang w:val="en-US" w:eastAsia="zh-CN"/>
              </w:rPr>
              <w:t>废水</w:t>
            </w:r>
          </w:p>
          <w:p w14:paraId="10C013F3">
            <w:pPr>
              <w:pStyle w:val="6"/>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本项目废水最终排入</w:t>
            </w:r>
            <w:r>
              <w:rPr>
                <w:rFonts w:hint="eastAsia" w:cs="Times New Roman"/>
                <w:color w:val="auto"/>
                <w:sz w:val="24"/>
                <w:szCs w:val="24"/>
                <w:highlight w:val="none"/>
                <w:lang w:eastAsia="zh-CN"/>
              </w:rPr>
              <w:t>金桥基地第一污水处理厂</w:t>
            </w:r>
            <w:r>
              <w:rPr>
                <w:rFonts w:hint="default" w:ascii="Times New Roman" w:hAnsi="Times New Roman" w:eastAsia="宋体" w:cs="Times New Roman"/>
                <w:color w:val="auto"/>
                <w:sz w:val="24"/>
                <w:szCs w:val="24"/>
                <w:highlight w:val="none"/>
              </w:rPr>
              <w:t>，根据北京市《水污染物综合排放标准》（DB11/307-2013）中的规定，水污染物排放执行</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排入公共污水处理系统的水污染物排放限值</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。具体限值见下表。</w:t>
            </w:r>
          </w:p>
          <w:p w14:paraId="33CA1E3B">
            <w:pPr>
              <w:numPr>
                <w:ilvl w:val="0"/>
                <w:numId w:val="19"/>
              </w:num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sz w:val="24"/>
                <w:highlight w:val="none"/>
              </w:rPr>
              <w:t xml:space="preserve"> 排入公共污水处理系统的水污染物排放限值</w:t>
            </w:r>
            <w:r>
              <w:rPr>
                <w:rFonts w:hint="default" w:ascii="Times New Roman" w:hAnsi="Times New Roman" w:eastAsia="宋体" w:cs="Times New Roman"/>
                <w:b/>
                <w:bCs/>
                <w:color w:val="auto"/>
                <w:sz w:val="24"/>
                <w:highlight w:val="none"/>
              </w:rPr>
              <w:t>（摘录）</w:t>
            </w:r>
          </w:p>
          <w:tbl>
            <w:tblPr>
              <w:tblStyle w:val="23"/>
              <w:tblW w:w="4853"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3283"/>
              <w:gridCol w:w="3059"/>
            </w:tblGrid>
            <w:tr w14:paraId="0E6CC0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blHeader/>
                <w:jc w:val="center"/>
              </w:trPr>
              <w:tc>
                <w:tcPr>
                  <w:tcW w:w="880" w:type="pct"/>
                  <w:tcBorders>
                    <w:tl2br w:val="nil"/>
                    <w:tr2bl w:val="nil"/>
                  </w:tcBorders>
                  <w:vAlign w:val="center"/>
                </w:tcPr>
                <w:p w14:paraId="6BF685D0">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序号</w:t>
                  </w:r>
                </w:p>
              </w:tc>
              <w:tc>
                <w:tcPr>
                  <w:tcW w:w="2132" w:type="pct"/>
                  <w:tcBorders>
                    <w:tl2br w:val="nil"/>
                    <w:tr2bl w:val="nil"/>
                  </w:tcBorders>
                  <w:vAlign w:val="center"/>
                </w:tcPr>
                <w:p w14:paraId="6B78683B">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污染物或项目名称</w:t>
                  </w:r>
                </w:p>
              </w:tc>
              <w:tc>
                <w:tcPr>
                  <w:tcW w:w="1986" w:type="pct"/>
                  <w:tcBorders>
                    <w:tl2br w:val="nil"/>
                    <w:tr2bl w:val="nil"/>
                  </w:tcBorders>
                  <w:vAlign w:val="center"/>
                </w:tcPr>
                <w:p w14:paraId="0543A064">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排放限值（</w:t>
                  </w:r>
                  <w:r>
                    <w:rPr>
                      <w:rFonts w:hint="default" w:ascii="Times New Roman" w:hAnsi="Times New Roman" w:eastAsia="宋体" w:cs="Times New Roman"/>
                      <w:b/>
                      <w:bCs/>
                      <w:color w:val="auto"/>
                      <w:sz w:val="24"/>
                      <w:highlight w:val="none"/>
                    </w:rPr>
                    <w:t>mg/L</w:t>
                  </w:r>
                  <w:r>
                    <w:rPr>
                      <w:rFonts w:hint="default" w:ascii="Times New Roman" w:hAnsi="Times New Roman" w:eastAsia="宋体" w:cs="Times New Roman"/>
                      <w:b/>
                      <w:color w:val="auto"/>
                      <w:szCs w:val="21"/>
                      <w:highlight w:val="none"/>
                    </w:rPr>
                    <w:t>）</w:t>
                  </w:r>
                </w:p>
              </w:tc>
            </w:tr>
            <w:tr w14:paraId="249EC7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blHeader/>
                <w:jc w:val="center"/>
              </w:trPr>
              <w:tc>
                <w:tcPr>
                  <w:tcW w:w="880" w:type="pct"/>
                  <w:tcBorders>
                    <w:tl2br w:val="nil"/>
                    <w:tr2bl w:val="nil"/>
                  </w:tcBorders>
                  <w:vAlign w:val="center"/>
                </w:tcPr>
                <w:p w14:paraId="7D283DA1">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2132" w:type="pct"/>
                  <w:tcBorders>
                    <w:tl2br w:val="nil"/>
                    <w:tr2bl w:val="nil"/>
                  </w:tcBorders>
                  <w:vAlign w:val="center"/>
                </w:tcPr>
                <w:p w14:paraId="0BD13DB5">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pH</w:t>
                  </w:r>
                  <w:r>
                    <w:rPr>
                      <w:rFonts w:hint="default" w:ascii="Times New Roman" w:hAnsi="Times New Roman" w:eastAsia="宋体" w:cs="Times New Roman"/>
                      <w:color w:val="auto"/>
                      <w:szCs w:val="21"/>
                      <w:highlight w:val="none"/>
                    </w:rPr>
                    <w:t>（无量纲）</w:t>
                  </w:r>
                </w:p>
              </w:tc>
              <w:tc>
                <w:tcPr>
                  <w:tcW w:w="1986" w:type="pct"/>
                  <w:tcBorders>
                    <w:tl2br w:val="nil"/>
                    <w:tr2bl w:val="nil"/>
                  </w:tcBorders>
                  <w:vAlign w:val="center"/>
                </w:tcPr>
                <w:p w14:paraId="7538F1BD">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6.5～9</w:t>
                  </w:r>
                </w:p>
              </w:tc>
            </w:tr>
            <w:tr w14:paraId="162494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tblHeader/>
                <w:jc w:val="center"/>
              </w:trPr>
              <w:tc>
                <w:tcPr>
                  <w:tcW w:w="880" w:type="pct"/>
                  <w:tcBorders>
                    <w:tl2br w:val="nil"/>
                    <w:tr2bl w:val="nil"/>
                  </w:tcBorders>
                  <w:vAlign w:val="center"/>
                </w:tcPr>
                <w:p w14:paraId="7A4D3DA7">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2132" w:type="pct"/>
                  <w:tcBorders>
                    <w:tl2br w:val="nil"/>
                    <w:tr2bl w:val="nil"/>
                  </w:tcBorders>
                  <w:vAlign w:val="center"/>
                </w:tcPr>
                <w:p w14:paraId="0043241C">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悬浮物</w:t>
                  </w:r>
                </w:p>
              </w:tc>
              <w:tc>
                <w:tcPr>
                  <w:tcW w:w="1986" w:type="pct"/>
                  <w:tcBorders>
                    <w:tl2br w:val="nil"/>
                    <w:tr2bl w:val="nil"/>
                  </w:tcBorders>
                  <w:vAlign w:val="center"/>
                </w:tcPr>
                <w:p w14:paraId="2ACD0424">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r>
            <w:tr w14:paraId="6A71B9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blHeader/>
                <w:jc w:val="center"/>
              </w:trPr>
              <w:tc>
                <w:tcPr>
                  <w:tcW w:w="880" w:type="pct"/>
                  <w:tcBorders>
                    <w:tl2br w:val="nil"/>
                    <w:tr2bl w:val="nil"/>
                  </w:tcBorders>
                  <w:vAlign w:val="center"/>
                </w:tcPr>
                <w:p w14:paraId="1470154B">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2132" w:type="pct"/>
                  <w:tcBorders>
                    <w:tl2br w:val="nil"/>
                    <w:tr2bl w:val="nil"/>
                  </w:tcBorders>
                  <w:vAlign w:val="center"/>
                </w:tcPr>
                <w:p w14:paraId="2AED8F67">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五日生化需氧量</w:t>
                  </w:r>
                </w:p>
              </w:tc>
              <w:tc>
                <w:tcPr>
                  <w:tcW w:w="1986" w:type="pct"/>
                  <w:tcBorders>
                    <w:tl2br w:val="nil"/>
                    <w:tr2bl w:val="nil"/>
                  </w:tcBorders>
                  <w:vAlign w:val="center"/>
                </w:tcPr>
                <w:p w14:paraId="76A31BE3">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300</w:t>
                  </w:r>
                </w:p>
              </w:tc>
            </w:tr>
            <w:tr w14:paraId="239EEE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880" w:type="pct"/>
                  <w:tcBorders>
                    <w:tl2br w:val="nil"/>
                    <w:tr2bl w:val="nil"/>
                  </w:tcBorders>
                  <w:vAlign w:val="center"/>
                </w:tcPr>
                <w:p w14:paraId="27E6E614">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2132" w:type="pct"/>
                  <w:tcBorders>
                    <w:tl2br w:val="nil"/>
                    <w:tr2bl w:val="nil"/>
                  </w:tcBorders>
                  <w:vAlign w:val="center"/>
                </w:tcPr>
                <w:p w14:paraId="60156109">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化学需氧量</w:t>
                  </w:r>
                </w:p>
              </w:tc>
              <w:tc>
                <w:tcPr>
                  <w:tcW w:w="1986" w:type="pct"/>
                  <w:tcBorders>
                    <w:tl2br w:val="nil"/>
                    <w:tr2bl w:val="nil"/>
                  </w:tcBorders>
                  <w:vAlign w:val="center"/>
                </w:tcPr>
                <w:p w14:paraId="2F3872F5">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500</w:t>
                  </w:r>
                </w:p>
              </w:tc>
            </w:tr>
            <w:tr w14:paraId="15263D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blHeader/>
                <w:jc w:val="center"/>
              </w:trPr>
              <w:tc>
                <w:tcPr>
                  <w:tcW w:w="880" w:type="pct"/>
                  <w:tcBorders>
                    <w:tl2br w:val="nil"/>
                    <w:tr2bl w:val="nil"/>
                  </w:tcBorders>
                  <w:vAlign w:val="center"/>
                </w:tcPr>
                <w:p w14:paraId="2340F6B5">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2132" w:type="pct"/>
                  <w:tcBorders>
                    <w:tl2br w:val="nil"/>
                    <w:tr2bl w:val="nil"/>
                  </w:tcBorders>
                  <w:vAlign w:val="center"/>
                </w:tcPr>
                <w:p w14:paraId="0E4533DB">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氨氮</w:t>
                  </w:r>
                </w:p>
              </w:tc>
              <w:tc>
                <w:tcPr>
                  <w:tcW w:w="1986" w:type="pct"/>
                  <w:tcBorders>
                    <w:tl2br w:val="nil"/>
                    <w:tr2bl w:val="nil"/>
                  </w:tcBorders>
                  <w:vAlign w:val="center"/>
                </w:tcPr>
                <w:p w14:paraId="0FE31195">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45</w:t>
                  </w:r>
                </w:p>
              </w:tc>
            </w:tr>
            <w:tr w14:paraId="5851CB0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blHeader/>
                <w:jc w:val="center"/>
              </w:trPr>
              <w:tc>
                <w:tcPr>
                  <w:tcW w:w="880" w:type="pct"/>
                  <w:tcBorders>
                    <w:tl2br w:val="nil"/>
                    <w:tr2bl w:val="nil"/>
                  </w:tcBorders>
                  <w:vAlign w:val="center"/>
                </w:tcPr>
                <w:p w14:paraId="34B33647">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w:t>
                  </w:r>
                </w:p>
              </w:tc>
              <w:tc>
                <w:tcPr>
                  <w:tcW w:w="2132" w:type="pct"/>
                  <w:tcBorders>
                    <w:tl2br w:val="nil"/>
                    <w:tr2bl w:val="nil"/>
                  </w:tcBorders>
                  <w:vAlign w:val="center"/>
                </w:tcPr>
                <w:p w14:paraId="57EEE4A5">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可溶性固体总量</w:t>
                  </w:r>
                </w:p>
              </w:tc>
              <w:tc>
                <w:tcPr>
                  <w:tcW w:w="1986" w:type="pct"/>
                  <w:tcBorders>
                    <w:tl2br w:val="nil"/>
                    <w:tr2bl w:val="nil"/>
                  </w:tcBorders>
                  <w:vAlign w:val="center"/>
                </w:tcPr>
                <w:p w14:paraId="1AEACD2C">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1600</w:t>
                  </w:r>
                </w:p>
              </w:tc>
            </w:tr>
          </w:tbl>
          <w:p w14:paraId="0C928397">
            <w:pPr>
              <w:pStyle w:val="6"/>
              <w:adjustRightInd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噪声</w:t>
            </w:r>
          </w:p>
          <w:p w14:paraId="5FD6F046">
            <w:pPr>
              <w:pStyle w:val="6"/>
              <w:adjustRightInd w:val="0"/>
              <w:snapToGrid w:val="0"/>
              <w:spacing w:line="360" w:lineRule="auto"/>
              <w:ind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项目施工期厂界噪声排放标准执行《建筑施工场界环境噪声排放标准》（GB12523-20</w:t>
            </w:r>
            <w:r>
              <w:rPr>
                <w:rFonts w:hint="eastAsia" w:cs="Times New Roman"/>
                <w:color w:val="auto"/>
                <w:kern w:val="2"/>
                <w:sz w:val="24"/>
                <w:szCs w:val="24"/>
                <w:highlight w:val="none"/>
                <w:lang w:val="en-US" w:eastAsia="zh-CN" w:bidi="ar-SA"/>
              </w:rPr>
              <w:t>25</w:t>
            </w:r>
            <w:r>
              <w:rPr>
                <w:rFonts w:hint="default" w:ascii="Times New Roman" w:hAnsi="Times New Roman" w:eastAsia="宋体" w:cs="Times New Roman"/>
                <w:color w:val="auto"/>
                <w:kern w:val="2"/>
                <w:sz w:val="24"/>
                <w:szCs w:val="24"/>
                <w:highlight w:val="none"/>
                <w:lang w:val="en-US" w:eastAsia="zh-CN" w:bidi="ar-SA"/>
              </w:rPr>
              <w:t>）中标准限值。</w:t>
            </w:r>
          </w:p>
          <w:p w14:paraId="77EDFC02">
            <w:pPr>
              <w:pStyle w:val="6"/>
              <w:adjustRightInd w:val="0"/>
              <w:snapToGrid w:val="0"/>
              <w:spacing w:line="360" w:lineRule="auto"/>
              <w:ind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项目边界运营期厂界噪声执行《工业企业厂界环境噪声排放标准》（GB12348-2008）中规定的3类标准要求，具体标准值详见下表。</w:t>
            </w:r>
          </w:p>
          <w:p w14:paraId="7A9D1F44">
            <w:pPr>
              <w:numPr>
                <w:ilvl w:val="0"/>
                <w:numId w:val="19"/>
              </w:num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本项目噪声排放标准 单位：dB（A）</w:t>
            </w:r>
          </w:p>
          <w:tbl>
            <w:tblPr>
              <w:tblStyle w:val="23"/>
              <w:tblW w:w="4766"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1265"/>
              <w:gridCol w:w="3082"/>
              <w:gridCol w:w="3214"/>
            </w:tblGrid>
            <w:tr w14:paraId="11895B3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552" w:hRule="atLeast"/>
                <w:jc w:val="center"/>
              </w:trPr>
              <w:tc>
                <w:tcPr>
                  <w:tcW w:w="2874" w:type="pct"/>
                  <w:gridSpan w:val="2"/>
                  <w:tcBorders>
                    <w:tl2br w:val="nil"/>
                    <w:tr2bl w:val="nil"/>
                  </w:tcBorders>
                  <mc:AlternateContent>
                    <mc:Choice Requires="wpsCustomData">
                      <wpsCustomData:diagonals>
                        <wpsCustomData:diagonal from="10000" to="30000">
                          <wpsCustomData:border w:val="single" w:color="000000" w:sz="4" w:space="0"/>
                        </wpsCustomData:diagonal>
                      </wpsCustomData:diagonals>
                    </mc:Choice>
                  </mc:AlternateContent>
                </w:tcPr>
                <w:p w14:paraId="78C568AA">
                  <w:pPr>
                    <w:ind w:right="42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lang w:val="en-US" w:eastAsia="zh-CN"/>
                    </w:rPr>
                    <w:t xml:space="preserve">     </w:t>
                  </w:r>
                  <w:r>
                    <w:rPr>
                      <w:rFonts w:hint="eastAsia" w:cs="Times New Roman"/>
                      <w:b/>
                      <w:color w:val="auto"/>
                      <w:szCs w:val="21"/>
                      <w:highlight w:val="none"/>
                      <w:lang w:val="en-US" w:eastAsia="zh-CN"/>
                    </w:rPr>
                    <w:t xml:space="preserve">        </w:t>
                  </w:r>
                </w:p>
                <w:p w14:paraId="484D306D">
                  <w:pPr>
                    <w:snapToGrid w:val="0"/>
                    <w:spacing w:line="240" w:lineRule="auto"/>
                    <w:ind w:firstLine="422" w:firstLineChars="200"/>
                    <w:jc w:val="left"/>
                    <mc:AlternateContent>
                      <mc:Choice Requires="wpsCustomData">
                        <wpsCustomData:diagonalParaType/>
                      </mc:Choice>
                    </mc:AlternateContent>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项目阶段</w:t>
                  </w:r>
                </w:p>
                <w:p w14:paraId="6F63C732">
                  <w:pPr>
                    <w:ind w:firstLine="1054" w:firstLineChars="500"/>
                    <w:jc w:val="left"/>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时段</w:t>
                  </w:r>
                </w:p>
              </w:tc>
              <w:tc>
                <w:tcPr>
                  <w:tcW w:w="2125" w:type="pct"/>
                  <w:tcBorders>
                    <w:tl2br w:val="nil"/>
                    <w:tr2bl w:val="nil"/>
                  </w:tcBorders>
                  <w:vAlign w:val="center"/>
                </w:tcPr>
                <w:p w14:paraId="37AC2A69">
                  <w:pPr>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rPr>
                    <w:t>昼间</w:t>
                  </w:r>
                </w:p>
              </w:tc>
            </w:tr>
            <w:tr w14:paraId="2CF2AD5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195" w:hRule="atLeast"/>
                <w:jc w:val="center"/>
              </w:trPr>
              <w:tc>
                <w:tcPr>
                  <w:tcW w:w="2874" w:type="pct"/>
                  <w:gridSpan w:val="2"/>
                  <w:tcBorders>
                    <w:tl2br w:val="nil"/>
                    <w:tr2bl w:val="nil"/>
                  </w:tcBorders>
                  <w:vAlign w:val="center"/>
                </w:tcPr>
                <w:p w14:paraId="7AF89663">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施工期</w:t>
                  </w:r>
                </w:p>
              </w:tc>
              <w:tc>
                <w:tcPr>
                  <w:tcW w:w="2125" w:type="pct"/>
                  <w:tcBorders>
                    <w:tl2br w:val="nil"/>
                    <w:tr2bl w:val="nil"/>
                  </w:tcBorders>
                  <w:vAlign w:val="center"/>
                </w:tcPr>
                <w:p w14:paraId="72B0203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70</w:t>
                  </w:r>
                </w:p>
              </w:tc>
            </w:tr>
            <w:tr w14:paraId="31C4C92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195" w:hRule="atLeast"/>
                <w:jc w:val="center"/>
              </w:trPr>
              <w:tc>
                <w:tcPr>
                  <w:tcW w:w="836" w:type="pct"/>
                  <w:tcBorders>
                    <w:tl2br w:val="nil"/>
                    <w:tr2bl w:val="nil"/>
                  </w:tcBorders>
                  <w:vAlign w:val="center"/>
                </w:tcPr>
                <w:p w14:paraId="46B404C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运行期</w:t>
                  </w:r>
                </w:p>
              </w:tc>
              <w:tc>
                <w:tcPr>
                  <w:tcW w:w="2038" w:type="pct"/>
                  <w:tcBorders>
                    <w:tl2br w:val="nil"/>
                    <w:tr2bl w:val="nil"/>
                  </w:tcBorders>
                  <w:vAlign w:val="center"/>
                </w:tcPr>
                <w:p w14:paraId="455CB604">
                  <w:pPr>
                    <w:ind w:firstLine="210" w:firstLineChars="10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厂界东侧、南侧、西侧、北侧</w:t>
                  </w:r>
                </w:p>
              </w:tc>
              <w:tc>
                <w:tcPr>
                  <w:tcW w:w="2125" w:type="pct"/>
                  <w:tcBorders>
                    <w:tl2br w:val="nil"/>
                    <w:tr2bl w:val="nil"/>
                  </w:tcBorders>
                  <w:vAlign w:val="center"/>
                </w:tcPr>
                <w:p w14:paraId="5D069FF8">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65</w:t>
                  </w:r>
                </w:p>
              </w:tc>
            </w:tr>
            <w:tr w14:paraId="39E2138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195" w:hRule="atLeast"/>
                <w:jc w:val="center"/>
              </w:trPr>
              <w:tc>
                <w:tcPr>
                  <w:tcW w:w="5000" w:type="pct"/>
                  <w:gridSpan w:val="3"/>
                  <w:tcBorders>
                    <w:tl2br w:val="nil"/>
                    <w:tr2bl w:val="nil"/>
                  </w:tcBorders>
                  <w:vAlign w:val="center"/>
                </w:tcPr>
                <w:p w14:paraId="4183993D">
                  <w:pPr>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注：本项目施工期夜间不施工；运行期</w:t>
                  </w:r>
                  <w:r>
                    <w:rPr>
                      <w:rFonts w:hint="default" w:ascii="Times New Roman" w:hAnsi="Times New Roman" w:eastAsia="宋体" w:cs="Times New Roman"/>
                      <w:color w:val="auto"/>
                      <w:highlight w:val="none"/>
                      <w:lang w:val="en-US" w:eastAsia="zh-CN"/>
                    </w:rPr>
                    <w:t>夜间不</w:t>
                  </w:r>
                  <w:r>
                    <w:rPr>
                      <w:rFonts w:hint="default" w:ascii="Times New Roman" w:hAnsi="Times New Roman" w:eastAsia="宋体" w:cs="Times New Roman"/>
                      <w:color w:val="auto"/>
                      <w:highlight w:val="none"/>
                    </w:rPr>
                    <w:t>运行。</w:t>
                  </w:r>
                </w:p>
              </w:tc>
            </w:tr>
          </w:tbl>
          <w:p w14:paraId="36B4B485">
            <w:pPr>
              <w:pStyle w:val="6"/>
              <w:adjustRightInd w:val="0"/>
              <w:spacing w:line="360" w:lineRule="auto"/>
              <w:ind w:firstLine="482" w:firstLineChars="200"/>
              <w:rPr>
                <w:rFonts w:hint="default"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4</w:t>
            </w:r>
            <w:r>
              <w:rPr>
                <w:rFonts w:hint="default" w:eastAsia="宋体" w:cs="Times New Roman"/>
                <w:b/>
                <w:bCs/>
                <w:color w:val="auto"/>
                <w:sz w:val="24"/>
                <w:szCs w:val="24"/>
                <w:highlight w:val="none"/>
                <w:lang w:val="en-US" w:eastAsia="zh-CN"/>
              </w:rPr>
              <w:t>、固体废物</w:t>
            </w:r>
          </w:p>
          <w:p w14:paraId="4D7E26C3">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固体废物执行《中华人民共和国固体废物污染环境防治法》（2020年4月29日修订）中有关规定。</w:t>
            </w:r>
          </w:p>
          <w:p w14:paraId="7BA1D583">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（1）生活垃圾</w:t>
            </w:r>
          </w:p>
          <w:p w14:paraId="0A88F828">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执行《中华人民共和国固体废物污染环境防治法》（2020年版）及《北京市生活垃圾管理条例》（2020年5月1日起施行，2020年9月25日第二次修正）中的有关规定。</w:t>
            </w:r>
          </w:p>
          <w:p w14:paraId="43A4C9DB">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（2）一般工业固体废物</w:t>
            </w:r>
          </w:p>
          <w:p w14:paraId="23E0C0A9">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一般工业固体废物处置执行《中华人民共和国固体废物污染环境防治法》（2020年9月1日起施行）、《一般工业固体废物贮存和填埋污染控制标准》（GB18599-2020）中的有关规定。</w:t>
            </w:r>
          </w:p>
          <w:p w14:paraId="004BCEAB">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（3）危险废物</w:t>
            </w:r>
          </w:p>
          <w:p w14:paraId="77441D3B">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危险废物收集、储存、转运执行《北京市危险废物污染环境防治条例》、（2020年9月1日实施）、《危险废物收集贮存运输技术规范》（HJ2025-2012）、《危险废物贮存污染控制标准》（GB18597-2023）、《危险废物污染防治技术政策》（环发[2021]199号）</w:t>
            </w:r>
            <w:r>
              <w:rPr>
                <w:rFonts w:hint="eastAsia" w:cs="Times New Roman"/>
                <w:bCs/>
                <w:color w:val="auto"/>
                <w:sz w:val="24"/>
                <w:highlight w:val="none"/>
                <w:lang w:eastAsia="zh-CN"/>
              </w:rPr>
              <w:t>、</w:t>
            </w:r>
            <w:r>
              <w:rPr>
                <w:rFonts w:hint="default" w:ascii="Times New Roman" w:hAnsi="Times New Roman" w:eastAsia="宋体" w:cs="Times New Roman"/>
                <w:bCs/>
                <w:color w:val="auto"/>
                <w:sz w:val="24"/>
                <w:highlight w:val="none"/>
              </w:rPr>
              <w:t>《危险废物转移管理办法》（2022年1月1日起施行）中的有关规定。</w:t>
            </w:r>
          </w:p>
        </w:tc>
      </w:tr>
      <w:tr w14:paraId="02F92C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00" w:type="dxa"/>
            <w:tcMar>
              <w:left w:w="28" w:type="dxa"/>
              <w:right w:w="28" w:type="dxa"/>
            </w:tcMar>
            <w:vAlign w:val="center"/>
          </w:tcPr>
          <w:p w14:paraId="1A677B0F">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总量控制指标</w:t>
            </w:r>
          </w:p>
        </w:tc>
        <w:tc>
          <w:tcPr>
            <w:tcW w:w="8147" w:type="dxa"/>
            <w:vAlign w:val="center"/>
          </w:tcPr>
          <w:p w14:paraId="6FE04509">
            <w:pPr>
              <w:adjustRightIn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一、污染物排放总量控制原则</w:t>
            </w:r>
          </w:p>
          <w:p w14:paraId="66491CD1">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北京市环境保护局关于转发环境保护部《建设项目主要污染物排放总量指标审核及管理暂行办法》的通知（京环发〔2015〕19号）以及《北京市环境保护局关于建设项目主要污染物排放总量指标审核及管理的补充通知》（京环发〔2016〕24号），本市实施建设项目总量指标审核和管理的污染物范围包括：二氧化硫、氮氧化物、烟粉尘、挥发性有机物（工业及汽车维修行业）及化学需氧量、氨氮。</w:t>
            </w:r>
          </w:p>
          <w:p w14:paraId="6FF3A9E1">
            <w:pPr>
              <w:pStyle w:val="6"/>
              <w:adjustRightInd w:val="0"/>
              <w:snapToGrid w:val="0"/>
              <w:spacing w:line="360" w:lineRule="auto"/>
              <w:ind w:firstLine="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二、建设项目污染物排放总量核算</w:t>
            </w:r>
          </w:p>
          <w:p w14:paraId="7D0FF6E8">
            <w:pPr>
              <w:adjustRightInd w:val="0"/>
              <w:snapToGrid w:val="0"/>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本项目特点，本项目需要申请总量控制指标的污染物为：挥发性有机物、化学需氧量、氨氮。根据《北京市环境保护局关于建设项目主要污染物排放总量指标审核及管理的补充通知》（京环发[2016]24号）附件1，“为了使污染物源强的核算更接近实际的排放情况，在污染物源强的核算过程中优先使用实测法，类比分析法、物料衡算法及排放系数法次之。同时在核算过程中应选择不少于两种方法对污染物源强的产生进行核算，当核算的污染物排放总量差别较大时还应继续采用其他方法进行校验，以便得到更接近实际情况的排放量核算数据”。</w:t>
            </w:r>
          </w:p>
          <w:p w14:paraId="7086A554">
            <w:pPr>
              <w:adjustRightInd w:val="0"/>
              <w:snapToGrid w:val="0"/>
              <w:spacing w:line="360" w:lineRule="auto"/>
              <w:ind w:firstLine="482" w:firstLineChars="200"/>
              <w:jc w:val="left"/>
              <w:rPr>
                <w:rFonts w:hint="eastAsia" w:ascii="Times New Roman" w:hAnsi="Times New Roman" w:eastAsia="宋体" w:cs="Times New Roman"/>
                <w:b/>
                <w:bCs/>
                <w:color w:val="auto"/>
                <w:sz w:val="24"/>
                <w:highlight w:val="none"/>
                <w:lang w:val="en-US" w:eastAsia="zh-CN"/>
              </w:rPr>
            </w:pPr>
            <w:r>
              <w:rPr>
                <w:rFonts w:hint="eastAsia"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val="en-US" w:eastAsia="zh-CN"/>
              </w:rPr>
              <w:t>挥发性有机物</w:t>
            </w:r>
          </w:p>
          <w:p w14:paraId="0F685515">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本项目工作台面</w:t>
            </w:r>
            <w:r>
              <w:rPr>
                <w:rFonts w:hint="eastAsia" w:eastAsia="宋体" w:cs="Times New Roman"/>
                <w:color w:val="auto"/>
                <w:sz w:val="24"/>
                <w:highlight w:val="none"/>
                <w:lang w:val="en-US" w:eastAsia="zh-CN"/>
              </w:rPr>
              <w:t>及手部</w:t>
            </w:r>
            <w:r>
              <w:rPr>
                <w:rFonts w:hint="eastAsia" w:ascii="Times New Roman" w:hAnsi="Times New Roman" w:eastAsia="宋体" w:cs="Times New Roman"/>
                <w:color w:val="auto"/>
                <w:sz w:val="24"/>
                <w:highlight w:val="none"/>
              </w:rPr>
              <w:t>使用酒精消毒</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根据建设单位提供的资料，本项目台面消毒年使用</w:t>
            </w:r>
            <w:r>
              <w:rPr>
                <w:rFonts w:hint="eastAsia" w:eastAsia="宋体" w:cs="Times New Roman"/>
                <w:color w:val="auto"/>
                <w:sz w:val="24"/>
                <w:highlight w:val="none"/>
                <w:lang w:val="en-US" w:eastAsia="zh-CN"/>
              </w:rPr>
              <w:t>75%酒精</w:t>
            </w:r>
            <w:r>
              <w:rPr>
                <w:rFonts w:hint="eastAsia" w:ascii="Times New Roman" w:hAnsi="Times New Roman" w:eastAsia="宋体" w:cs="Times New Roman"/>
                <w:color w:val="auto"/>
                <w:sz w:val="24"/>
                <w:highlight w:val="none"/>
              </w:rPr>
              <w:t>5L</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密度0.</w:t>
            </w:r>
            <w:r>
              <w:rPr>
                <w:rFonts w:hint="eastAsia" w:eastAsia="宋体" w:cs="Times New Roman"/>
                <w:color w:val="auto"/>
                <w:sz w:val="24"/>
                <w:highlight w:val="none"/>
                <w:lang w:val="en-US" w:eastAsia="zh-CN"/>
              </w:rPr>
              <w:t>86</w:t>
            </w:r>
            <w:r>
              <w:rPr>
                <w:rFonts w:hint="eastAsia" w:ascii="Times New Roman" w:hAnsi="Times New Roman" w:eastAsia="宋体" w:cs="Times New Roman"/>
                <w:color w:val="auto"/>
                <w:sz w:val="24"/>
                <w:highlight w:val="none"/>
                <w:lang w:val="en-US" w:eastAsia="zh-CN"/>
              </w:rPr>
              <w:t>g/cm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，消毒过程乙醇全部挥发，则本项目挥发性有机物的排放量为0.00</w:t>
            </w:r>
            <w:r>
              <w:rPr>
                <w:rFonts w:hint="eastAsia" w:eastAsia="宋体" w:cs="Times New Roman"/>
                <w:color w:val="auto"/>
                <w:sz w:val="24"/>
                <w:highlight w:val="none"/>
                <w:lang w:val="en-US" w:eastAsia="zh-CN"/>
              </w:rPr>
              <w:t>32</w:t>
            </w:r>
            <w:r>
              <w:rPr>
                <w:rFonts w:hint="eastAsia" w:ascii="Times New Roman" w:hAnsi="Times New Roman" w:eastAsia="宋体" w:cs="Times New Roman"/>
                <w:color w:val="auto"/>
                <w:sz w:val="24"/>
                <w:highlight w:val="none"/>
              </w:rPr>
              <w:t>t/a。</w:t>
            </w:r>
            <w:r>
              <w:rPr>
                <w:rFonts w:hint="eastAsia" w:ascii="Times New Roman" w:hAnsi="Times New Roman" w:eastAsia="宋体" w:cs="Times New Roman"/>
                <w:color w:val="auto"/>
                <w:sz w:val="24"/>
                <w:highlight w:val="none"/>
                <w:lang w:val="en-US" w:eastAsia="zh-CN"/>
              </w:rPr>
              <w:t>由于乙醇在使用过程中全部挥发，污染物乙醇的源强是实际的排放量，不再使用第二种方法进行源强核算。</w:t>
            </w:r>
          </w:p>
          <w:p w14:paraId="4A3E67B9">
            <w:pPr>
              <w:adjustRightInd w:val="0"/>
              <w:snapToGrid w:val="0"/>
              <w:spacing w:line="360" w:lineRule="auto"/>
              <w:ind w:firstLine="482" w:firstLineChars="200"/>
              <w:jc w:val="left"/>
              <w:rPr>
                <w:rFonts w:hint="default" w:eastAsia="宋体" w:cs="Times New Roman"/>
                <w:b/>
                <w:bCs/>
                <w:color w:val="auto"/>
                <w:sz w:val="24"/>
                <w:highlight w:val="none"/>
                <w:lang w:val="en-US" w:eastAsia="zh-CN"/>
              </w:rPr>
            </w:pPr>
            <w:r>
              <w:rPr>
                <w:rFonts w:hint="eastAsia" w:eastAsia="宋体" w:cs="Times New Roman"/>
                <w:b/>
                <w:bCs/>
                <w:color w:val="auto"/>
                <w:sz w:val="24"/>
                <w:highlight w:val="none"/>
                <w:lang w:val="en-US" w:eastAsia="zh-CN"/>
              </w:rPr>
              <w:t>2、</w:t>
            </w:r>
            <w:r>
              <w:rPr>
                <w:rFonts w:hint="default" w:eastAsia="宋体" w:cs="Times New Roman"/>
                <w:b/>
                <w:bCs/>
                <w:color w:val="auto"/>
                <w:sz w:val="24"/>
                <w:highlight w:val="none"/>
                <w:lang w:val="en-US" w:eastAsia="zh-CN"/>
              </w:rPr>
              <w:t>水污染物总量核算</w:t>
            </w:r>
          </w:p>
          <w:p w14:paraId="618C58D5">
            <w:pPr>
              <w:pStyle w:val="6"/>
              <w:numPr>
                <w:ilvl w:val="0"/>
                <w:numId w:val="22"/>
              </w:num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排污系数法</w:t>
            </w:r>
          </w:p>
          <w:p w14:paraId="7A303A48">
            <w:pPr>
              <w:adjustRightInd w:val="0"/>
              <w:snapToGrid w:val="0"/>
              <w:spacing w:line="360" w:lineRule="auto"/>
              <w:ind w:firstLine="42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根据本报告</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四、主要环境影响和保护措施</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章节中废水源强核算结果，本项目COD</w:t>
            </w:r>
            <w:r>
              <w:rPr>
                <w:rFonts w:hint="default" w:ascii="Times New Roman" w:hAnsi="Times New Roman" w:eastAsia="宋体" w:cs="Times New Roman"/>
                <w:color w:val="auto"/>
                <w:sz w:val="24"/>
                <w:highlight w:val="none"/>
                <w:vertAlign w:val="subscript"/>
                <w:lang w:val="en-US" w:eastAsia="zh-CN"/>
              </w:rPr>
              <w:t>Cr</w:t>
            </w:r>
            <w:r>
              <w:rPr>
                <w:rFonts w:hint="default" w:ascii="Times New Roman" w:hAnsi="Times New Roman" w:eastAsia="宋体" w:cs="Times New Roman"/>
                <w:color w:val="auto"/>
                <w:sz w:val="24"/>
                <w:highlight w:val="none"/>
                <w:lang w:val="en-US" w:eastAsia="zh-CN"/>
              </w:rPr>
              <w:t>排放量为</w:t>
            </w:r>
            <w:r>
              <w:rPr>
                <w:rFonts w:hint="eastAsia" w:cs="Times New Roman"/>
                <w:color w:val="auto"/>
                <w:sz w:val="24"/>
                <w:highlight w:val="none"/>
                <w:lang w:val="en-US" w:eastAsia="zh-CN"/>
              </w:rPr>
              <w:t>0.0409</w:t>
            </w:r>
            <w:r>
              <w:rPr>
                <w:rFonts w:hint="default" w:ascii="Times New Roman" w:hAnsi="Times New Roman" w:eastAsia="宋体" w:cs="Times New Roman"/>
                <w:color w:val="auto"/>
                <w:sz w:val="24"/>
                <w:highlight w:val="none"/>
                <w:lang w:val="en-US" w:eastAsia="zh-CN"/>
              </w:rPr>
              <w:t>t/a，氨氮排放量为0.</w:t>
            </w:r>
            <w:r>
              <w:rPr>
                <w:rFonts w:hint="eastAsia" w:cs="Times New Roman"/>
                <w:color w:val="auto"/>
                <w:sz w:val="24"/>
                <w:highlight w:val="none"/>
                <w:lang w:val="en-US" w:eastAsia="zh-CN"/>
              </w:rPr>
              <w:t>0042</w:t>
            </w:r>
            <w:r>
              <w:rPr>
                <w:rFonts w:hint="default" w:ascii="Times New Roman" w:hAnsi="Times New Roman" w:eastAsia="宋体" w:cs="Times New Roman"/>
                <w:color w:val="auto"/>
                <w:sz w:val="24"/>
                <w:highlight w:val="none"/>
                <w:lang w:val="en-US" w:eastAsia="zh-CN"/>
              </w:rPr>
              <w:t>t/a。</w:t>
            </w:r>
          </w:p>
          <w:p w14:paraId="6989F43A">
            <w:pPr>
              <w:adjustRightInd w:val="0"/>
              <w:spacing w:line="360" w:lineRule="auto"/>
              <w:ind w:firstLine="480" w:firstLineChars="200"/>
              <w:textAlignment w:val="baseline"/>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（2）类比分析法</w:t>
            </w:r>
          </w:p>
          <w:p w14:paraId="4BF15397">
            <w:pPr>
              <w:snapToGrid w:val="0"/>
              <w:spacing w:line="360" w:lineRule="auto"/>
              <w:ind w:firstLine="480" w:firstLineChars="200"/>
              <w:jc w:val="left"/>
              <w:rPr>
                <w:bCs/>
                <w:color w:val="auto"/>
                <w:sz w:val="24"/>
              </w:rPr>
            </w:pPr>
            <w:r>
              <w:rPr>
                <w:rFonts w:hint="default" w:ascii="Times New Roman" w:hAnsi="Times New Roman" w:eastAsia="宋体" w:cs="Times New Roman"/>
                <w:color w:val="auto"/>
                <w:sz w:val="24"/>
                <w:highlight w:val="none"/>
                <w:lang w:val="en-US" w:eastAsia="zh-CN"/>
              </w:rPr>
              <w:t>本项目废水类比《北京巨源仁通医疗科技有限公司</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心血管介入类器械生产项目</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竣工环境保护验收监测报告表》中相关数据，该项目与本项目产生废水类别、排放方式类似，具有可类比性</w:t>
            </w:r>
            <w:r>
              <w:rPr>
                <w:rFonts w:hint="eastAsia" w:cs="Times New Roman"/>
                <w:color w:val="auto"/>
                <w:sz w:val="24"/>
                <w:highlight w:val="none"/>
                <w:lang w:val="en-US" w:eastAsia="zh-CN"/>
              </w:rPr>
              <w:t>，</w:t>
            </w:r>
            <w:r>
              <w:rPr>
                <w:rFonts w:hint="eastAsia"/>
                <w:color w:val="auto"/>
                <w:sz w:val="24"/>
              </w:rPr>
              <w:t>对比</w:t>
            </w:r>
            <w:r>
              <w:rPr>
                <w:rFonts w:hint="eastAsia"/>
                <w:color w:val="auto"/>
                <w:sz w:val="24"/>
                <w:lang w:val="en-US" w:eastAsia="zh-CN"/>
              </w:rPr>
              <w:t>情况</w:t>
            </w:r>
            <w:r>
              <w:rPr>
                <w:rFonts w:hint="eastAsia"/>
                <w:color w:val="auto"/>
                <w:sz w:val="24"/>
              </w:rPr>
              <w:t>见下表。</w:t>
            </w:r>
          </w:p>
          <w:p w14:paraId="11FC66D6">
            <w:pPr>
              <w:numPr>
                <w:ilvl w:val="0"/>
                <w:numId w:val="19"/>
              </w:numPr>
              <w:spacing w:line="360" w:lineRule="auto"/>
              <w:jc w:val="center"/>
              <w:rPr>
                <w:b/>
                <w:bCs/>
                <w:color w:val="auto"/>
                <w:sz w:val="24"/>
              </w:rPr>
            </w:pPr>
            <w:r>
              <w:rPr>
                <w:b/>
                <w:bCs/>
                <w:color w:val="auto"/>
                <w:sz w:val="24"/>
              </w:rPr>
              <w:t>本项目与类比项目对比一览表（废水）</w:t>
            </w:r>
          </w:p>
          <w:tbl>
            <w:tblPr>
              <w:tblStyle w:val="24"/>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2727"/>
              <w:gridCol w:w="2913"/>
              <w:gridCol w:w="1154"/>
            </w:tblGrid>
            <w:tr w14:paraId="4CFCC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84" w:type="dxa"/>
                  <w:tcBorders>
                    <w:tl2br w:val="nil"/>
                    <w:tr2bl w:val="nil"/>
                  </w:tcBorders>
                  <w:vAlign w:val="center"/>
                </w:tcPr>
                <w:p w14:paraId="4C3F1001">
                  <w:pPr>
                    <w:adjustRightInd w:val="0"/>
                    <w:snapToGrid w:val="0"/>
                    <w:jc w:val="center"/>
                    <w:rPr>
                      <w:rFonts w:hint="eastAsia" w:eastAsia="宋体"/>
                      <w:b/>
                      <w:bCs/>
                      <w:color w:val="auto"/>
                      <w:kern w:val="0"/>
                      <w:szCs w:val="21"/>
                      <w:lang w:val="en-US" w:eastAsia="zh-CN"/>
                    </w:rPr>
                  </w:pPr>
                  <w:r>
                    <w:rPr>
                      <w:rFonts w:hint="eastAsia"/>
                      <w:b/>
                      <w:bCs/>
                      <w:color w:val="auto"/>
                      <w:kern w:val="0"/>
                      <w:szCs w:val="21"/>
                      <w:lang w:val="en-US" w:eastAsia="zh-CN"/>
                    </w:rPr>
                    <w:t>名称</w:t>
                  </w:r>
                </w:p>
              </w:tc>
              <w:tc>
                <w:tcPr>
                  <w:tcW w:w="2727" w:type="dxa"/>
                  <w:tcBorders>
                    <w:tl2br w:val="nil"/>
                    <w:tr2bl w:val="nil"/>
                  </w:tcBorders>
                  <w:vAlign w:val="center"/>
                </w:tcPr>
                <w:p w14:paraId="0587ECE4">
                  <w:pPr>
                    <w:adjustRightInd w:val="0"/>
                    <w:snapToGrid w:val="0"/>
                    <w:jc w:val="center"/>
                    <w:rPr>
                      <w:b/>
                      <w:bCs/>
                      <w:color w:val="auto"/>
                      <w:kern w:val="0"/>
                      <w:szCs w:val="21"/>
                    </w:rPr>
                  </w:pPr>
                  <w:r>
                    <w:rPr>
                      <w:b/>
                      <w:bCs/>
                      <w:color w:val="auto"/>
                      <w:kern w:val="0"/>
                      <w:szCs w:val="21"/>
                    </w:rPr>
                    <w:t>本项目</w:t>
                  </w:r>
                </w:p>
              </w:tc>
              <w:tc>
                <w:tcPr>
                  <w:tcW w:w="2913" w:type="dxa"/>
                  <w:tcBorders>
                    <w:tl2br w:val="nil"/>
                    <w:tr2bl w:val="nil"/>
                  </w:tcBorders>
                  <w:vAlign w:val="center"/>
                </w:tcPr>
                <w:p w14:paraId="0A583B43">
                  <w:pPr>
                    <w:adjustRightInd w:val="0"/>
                    <w:snapToGrid w:val="0"/>
                    <w:jc w:val="center"/>
                    <w:rPr>
                      <w:b/>
                      <w:bCs/>
                      <w:color w:val="auto"/>
                      <w:kern w:val="0"/>
                      <w:szCs w:val="21"/>
                    </w:rPr>
                  </w:pPr>
                  <w:r>
                    <w:rPr>
                      <w:b/>
                      <w:bCs/>
                      <w:color w:val="auto"/>
                      <w:kern w:val="0"/>
                      <w:szCs w:val="21"/>
                    </w:rPr>
                    <w:t>类比项目</w:t>
                  </w:r>
                </w:p>
              </w:tc>
              <w:tc>
                <w:tcPr>
                  <w:tcW w:w="1154" w:type="dxa"/>
                  <w:tcBorders>
                    <w:tl2br w:val="nil"/>
                    <w:tr2bl w:val="nil"/>
                  </w:tcBorders>
                  <w:vAlign w:val="center"/>
                </w:tcPr>
                <w:p w14:paraId="017A7EA5">
                  <w:pPr>
                    <w:adjustRightInd w:val="0"/>
                    <w:snapToGrid w:val="0"/>
                    <w:jc w:val="center"/>
                    <w:rPr>
                      <w:rFonts w:hint="default" w:eastAsia="宋体"/>
                      <w:b/>
                      <w:bCs/>
                      <w:color w:val="auto"/>
                      <w:kern w:val="0"/>
                      <w:szCs w:val="21"/>
                      <w:lang w:val="en-US" w:eastAsia="zh-CN"/>
                    </w:rPr>
                  </w:pPr>
                  <w:r>
                    <w:rPr>
                      <w:rFonts w:hint="eastAsia"/>
                      <w:b/>
                      <w:bCs/>
                      <w:color w:val="auto"/>
                      <w:kern w:val="0"/>
                      <w:szCs w:val="21"/>
                      <w:lang w:val="en-US" w:eastAsia="zh-CN"/>
                    </w:rPr>
                    <w:t>可类比性</w:t>
                  </w:r>
                </w:p>
              </w:tc>
            </w:tr>
            <w:tr w14:paraId="3A4FA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84" w:type="dxa"/>
                  <w:tcBorders>
                    <w:tl2br w:val="nil"/>
                    <w:tr2bl w:val="nil"/>
                  </w:tcBorders>
                  <w:vAlign w:val="center"/>
                </w:tcPr>
                <w:p w14:paraId="5977DA20">
                  <w:pPr>
                    <w:adjustRightInd w:val="0"/>
                    <w:snapToGrid w:val="0"/>
                    <w:jc w:val="center"/>
                    <w:rPr>
                      <w:rFonts w:hint="eastAsia" w:eastAsia="宋体"/>
                      <w:color w:val="auto"/>
                      <w:kern w:val="0"/>
                      <w:szCs w:val="21"/>
                      <w:lang w:eastAsia="zh-CN"/>
                    </w:rPr>
                  </w:pPr>
                  <w:r>
                    <w:rPr>
                      <w:color w:val="auto"/>
                      <w:kern w:val="0"/>
                      <w:szCs w:val="21"/>
                    </w:rPr>
                    <w:t>项目</w:t>
                  </w:r>
                  <w:r>
                    <w:rPr>
                      <w:rFonts w:hint="eastAsia"/>
                      <w:color w:val="auto"/>
                      <w:kern w:val="0"/>
                      <w:szCs w:val="21"/>
                      <w:lang w:val="en-US" w:eastAsia="zh-CN"/>
                    </w:rPr>
                    <w:t>性质</w:t>
                  </w:r>
                </w:p>
              </w:tc>
              <w:tc>
                <w:tcPr>
                  <w:tcW w:w="2727" w:type="dxa"/>
                  <w:tcBorders>
                    <w:tl2br w:val="nil"/>
                    <w:tr2bl w:val="nil"/>
                  </w:tcBorders>
                  <w:vAlign w:val="center"/>
                </w:tcPr>
                <w:p w14:paraId="6C6A45AF">
                  <w:pPr>
                    <w:adjustRightInd w:val="0"/>
                    <w:snapToGrid w:val="0"/>
                    <w:jc w:val="center"/>
                    <w:rPr>
                      <w:color w:val="auto"/>
                      <w:kern w:val="0"/>
                      <w:szCs w:val="21"/>
                    </w:rPr>
                  </w:pPr>
                  <w:r>
                    <w:rPr>
                      <w:rFonts w:hint="eastAsia"/>
                      <w:color w:val="auto"/>
                      <w:kern w:val="0"/>
                      <w:szCs w:val="21"/>
                      <w:lang w:val="en-US" w:eastAsia="zh-CN"/>
                    </w:rPr>
                    <w:t>新建</w:t>
                  </w:r>
                </w:p>
              </w:tc>
              <w:tc>
                <w:tcPr>
                  <w:tcW w:w="2913" w:type="dxa"/>
                  <w:tcBorders>
                    <w:tl2br w:val="nil"/>
                    <w:tr2bl w:val="nil"/>
                  </w:tcBorders>
                  <w:vAlign w:val="center"/>
                </w:tcPr>
                <w:p w14:paraId="57DBC2E6">
                  <w:pPr>
                    <w:adjustRightInd w:val="0"/>
                    <w:snapToGrid w:val="0"/>
                    <w:jc w:val="center"/>
                    <w:rPr>
                      <w:rFonts w:hint="eastAsia" w:eastAsia="宋体"/>
                      <w:color w:val="auto"/>
                      <w:kern w:val="0"/>
                      <w:szCs w:val="21"/>
                      <w:lang w:eastAsia="zh-CN"/>
                    </w:rPr>
                  </w:pPr>
                  <w:r>
                    <w:rPr>
                      <w:rFonts w:hint="eastAsia"/>
                      <w:color w:val="auto"/>
                      <w:kern w:val="0"/>
                      <w:szCs w:val="21"/>
                      <w:lang w:val="en-US" w:eastAsia="zh-CN"/>
                    </w:rPr>
                    <w:t>新建</w:t>
                  </w:r>
                </w:p>
              </w:tc>
              <w:tc>
                <w:tcPr>
                  <w:tcW w:w="1154" w:type="dxa"/>
                  <w:tcBorders>
                    <w:tl2br w:val="nil"/>
                    <w:tr2bl w:val="nil"/>
                  </w:tcBorders>
                  <w:vAlign w:val="center"/>
                </w:tcPr>
                <w:p w14:paraId="534B9FE4">
                  <w:pPr>
                    <w:adjustRightInd w:val="0"/>
                    <w:snapToGrid w:val="0"/>
                    <w:jc w:val="center"/>
                    <w:rPr>
                      <w:rFonts w:hint="eastAsia"/>
                      <w:color w:val="auto"/>
                      <w:kern w:val="0"/>
                      <w:szCs w:val="21"/>
                      <w:lang w:val="en-US" w:eastAsia="zh-CN"/>
                    </w:rPr>
                  </w:pPr>
                  <w:r>
                    <w:rPr>
                      <w:rFonts w:hint="default" w:ascii="Times New Roman" w:hAnsi="Times New Roman" w:eastAsia="宋体" w:cs="Times New Roman"/>
                      <w:color w:val="auto"/>
                      <w:highlight w:val="none"/>
                      <w:lang w:val="en-US" w:eastAsia="zh-CN"/>
                    </w:rPr>
                    <w:t>可类比</w:t>
                  </w:r>
                </w:p>
              </w:tc>
            </w:tr>
            <w:tr w14:paraId="5F2B7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4" w:type="dxa"/>
                  <w:tcBorders>
                    <w:tl2br w:val="nil"/>
                    <w:tr2bl w:val="nil"/>
                  </w:tcBorders>
                  <w:vAlign w:val="center"/>
                </w:tcPr>
                <w:p w14:paraId="567FFBFB">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项目内容</w:t>
                  </w:r>
                </w:p>
              </w:tc>
              <w:tc>
                <w:tcPr>
                  <w:tcW w:w="2727" w:type="dxa"/>
                  <w:tcBorders>
                    <w:tl2br w:val="nil"/>
                    <w:tr2bl w:val="nil"/>
                  </w:tcBorders>
                  <w:shd w:val="clear" w:color="auto" w:fill="auto"/>
                  <w:vAlign w:val="center"/>
                </w:tcPr>
                <w:p w14:paraId="14F96FE9">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消毒器械研发生产</w:t>
                  </w:r>
                </w:p>
              </w:tc>
              <w:tc>
                <w:tcPr>
                  <w:tcW w:w="2913" w:type="dxa"/>
                  <w:tcBorders>
                    <w:tl2br w:val="nil"/>
                    <w:tr2bl w:val="nil"/>
                  </w:tcBorders>
                  <w:vAlign w:val="center"/>
                </w:tcPr>
                <w:p w14:paraId="48546CC0">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医疗器械生产</w:t>
                  </w:r>
                </w:p>
              </w:tc>
              <w:tc>
                <w:tcPr>
                  <w:tcW w:w="1154" w:type="dxa"/>
                  <w:tcBorders>
                    <w:tl2br w:val="nil"/>
                    <w:tr2bl w:val="nil"/>
                  </w:tcBorders>
                  <w:vAlign w:val="center"/>
                </w:tcPr>
                <w:p w14:paraId="7C6C977B">
                  <w:pPr>
                    <w:adjustRightInd w:val="0"/>
                    <w:snapToGrid w:val="0"/>
                    <w:jc w:val="center"/>
                    <w:rPr>
                      <w:rFonts w:hint="eastAsia"/>
                      <w:color w:val="auto"/>
                      <w:kern w:val="0"/>
                      <w:szCs w:val="21"/>
                      <w:lang w:val="en-US" w:eastAsia="zh-CN"/>
                    </w:rPr>
                  </w:pPr>
                  <w:r>
                    <w:rPr>
                      <w:rFonts w:hint="default" w:ascii="Times New Roman" w:hAnsi="Times New Roman" w:eastAsia="宋体" w:cs="Times New Roman"/>
                      <w:color w:val="auto"/>
                      <w:highlight w:val="none"/>
                      <w:lang w:val="en-US" w:eastAsia="zh-CN"/>
                    </w:rPr>
                    <w:t>可类比</w:t>
                  </w:r>
                </w:p>
              </w:tc>
            </w:tr>
            <w:tr w14:paraId="6802B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1184" w:type="dxa"/>
                  <w:tcBorders>
                    <w:tl2br w:val="nil"/>
                    <w:tr2bl w:val="nil"/>
                  </w:tcBorders>
                  <w:vAlign w:val="center"/>
                </w:tcPr>
                <w:p w14:paraId="18E6522E">
                  <w:pPr>
                    <w:adjustRightInd w:val="0"/>
                    <w:snapToGrid w:val="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废水类别</w:t>
                  </w:r>
                </w:p>
              </w:tc>
              <w:tc>
                <w:tcPr>
                  <w:tcW w:w="2727" w:type="dxa"/>
                  <w:tcBorders>
                    <w:tl2br w:val="nil"/>
                    <w:tr2bl w:val="nil"/>
                  </w:tcBorders>
                  <w:shd w:val="clear" w:color="auto" w:fill="auto"/>
                  <w:vAlign w:val="center"/>
                </w:tcPr>
                <w:p w14:paraId="51740B96">
                  <w:pPr>
                    <w:adjustRightInd w:val="0"/>
                    <w:snapToGrid w:val="0"/>
                    <w:jc w:val="center"/>
                    <w:rPr>
                      <w:rFonts w:hint="eastAsia" w:ascii="Times New Roman" w:hAnsi="Times New Roman" w:cs="Times New Roman"/>
                      <w:color w:val="auto"/>
                      <w:kern w:val="0"/>
                      <w:szCs w:val="21"/>
                      <w:lang w:val="en-US" w:eastAsia="zh-CN"/>
                    </w:rPr>
                  </w:pPr>
                  <w:r>
                    <w:rPr>
                      <w:rFonts w:hint="eastAsia" w:cs="Times New Roman"/>
                      <w:color w:val="auto"/>
                      <w:kern w:val="0"/>
                      <w:szCs w:val="21"/>
                      <w:lang w:val="en-US" w:eastAsia="zh-CN"/>
                    </w:rPr>
                    <w:t>纯水制备废水</w:t>
                  </w:r>
                  <w:r>
                    <w:rPr>
                      <w:rFonts w:hint="default" w:ascii="Times New Roman" w:hAnsi="Times New Roman" w:cs="Times New Roman"/>
                      <w:color w:val="auto"/>
                      <w:kern w:val="0"/>
                      <w:szCs w:val="21"/>
                      <w:lang w:val="en-US" w:eastAsia="zh-CN"/>
                    </w:rPr>
                    <w:t>、生活污水、</w:t>
                  </w:r>
                  <w:r>
                    <w:rPr>
                      <w:rFonts w:hint="eastAsia" w:cs="Times New Roman"/>
                      <w:color w:val="auto"/>
                      <w:kern w:val="0"/>
                      <w:szCs w:val="21"/>
                      <w:lang w:val="en-US" w:eastAsia="zh-CN"/>
                    </w:rPr>
                    <w:t>容器</w:t>
                  </w:r>
                  <w:r>
                    <w:rPr>
                      <w:rFonts w:hint="eastAsia" w:ascii="Times New Roman" w:hAnsi="Times New Roman" w:cs="Times New Roman"/>
                      <w:color w:val="auto"/>
                      <w:kern w:val="0"/>
                      <w:szCs w:val="21"/>
                      <w:lang w:val="en-US" w:eastAsia="zh-CN"/>
                    </w:rPr>
                    <w:t>第</w:t>
                  </w:r>
                  <w:r>
                    <w:rPr>
                      <w:rFonts w:hint="default" w:ascii="Times New Roman" w:hAnsi="Times New Roman" w:cs="Times New Roman"/>
                      <w:color w:val="auto"/>
                      <w:kern w:val="0"/>
                      <w:szCs w:val="21"/>
                      <w:lang w:val="en-US" w:eastAsia="zh-CN"/>
                    </w:rPr>
                    <w:t>三遍</w:t>
                  </w:r>
                  <w:r>
                    <w:rPr>
                      <w:rFonts w:hint="eastAsia" w:cs="Times New Roman"/>
                      <w:color w:val="auto"/>
                      <w:kern w:val="0"/>
                      <w:szCs w:val="21"/>
                      <w:lang w:val="en-US" w:eastAsia="zh-CN"/>
                    </w:rPr>
                    <w:t>及以后</w:t>
                  </w:r>
                  <w:r>
                    <w:rPr>
                      <w:rFonts w:hint="default" w:ascii="Times New Roman" w:hAnsi="Times New Roman" w:cs="Times New Roman"/>
                      <w:color w:val="auto"/>
                      <w:kern w:val="0"/>
                      <w:szCs w:val="21"/>
                      <w:lang w:val="en-US" w:eastAsia="zh-CN"/>
                    </w:rPr>
                    <w:t>清洗废水</w:t>
                  </w:r>
                  <w:r>
                    <w:rPr>
                      <w:rFonts w:hint="eastAsia" w:ascii="Times New Roman" w:hAnsi="Times New Roman" w:cs="Times New Roman"/>
                      <w:color w:val="auto"/>
                      <w:kern w:val="0"/>
                      <w:szCs w:val="21"/>
                      <w:lang w:val="en-US" w:eastAsia="zh-CN"/>
                    </w:rPr>
                    <w:t>、</w:t>
                  </w:r>
                  <w:r>
                    <w:rPr>
                      <w:rFonts w:hint="eastAsia" w:cs="Times New Roman"/>
                      <w:color w:val="auto"/>
                      <w:kern w:val="0"/>
                      <w:szCs w:val="21"/>
                      <w:lang w:val="en-US" w:eastAsia="zh-CN"/>
                    </w:rPr>
                    <w:t>高压灭菌蒸汽冷凝废水</w:t>
                  </w:r>
                </w:p>
              </w:tc>
              <w:tc>
                <w:tcPr>
                  <w:tcW w:w="2913" w:type="dxa"/>
                  <w:tcBorders>
                    <w:tl2br w:val="nil"/>
                    <w:tr2bl w:val="nil"/>
                  </w:tcBorders>
                  <w:vAlign w:val="center"/>
                </w:tcPr>
                <w:p w14:paraId="4C3B95E5">
                  <w:pPr>
                    <w:adjustRightInd w:val="0"/>
                    <w:snapToGrid w:val="0"/>
                    <w:jc w:val="center"/>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纯水制备废水、清洗废水</w:t>
                  </w:r>
                  <w:r>
                    <w:rPr>
                      <w:rFonts w:hint="default" w:ascii="Times New Roman" w:hAnsi="Times New Roman" w:cs="Times New Roman"/>
                      <w:color w:val="auto"/>
                      <w:kern w:val="0"/>
                      <w:szCs w:val="21"/>
                      <w:lang w:val="en-US" w:eastAsia="zh-CN"/>
                    </w:rPr>
                    <w:t>、生活污水</w:t>
                  </w:r>
                </w:p>
              </w:tc>
              <w:tc>
                <w:tcPr>
                  <w:tcW w:w="1154" w:type="dxa"/>
                  <w:tcBorders>
                    <w:tl2br w:val="nil"/>
                    <w:tr2bl w:val="nil"/>
                  </w:tcBorders>
                  <w:vAlign w:val="center"/>
                </w:tcPr>
                <w:p w14:paraId="4BF0059A">
                  <w:pPr>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highlight w:val="none"/>
                      <w:lang w:val="en-US" w:eastAsia="zh-CN"/>
                    </w:rPr>
                    <w:t>可类比</w:t>
                  </w:r>
                </w:p>
              </w:tc>
            </w:tr>
            <w:tr w14:paraId="5BECD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1184" w:type="dxa"/>
                  <w:tcBorders>
                    <w:tl2br w:val="nil"/>
                    <w:tr2bl w:val="nil"/>
                  </w:tcBorders>
                  <w:vAlign w:val="center"/>
                </w:tcPr>
                <w:p w14:paraId="1ECE35B0">
                  <w:pPr>
                    <w:adjustRightInd w:val="0"/>
                    <w:snapToGrid w:val="0"/>
                    <w:jc w:val="center"/>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废水处理措施及排放方式</w:t>
                  </w:r>
                </w:p>
              </w:tc>
              <w:tc>
                <w:tcPr>
                  <w:tcW w:w="2727" w:type="dxa"/>
                  <w:tcBorders>
                    <w:tl2br w:val="nil"/>
                    <w:tr2bl w:val="nil"/>
                  </w:tcBorders>
                  <w:vAlign w:val="center"/>
                </w:tcPr>
                <w:p w14:paraId="55FF0110">
                  <w:pPr>
                    <w:adjustRightInd w:val="0"/>
                    <w:snapToGrid w:val="0"/>
                    <w:jc w:val="center"/>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化粪池预处理，然后排入市政污水管网</w:t>
                  </w:r>
                </w:p>
              </w:tc>
              <w:tc>
                <w:tcPr>
                  <w:tcW w:w="2913" w:type="dxa"/>
                  <w:tcBorders>
                    <w:tl2br w:val="nil"/>
                    <w:tr2bl w:val="nil"/>
                  </w:tcBorders>
                  <w:vAlign w:val="center"/>
                </w:tcPr>
                <w:p w14:paraId="11465A06">
                  <w:pPr>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项目生产废水、生活污水一同排入园区化粪池后</w:t>
                  </w:r>
                  <w:r>
                    <w:rPr>
                      <w:rFonts w:hint="eastAsia" w:cs="Times New Roman"/>
                      <w:color w:val="auto"/>
                      <w:kern w:val="0"/>
                      <w:szCs w:val="21"/>
                      <w:lang w:val="en-US" w:eastAsia="zh-CN"/>
                    </w:rPr>
                    <w:t>排入市政管网</w:t>
                  </w:r>
                </w:p>
              </w:tc>
              <w:tc>
                <w:tcPr>
                  <w:tcW w:w="1154" w:type="dxa"/>
                  <w:tcBorders>
                    <w:tl2br w:val="nil"/>
                    <w:tr2bl w:val="nil"/>
                  </w:tcBorders>
                  <w:vAlign w:val="center"/>
                </w:tcPr>
                <w:p w14:paraId="590737CC">
                  <w:pPr>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highlight w:val="none"/>
                      <w:lang w:val="en-US" w:eastAsia="zh-CN"/>
                    </w:rPr>
                    <w:t>可类比</w:t>
                  </w:r>
                </w:p>
              </w:tc>
            </w:tr>
          </w:tbl>
          <w:p w14:paraId="4F12BE3E">
            <w:pPr>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经分析，本项目与类比项目水污染物产生及排放情况类似，具有可类比性。因此，本项目水污染物排放浓度类比北京巨源仁通医疗科技有限公司《心血管介入类器械生产项目竣工环境保护验收监测报告》（报告编号：ZKLJ-W-20230228-002）验收数据（检测数据中排放浓度取最大值），类比项目水污染物排放浓度为COD</w:t>
            </w:r>
            <w:r>
              <w:rPr>
                <w:rFonts w:hint="default" w:ascii="Times New Roman" w:hAnsi="Times New Roman" w:eastAsia="宋体" w:cs="Times New Roman"/>
                <w:color w:val="auto"/>
                <w:sz w:val="24"/>
                <w:highlight w:val="none"/>
                <w:vertAlign w:val="subscript"/>
                <w:lang w:val="en-US" w:eastAsia="zh-CN"/>
              </w:rPr>
              <w:t>Cr</w:t>
            </w:r>
            <w:r>
              <w:rPr>
                <w:rFonts w:hint="default" w:ascii="Times New Roman" w:hAnsi="Times New Roman" w:eastAsia="宋体" w:cs="Times New Roman"/>
                <w:color w:val="auto"/>
                <w:sz w:val="24"/>
                <w:highlight w:val="none"/>
                <w:lang w:val="en-US" w:eastAsia="zh-CN"/>
              </w:rPr>
              <w:t>：237mg/L、氨氮：27.1mg/L。根据类比，本项目水污染物排放量如下：</w:t>
            </w:r>
          </w:p>
          <w:p w14:paraId="2EC2F627">
            <w:pPr>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COD</w:t>
            </w:r>
            <w:r>
              <w:rPr>
                <w:rFonts w:hint="default" w:ascii="Times New Roman" w:hAnsi="Times New Roman" w:eastAsia="宋体" w:cs="Times New Roman"/>
                <w:color w:val="auto"/>
                <w:sz w:val="24"/>
                <w:highlight w:val="none"/>
                <w:vertAlign w:val="subscript"/>
                <w:lang w:val="en-US" w:eastAsia="zh-CN"/>
              </w:rPr>
              <w:t>Cr</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108.18</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cs="Times New Roman"/>
                <w:color w:val="auto"/>
                <w:sz w:val="24"/>
                <w:highlight w:val="none"/>
                <w:lang w:val="en-US" w:eastAsia="zh-CN"/>
              </w:rPr>
              <w:t>237</w:t>
            </w:r>
            <w:r>
              <w:rPr>
                <w:rFonts w:hint="default" w:ascii="Times New Roman" w:hAnsi="Times New Roman" w:eastAsia="宋体" w:cs="Times New Roman"/>
                <w:color w:val="auto"/>
                <w:sz w:val="24"/>
                <w:highlight w:val="none"/>
                <w:lang w:val="en-US" w:eastAsia="zh-CN"/>
              </w:rPr>
              <w:t>mg/L×10</w:t>
            </w:r>
            <w:r>
              <w:rPr>
                <w:rFonts w:hint="default" w:ascii="Times New Roman" w:hAnsi="Times New Roman" w:eastAsia="宋体" w:cs="Times New Roman"/>
                <w:color w:val="auto"/>
                <w:sz w:val="24"/>
                <w:highlight w:val="none"/>
                <w:vertAlign w:val="superscript"/>
                <w:lang w:val="en-US" w:eastAsia="zh-CN"/>
              </w:rPr>
              <w:t>-6</w:t>
            </w:r>
            <w:r>
              <w:rPr>
                <w:rFonts w:hint="eastAsia" w:cs="Times New Roman"/>
                <w:color w:val="auto"/>
                <w:sz w:val="24"/>
                <w:highlight w:val="none"/>
                <w:vertAlign w:val="superscript"/>
                <w:lang w:val="en-US" w:eastAsia="zh-CN"/>
              </w:rPr>
              <w:t xml:space="preserve"> </w:t>
            </w:r>
            <w:r>
              <w:rPr>
                <w:rFonts w:hint="default" w:ascii="Times New Roman" w:hAnsi="Times New Roman" w:eastAsia="宋体" w:cs="Times New Roman"/>
                <w:color w:val="auto"/>
                <w:sz w:val="24"/>
                <w:highlight w:val="none"/>
                <w:lang w:val="en-US" w:eastAsia="zh-CN"/>
              </w:rPr>
              <w:t>=0.0</w:t>
            </w:r>
            <w:r>
              <w:rPr>
                <w:rFonts w:hint="eastAsia" w:cs="Times New Roman"/>
                <w:color w:val="auto"/>
                <w:sz w:val="24"/>
                <w:highlight w:val="none"/>
                <w:lang w:val="en-US" w:eastAsia="zh-CN"/>
              </w:rPr>
              <w:t>256</w:t>
            </w:r>
            <w:r>
              <w:rPr>
                <w:rFonts w:hint="default" w:ascii="Times New Roman" w:hAnsi="Times New Roman" w:eastAsia="宋体" w:cs="Times New Roman"/>
                <w:color w:val="auto"/>
                <w:sz w:val="24"/>
                <w:highlight w:val="none"/>
                <w:lang w:val="en-US" w:eastAsia="zh-CN"/>
              </w:rPr>
              <w:t>t/a</w:t>
            </w:r>
          </w:p>
          <w:p w14:paraId="6F583F81">
            <w:pPr>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氨氮=</w:t>
            </w:r>
            <w:r>
              <w:rPr>
                <w:rFonts w:hint="eastAsia" w:cs="Times New Roman"/>
                <w:color w:val="auto"/>
                <w:sz w:val="24"/>
                <w:highlight w:val="none"/>
                <w:lang w:val="en-US" w:eastAsia="zh-CN"/>
              </w:rPr>
              <w:t>108.18</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cs="Times New Roman"/>
                <w:color w:val="auto"/>
                <w:sz w:val="24"/>
                <w:highlight w:val="none"/>
                <w:lang w:val="en-US" w:eastAsia="zh-CN"/>
              </w:rPr>
              <w:t>27.1</w:t>
            </w:r>
            <w:r>
              <w:rPr>
                <w:rFonts w:hint="default" w:ascii="Times New Roman" w:hAnsi="Times New Roman" w:eastAsia="宋体" w:cs="Times New Roman"/>
                <w:color w:val="auto"/>
                <w:sz w:val="24"/>
                <w:highlight w:val="none"/>
                <w:lang w:val="en-US" w:eastAsia="zh-CN"/>
              </w:rPr>
              <w:t>mg/L×10</w:t>
            </w:r>
            <w:r>
              <w:rPr>
                <w:rFonts w:hint="default" w:ascii="Times New Roman" w:hAnsi="Times New Roman" w:eastAsia="宋体" w:cs="Times New Roman"/>
                <w:color w:val="auto"/>
                <w:sz w:val="24"/>
                <w:highlight w:val="none"/>
                <w:vertAlign w:val="superscript"/>
                <w:lang w:val="en-US" w:eastAsia="zh-CN"/>
              </w:rPr>
              <w:t>-6</w:t>
            </w:r>
            <w:r>
              <w:rPr>
                <w:rFonts w:hint="eastAsia" w:cs="Times New Roman"/>
                <w:color w:val="auto"/>
                <w:sz w:val="24"/>
                <w:highlight w:val="none"/>
                <w:vertAlign w:val="superscript"/>
                <w:lang w:val="en-US" w:eastAsia="zh-CN"/>
              </w:rPr>
              <w:t xml:space="preserve"> </w:t>
            </w:r>
            <w:r>
              <w:rPr>
                <w:rFonts w:hint="default" w:ascii="Times New Roman" w:hAnsi="Times New Roman" w:eastAsia="宋体" w:cs="Times New Roman"/>
                <w:color w:val="auto"/>
                <w:sz w:val="24"/>
                <w:highlight w:val="none"/>
                <w:lang w:val="en-US" w:eastAsia="zh-CN"/>
              </w:rPr>
              <w:t>=0.0</w:t>
            </w:r>
            <w:r>
              <w:rPr>
                <w:rFonts w:hint="eastAsia" w:cs="Times New Roman"/>
                <w:color w:val="auto"/>
                <w:sz w:val="24"/>
                <w:highlight w:val="none"/>
                <w:lang w:val="en-US" w:eastAsia="zh-CN"/>
              </w:rPr>
              <w:t>027</w:t>
            </w:r>
            <w:r>
              <w:rPr>
                <w:rFonts w:hint="default" w:ascii="Times New Roman" w:hAnsi="Times New Roman" w:eastAsia="宋体" w:cs="Times New Roman"/>
                <w:color w:val="auto"/>
                <w:sz w:val="24"/>
                <w:highlight w:val="none"/>
                <w:lang w:val="en-US" w:eastAsia="zh-CN"/>
              </w:rPr>
              <w:t>t/a</w:t>
            </w:r>
          </w:p>
          <w:p w14:paraId="266B44CC">
            <w:pPr>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综上，据上述两种源强核算方法分析，考虑到不同企业实际运行过程中存在差异，类比数据存在一定的误差。因此，本项目选用排污系数法进行总量核算</w:t>
            </w:r>
            <w:r>
              <w:rPr>
                <w:rFonts w:hint="eastAsia" w:cs="Times New Roman"/>
                <w:color w:val="auto"/>
                <w:sz w:val="24"/>
                <w:highlight w:val="none"/>
                <w:lang w:val="en-US" w:eastAsia="zh-CN"/>
              </w:rPr>
              <w:t>排放量</w:t>
            </w:r>
            <w:r>
              <w:rPr>
                <w:rFonts w:hint="default" w:ascii="Times New Roman" w:hAnsi="Times New Roman" w:eastAsia="宋体" w:cs="Times New Roman"/>
                <w:color w:val="auto"/>
                <w:sz w:val="24"/>
                <w:highlight w:val="none"/>
                <w:lang w:val="en-US" w:eastAsia="zh-CN"/>
              </w:rPr>
              <w:t>，即COD</w:t>
            </w:r>
            <w:r>
              <w:rPr>
                <w:rFonts w:hint="default" w:ascii="Times New Roman" w:hAnsi="Times New Roman" w:eastAsia="宋体" w:cs="Times New Roman"/>
                <w:color w:val="auto"/>
                <w:sz w:val="24"/>
                <w:highlight w:val="none"/>
                <w:vertAlign w:val="subscript"/>
                <w:lang w:val="en-US" w:eastAsia="zh-CN"/>
              </w:rPr>
              <w:t>Cr</w:t>
            </w:r>
            <w:r>
              <w:rPr>
                <w:rFonts w:hint="eastAsia" w:cs="Times New Roman"/>
                <w:color w:val="auto"/>
                <w:sz w:val="24"/>
                <w:highlight w:val="none"/>
                <w:vertAlign w:val="baseline"/>
                <w:lang w:val="en-US" w:eastAsia="zh-CN"/>
              </w:rPr>
              <w:t>为</w:t>
            </w:r>
            <w:r>
              <w:rPr>
                <w:rFonts w:hint="eastAsia" w:cs="Times New Roman"/>
                <w:color w:val="auto"/>
                <w:sz w:val="24"/>
                <w:highlight w:val="none"/>
                <w:lang w:val="en-US" w:eastAsia="zh-CN"/>
              </w:rPr>
              <w:t>0.0409</w:t>
            </w:r>
            <w:r>
              <w:rPr>
                <w:rFonts w:hint="default" w:ascii="Times New Roman" w:hAnsi="Times New Roman" w:eastAsia="宋体" w:cs="Times New Roman"/>
                <w:color w:val="auto"/>
                <w:sz w:val="24"/>
                <w:highlight w:val="none"/>
                <w:lang w:val="en-US" w:eastAsia="zh-CN"/>
              </w:rPr>
              <w:t>t/a，氨氮为0.</w:t>
            </w:r>
            <w:r>
              <w:rPr>
                <w:rFonts w:hint="eastAsia" w:cs="Times New Roman"/>
                <w:color w:val="auto"/>
                <w:sz w:val="24"/>
                <w:highlight w:val="none"/>
                <w:lang w:val="en-US" w:eastAsia="zh-CN"/>
              </w:rPr>
              <w:t>0042</w:t>
            </w:r>
            <w:r>
              <w:rPr>
                <w:rFonts w:hint="default" w:ascii="Times New Roman" w:hAnsi="Times New Roman" w:eastAsia="宋体" w:cs="Times New Roman"/>
                <w:color w:val="auto"/>
                <w:sz w:val="24"/>
                <w:highlight w:val="none"/>
                <w:lang w:val="en-US" w:eastAsia="zh-CN"/>
              </w:rPr>
              <w:t>t/a。</w:t>
            </w:r>
          </w:p>
          <w:p w14:paraId="52ACD64A">
            <w:pPr>
              <w:pStyle w:val="6"/>
              <w:adjustRightInd w:val="0"/>
              <w:spacing w:line="360" w:lineRule="auto"/>
              <w:ind w:firstLine="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三、减排潜力分析</w:t>
            </w:r>
          </w:p>
          <w:p w14:paraId="06F34DD1">
            <w:pPr>
              <w:adjustRightInd w:val="0"/>
              <w:spacing w:line="360" w:lineRule="auto"/>
              <w:ind w:firstLine="480" w:firstLineChars="200"/>
              <w:textAlignment w:val="baseline"/>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w:t>
            </w:r>
            <w:r>
              <w:rPr>
                <w:rFonts w:hint="default" w:ascii="Times New Roman" w:hAnsi="Times New Roman" w:eastAsia="宋体" w:cs="Times New Roman"/>
                <w:bCs/>
                <w:color w:val="auto"/>
                <w:sz w:val="24"/>
                <w:highlight w:val="none"/>
                <w:lang w:val="en-US" w:eastAsia="zh-CN"/>
              </w:rPr>
              <w:t>为</w:t>
            </w:r>
            <w:r>
              <w:rPr>
                <w:rFonts w:hint="eastAsia" w:cs="Times New Roman"/>
                <w:bCs/>
                <w:color w:val="auto"/>
                <w:sz w:val="24"/>
                <w:highlight w:val="none"/>
                <w:lang w:val="en-US" w:eastAsia="zh-CN"/>
              </w:rPr>
              <w:t>新</w:t>
            </w:r>
            <w:r>
              <w:rPr>
                <w:rFonts w:hint="default" w:ascii="Times New Roman" w:hAnsi="Times New Roman" w:eastAsia="宋体" w:cs="Times New Roman"/>
                <w:bCs/>
                <w:color w:val="auto"/>
                <w:sz w:val="24"/>
                <w:highlight w:val="none"/>
                <w:lang w:val="en-US" w:eastAsia="zh-CN"/>
              </w:rPr>
              <w:t>建项目，</w:t>
            </w:r>
            <w:r>
              <w:rPr>
                <w:rFonts w:hint="eastAsia" w:cs="Times New Roman"/>
                <w:bCs/>
                <w:color w:val="auto"/>
                <w:sz w:val="24"/>
                <w:highlight w:val="none"/>
                <w:lang w:val="en-US" w:eastAsia="zh-CN"/>
              </w:rPr>
              <w:t>在本区内没有其他建设项目，</w:t>
            </w:r>
            <w:r>
              <w:rPr>
                <w:rFonts w:hint="default" w:ascii="Times New Roman" w:hAnsi="Times New Roman" w:eastAsia="宋体" w:cs="Times New Roman"/>
                <w:bCs/>
                <w:color w:val="auto"/>
                <w:sz w:val="24"/>
                <w:highlight w:val="none"/>
              </w:rPr>
              <w:t>没有进一步减排空间。因此本项目不具备污染物总量指标</w:t>
            </w:r>
            <w:r>
              <w:rPr>
                <w:rFonts w:hint="eastAsia" w:ascii="Times New Roman" w:hAnsi="Times New Roman" w:eastAsia="宋体" w:cs="Times New Roman"/>
                <w:bCs/>
                <w:color w:val="auto"/>
                <w:sz w:val="24"/>
                <w:highlight w:val="none"/>
                <w:lang w:val="en-US" w:eastAsia="zh-CN"/>
              </w:rPr>
              <w:t>削</w:t>
            </w:r>
            <w:r>
              <w:rPr>
                <w:rFonts w:hint="default" w:ascii="Times New Roman" w:hAnsi="Times New Roman" w:eastAsia="宋体" w:cs="Times New Roman"/>
                <w:bCs/>
                <w:color w:val="auto"/>
                <w:sz w:val="24"/>
                <w:highlight w:val="none"/>
              </w:rPr>
              <w:t>减能力，需重新申请。</w:t>
            </w:r>
          </w:p>
          <w:p w14:paraId="06ADB6EA">
            <w:pPr>
              <w:pStyle w:val="6"/>
              <w:adjustRightInd w:val="0"/>
              <w:spacing w:line="360" w:lineRule="auto"/>
              <w:ind w:firstLine="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四、总量来源</w:t>
            </w:r>
          </w:p>
          <w:p w14:paraId="16D2726A">
            <w:pPr>
              <w:adjustRightIn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根据北京市环境保护局关于《转发环境保护部&lt;建设项目主要污染物排放总量指标审核及管理暂行办法&gt;的通知（京环发[2015]19号，2015年7月15日起执行）中的相关规定：</w:t>
            </w:r>
            <w:r>
              <w:rPr>
                <w:rFonts w:hint="eastAsia" w:cs="Times New Roman"/>
                <w:bCs/>
                <w:color w:val="auto"/>
                <w:sz w:val="24"/>
                <w:highlight w:val="none"/>
                <w:lang w:eastAsia="zh-CN"/>
              </w:rPr>
              <w:t>“</w:t>
            </w:r>
            <w:r>
              <w:rPr>
                <w:rFonts w:hint="default" w:ascii="Times New Roman" w:hAnsi="Times New Roman" w:eastAsia="宋体" w:cs="Times New Roman"/>
                <w:bCs/>
                <w:color w:val="auto"/>
                <w:sz w:val="24"/>
                <w:highlight w:val="none"/>
              </w:rPr>
              <w:t>该办法适用于各级环境保护主管部门对建设项目（不含城镇生活污水处理厂、垃圾处理场、危险废物和医疗废物处置场）主要污染排放总量指标的审核与管理。上一年度环境空气质量平均浓度不达标的城市、水环境质量未到要求的市县，相关污染物应按照建设项目所需替代的主要排放总量指标2倍进行削减替代。</w:t>
            </w:r>
            <w:r>
              <w:rPr>
                <w:rFonts w:hint="eastAsia" w:cs="Times New Roman"/>
                <w:bCs/>
                <w:color w:val="auto"/>
                <w:sz w:val="24"/>
                <w:highlight w:val="none"/>
                <w:lang w:eastAsia="zh-CN"/>
              </w:rPr>
              <w:t>”</w:t>
            </w:r>
          </w:p>
          <w:p w14:paraId="67B30247">
            <w:pPr>
              <w:tabs>
                <w:tab w:val="left" w:pos="1484"/>
              </w:tabs>
              <w:adjustRightInd w:val="0"/>
              <w:snapToGrid w:val="0"/>
              <w:spacing w:line="360" w:lineRule="auto"/>
              <w:ind w:firstLine="480" w:firstLineChars="200"/>
              <w:rPr>
                <w:rFonts w:hint="eastAsia" w:cs="Times New Roman"/>
                <w:color w:val="auto"/>
                <w:sz w:val="24"/>
                <w:highlight w:val="none"/>
                <w:lang w:val="en-US" w:eastAsia="zh-CN"/>
              </w:rPr>
            </w:pPr>
            <w:r>
              <w:rPr>
                <w:rFonts w:hint="default" w:ascii="Times New Roman" w:hAnsi="Times New Roman" w:eastAsia="宋体" w:cs="Times New Roman"/>
                <w:color w:val="auto"/>
                <w:sz w:val="24"/>
                <w:highlight w:val="none"/>
                <w:lang w:val="en-US"/>
              </w:rPr>
              <w:t>《北京市人民政府办公厅关于印发《推进美丽北京建设持续深入打好污染防治攻坚战2025年行动计划》的通知》（京政办发〔2025〕3号）中蓝天保卫战2025年行动计划，北京市2025年大气污染总量减排目标的工作措施为</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各区完成</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十四五</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挥发性有机物(VOCs)、氮氧化物(NOx)减排目标任务。新增涉气建设项目严格执行VOCs、NOx等主要污染物排放总量控制，实施</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减二增一</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削减量替代审批制度。本项目挥发性有机物进行2倍削减替代</w:t>
            </w:r>
            <w:r>
              <w:rPr>
                <w:rFonts w:hint="eastAsia" w:cs="Times New Roman"/>
                <w:color w:val="auto"/>
                <w:sz w:val="24"/>
                <w:highlight w:val="none"/>
                <w:lang w:val="en-US" w:eastAsia="zh-CN"/>
              </w:rPr>
              <w:t>。</w:t>
            </w:r>
          </w:p>
          <w:p w14:paraId="2D4C7EA1">
            <w:pPr>
              <w:tabs>
                <w:tab w:val="left" w:pos="1484"/>
              </w:tabs>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本项目运营期间污染物排放总量控制指标见</w:t>
            </w:r>
            <w:r>
              <w:rPr>
                <w:rFonts w:hint="eastAsia" w:cs="Times New Roman"/>
                <w:color w:val="auto"/>
                <w:sz w:val="24"/>
                <w:highlight w:val="none"/>
                <w:lang w:val="en-US" w:eastAsia="zh-CN"/>
              </w:rPr>
              <w:t>下</w:t>
            </w:r>
            <w:r>
              <w:rPr>
                <w:rFonts w:hint="eastAsia" w:ascii="Times New Roman" w:hAnsi="Times New Roman" w:eastAsia="宋体" w:cs="Times New Roman"/>
                <w:color w:val="auto"/>
                <w:sz w:val="24"/>
                <w:highlight w:val="none"/>
                <w:lang w:val="en-US" w:eastAsia="zh-CN"/>
              </w:rPr>
              <w:t>表</w:t>
            </w:r>
            <w:r>
              <w:rPr>
                <w:rFonts w:hint="default" w:ascii="Times New Roman" w:hAnsi="Times New Roman" w:eastAsia="宋体" w:cs="Times New Roman"/>
                <w:color w:val="auto"/>
                <w:sz w:val="24"/>
                <w:highlight w:val="none"/>
                <w:lang w:val="en-US"/>
              </w:rPr>
              <w:t>。</w:t>
            </w:r>
          </w:p>
          <w:p w14:paraId="0C8D1235">
            <w:pPr>
              <w:numPr>
                <w:ilvl w:val="0"/>
                <w:numId w:val="19"/>
              </w:numPr>
              <w:spacing w:line="360" w:lineRule="auto"/>
              <w:jc w:val="center"/>
              <w:rPr>
                <w:rFonts w:hint="default" w:ascii="Times New Roman" w:hAnsi="Times New Roman" w:eastAsia="宋体" w:cs="Times New Roman"/>
                <w:b/>
                <w:color w:val="auto"/>
                <w:sz w:val="24"/>
                <w:highlight w:val="none"/>
                <w:lang w:val="zh-CN"/>
              </w:rPr>
            </w:pPr>
            <w:r>
              <w:rPr>
                <w:rFonts w:hint="default" w:ascii="Times New Roman" w:hAnsi="Times New Roman" w:eastAsia="宋体" w:cs="Times New Roman"/>
                <w:b/>
                <w:color w:val="auto"/>
                <w:sz w:val="24"/>
                <w:highlight w:val="none"/>
              </w:rPr>
              <w:t>总量控制指标</w:t>
            </w:r>
          </w:p>
          <w:tbl>
            <w:tblPr>
              <w:tblStyle w:val="24"/>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1386"/>
              <w:gridCol w:w="1712"/>
              <w:gridCol w:w="1256"/>
              <w:gridCol w:w="1716"/>
            </w:tblGrid>
            <w:tr w14:paraId="70E9CD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8" w:type="dxa"/>
                  <w:tcBorders>
                    <w:tl2br w:val="nil"/>
                    <w:tr2bl w:val="nil"/>
                  </w:tcBorders>
                  <w:vAlign w:val="center"/>
                </w:tcPr>
                <w:p w14:paraId="5268EA61">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b/>
                      <w:bCs/>
                      <w:color w:val="auto"/>
                      <w:lang w:val="en-US" w:eastAsia="zh-CN"/>
                    </w:rPr>
                  </w:pPr>
                  <w:r>
                    <w:rPr>
                      <w:rFonts w:hint="eastAsia"/>
                      <w:b/>
                      <w:bCs/>
                      <w:color w:val="auto"/>
                      <w:lang w:val="en-US" w:eastAsia="zh-CN"/>
                    </w:rPr>
                    <w:t>总量控制指标</w:t>
                  </w:r>
                </w:p>
              </w:tc>
              <w:tc>
                <w:tcPr>
                  <w:tcW w:w="1400" w:type="dxa"/>
                  <w:tcBorders>
                    <w:tl2br w:val="nil"/>
                    <w:tr2bl w:val="nil"/>
                  </w:tcBorders>
                  <w:vAlign w:val="center"/>
                </w:tcPr>
                <w:p w14:paraId="32B6F1FE">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b/>
                      <w:bCs/>
                      <w:color w:val="auto"/>
                      <w:lang w:val="en-US" w:eastAsia="zh-CN"/>
                    </w:rPr>
                  </w:pPr>
                  <w:r>
                    <w:rPr>
                      <w:rFonts w:hint="eastAsia"/>
                      <w:b/>
                      <w:bCs/>
                      <w:color w:val="auto"/>
                      <w:lang w:val="en-US" w:eastAsia="zh-CN"/>
                    </w:rPr>
                    <w:t>项目排放量</w:t>
                  </w:r>
                </w:p>
              </w:tc>
              <w:tc>
                <w:tcPr>
                  <w:tcW w:w="1730" w:type="dxa"/>
                  <w:tcBorders>
                    <w:tl2br w:val="nil"/>
                    <w:tr2bl w:val="nil"/>
                  </w:tcBorders>
                  <w:vAlign w:val="center"/>
                </w:tcPr>
                <w:p w14:paraId="213C357E">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b/>
                      <w:bCs/>
                      <w:color w:val="auto"/>
                      <w:lang w:val="en-US" w:eastAsia="zh-CN"/>
                    </w:rPr>
                  </w:pPr>
                  <w:r>
                    <w:rPr>
                      <w:rFonts w:hint="eastAsia"/>
                      <w:b/>
                      <w:bCs/>
                      <w:color w:val="auto"/>
                      <w:lang w:val="en-US" w:eastAsia="zh-CN"/>
                    </w:rPr>
                    <w:t>是否需要排污权</w:t>
                  </w:r>
                </w:p>
              </w:tc>
              <w:tc>
                <w:tcPr>
                  <w:tcW w:w="1270" w:type="dxa"/>
                  <w:tcBorders>
                    <w:tl2br w:val="nil"/>
                    <w:tr2bl w:val="nil"/>
                  </w:tcBorders>
                  <w:vAlign w:val="center"/>
                </w:tcPr>
                <w:p w14:paraId="700ED1A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b/>
                      <w:bCs/>
                      <w:color w:val="auto"/>
                      <w:lang w:val="en-US" w:eastAsia="zh-CN"/>
                    </w:rPr>
                  </w:pPr>
                  <w:r>
                    <w:rPr>
                      <w:rFonts w:hint="eastAsia"/>
                      <w:b/>
                      <w:bCs/>
                      <w:color w:val="auto"/>
                      <w:lang w:val="en-US" w:eastAsia="zh-CN"/>
                    </w:rPr>
                    <w:t>削减比例</w:t>
                  </w:r>
                </w:p>
              </w:tc>
              <w:tc>
                <w:tcPr>
                  <w:tcW w:w="1734" w:type="dxa"/>
                  <w:tcBorders>
                    <w:tl2br w:val="nil"/>
                    <w:tr2bl w:val="nil"/>
                  </w:tcBorders>
                  <w:vAlign w:val="center"/>
                </w:tcPr>
                <w:p w14:paraId="42BDF5D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b/>
                      <w:bCs/>
                      <w:color w:val="auto"/>
                    </w:rPr>
                  </w:pPr>
                  <w:r>
                    <w:rPr>
                      <w:rFonts w:hint="eastAsia"/>
                      <w:b/>
                      <w:bCs/>
                      <w:color w:val="auto"/>
                      <w:lang w:val="en-US" w:eastAsia="zh-CN"/>
                    </w:rPr>
                    <w:t>总量控制建议值</w:t>
                  </w:r>
                </w:p>
              </w:tc>
            </w:tr>
            <w:tr w14:paraId="6DBC15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8" w:type="dxa"/>
                  <w:tcBorders>
                    <w:tl2br w:val="nil"/>
                    <w:tr2bl w:val="nil"/>
                  </w:tcBorders>
                  <w:vAlign w:val="center"/>
                </w:tcPr>
                <w:p w14:paraId="36313C7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color w:val="auto"/>
                      <w:lang w:val="en-US" w:eastAsia="zh-CN"/>
                    </w:rPr>
                  </w:pPr>
                  <w:r>
                    <w:rPr>
                      <w:rFonts w:hint="eastAsia"/>
                      <w:color w:val="auto"/>
                      <w:lang w:val="en-US" w:eastAsia="zh-CN"/>
                    </w:rPr>
                    <w:t>挥发性有机物</w:t>
                  </w:r>
                </w:p>
              </w:tc>
              <w:tc>
                <w:tcPr>
                  <w:tcW w:w="1400" w:type="dxa"/>
                  <w:tcBorders>
                    <w:tl2br w:val="nil"/>
                    <w:tr2bl w:val="nil"/>
                  </w:tcBorders>
                  <w:vAlign w:val="center"/>
                </w:tcPr>
                <w:p w14:paraId="0C1EA67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color w:val="auto"/>
                      <w:lang w:val="en-US" w:eastAsia="zh-CN"/>
                    </w:rPr>
                  </w:pPr>
                  <w:r>
                    <w:rPr>
                      <w:rFonts w:hint="eastAsia"/>
                      <w:color w:val="auto"/>
                      <w:lang w:val="en-US" w:eastAsia="zh-CN"/>
                    </w:rPr>
                    <w:t>0.0032t/a</w:t>
                  </w:r>
                </w:p>
              </w:tc>
              <w:tc>
                <w:tcPr>
                  <w:tcW w:w="1730" w:type="dxa"/>
                  <w:tcBorders>
                    <w:tl2br w:val="nil"/>
                    <w:tr2bl w:val="nil"/>
                  </w:tcBorders>
                  <w:vAlign w:val="center"/>
                </w:tcPr>
                <w:p w14:paraId="0330F94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color w:val="auto"/>
                      <w:lang w:val="en-US" w:eastAsia="zh-CN"/>
                    </w:rPr>
                  </w:pPr>
                  <w:r>
                    <w:rPr>
                      <w:rFonts w:hint="eastAsia"/>
                      <w:color w:val="auto"/>
                      <w:lang w:val="en-US" w:eastAsia="zh-CN"/>
                    </w:rPr>
                    <w:t>是</w:t>
                  </w:r>
                </w:p>
              </w:tc>
              <w:tc>
                <w:tcPr>
                  <w:tcW w:w="1270" w:type="dxa"/>
                  <w:tcBorders>
                    <w:tl2br w:val="nil"/>
                    <w:tr2bl w:val="nil"/>
                  </w:tcBorders>
                  <w:vAlign w:val="center"/>
                </w:tcPr>
                <w:p w14:paraId="00B642A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color w:val="auto"/>
                      <w:lang w:val="en-US" w:eastAsia="zh-CN"/>
                    </w:rPr>
                  </w:pPr>
                  <w:r>
                    <w:rPr>
                      <w:rFonts w:hint="eastAsia"/>
                      <w:color w:val="auto"/>
                      <w:lang w:val="en-US" w:eastAsia="zh-CN"/>
                    </w:rPr>
                    <w:t>1:2</w:t>
                  </w:r>
                </w:p>
              </w:tc>
              <w:tc>
                <w:tcPr>
                  <w:tcW w:w="1734" w:type="dxa"/>
                  <w:tcBorders>
                    <w:tl2br w:val="nil"/>
                    <w:tr2bl w:val="nil"/>
                  </w:tcBorders>
                  <w:vAlign w:val="center"/>
                </w:tcPr>
                <w:p w14:paraId="789F608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color w:val="auto"/>
                      <w:lang w:val="en-US" w:eastAsia="zh-CN"/>
                    </w:rPr>
                  </w:pPr>
                  <w:r>
                    <w:rPr>
                      <w:rFonts w:hint="eastAsia"/>
                      <w:color w:val="auto"/>
                      <w:lang w:val="en-US" w:eastAsia="zh-CN"/>
                    </w:rPr>
                    <w:t>0.0064t/a</w:t>
                  </w:r>
                </w:p>
              </w:tc>
            </w:tr>
            <w:tr w14:paraId="5EB480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8" w:type="dxa"/>
                  <w:tcBorders>
                    <w:tl2br w:val="nil"/>
                    <w:tr2bl w:val="nil"/>
                  </w:tcBorders>
                  <w:vAlign w:val="center"/>
                </w:tcPr>
                <w:p w14:paraId="4D119A3E">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color w:val="auto"/>
                      <w:lang w:val="en-US" w:eastAsia="zh-CN"/>
                    </w:rPr>
                  </w:pPr>
                  <w:r>
                    <w:rPr>
                      <w:rFonts w:hint="eastAsia"/>
                      <w:color w:val="auto"/>
                      <w:lang w:val="en-US" w:eastAsia="zh-CN"/>
                    </w:rPr>
                    <w:t>化学需氧量CODcr</w:t>
                  </w:r>
                </w:p>
              </w:tc>
              <w:tc>
                <w:tcPr>
                  <w:tcW w:w="1400" w:type="dxa"/>
                  <w:tcBorders>
                    <w:tl2br w:val="nil"/>
                    <w:tr2bl w:val="nil"/>
                  </w:tcBorders>
                  <w:vAlign w:val="center"/>
                </w:tcPr>
                <w:p w14:paraId="5015B3B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color w:val="auto"/>
                      <w:lang w:val="en-US" w:eastAsia="zh-CN"/>
                    </w:rPr>
                  </w:pPr>
                  <w:r>
                    <w:rPr>
                      <w:rFonts w:hint="eastAsia"/>
                      <w:color w:val="auto"/>
                      <w:lang w:val="en-US" w:eastAsia="zh-CN"/>
                    </w:rPr>
                    <w:t>0.0409t/a</w:t>
                  </w:r>
                </w:p>
              </w:tc>
              <w:tc>
                <w:tcPr>
                  <w:tcW w:w="1730" w:type="dxa"/>
                  <w:tcBorders>
                    <w:tl2br w:val="nil"/>
                    <w:tr2bl w:val="nil"/>
                  </w:tcBorders>
                  <w:vAlign w:val="center"/>
                </w:tcPr>
                <w:p w14:paraId="3E94AEE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color w:val="auto"/>
                      <w:lang w:val="en-US" w:eastAsia="zh-CN"/>
                    </w:rPr>
                  </w:pPr>
                  <w:r>
                    <w:rPr>
                      <w:rFonts w:hint="eastAsia"/>
                      <w:color w:val="auto"/>
                      <w:lang w:val="en-US" w:eastAsia="zh-CN"/>
                    </w:rPr>
                    <w:t>是</w:t>
                  </w:r>
                </w:p>
              </w:tc>
              <w:tc>
                <w:tcPr>
                  <w:tcW w:w="1270" w:type="dxa"/>
                  <w:tcBorders>
                    <w:tl2br w:val="nil"/>
                    <w:tr2bl w:val="nil"/>
                  </w:tcBorders>
                  <w:vAlign w:val="center"/>
                </w:tcPr>
                <w:p w14:paraId="3F0C741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color w:val="auto"/>
                      <w:lang w:val="en-US" w:eastAsia="zh-CN"/>
                    </w:rPr>
                  </w:pPr>
                  <w:r>
                    <w:rPr>
                      <w:rFonts w:hint="eastAsia"/>
                      <w:color w:val="auto"/>
                      <w:lang w:val="en-US" w:eastAsia="zh-CN"/>
                    </w:rPr>
                    <w:t>1:1</w:t>
                  </w:r>
                </w:p>
              </w:tc>
              <w:tc>
                <w:tcPr>
                  <w:tcW w:w="1734" w:type="dxa"/>
                  <w:tcBorders>
                    <w:tl2br w:val="nil"/>
                    <w:tr2bl w:val="nil"/>
                  </w:tcBorders>
                  <w:vAlign w:val="center"/>
                </w:tcPr>
                <w:p w14:paraId="677D88A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lang w:val="en-US" w:eastAsia="zh-CN"/>
                    </w:rPr>
                  </w:pPr>
                  <w:r>
                    <w:rPr>
                      <w:rFonts w:hint="eastAsia"/>
                      <w:color w:val="auto"/>
                      <w:lang w:val="en-US" w:eastAsia="zh-CN"/>
                    </w:rPr>
                    <w:t>0.0409t/a</w:t>
                  </w:r>
                </w:p>
              </w:tc>
            </w:tr>
            <w:tr w14:paraId="46E233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8" w:type="dxa"/>
                  <w:tcBorders>
                    <w:tl2br w:val="nil"/>
                    <w:tr2bl w:val="nil"/>
                  </w:tcBorders>
                  <w:vAlign w:val="center"/>
                </w:tcPr>
                <w:p w14:paraId="7E908AB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color w:val="auto"/>
                      <w:lang w:val="en-US" w:eastAsia="zh-CN"/>
                    </w:rPr>
                  </w:pPr>
                  <w:r>
                    <w:rPr>
                      <w:rFonts w:hint="eastAsia"/>
                      <w:color w:val="auto"/>
                      <w:lang w:val="en-US" w:eastAsia="zh-CN"/>
                    </w:rPr>
                    <w:t>氨氮NH</w:t>
                  </w:r>
                  <w:r>
                    <w:rPr>
                      <w:rFonts w:hint="eastAsia"/>
                      <w:color w:val="auto"/>
                      <w:vertAlign w:val="subscript"/>
                      <w:lang w:val="en-US" w:eastAsia="zh-CN"/>
                    </w:rPr>
                    <w:t>3</w:t>
                  </w:r>
                  <w:r>
                    <w:rPr>
                      <w:rFonts w:hint="eastAsia"/>
                      <w:color w:val="auto"/>
                      <w:lang w:val="en-US" w:eastAsia="zh-CN"/>
                    </w:rPr>
                    <w:t>-N</w:t>
                  </w:r>
                </w:p>
              </w:tc>
              <w:tc>
                <w:tcPr>
                  <w:tcW w:w="1400" w:type="dxa"/>
                  <w:tcBorders>
                    <w:tl2br w:val="nil"/>
                    <w:tr2bl w:val="nil"/>
                  </w:tcBorders>
                  <w:vAlign w:val="center"/>
                </w:tcPr>
                <w:p w14:paraId="685E40EA">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color w:val="auto"/>
                      <w:lang w:val="en-US" w:eastAsia="zh-CN"/>
                    </w:rPr>
                  </w:pPr>
                  <w:r>
                    <w:rPr>
                      <w:rFonts w:hint="eastAsia"/>
                      <w:color w:val="auto"/>
                      <w:lang w:val="en-US" w:eastAsia="zh-CN"/>
                    </w:rPr>
                    <w:t>0.0042t/a</w:t>
                  </w:r>
                </w:p>
              </w:tc>
              <w:tc>
                <w:tcPr>
                  <w:tcW w:w="1730" w:type="dxa"/>
                  <w:tcBorders>
                    <w:tl2br w:val="nil"/>
                    <w:tr2bl w:val="nil"/>
                  </w:tcBorders>
                  <w:vAlign w:val="center"/>
                </w:tcPr>
                <w:p w14:paraId="438778AA">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color w:val="auto"/>
                      <w:lang w:val="en-US" w:eastAsia="zh-CN"/>
                    </w:rPr>
                  </w:pPr>
                  <w:r>
                    <w:rPr>
                      <w:rFonts w:hint="eastAsia"/>
                      <w:color w:val="auto"/>
                      <w:lang w:val="en-US" w:eastAsia="zh-CN"/>
                    </w:rPr>
                    <w:t>是</w:t>
                  </w:r>
                </w:p>
              </w:tc>
              <w:tc>
                <w:tcPr>
                  <w:tcW w:w="1270" w:type="dxa"/>
                  <w:tcBorders>
                    <w:tl2br w:val="nil"/>
                    <w:tr2bl w:val="nil"/>
                  </w:tcBorders>
                  <w:vAlign w:val="center"/>
                </w:tcPr>
                <w:p w14:paraId="15AA721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color w:val="auto"/>
                      <w:lang w:val="en-US" w:eastAsia="zh-CN"/>
                    </w:rPr>
                  </w:pPr>
                  <w:r>
                    <w:rPr>
                      <w:rFonts w:hint="eastAsia"/>
                      <w:color w:val="auto"/>
                      <w:lang w:val="en-US" w:eastAsia="zh-CN"/>
                    </w:rPr>
                    <w:t>1:1</w:t>
                  </w:r>
                </w:p>
              </w:tc>
              <w:tc>
                <w:tcPr>
                  <w:tcW w:w="1734" w:type="dxa"/>
                  <w:tcBorders>
                    <w:tl2br w:val="nil"/>
                    <w:tr2bl w:val="nil"/>
                  </w:tcBorders>
                  <w:vAlign w:val="center"/>
                </w:tcPr>
                <w:p w14:paraId="421597CE">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lang w:val="en-US" w:eastAsia="zh-CN"/>
                    </w:rPr>
                  </w:pPr>
                  <w:r>
                    <w:rPr>
                      <w:rFonts w:hint="eastAsia"/>
                      <w:color w:val="auto"/>
                      <w:lang w:val="en-US" w:eastAsia="zh-CN"/>
                    </w:rPr>
                    <w:t>0.0042t/a</w:t>
                  </w:r>
                </w:p>
              </w:tc>
            </w:tr>
          </w:tbl>
          <w:p w14:paraId="7AA5C687">
            <w:pPr>
              <w:adjustRightInd w:val="0"/>
              <w:spacing w:line="360" w:lineRule="auto"/>
              <w:rPr>
                <w:rFonts w:hint="default" w:ascii="Times New Roman" w:hAnsi="Times New Roman" w:eastAsia="宋体" w:cs="Times New Roman"/>
                <w:bCs/>
                <w:color w:val="auto"/>
                <w:sz w:val="24"/>
                <w:highlight w:val="none"/>
              </w:rPr>
            </w:pPr>
          </w:p>
        </w:tc>
      </w:tr>
    </w:tbl>
    <w:p w14:paraId="7049239B">
      <w:pPr>
        <w:rPr>
          <w:rFonts w:hint="default" w:ascii="Times New Roman" w:hAnsi="Times New Roman" w:eastAsia="宋体" w:cs="Times New Roman"/>
          <w:b w:val="0"/>
          <w:bCs w:val="0"/>
          <w:color w:val="auto"/>
          <w:sz w:val="36"/>
          <w:szCs w:val="36"/>
          <w:highlight w:val="none"/>
        </w:rPr>
      </w:pPr>
      <w:r>
        <w:rPr>
          <w:rFonts w:hint="default" w:ascii="Times New Roman" w:hAnsi="Times New Roman" w:eastAsia="宋体" w:cs="Times New Roman"/>
          <w:b w:val="0"/>
          <w:bCs w:val="0"/>
          <w:color w:val="auto"/>
          <w:sz w:val="36"/>
          <w:szCs w:val="36"/>
          <w:highlight w:val="none"/>
        </w:rPr>
        <w:br w:type="page"/>
      </w:r>
    </w:p>
    <w:p w14:paraId="74F31CFB">
      <w:pPr>
        <w:pStyle w:val="2"/>
        <w:jc w:val="center"/>
        <w:rPr>
          <w:rFonts w:hint="default" w:ascii="Times New Roman" w:hAnsi="Times New Roman" w:eastAsia="宋体" w:cs="Times New Roman"/>
          <w:b w:val="0"/>
          <w:bCs w:val="0"/>
          <w:color w:val="auto"/>
          <w:sz w:val="36"/>
          <w:szCs w:val="36"/>
          <w:highlight w:val="none"/>
        </w:rPr>
      </w:pPr>
      <w:r>
        <w:rPr>
          <w:rFonts w:hint="default" w:ascii="Times New Roman" w:hAnsi="Times New Roman" w:eastAsia="宋体" w:cs="Times New Roman"/>
          <w:b w:val="0"/>
          <w:bCs w:val="0"/>
          <w:color w:val="auto"/>
          <w:sz w:val="36"/>
          <w:szCs w:val="36"/>
          <w:highlight w:val="none"/>
        </w:rPr>
        <w:t>四、主要环境影响和保护措施</w:t>
      </w:r>
    </w:p>
    <w:tbl>
      <w:tblPr>
        <w:tblStyle w:val="2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7784"/>
      </w:tblGrid>
      <w:tr w14:paraId="46634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left w:w="28" w:type="dxa"/>
              <w:right w:w="28" w:type="dxa"/>
            </w:tcMar>
            <w:vAlign w:val="center"/>
          </w:tcPr>
          <w:p w14:paraId="2DABBE99">
            <w:pPr>
              <w:widowControl/>
              <w:adjustRightInd w:val="0"/>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t>施工期环境保护措施</w:t>
            </w:r>
          </w:p>
        </w:tc>
        <w:tc>
          <w:tcPr>
            <w:tcW w:w="7784" w:type="dxa"/>
            <w:vAlign w:val="center"/>
          </w:tcPr>
          <w:p w14:paraId="30BBBF56">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w:t>
            </w:r>
            <w:r>
              <w:rPr>
                <w:rFonts w:hint="eastAsia" w:cs="Times New Roman"/>
                <w:color w:val="auto"/>
                <w:kern w:val="0"/>
                <w:sz w:val="24"/>
                <w:highlight w:val="none"/>
                <w:lang w:val="en-US" w:eastAsia="zh-CN"/>
              </w:rPr>
              <w:t>为迁建新建项目，新租用园区闲置的现有建筑进行装修建设，</w:t>
            </w:r>
            <w:r>
              <w:rPr>
                <w:rFonts w:hint="default" w:cs="Times New Roman"/>
                <w:color w:val="auto"/>
                <w:kern w:val="0"/>
                <w:sz w:val="24"/>
                <w:highlight w:val="none"/>
                <w:lang w:val="en-US" w:eastAsia="zh-CN"/>
              </w:rPr>
              <w:t>施工期无土石方施工，仅室内装修</w:t>
            </w:r>
            <w:r>
              <w:rPr>
                <w:rFonts w:hint="eastAsia" w:cs="Times New Roman"/>
                <w:color w:val="auto"/>
                <w:kern w:val="0"/>
                <w:sz w:val="24"/>
                <w:highlight w:val="none"/>
                <w:lang w:val="en-US" w:eastAsia="zh-CN"/>
              </w:rPr>
              <w:t>(</w:t>
            </w:r>
            <w:r>
              <w:rPr>
                <w:rFonts w:hint="default" w:cs="Times New Roman"/>
                <w:color w:val="auto"/>
                <w:kern w:val="0"/>
                <w:sz w:val="24"/>
                <w:highlight w:val="none"/>
                <w:lang w:val="en-US" w:eastAsia="zh-CN"/>
              </w:rPr>
              <w:t>如内墙表面粉刷、设备安装</w:t>
            </w:r>
            <w:r>
              <w:rPr>
                <w:rFonts w:hint="default" w:ascii="Times New Roman" w:hAnsi="Times New Roman" w:eastAsia="宋体" w:cs="Times New Roman"/>
                <w:color w:val="auto"/>
                <w:kern w:val="0"/>
                <w:sz w:val="24"/>
                <w:highlight w:val="none"/>
              </w:rPr>
              <w:t>等</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rPr>
              <w:t>。主要污染物为施工扬尘，施工人员生活污水，施工噪声，施工固体废物</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装修垃圾、生活垃圾等</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w:t>
            </w:r>
          </w:p>
          <w:p w14:paraId="276BB610">
            <w:pPr>
              <w:numPr>
                <w:ilvl w:val="0"/>
                <w:numId w:val="23"/>
              </w:num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废气：扬尘主要产生在装修施工期间的各种作业，其产生量与天气、温度、施工队文明程度和管理水平等因素有关，施工时要加强管理，及时清除建筑装修垃圾、做好洒水抑尘、关闭门窗施工等。油漆粉刷时产生的少量挥发性有机气体，</w:t>
            </w:r>
            <w:r>
              <w:rPr>
                <w:rFonts w:hint="eastAsia" w:cs="Times New Roman"/>
                <w:color w:val="auto"/>
                <w:kern w:val="0"/>
                <w:sz w:val="24"/>
                <w:highlight w:val="none"/>
                <w:lang w:val="en-US" w:eastAsia="zh-CN"/>
              </w:rPr>
              <w:t>要</w:t>
            </w:r>
            <w:r>
              <w:rPr>
                <w:rFonts w:hint="default" w:ascii="Times New Roman" w:hAnsi="Times New Roman" w:eastAsia="宋体" w:cs="Times New Roman"/>
                <w:color w:val="auto"/>
                <w:kern w:val="0"/>
                <w:sz w:val="24"/>
                <w:highlight w:val="none"/>
              </w:rPr>
              <w:t>加强通风、选用优质的低污染油漆和涂料等措施。</w:t>
            </w:r>
          </w:p>
          <w:p w14:paraId="413E8345">
            <w:pPr>
              <w:numPr>
                <w:ilvl w:val="0"/>
                <w:numId w:val="23"/>
              </w:num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废水：本项目施工期不设施工营地，食宿自行解决，故施工期产生的废水主要为生活污水，生活污水主要依托园区的化粪池进行处理。</w:t>
            </w:r>
          </w:p>
          <w:p w14:paraId="10EFF127">
            <w:pPr>
              <w:numPr>
                <w:ilvl w:val="0"/>
                <w:numId w:val="23"/>
              </w:num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噪声：施工期间噪声主要来自项目内部装修和设备安装过程中使用的电钻、木工设备和空气压缩机等设备。施工阶段应按规定操作机械设备，遵守作业规定，减少人为机械碰撞噪声；规划施工方案，尽量避免高噪声机械设备同时使用；施工时间应安排在白天，禁止夜间装修扰民；建设单位及装修施工单位应配备必要的专职或兼职环保监管人员，负责监督装修施工过程中噪声防治措施的落实情况。</w:t>
            </w:r>
          </w:p>
          <w:p w14:paraId="459E7E6B">
            <w:pPr>
              <w:numPr>
                <w:ilvl w:val="0"/>
                <w:numId w:val="23"/>
              </w:num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固体废物：施工期固体废物主要为施工人员生活垃圾、施工渣土及损坏或浪费的各种建筑装修材料。施工中固体废物应集中堆放、及时清运，外运到环卫部门指定地点，防止露天长期堆放可能产生的二次污染；对于可回收废料应尽量由施工单位回收利用。建设单位在施工过程中必须严格按照《北京市建设工程施工现场环境保护标准》(京建施[2003]3号)和《北京市建设工程施工现场管理办法》(2013年市政府令第247号)对施工现场进行管理，以尽量降低施工过程对周围环境的影响。</w:t>
            </w:r>
          </w:p>
        </w:tc>
      </w:tr>
      <w:tr w14:paraId="64965E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6" w:hRule="atLeast"/>
          <w:jc w:val="center"/>
        </w:trPr>
        <w:tc>
          <w:tcPr>
            <w:tcW w:w="1197" w:type="dxa"/>
            <w:tcMar>
              <w:left w:w="28" w:type="dxa"/>
              <w:right w:w="28" w:type="dxa"/>
            </w:tcMar>
            <w:vAlign w:val="center"/>
          </w:tcPr>
          <w:p w14:paraId="6AF39A9F">
            <w:pPr>
              <w:adjustRightInd w:val="0"/>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运营期环境影响和保护措施</w:t>
            </w:r>
          </w:p>
        </w:tc>
        <w:tc>
          <w:tcPr>
            <w:tcW w:w="7784" w:type="dxa"/>
            <w:shd w:val="clear" w:color="auto" w:fill="auto"/>
            <w:vAlign w:val="center"/>
          </w:tcPr>
          <w:p w14:paraId="1E7FC79D">
            <w:pPr>
              <w:numPr>
                <w:ilvl w:val="0"/>
                <w:numId w:val="24"/>
              </w:numPr>
              <w:adjustRightInd w:val="0"/>
              <w:snapToGrid w:val="0"/>
              <w:spacing w:line="360" w:lineRule="auto"/>
              <w:jc w:val="both"/>
              <w:rPr>
                <w:rFonts w:hint="default" w:ascii="Times New Roman" w:hAnsi="Times New Roman" w:eastAsia="宋体" w:cs="Times New Roman"/>
                <w:b/>
                <w:bCs/>
                <w:color w:val="auto"/>
                <w:spacing w:val="-10"/>
                <w:sz w:val="24"/>
                <w:highlight w:val="none"/>
              </w:rPr>
            </w:pPr>
            <w:r>
              <w:rPr>
                <w:rFonts w:hint="default" w:ascii="Times New Roman" w:hAnsi="Times New Roman" w:eastAsia="宋体" w:cs="Times New Roman"/>
                <w:b/>
                <w:bCs/>
                <w:color w:val="auto"/>
                <w:spacing w:val="-10"/>
                <w:sz w:val="24"/>
                <w:highlight w:val="none"/>
              </w:rPr>
              <w:t>废气</w:t>
            </w:r>
          </w:p>
          <w:p w14:paraId="69122406">
            <w:pPr>
              <w:numPr>
                <w:ilvl w:val="0"/>
                <w:numId w:val="0"/>
              </w:num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eastAsia="宋体" w:cs="Times New Roman"/>
                <w:color w:val="auto"/>
                <w:kern w:val="0"/>
                <w:sz w:val="24"/>
                <w:highlight w:val="none"/>
                <w:lang w:val="en-US" w:eastAsia="zh-CN"/>
              </w:rPr>
              <w:t>（1）废气源强分析</w:t>
            </w:r>
          </w:p>
          <w:p w14:paraId="6690F81A">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本项目</w:t>
            </w:r>
            <w:r>
              <w:rPr>
                <w:rFonts w:hint="eastAsia" w:eastAsia="宋体" w:cs="Times New Roman"/>
                <w:color w:val="auto"/>
                <w:kern w:val="0"/>
                <w:sz w:val="24"/>
                <w:highlight w:val="none"/>
                <w:lang w:val="en-US" w:eastAsia="zh-CN"/>
              </w:rPr>
              <w:t>研发生产</w:t>
            </w:r>
            <w:r>
              <w:rPr>
                <w:rFonts w:hint="eastAsia" w:ascii="Times New Roman" w:hAnsi="Times New Roman" w:eastAsia="宋体" w:cs="Times New Roman"/>
                <w:color w:val="auto"/>
                <w:kern w:val="0"/>
                <w:sz w:val="24"/>
                <w:highlight w:val="none"/>
                <w:lang w:val="en-US" w:eastAsia="zh-CN"/>
              </w:rPr>
              <w:t>过程不使用挥发性有机物的原辅料，工作台面</w:t>
            </w:r>
            <w:r>
              <w:rPr>
                <w:rFonts w:hint="eastAsia" w:eastAsia="宋体" w:cs="Times New Roman"/>
                <w:color w:val="auto"/>
                <w:kern w:val="0"/>
                <w:sz w:val="24"/>
                <w:highlight w:val="none"/>
                <w:lang w:val="en-US" w:eastAsia="zh-CN"/>
              </w:rPr>
              <w:t>和手部</w:t>
            </w:r>
            <w:r>
              <w:rPr>
                <w:rFonts w:hint="eastAsia" w:ascii="Times New Roman" w:hAnsi="Times New Roman" w:eastAsia="宋体" w:cs="Times New Roman"/>
                <w:color w:val="auto"/>
                <w:kern w:val="0"/>
                <w:sz w:val="24"/>
                <w:highlight w:val="none"/>
                <w:lang w:val="en-US" w:eastAsia="zh-CN"/>
              </w:rPr>
              <w:t>使用</w:t>
            </w:r>
            <w:r>
              <w:rPr>
                <w:rFonts w:hint="eastAsia" w:eastAsia="宋体" w:cs="Times New Roman"/>
                <w:color w:val="auto"/>
                <w:kern w:val="0"/>
                <w:sz w:val="24"/>
                <w:highlight w:val="none"/>
                <w:lang w:val="en-US" w:eastAsia="zh-CN"/>
              </w:rPr>
              <w:t>75%</w:t>
            </w:r>
            <w:r>
              <w:rPr>
                <w:rFonts w:hint="eastAsia" w:ascii="Times New Roman" w:hAnsi="Times New Roman" w:eastAsia="宋体" w:cs="Times New Roman"/>
                <w:color w:val="auto"/>
                <w:kern w:val="0"/>
                <w:sz w:val="24"/>
                <w:highlight w:val="none"/>
                <w:lang w:val="en-US" w:eastAsia="zh-CN"/>
              </w:rPr>
              <w:t>酒精消毒。根据建设单位提供的资料，本项目</w:t>
            </w:r>
            <w:r>
              <w:rPr>
                <w:rFonts w:hint="eastAsia" w:eastAsia="宋体" w:cs="Times New Roman"/>
                <w:color w:val="auto"/>
                <w:kern w:val="0"/>
                <w:sz w:val="24"/>
                <w:highlight w:val="none"/>
                <w:lang w:val="en-US" w:eastAsia="zh-CN"/>
              </w:rPr>
              <w:t>工作</w:t>
            </w:r>
            <w:r>
              <w:rPr>
                <w:rFonts w:hint="eastAsia" w:ascii="Times New Roman" w:hAnsi="Times New Roman" w:eastAsia="宋体" w:cs="Times New Roman"/>
                <w:color w:val="auto"/>
                <w:kern w:val="0"/>
                <w:sz w:val="24"/>
                <w:highlight w:val="none"/>
                <w:lang w:val="en-US" w:eastAsia="zh-CN"/>
              </w:rPr>
              <w:t>台面</w:t>
            </w:r>
            <w:r>
              <w:rPr>
                <w:rFonts w:hint="eastAsia" w:eastAsia="宋体" w:cs="Times New Roman"/>
                <w:color w:val="auto"/>
                <w:kern w:val="0"/>
                <w:sz w:val="24"/>
                <w:highlight w:val="none"/>
                <w:lang w:val="en-US" w:eastAsia="zh-CN"/>
              </w:rPr>
              <w:t>及手部</w:t>
            </w:r>
            <w:r>
              <w:rPr>
                <w:rFonts w:hint="eastAsia" w:ascii="Times New Roman" w:hAnsi="Times New Roman" w:eastAsia="宋体" w:cs="Times New Roman"/>
                <w:color w:val="auto"/>
                <w:kern w:val="0"/>
                <w:sz w:val="24"/>
                <w:highlight w:val="none"/>
                <w:lang w:val="en-US" w:eastAsia="zh-CN"/>
              </w:rPr>
              <w:t>消毒年使用</w:t>
            </w:r>
            <w:r>
              <w:rPr>
                <w:rFonts w:hint="eastAsia" w:eastAsia="宋体" w:cs="Times New Roman"/>
                <w:color w:val="auto"/>
                <w:kern w:val="0"/>
                <w:sz w:val="24"/>
                <w:highlight w:val="none"/>
                <w:lang w:val="en-US" w:eastAsia="zh-CN"/>
              </w:rPr>
              <w:t>75%</w:t>
            </w:r>
            <w:r>
              <w:rPr>
                <w:rFonts w:hint="eastAsia" w:ascii="Times New Roman" w:hAnsi="Times New Roman" w:eastAsia="宋体" w:cs="Times New Roman"/>
                <w:color w:val="auto"/>
                <w:kern w:val="0"/>
                <w:sz w:val="24"/>
                <w:highlight w:val="none"/>
                <w:lang w:val="en-US" w:eastAsia="zh-CN"/>
              </w:rPr>
              <w:t>酒精5L（密度：0.</w:t>
            </w:r>
            <w:r>
              <w:rPr>
                <w:rFonts w:hint="eastAsia" w:eastAsia="宋体" w:cs="Times New Roman"/>
                <w:color w:val="auto"/>
                <w:kern w:val="0"/>
                <w:sz w:val="24"/>
                <w:highlight w:val="none"/>
                <w:lang w:val="en-US" w:eastAsia="zh-CN"/>
              </w:rPr>
              <w:t>86</w:t>
            </w:r>
            <w:r>
              <w:rPr>
                <w:rFonts w:hint="eastAsia" w:ascii="Times New Roman" w:hAnsi="Times New Roman" w:eastAsia="宋体" w:cs="Times New Roman"/>
                <w:color w:val="auto"/>
                <w:kern w:val="0"/>
                <w:sz w:val="24"/>
                <w:highlight w:val="none"/>
                <w:lang w:val="en-US" w:eastAsia="zh-CN"/>
              </w:rPr>
              <w:t>g/cm</w:t>
            </w:r>
            <w:r>
              <w:rPr>
                <w:rFonts w:hint="eastAsia"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val="en-US" w:eastAsia="zh-CN"/>
              </w:rPr>
              <w:t>)，每天消毒</w:t>
            </w:r>
            <w:r>
              <w:rPr>
                <w:rFonts w:hint="eastAsia" w:eastAsia="宋体" w:cs="Times New Roman"/>
                <w:color w:val="auto"/>
                <w:kern w:val="0"/>
                <w:sz w:val="24"/>
                <w:highlight w:val="none"/>
                <w:lang w:val="en-US" w:eastAsia="zh-CN"/>
              </w:rPr>
              <w:t>0.5</w:t>
            </w:r>
            <w:r>
              <w:rPr>
                <w:rFonts w:hint="eastAsia" w:ascii="Times New Roman" w:hAnsi="Times New Roman" w:eastAsia="宋体" w:cs="Times New Roman"/>
                <w:color w:val="auto"/>
                <w:kern w:val="0"/>
                <w:sz w:val="24"/>
                <w:highlight w:val="none"/>
                <w:lang w:val="en-US" w:eastAsia="zh-CN"/>
              </w:rPr>
              <w:t>h，消毒过程乙醇全部挥发，则本项目挥发性有机物的产生量及排放量为</w:t>
            </w:r>
            <w:r>
              <w:rPr>
                <w:rFonts w:hint="eastAsia" w:eastAsia="宋体" w:cs="Times New Roman"/>
                <w:color w:val="auto"/>
                <w:kern w:val="0"/>
                <w:sz w:val="24"/>
                <w:highlight w:val="none"/>
                <w:lang w:val="en-US" w:eastAsia="zh-CN"/>
              </w:rPr>
              <w:t>3.225</w:t>
            </w:r>
            <w:r>
              <w:rPr>
                <w:rFonts w:hint="eastAsia" w:ascii="Times New Roman" w:hAnsi="Times New Roman" w:eastAsia="宋体" w:cs="Times New Roman"/>
                <w:color w:val="auto"/>
                <w:kern w:val="0"/>
                <w:sz w:val="24"/>
                <w:highlight w:val="none"/>
                <w:lang w:val="en-US" w:eastAsia="zh-CN"/>
              </w:rPr>
              <w:t>kg/a（0.0</w:t>
            </w:r>
            <w:r>
              <w:rPr>
                <w:rFonts w:hint="eastAsia" w:eastAsia="宋体" w:cs="Times New Roman"/>
                <w:color w:val="auto"/>
                <w:kern w:val="0"/>
                <w:sz w:val="24"/>
                <w:highlight w:val="none"/>
                <w:lang w:val="en-US" w:eastAsia="zh-CN"/>
              </w:rPr>
              <w:t>258</w:t>
            </w:r>
            <w:r>
              <w:rPr>
                <w:rFonts w:hint="eastAsia" w:ascii="Times New Roman" w:hAnsi="Times New Roman" w:eastAsia="宋体" w:cs="Times New Roman"/>
                <w:color w:val="auto"/>
                <w:kern w:val="0"/>
                <w:sz w:val="24"/>
                <w:highlight w:val="none"/>
                <w:lang w:val="en-US" w:eastAsia="zh-CN"/>
              </w:rPr>
              <w:t>kg/h）。本项目消毒使用乙醇量比较少，使用时间、区域比较分散，消毒产生的挥发性有机物无组织排放。</w:t>
            </w:r>
          </w:p>
          <w:p w14:paraId="54920E53">
            <w:pPr>
              <w:numPr>
                <w:ilvl w:val="0"/>
                <w:numId w:val="0"/>
              </w:num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eastAsia="宋体" w:cs="Times New Roman"/>
                <w:color w:val="auto"/>
                <w:kern w:val="0"/>
                <w:sz w:val="24"/>
                <w:highlight w:val="none"/>
                <w:lang w:val="en-US" w:eastAsia="zh-CN"/>
              </w:rPr>
              <w:t>（1）废气环境影响预测</w:t>
            </w:r>
          </w:p>
          <w:p w14:paraId="2D95BDF5">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利用AERSCREEN估算模式对无组织废气污染物无组织排放浓度进行预测，废气污染源参数见表4-1、估算模型参数见表4-2、计算结果见表4-3、对环境敏感目标的影响见表4-4。</w:t>
            </w:r>
          </w:p>
          <w:p w14:paraId="7D64AA5C">
            <w:pPr>
              <w:pStyle w:val="59"/>
              <w:numPr>
                <w:ilvl w:val="0"/>
                <w:numId w:val="25"/>
              </w:numPr>
              <w:bidi w:val="0"/>
              <w:spacing w:line="360" w:lineRule="auto"/>
              <w:ind w:left="425" w:leftChars="0" w:hanging="425" w:firstLineChars="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废气污染源参数一览表(矩形面源)</w:t>
            </w:r>
          </w:p>
          <w:tbl>
            <w:tblPr>
              <w:tblStyle w:val="23"/>
              <w:tblW w:w="4900" w:type="pct"/>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06"/>
              <w:gridCol w:w="1320"/>
              <w:gridCol w:w="880"/>
              <w:gridCol w:w="982"/>
              <w:gridCol w:w="982"/>
              <w:gridCol w:w="983"/>
              <w:gridCol w:w="1364"/>
            </w:tblGrid>
            <w:tr w14:paraId="534470AA">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2" w:hRule="atLeast"/>
              </w:trPr>
              <w:tc>
                <w:tcPr>
                  <w:tcW w:w="906" w:type="dxa"/>
                  <w:vMerge w:val="restart"/>
                  <w:tcBorders>
                    <w:tl2br w:val="nil"/>
                    <w:tr2bl w:val="nil"/>
                  </w:tcBorders>
                  <w:vAlign w:val="center"/>
                </w:tcPr>
                <w:p w14:paraId="745BF0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污染源名称</w:t>
                  </w:r>
                </w:p>
              </w:tc>
              <w:tc>
                <w:tcPr>
                  <w:tcW w:w="1320" w:type="dxa"/>
                  <w:vMerge w:val="restart"/>
                  <w:tcBorders>
                    <w:tl2br w:val="nil"/>
                    <w:tr2bl w:val="nil"/>
                  </w:tcBorders>
                  <w:vAlign w:val="center"/>
                </w:tcPr>
                <w:p w14:paraId="1028FC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经纬度</w:t>
                  </w:r>
                </w:p>
              </w:tc>
              <w:tc>
                <w:tcPr>
                  <w:tcW w:w="880" w:type="dxa"/>
                  <w:vMerge w:val="restart"/>
                  <w:tcBorders>
                    <w:tl2br w:val="nil"/>
                    <w:tr2bl w:val="nil"/>
                  </w:tcBorders>
                  <w:vAlign w:val="center"/>
                </w:tcPr>
                <w:p w14:paraId="189C1C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海拔高度m</w:t>
                  </w:r>
                </w:p>
              </w:tc>
              <w:tc>
                <w:tcPr>
                  <w:tcW w:w="2947" w:type="dxa"/>
                  <w:gridSpan w:val="3"/>
                  <w:tcBorders>
                    <w:tl2br w:val="nil"/>
                    <w:tr2bl w:val="nil"/>
                  </w:tcBorders>
                  <w:vAlign w:val="center"/>
                </w:tcPr>
                <w:p w14:paraId="20BB6E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矩形面源</w:t>
                  </w:r>
                </w:p>
              </w:tc>
              <w:tc>
                <w:tcPr>
                  <w:tcW w:w="1364" w:type="dxa"/>
                  <w:tcBorders>
                    <w:tl2br w:val="nil"/>
                    <w:tr2bl w:val="nil"/>
                  </w:tcBorders>
                  <w:vAlign w:val="center"/>
                </w:tcPr>
                <w:p w14:paraId="35A060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排放速率kg/h</w:t>
                  </w:r>
                </w:p>
              </w:tc>
            </w:tr>
            <w:tr w14:paraId="47B1B5A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98" w:hRule="atLeast"/>
              </w:trPr>
              <w:tc>
                <w:tcPr>
                  <w:tcW w:w="906" w:type="dxa"/>
                  <w:vMerge w:val="continue"/>
                  <w:tcBorders>
                    <w:tl2br w:val="nil"/>
                    <w:tr2bl w:val="nil"/>
                  </w:tcBorders>
                  <w:vAlign w:val="center"/>
                </w:tcPr>
                <w:p w14:paraId="575032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p>
              </w:tc>
              <w:tc>
                <w:tcPr>
                  <w:tcW w:w="1320" w:type="dxa"/>
                  <w:vMerge w:val="continue"/>
                  <w:tcBorders>
                    <w:tl2br w:val="nil"/>
                    <w:tr2bl w:val="nil"/>
                  </w:tcBorders>
                  <w:vAlign w:val="center"/>
                </w:tcPr>
                <w:p w14:paraId="6B470B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p>
              </w:tc>
              <w:tc>
                <w:tcPr>
                  <w:tcW w:w="880" w:type="dxa"/>
                  <w:vMerge w:val="continue"/>
                  <w:tcBorders>
                    <w:tl2br w:val="nil"/>
                    <w:tr2bl w:val="nil"/>
                  </w:tcBorders>
                  <w:vAlign w:val="center"/>
                </w:tcPr>
                <w:p w14:paraId="66387B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p>
              </w:tc>
              <w:tc>
                <w:tcPr>
                  <w:tcW w:w="982" w:type="dxa"/>
                  <w:tcBorders>
                    <w:tl2br w:val="nil"/>
                    <w:tr2bl w:val="nil"/>
                  </w:tcBorders>
                  <w:vAlign w:val="center"/>
                </w:tcPr>
                <w:p w14:paraId="327B66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长度m</w:t>
                  </w:r>
                </w:p>
              </w:tc>
              <w:tc>
                <w:tcPr>
                  <w:tcW w:w="982" w:type="dxa"/>
                  <w:tcBorders>
                    <w:tl2br w:val="nil"/>
                    <w:tr2bl w:val="nil"/>
                  </w:tcBorders>
                  <w:vAlign w:val="center"/>
                </w:tcPr>
                <w:p w14:paraId="289284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宽度m</w:t>
                  </w:r>
                </w:p>
              </w:tc>
              <w:tc>
                <w:tcPr>
                  <w:tcW w:w="983" w:type="dxa"/>
                  <w:tcBorders>
                    <w:tl2br w:val="nil"/>
                    <w:tr2bl w:val="nil"/>
                  </w:tcBorders>
                  <w:vAlign w:val="center"/>
                </w:tcPr>
                <w:p w14:paraId="35802B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高度m</w:t>
                  </w:r>
                </w:p>
              </w:tc>
              <w:tc>
                <w:tcPr>
                  <w:tcW w:w="1364" w:type="dxa"/>
                  <w:tcBorders>
                    <w:tl2br w:val="nil"/>
                    <w:tr2bl w:val="nil"/>
                  </w:tcBorders>
                  <w:vAlign w:val="center"/>
                </w:tcPr>
                <w:p w14:paraId="666B17D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非甲烷总烃</w:t>
                  </w:r>
                </w:p>
              </w:tc>
            </w:tr>
            <w:tr w14:paraId="25555E5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906" w:type="dxa"/>
                  <w:tcBorders>
                    <w:tl2br w:val="nil"/>
                    <w:tr2bl w:val="nil"/>
                  </w:tcBorders>
                  <w:vAlign w:val="center"/>
                </w:tcPr>
                <w:p w14:paraId="214149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面源</w:t>
                  </w:r>
                </w:p>
              </w:tc>
              <w:tc>
                <w:tcPr>
                  <w:tcW w:w="1320" w:type="dxa"/>
                  <w:tcBorders>
                    <w:tl2br w:val="nil"/>
                    <w:tr2bl w:val="nil"/>
                  </w:tcBorders>
                  <w:vAlign w:val="center"/>
                </w:tcPr>
                <w:p w14:paraId="55A74D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116.547409</w:t>
                  </w:r>
                  <w:r>
                    <w:rPr>
                      <w:rFonts w:hint="eastAsia" w:eastAsia="宋体" w:cs="Times New Roman"/>
                      <w:color w:val="auto"/>
                      <w:kern w:val="0"/>
                      <w:sz w:val="32"/>
                      <w:szCs w:val="32"/>
                      <w:vertAlign w:val="superscript"/>
                      <w:lang w:val="en-US" w:eastAsia="zh-CN" w:bidi="ar"/>
                    </w:rPr>
                    <w:t>。</w:t>
                  </w:r>
                </w:p>
                <w:p w14:paraId="0152BC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39.730742</w:t>
                  </w:r>
                  <w:r>
                    <w:rPr>
                      <w:rFonts w:hint="eastAsia" w:eastAsia="宋体" w:cs="Times New Roman"/>
                      <w:color w:val="auto"/>
                      <w:kern w:val="0"/>
                      <w:sz w:val="32"/>
                      <w:szCs w:val="32"/>
                      <w:vertAlign w:val="superscript"/>
                      <w:lang w:val="en-US" w:eastAsia="zh-CN" w:bidi="ar"/>
                    </w:rPr>
                    <w:t>。</w:t>
                  </w:r>
                </w:p>
              </w:tc>
              <w:tc>
                <w:tcPr>
                  <w:tcW w:w="880" w:type="dxa"/>
                  <w:tcBorders>
                    <w:tl2br w:val="nil"/>
                    <w:tr2bl w:val="nil"/>
                  </w:tcBorders>
                  <w:vAlign w:val="center"/>
                </w:tcPr>
                <w:p w14:paraId="1F4B64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w:t>
                  </w:r>
                  <w:r>
                    <w:rPr>
                      <w:rFonts w:hint="eastAsia" w:ascii="Times New Roman" w:hAnsi="Times New Roman" w:eastAsia="宋体" w:cs="Times New Roman"/>
                      <w:color w:val="auto"/>
                      <w:kern w:val="0"/>
                      <w:sz w:val="21"/>
                      <w:szCs w:val="21"/>
                      <w:lang w:val="en-US" w:eastAsia="zh-CN" w:bidi="ar"/>
                    </w:rPr>
                    <w:t>7</w:t>
                  </w:r>
                  <w:r>
                    <w:rPr>
                      <w:rFonts w:hint="default" w:ascii="Times New Roman" w:hAnsi="Times New Roman" w:eastAsia="宋体" w:cs="Times New Roman"/>
                      <w:color w:val="auto"/>
                      <w:kern w:val="0"/>
                      <w:sz w:val="21"/>
                      <w:szCs w:val="21"/>
                      <w:lang w:val="en-US" w:eastAsia="zh-CN" w:bidi="ar"/>
                    </w:rPr>
                    <w:t>.00</w:t>
                  </w:r>
                </w:p>
              </w:tc>
              <w:tc>
                <w:tcPr>
                  <w:tcW w:w="982" w:type="dxa"/>
                  <w:tcBorders>
                    <w:tl2br w:val="nil"/>
                    <w:tr2bl w:val="nil"/>
                  </w:tcBorders>
                  <w:vAlign w:val="center"/>
                </w:tcPr>
                <w:p w14:paraId="13144A1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47.81</w:t>
                  </w:r>
                </w:p>
              </w:tc>
              <w:tc>
                <w:tcPr>
                  <w:tcW w:w="982" w:type="dxa"/>
                  <w:tcBorders>
                    <w:tl2br w:val="nil"/>
                    <w:tr2bl w:val="nil"/>
                  </w:tcBorders>
                  <w:vAlign w:val="center"/>
                </w:tcPr>
                <w:p w14:paraId="23042C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27.93</w:t>
                  </w:r>
                </w:p>
              </w:tc>
              <w:tc>
                <w:tcPr>
                  <w:tcW w:w="983" w:type="dxa"/>
                  <w:tcBorders>
                    <w:tl2br w:val="nil"/>
                    <w:tr2bl w:val="nil"/>
                  </w:tcBorders>
                  <w:vAlign w:val="center"/>
                </w:tcPr>
                <w:p w14:paraId="674545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10.0</w:t>
                  </w:r>
                </w:p>
              </w:tc>
              <w:tc>
                <w:tcPr>
                  <w:tcW w:w="1364" w:type="dxa"/>
                  <w:tcBorders>
                    <w:tl2br w:val="nil"/>
                    <w:tr2bl w:val="nil"/>
                  </w:tcBorders>
                  <w:vAlign w:val="center"/>
                </w:tcPr>
                <w:p w14:paraId="6363CF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0.0258</w:t>
                  </w:r>
                </w:p>
              </w:tc>
            </w:tr>
          </w:tbl>
          <w:p w14:paraId="1F9FAFA8">
            <w:pPr>
              <w:pStyle w:val="59"/>
              <w:numPr>
                <w:ilvl w:val="0"/>
                <w:numId w:val="25"/>
              </w:numPr>
              <w:bidi w:val="0"/>
              <w:spacing w:line="360" w:lineRule="auto"/>
              <w:ind w:left="425" w:leftChars="0" w:hanging="425" w:firstLineChars="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面源估算模型参数一览表</w:t>
            </w:r>
          </w:p>
          <w:tbl>
            <w:tblPr>
              <w:tblStyle w:val="23"/>
              <w:tblW w:w="4900" w:type="pct"/>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234"/>
              <w:gridCol w:w="2453"/>
              <w:gridCol w:w="2730"/>
            </w:tblGrid>
            <w:tr w14:paraId="3BE9FF2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1" w:hRule="atLeast"/>
              </w:trPr>
              <w:tc>
                <w:tcPr>
                  <w:tcW w:w="4777" w:type="dxa"/>
                  <w:gridSpan w:val="2"/>
                  <w:tcBorders>
                    <w:tl2br w:val="nil"/>
                    <w:tr2bl w:val="nil"/>
                  </w:tcBorders>
                  <w:vAlign w:val="center"/>
                </w:tcPr>
                <w:p w14:paraId="07282B0B">
                  <w:pPr>
                    <w:spacing w:line="240" w:lineRule="auto"/>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参数</w:t>
                  </w:r>
                </w:p>
              </w:tc>
              <w:tc>
                <w:tcPr>
                  <w:tcW w:w="2782" w:type="dxa"/>
                  <w:tcBorders>
                    <w:tl2br w:val="nil"/>
                    <w:tr2bl w:val="nil"/>
                  </w:tcBorders>
                  <w:vAlign w:val="center"/>
                </w:tcPr>
                <w:p w14:paraId="60938E5C">
                  <w:pPr>
                    <w:spacing w:line="240" w:lineRule="auto"/>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取值</w:t>
                  </w:r>
                </w:p>
              </w:tc>
            </w:tr>
            <w:tr w14:paraId="446C259F">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12" w:hRule="atLeast"/>
              </w:trPr>
              <w:tc>
                <w:tcPr>
                  <w:tcW w:w="2277" w:type="dxa"/>
                  <w:vMerge w:val="restart"/>
                  <w:tcBorders>
                    <w:tl2br w:val="nil"/>
                    <w:tr2bl w:val="nil"/>
                  </w:tcBorders>
                  <w:vAlign w:val="center"/>
                </w:tcPr>
                <w:p w14:paraId="1E6439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城市/农村选项</w:t>
                  </w:r>
                </w:p>
              </w:tc>
              <w:tc>
                <w:tcPr>
                  <w:tcW w:w="2500" w:type="dxa"/>
                  <w:tcBorders>
                    <w:tl2br w:val="nil"/>
                    <w:tr2bl w:val="nil"/>
                  </w:tcBorders>
                  <w:vAlign w:val="center"/>
                </w:tcPr>
                <w:p w14:paraId="478CA8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城市/农村</w:t>
                  </w:r>
                </w:p>
              </w:tc>
              <w:tc>
                <w:tcPr>
                  <w:tcW w:w="2782" w:type="dxa"/>
                  <w:tcBorders>
                    <w:tl2br w:val="nil"/>
                    <w:tr2bl w:val="nil"/>
                  </w:tcBorders>
                  <w:vAlign w:val="center"/>
                </w:tcPr>
                <w:p w14:paraId="07000B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城市</w:t>
                  </w:r>
                </w:p>
              </w:tc>
            </w:tr>
            <w:tr w14:paraId="23E8A7D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5" w:hRule="atLeast"/>
              </w:trPr>
              <w:tc>
                <w:tcPr>
                  <w:tcW w:w="2277" w:type="dxa"/>
                  <w:vMerge w:val="continue"/>
                  <w:tcBorders>
                    <w:tl2br w:val="nil"/>
                    <w:tr2bl w:val="nil"/>
                  </w:tcBorders>
                  <w:vAlign w:val="center"/>
                </w:tcPr>
                <w:p w14:paraId="64157D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2500" w:type="dxa"/>
                  <w:tcBorders>
                    <w:tl2br w:val="nil"/>
                    <w:tr2bl w:val="nil"/>
                  </w:tcBorders>
                  <w:vAlign w:val="center"/>
                </w:tcPr>
                <w:p w14:paraId="5E82D1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人口数(城市人口数)</w:t>
                  </w:r>
                </w:p>
              </w:tc>
              <w:tc>
                <w:tcPr>
                  <w:tcW w:w="2782" w:type="dxa"/>
                  <w:tcBorders>
                    <w:tl2br w:val="nil"/>
                    <w:tr2bl w:val="nil"/>
                  </w:tcBorders>
                  <w:vAlign w:val="center"/>
                </w:tcPr>
                <w:p w14:paraId="654188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500</w:t>
                  </w:r>
                </w:p>
              </w:tc>
            </w:tr>
            <w:tr w14:paraId="304D174D">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5" w:hRule="atLeast"/>
              </w:trPr>
              <w:tc>
                <w:tcPr>
                  <w:tcW w:w="4777" w:type="dxa"/>
                  <w:gridSpan w:val="2"/>
                  <w:tcBorders>
                    <w:tl2br w:val="nil"/>
                    <w:tr2bl w:val="nil"/>
                  </w:tcBorders>
                  <w:vAlign w:val="center"/>
                </w:tcPr>
                <w:p w14:paraId="669ED5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最高环境温度</w:t>
                  </w:r>
                </w:p>
              </w:tc>
              <w:tc>
                <w:tcPr>
                  <w:tcW w:w="2782" w:type="dxa"/>
                  <w:tcBorders>
                    <w:tl2br w:val="nil"/>
                    <w:tr2bl w:val="nil"/>
                  </w:tcBorders>
                  <w:vAlign w:val="center"/>
                </w:tcPr>
                <w:p w14:paraId="3D52B0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41.9</w:t>
                  </w:r>
                </w:p>
              </w:tc>
            </w:tr>
            <w:tr w14:paraId="6C00B9D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5" w:hRule="atLeast"/>
              </w:trPr>
              <w:tc>
                <w:tcPr>
                  <w:tcW w:w="4777" w:type="dxa"/>
                  <w:gridSpan w:val="2"/>
                  <w:tcBorders>
                    <w:tl2br w:val="nil"/>
                    <w:tr2bl w:val="nil"/>
                  </w:tcBorders>
                  <w:vAlign w:val="center"/>
                </w:tcPr>
                <w:p w14:paraId="2391A01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最低环境温度</w:t>
                  </w:r>
                </w:p>
              </w:tc>
              <w:tc>
                <w:tcPr>
                  <w:tcW w:w="2782" w:type="dxa"/>
                  <w:tcBorders>
                    <w:tl2br w:val="nil"/>
                    <w:tr2bl w:val="nil"/>
                  </w:tcBorders>
                  <w:vAlign w:val="center"/>
                </w:tcPr>
                <w:p w14:paraId="0CAF84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-27.4</w:t>
                  </w:r>
                </w:p>
              </w:tc>
            </w:tr>
            <w:tr w14:paraId="2B3B32A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4777" w:type="dxa"/>
                  <w:gridSpan w:val="2"/>
                  <w:tcBorders>
                    <w:tl2br w:val="nil"/>
                    <w:tr2bl w:val="nil"/>
                  </w:tcBorders>
                  <w:vAlign w:val="center"/>
                </w:tcPr>
                <w:p w14:paraId="419D44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土地利用类型</w:t>
                  </w:r>
                </w:p>
              </w:tc>
              <w:tc>
                <w:tcPr>
                  <w:tcW w:w="2782" w:type="dxa"/>
                  <w:tcBorders>
                    <w:tl2br w:val="nil"/>
                    <w:tr2bl w:val="nil"/>
                  </w:tcBorders>
                  <w:vAlign w:val="center"/>
                </w:tcPr>
                <w:p w14:paraId="2919BF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城市</w:t>
                  </w:r>
                </w:p>
              </w:tc>
            </w:tr>
            <w:tr w14:paraId="4D86B156">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5" w:hRule="atLeast"/>
              </w:trPr>
              <w:tc>
                <w:tcPr>
                  <w:tcW w:w="4777" w:type="dxa"/>
                  <w:gridSpan w:val="2"/>
                  <w:tcBorders>
                    <w:tl2br w:val="nil"/>
                    <w:tr2bl w:val="nil"/>
                  </w:tcBorders>
                  <w:vAlign w:val="center"/>
                </w:tcPr>
                <w:p w14:paraId="627A87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区域湿度条件</w:t>
                  </w:r>
                </w:p>
              </w:tc>
              <w:tc>
                <w:tcPr>
                  <w:tcW w:w="2782" w:type="dxa"/>
                  <w:tcBorders>
                    <w:tl2br w:val="nil"/>
                    <w:tr2bl w:val="nil"/>
                  </w:tcBorders>
                  <w:vAlign w:val="center"/>
                </w:tcPr>
                <w:p w14:paraId="604D78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中等湿度</w:t>
                  </w:r>
                </w:p>
              </w:tc>
            </w:tr>
            <w:tr w14:paraId="351ECA9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5" w:hRule="atLeast"/>
              </w:trPr>
              <w:tc>
                <w:tcPr>
                  <w:tcW w:w="2277" w:type="dxa"/>
                  <w:vMerge w:val="restart"/>
                  <w:tcBorders>
                    <w:tl2br w:val="nil"/>
                    <w:tr2bl w:val="nil"/>
                  </w:tcBorders>
                  <w:vAlign w:val="center"/>
                </w:tcPr>
                <w:p w14:paraId="4A7A84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是否考虑地形</w:t>
                  </w:r>
                </w:p>
              </w:tc>
              <w:tc>
                <w:tcPr>
                  <w:tcW w:w="2500" w:type="dxa"/>
                  <w:tcBorders>
                    <w:tl2br w:val="nil"/>
                    <w:tr2bl w:val="nil"/>
                  </w:tcBorders>
                  <w:vAlign w:val="center"/>
                </w:tcPr>
                <w:p w14:paraId="389EBC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考虑地形</w:t>
                  </w:r>
                </w:p>
              </w:tc>
              <w:tc>
                <w:tcPr>
                  <w:tcW w:w="2782" w:type="dxa"/>
                  <w:tcBorders>
                    <w:tl2br w:val="nil"/>
                    <w:tr2bl w:val="nil"/>
                  </w:tcBorders>
                  <w:vAlign w:val="center"/>
                </w:tcPr>
                <w:p w14:paraId="42458FD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是</w:t>
                  </w:r>
                </w:p>
              </w:tc>
            </w:tr>
            <w:tr w14:paraId="4A94FA4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5" w:hRule="atLeast"/>
              </w:trPr>
              <w:tc>
                <w:tcPr>
                  <w:tcW w:w="2277" w:type="dxa"/>
                  <w:vMerge w:val="continue"/>
                  <w:tcBorders>
                    <w:tl2br w:val="nil"/>
                    <w:tr2bl w:val="nil"/>
                  </w:tcBorders>
                  <w:vAlign w:val="center"/>
                </w:tcPr>
                <w:p w14:paraId="52E597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2500" w:type="dxa"/>
                  <w:tcBorders>
                    <w:tl2br w:val="nil"/>
                    <w:tr2bl w:val="nil"/>
                  </w:tcBorders>
                  <w:vAlign w:val="center"/>
                </w:tcPr>
                <w:p w14:paraId="656036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地形数据分辨率(m)</w:t>
                  </w:r>
                </w:p>
              </w:tc>
              <w:tc>
                <w:tcPr>
                  <w:tcW w:w="2782" w:type="dxa"/>
                  <w:tcBorders>
                    <w:tl2br w:val="nil"/>
                    <w:tr2bl w:val="nil"/>
                  </w:tcBorders>
                  <w:vAlign w:val="center"/>
                </w:tcPr>
                <w:p w14:paraId="73EC1A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90</w:t>
                  </w:r>
                </w:p>
              </w:tc>
            </w:tr>
            <w:tr w14:paraId="274B27B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5" w:hRule="atLeast"/>
              </w:trPr>
              <w:tc>
                <w:tcPr>
                  <w:tcW w:w="2277" w:type="dxa"/>
                  <w:vMerge w:val="restart"/>
                  <w:tcBorders>
                    <w:tl2br w:val="nil"/>
                    <w:tr2bl w:val="nil"/>
                  </w:tcBorders>
                  <w:vAlign w:val="center"/>
                </w:tcPr>
                <w:p w14:paraId="675969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是否考虑岸线熏烟</w:t>
                  </w:r>
                </w:p>
              </w:tc>
              <w:tc>
                <w:tcPr>
                  <w:tcW w:w="2500" w:type="dxa"/>
                  <w:tcBorders>
                    <w:tl2br w:val="nil"/>
                    <w:tr2bl w:val="nil"/>
                  </w:tcBorders>
                  <w:vAlign w:val="center"/>
                </w:tcPr>
                <w:p w14:paraId="5CFEEB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考虑岸线熏烟</w:t>
                  </w:r>
                </w:p>
              </w:tc>
              <w:tc>
                <w:tcPr>
                  <w:tcW w:w="2782" w:type="dxa"/>
                  <w:tcBorders>
                    <w:tl2br w:val="nil"/>
                    <w:tr2bl w:val="nil"/>
                  </w:tcBorders>
                  <w:vAlign w:val="center"/>
                </w:tcPr>
                <w:p w14:paraId="35A2FF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否</w:t>
                  </w:r>
                </w:p>
              </w:tc>
            </w:tr>
            <w:tr w14:paraId="37C5968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5" w:hRule="atLeast"/>
              </w:trPr>
              <w:tc>
                <w:tcPr>
                  <w:tcW w:w="2277" w:type="dxa"/>
                  <w:vMerge w:val="continue"/>
                  <w:tcBorders>
                    <w:tl2br w:val="nil"/>
                    <w:tr2bl w:val="nil"/>
                  </w:tcBorders>
                  <w:vAlign w:val="center"/>
                </w:tcPr>
                <w:p w14:paraId="51763B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2500" w:type="dxa"/>
                  <w:tcBorders>
                    <w:tl2br w:val="nil"/>
                    <w:tr2bl w:val="nil"/>
                  </w:tcBorders>
                  <w:vAlign w:val="center"/>
                </w:tcPr>
                <w:p w14:paraId="106ED1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岸线距离/m</w:t>
                  </w:r>
                </w:p>
              </w:tc>
              <w:tc>
                <w:tcPr>
                  <w:tcW w:w="2782" w:type="dxa"/>
                  <w:tcBorders>
                    <w:tl2br w:val="nil"/>
                    <w:tr2bl w:val="nil"/>
                  </w:tcBorders>
                  <w:vAlign w:val="center"/>
                </w:tcPr>
                <w:p w14:paraId="0243EE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r>
            <w:tr w14:paraId="3B9273A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5" w:hRule="atLeast"/>
              </w:trPr>
              <w:tc>
                <w:tcPr>
                  <w:tcW w:w="2277" w:type="dxa"/>
                  <w:vMerge w:val="continue"/>
                  <w:tcBorders>
                    <w:tl2br w:val="nil"/>
                    <w:tr2bl w:val="nil"/>
                  </w:tcBorders>
                  <w:vAlign w:val="center"/>
                </w:tcPr>
                <w:p w14:paraId="0B6F0E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2500" w:type="dxa"/>
                  <w:tcBorders>
                    <w:tl2br w:val="nil"/>
                    <w:tr2bl w:val="nil"/>
                  </w:tcBorders>
                  <w:vAlign w:val="center"/>
                </w:tcPr>
                <w:p w14:paraId="2E2C31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岸线方向/°</w:t>
                  </w:r>
                </w:p>
              </w:tc>
              <w:tc>
                <w:tcPr>
                  <w:tcW w:w="2782" w:type="dxa"/>
                  <w:tcBorders>
                    <w:tl2br w:val="nil"/>
                    <w:tr2bl w:val="nil"/>
                  </w:tcBorders>
                  <w:vAlign w:val="center"/>
                </w:tcPr>
                <w:p w14:paraId="76C9A4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r>
          </w:tbl>
          <w:p w14:paraId="0169BFF0">
            <w:pPr>
              <w:pStyle w:val="59"/>
              <w:numPr>
                <w:ilvl w:val="0"/>
                <w:numId w:val="25"/>
              </w:numPr>
              <w:bidi w:val="0"/>
              <w:spacing w:line="360" w:lineRule="auto"/>
              <w:ind w:left="425" w:leftChars="0" w:hanging="425" w:firstLineChars="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采用估算模型计算无组织排放废气结果一览表</w:t>
            </w:r>
          </w:p>
          <w:tbl>
            <w:tblPr>
              <w:tblStyle w:val="2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894"/>
              <w:gridCol w:w="1362"/>
              <w:gridCol w:w="1755"/>
              <w:gridCol w:w="1528"/>
              <w:gridCol w:w="892"/>
            </w:tblGrid>
            <w:tr w14:paraId="2518DA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205" w:type="dxa"/>
                  <w:tcBorders>
                    <w:tl2br w:val="nil"/>
                    <w:tr2bl w:val="nil"/>
                  </w:tcBorders>
                  <w:vAlign w:val="center"/>
                </w:tcPr>
                <w:p w14:paraId="710896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lang w:val="en-US" w:eastAsia="zh-CN"/>
                    </w:rPr>
                    <w:t>排放方式</w:t>
                  </w:r>
                </w:p>
              </w:tc>
              <w:tc>
                <w:tcPr>
                  <w:tcW w:w="948" w:type="dxa"/>
                  <w:tcBorders>
                    <w:tl2br w:val="nil"/>
                    <w:tr2bl w:val="nil"/>
                  </w:tcBorders>
                  <w:vAlign w:val="center"/>
                </w:tcPr>
                <w:p w14:paraId="17DC01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lang w:val="en-US" w:eastAsia="zh-CN"/>
                    </w:rPr>
                    <w:t>污染源</w:t>
                  </w:r>
                </w:p>
              </w:tc>
              <w:tc>
                <w:tcPr>
                  <w:tcW w:w="1444" w:type="dxa"/>
                  <w:tcBorders>
                    <w:tl2br w:val="nil"/>
                    <w:tr2bl w:val="nil"/>
                  </w:tcBorders>
                  <w:vAlign w:val="center"/>
                </w:tcPr>
                <w:p w14:paraId="672C39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lang w:val="en-US" w:eastAsia="zh-CN"/>
                    </w:rPr>
                    <w:t>污染物</w:t>
                  </w:r>
                </w:p>
              </w:tc>
              <w:tc>
                <w:tcPr>
                  <w:tcW w:w="1860" w:type="dxa"/>
                  <w:tcBorders>
                    <w:tl2br w:val="nil"/>
                    <w:tr2bl w:val="nil"/>
                  </w:tcBorders>
                  <w:vAlign w:val="center"/>
                </w:tcPr>
                <w:p w14:paraId="057B1A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lang w:val="en-US" w:eastAsia="zh-CN"/>
                    </w:rPr>
                    <w:t>下风向最大质量浓度mg/m</w:t>
                  </w:r>
                  <w:r>
                    <w:rPr>
                      <w:rFonts w:hint="default" w:ascii="Times New Roman" w:hAnsi="Times New Roman" w:cs="Times New Roman"/>
                      <w:b/>
                      <w:bCs/>
                      <w:color w:val="auto"/>
                      <w:sz w:val="21"/>
                      <w:szCs w:val="21"/>
                      <w:vertAlign w:val="superscript"/>
                      <w:lang w:val="en-US" w:eastAsia="zh-CN"/>
                    </w:rPr>
                    <w:t>3</w:t>
                  </w:r>
                </w:p>
              </w:tc>
              <w:tc>
                <w:tcPr>
                  <w:tcW w:w="1620" w:type="dxa"/>
                  <w:tcBorders>
                    <w:tl2br w:val="nil"/>
                    <w:tr2bl w:val="nil"/>
                  </w:tcBorders>
                  <w:vAlign w:val="center"/>
                </w:tcPr>
                <w:p w14:paraId="48880D1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lang w:val="en-US" w:eastAsia="zh-CN"/>
                    </w:rPr>
                    <w:t>最大落地浓度距离m</w:t>
                  </w:r>
                </w:p>
              </w:tc>
              <w:tc>
                <w:tcPr>
                  <w:tcW w:w="946" w:type="dxa"/>
                  <w:tcBorders>
                    <w:tl2br w:val="nil"/>
                    <w:tr2bl w:val="nil"/>
                  </w:tcBorders>
                  <w:vAlign w:val="center"/>
                </w:tcPr>
                <w:p w14:paraId="20E450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标准值</w:t>
                  </w:r>
                </w:p>
                <w:p w14:paraId="324A4D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lang w:val="en-US" w:eastAsia="zh-CN"/>
                    </w:rPr>
                    <w:t>mg/m</w:t>
                  </w:r>
                  <w:r>
                    <w:rPr>
                      <w:rFonts w:hint="default" w:ascii="Times New Roman" w:hAnsi="Times New Roman" w:cs="Times New Roman"/>
                      <w:b/>
                      <w:bCs/>
                      <w:color w:val="auto"/>
                      <w:sz w:val="21"/>
                      <w:szCs w:val="21"/>
                      <w:vertAlign w:val="superscript"/>
                      <w:lang w:val="en-US" w:eastAsia="zh-CN"/>
                    </w:rPr>
                    <w:t>3</w:t>
                  </w:r>
                </w:p>
              </w:tc>
            </w:tr>
            <w:tr w14:paraId="3BF649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dxa"/>
                  <w:tcBorders>
                    <w:tl2br w:val="nil"/>
                    <w:tr2bl w:val="nil"/>
                  </w:tcBorders>
                  <w:vAlign w:val="center"/>
                </w:tcPr>
                <w:p w14:paraId="0A79DB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kern w:val="0"/>
                      <w:sz w:val="21"/>
                      <w:szCs w:val="21"/>
                      <w:lang w:val="en-US" w:eastAsia="zh-CN" w:bidi="ar"/>
                    </w:rPr>
                    <w:t>面</w:t>
                  </w:r>
                  <w:r>
                    <w:rPr>
                      <w:rFonts w:hint="default" w:ascii="Times New Roman" w:hAnsi="Times New Roman" w:eastAsia="宋体" w:cs="Times New Roman"/>
                      <w:color w:val="auto"/>
                      <w:kern w:val="0"/>
                      <w:sz w:val="21"/>
                      <w:szCs w:val="21"/>
                      <w:lang w:val="en-US" w:eastAsia="zh-CN" w:bidi="ar"/>
                    </w:rPr>
                    <w:t>源</w:t>
                  </w:r>
                </w:p>
              </w:tc>
              <w:tc>
                <w:tcPr>
                  <w:tcW w:w="948" w:type="dxa"/>
                  <w:tcBorders>
                    <w:tl2br w:val="nil"/>
                    <w:tr2bl w:val="nil"/>
                  </w:tcBorders>
                  <w:vAlign w:val="center"/>
                </w:tcPr>
                <w:p w14:paraId="222D04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车间</w:t>
                  </w:r>
                </w:p>
              </w:tc>
              <w:tc>
                <w:tcPr>
                  <w:tcW w:w="1444" w:type="dxa"/>
                  <w:tcBorders>
                    <w:tl2br w:val="nil"/>
                    <w:tr2bl w:val="nil"/>
                  </w:tcBorders>
                  <w:shd w:val="clear" w:color="auto" w:fill="auto"/>
                  <w:vAlign w:val="center"/>
                </w:tcPr>
                <w:p w14:paraId="2F936B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非甲烷总烃</w:t>
                  </w:r>
                </w:p>
              </w:tc>
              <w:tc>
                <w:tcPr>
                  <w:tcW w:w="1860" w:type="dxa"/>
                  <w:tcBorders>
                    <w:tl2br w:val="nil"/>
                    <w:tr2bl w:val="nil"/>
                  </w:tcBorders>
                  <w:shd w:val="clear" w:color="auto" w:fill="auto"/>
                  <w:vAlign w:val="center"/>
                </w:tcPr>
                <w:p w14:paraId="0613E7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0.0</w:t>
                  </w:r>
                  <w:r>
                    <w:rPr>
                      <w:rFonts w:hint="eastAsia" w:ascii="Times New Roman" w:hAnsi="Times New Roman" w:cs="Times New Roman"/>
                      <w:color w:val="auto"/>
                      <w:sz w:val="21"/>
                      <w:szCs w:val="21"/>
                      <w:vertAlign w:val="baseline"/>
                      <w:lang w:val="en-US" w:eastAsia="zh-CN"/>
                    </w:rPr>
                    <w:t>24</w:t>
                  </w:r>
                </w:p>
              </w:tc>
              <w:tc>
                <w:tcPr>
                  <w:tcW w:w="1620" w:type="dxa"/>
                  <w:tcBorders>
                    <w:tl2br w:val="nil"/>
                    <w:tr2bl w:val="nil"/>
                  </w:tcBorders>
                  <w:shd w:val="clear" w:color="auto" w:fill="auto"/>
                  <w:vAlign w:val="center"/>
                </w:tcPr>
                <w:p w14:paraId="599D42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43</w:t>
                  </w:r>
                </w:p>
              </w:tc>
              <w:tc>
                <w:tcPr>
                  <w:tcW w:w="946" w:type="dxa"/>
                  <w:tcBorders>
                    <w:tl2br w:val="nil"/>
                    <w:tr2bl w:val="nil"/>
                  </w:tcBorders>
                  <w:shd w:val="clear" w:color="auto" w:fill="auto"/>
                  <w:vAlign w:val="center"/>
                </w:tcPr>
                <w:p w14:paraId="4F46CE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1.0</w:t>
                  </w:r>
                </w:p>
              </w:tc>
            </w:tr>
          </w:tbl>
          <w:p w14:paraId="05B5B7B9">
            <w:pPr>
              <w:pStyle w:val="59"/>
              <w:numPr>
                <w:ilvl w:val="0"/>
                <w:numId w:val="25"/>
              </w:numPr>
              <w:bidi w:val="0"/>
              <w:ind w:left="425" w:leftChars="0" w:hanging="425" w:firstLineChars="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采用估算模型计算无组织排放废气</w:t>
            </w:r>
            <w:r>
              <w:rPr>
                <w:rFonts w:hint="eastAsia" w:cs="Times New Roman"/>
                <w:b/>
                <w:bCs/>
                <w:color w:val="auto"/>
                <w:sz w:val="24"/>
                <w:highlight w:val="none"/>
                <w:lang w:val="en-US" w:eastAsia="zh-CN"/>
              </w:rPr>
              <w:t>对环境敏感目标的影响</w:t>
            </w:r>
            <w:r>
              <w:rPr>
                <w:rFonts w:hint="eastAsia" w:ascii="Times New Roman" w:hAnsi="Times New Roman" w:eastAsia="宋体" w:cs="Times New Roman"/>
                <w:b/>
                <w:bCs/>
                <w:color w:val="auto"/>
                <w:sz w:val="24"/>
                <w:highlight w:val="none"/>
                <w:lang w:val="en-US" w:eastAsia="zh-CN"/>
              </w:rPr>
              <w:t>一览表</w:t>
            </w:r>
          </w:p>
          <w:tbl>
            <w:tblPr>
              <w:tblStyle w:val="23"/>
              <w:tblW w:w="49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298"/>
              <w:gridCol w:w="1076"/>
              <w:gridCol w:w="1602"/>
              <w:gridCol w:w="1105"/>
              <w:gridCol w:w="1224"/>
              <w:gridCol w:w="1112"/>
            </w:tblGrid>
            <w:tr w14:paraId="5119F79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59" w:hRule="atLeast"/>
                <w:tblHeader/>
                <w:jc w:val="center"/>
              </w:trPr>
              <w:tc>
                <w:tcPr>
                  <w:tcW w:w="874" w:type="pct"/>
                  <w:noWrap/>
                  <w:vAlign w:val="center"/>
                </w:tcPr>
                <w:p w14:paraId="3B1FBB81">
                  <w:pPr>
                    <w:pStyle w:val="63"/>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敏感点</w:t>
                  </w:r>
                </w:p>
              </w:tc>
              <w:tc>
                <w:tcPr>
                  <w:tcW w:w="725" w:type="pct"/>
                  <w:noWrap/>
                  <w:vAlign w:val="center"/>
                </w:tcPr>
                <w:p w14:paraId="0D693A78">
                  <w:pPr>
                    <w:pStyle w:val="63"/>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与本项目</w:t>
                  </w:r>
                </w:p>
                <w:p w14:paraId="235EB78D">
                  <w:pPr>
                    <w:pStyle w:val="63"/>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距离m</w:t>
                  </w:r>
                </w:p>
              </w:tc>
              <w:tc>
                <w:tcPr>
                  <w:tcW w:w="1079" w:type="pct"/>
                  <w:noWrap w:val="0"/>
                  <w:vAlign w:val="center"/>
                </w:tcPr>
                <w:p w14:paraId="286D7B76">
                  <w:pPr>
                    <w:pStyle w:val="63"/>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预测因子</w:t>
                  </w:r>
                </w:p>
              </w:tc>
              <w:tc>
                <w:tcPr>
                  <w:tcW w:w="744" w:type="pct"/>
                  <w:noWrap w:val="0"/>
                  <w:vAlign w:val="center"/>
                </w:tcPr>
                <w:p w14:paraId="3B058807">
                  <w:pPr>
                    <w:pStyle w:val="63"/>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预测浓度</w:t>
                  </w:r>
                </w:p>
                <w:p w14:paraId="122A3E74">
                  <w:pPr>
                    <w:pStyle w:val="63"/>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μg/m</w:t>
                  </w:r>
                  <w:r>
                    <w:rPr>
                      <w:rFonts w:hint="default" w:ascii="Times New Roman" w:hAnsi="Times New Roman" w:eastAsia="宋体" w:cs="Times New Roman"/>
                      <w:b/>
                      <w:bCs w:val="0"/>
                      <w:color w:val="auto"/>
                      <w:sz w:val="21"/>
                      <w:szCs w:val="21"/>
                      <w:vertAlign w:val="superscript"/>
                    </w:rPr>
                    <w:t>3</w:t>
                  </w:r>
                </w:p>
              </w:tc>
              <w:tc>
                <w:tcPr>
                  <w:tcW w:w="825" w:type="pct"/>
                  <w:noWrap w:val="0"/>
                  <w:vAlign w:val="center"/>
                </w:tcPr>
                <w:p w14:paraId="7621F9DC">
                  <w:pPr>
                    <w:pStyle w:val="63"/>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占标率（%）</w:t>
                  </w:r>
                </w:p>
              </w:tc>
              <w:tc>
                <w:tcPr>
                  <w:tcW w:w="749" w:type="pct"/>
                  <w:noWrap w:val="0"/>
                  <w:vAlign w:val="center"/>
                </w:tcPr>
                <w:p w14:paraId="3EC3C45B">
                  <w:pPr>
                    <w:pStyle w:val="63"/>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标准值</w:t>
                  </w:r>
                </w:p>
                <w:p w14:paraId="35EC7133">
                  <w:pPr>
                    <w:pStyle w:val="63"/>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μg/m</w:t>
                  </w:r>
                  <w:r>
                    <w:rPr>
                      <w:rFonts w:hint="default" w:ascii="Times New Roman" w:hAnsi="Times New Roman" w:eastAsia="宋体" w:cs="Times New Roman"/>
                      <w:b/>
                      <w:bCs w:val="0"/>
                      <w:color w:val="auto"/>
                      <w:sz w:val="21"/>
                      <w:szCs w:val="21"/>
                      <w:vertAlign w:val="superscript"/>
                    </w:rPr>
                    <w:t>3</w:t>
                  </w:r>
                </w:p>
              </w:tc>
            </w:tr>
            <w:tr w14:paraId="5E5AD18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59" w:hRule="atLeast"/>
                <w:tblHeader/>
                <w:jc w:val="center"/>
              </w:trPr>
              <w:tc>
                <w:tcPr>
                  <w:tcW w:w="1298" w:type="dxa"/>
                  <w:noWrap/>
                  <w:vAlign w:val="center"/>
                </w:tcPr>
                <w:p w14:paraId="42DAB2BB">
                  <w:pPr>
                    <w:numPr>
                      <w:ilvl w:val="0"/>
                      <w:numId w:val="0"/>
                    </w:numPr>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b w:val="0"/>
                      <w:bCs w:val="0"/>
                      <w:color w:val="auto"/>
                      <w:sz w:val="21"/>
                      <w:szCs w:val="21"/>
                      <w:vertAlign w:val="baseline"/>
                      <w:lang w:val="en-US" w:eastAsia="zh-CN"/>
                    </w:rPr>
                    <w:t>金色音画幼儿园</w:t>
                  </w:r>
                </w:p>
              </w:tc>
              <w:tc>
                <w:tcPr>
                  <w:tcW w:w="725" w:type="pct"/>
                  <w:noWrap/>
                  <w:vAlign w:val="center"/>
                </w:tcPr>
                <w:p w14:paraId="2874B5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342.35</w:t>
                  </w:r>
                </w:p>
              </w:tc>
              <w:tc>
                <w:tcPr>
                  <w:tcW w:w="1079" w:type="pct"/>
                  <w:noWrap w:val="0"/>
                  <w:vAlign w:val="center"/>
                </w:tcPr>
                <w:p w14:paraId="15CD7B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vertAlign w:val="baseline"/>
                      <w:lang w:val="en-US" w:eastAsia="zh-CN"/>
                    </w:rPr>
                    <w:t>非甲烷总烃</w:t>
                  </w:r>
                </w:p>
              </w:tc>
              <w:tc>
                <w:tcPr>
                  <w:tcW w:w="744" w:type="pct"/>
                  <w:noWrap w:val="0"/>
                  <w:vAlign w:val="center"/>
                </w:tcPr>
                <w:p w14:paraId="7F22F3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7.28</w:t>
                  </w:r>
                </w:p>
              </w:tc>
              <w:tc>
                <w:tcPr>
                  <w:tcW w:w="825" w:type="pct"/>
                  <w:noWrap w:val="0"/>
                  <w:vAlign w:val="center"/>
                </w:tcPr>
                <w:p w14:paraId="5F79FA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w:t>
                  </w:r>
                  <w:r>
                    <w:rPr>
                      <w:rFonts w:hint="eastAsia" w:ascii="Times New Roman" w:hAnsi="Times New Roman" w:cs="Times New Roman"/>
                      <w:color w:val="auto"/>
                      <w:kern w:val="0"/>
                      <w:sz w:val="21"/>
                      <w:szCs w:val="21"/>
                      <w:lang w:val="en-US" w:eastAsia="zh-CN" w:bidi="ar"/>
                    </w:rPr>
                    <w:t>61</w:t>
                  </w:r>
                </w:p>
              </w:tc>
              <w:tc>
                <w:tcPr>
                  <w:tcW w:w="749" w:type="pct"/>
                  <w:noWrap w:val="0"/>
                  <w:vAlign w:val="center"/>
                </w:tcPr>
                <w:p w14:paraId="1C2FC4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1200</w:t>
                  </w:r>
                </w:p>
              </w:tc>
            </w:tr>
            <w:tr w14:paraId="55A63D5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59" w:hRule="atLeast"/>
                <w:tblHeader/>
                <w:jc w:val="center"/>
              </w:trPr>
              <w:tc>
                <w:tcPr>
                  <w:tcW w:w="1298" w:type="dxa"/>
                  <w:noWrap/>
                  <w:vAlign w:val="center"/>
                </w:tcPr>
                <w:p w14:paraId="149087E5">
                  <w:pPr>
                    <w:numPr>
                      <w:ilvl w:val="0"/>
                      <w:numId w:val="0"/>
                    </w:numPr>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b w:val="0"/>
                      <w:bCs w:val="0"/>
                      <w:color w:val="auto"/>
                      <w:sz w:val="21"/>
                      <w:szCs w:val="21"/>
                      <w:vertAlign w:val="baseline"/>
                      <w:lang w:val="en-US" w:eastAsia="zh-CN"/>
                    </w:rPr>
                    <w:t>马驹桥中心小学小张湾校区</w:t>
                  </w:r>
                </w:p>
              </w:tc>
              <w:tc>
                <w:tcPr>
                  <w:tcW w:w="725" w:type="pct"/>
                  <w:noWrap/>
                  <w:vAlign w:val="center"/>
                </w:tcPr>
                <w:p w14:paraId="71B073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393.48</w:t>
                  </w:r>
                </w:p>
              </w:tc>
              <w:tc>
                <w:tcPr>
                  <w:tcW w:w="1079" w:type="pct"/>
                  <w:noWrap w:val="0"/>
                  <w:vAlign w:val="center"/>
                </w:tcPr>
                <w:p w14:paraId="20DA18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非甲烷总烃</w:t>
                  </w:r>
                </w:p>
              </w:tc>
              <w:tc>
                <w:tcPr>
                  <w:tcW w:w="744" w:type="pct"/>
                  <w:noWrap w:val="0"/>
                  <w:vAlign w:val="center"/>
                </w:tcPr>
                <w:p w14:paraId="18D746A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6.30</w:t>
                  </w:r>
                </w:p>
              </w:tc>
              <w:tc>
                <w:tcPr>
                  <w:tcW w:w="825" w:type="pct"/>
                  <w:noWrap w:val="0"/>
                  <w:vAlign w:val="center"/>
                </w:tcPr>
                <w:p w14:paraId="1CFADA8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0.53</w:t>
                  </w:r>
                </w:p>
              </w:tc>
              <w:tc>
                <w:tcPr>
                  <w:tcW w:w="749" w:type="pct"/>
                  <w:noWrap w:val="0"/>
                  <w:vAlign w:val="center"/>
                </w:tcPr>
                <w:p w14:paraId="407878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1200</w:t>
                  </w:r>
                </w:p>
              </w:tc>
            </w:tr>
            <w:tr w14:paraId="0AB94FF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59" w:hRule="atLeast"/>
                <w:tblHeader/>
                <w:jc w:val="center"/>
              </w:trPr>
              <w:tc>
                <w:tcPr>
                  <w:tcW w:w="5000" w:type="pct"/>
                  <w:gridSpan w:val="6"/>
                  <w:noWrap/>
                  <w:vAlign w:val="center"/>
                </w:tcPr>
                <w:p w14:paraId="46A7AE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注：</w:t>
                  </w:r>
                  <w:r>
                    <w:rPr>
                      <w:rFonts w:hint="default" w:ascii="Times New Roman" w:hAnsi="Times New Roman" w:cs="Times New Roman"/>
                      <w:color w:val="auto"/>
                      <w:sz w:val="21"/>
                      <w:szCs w:val="21"/>
                      <w:vertAlign w:val="baseline"/>
                      <w:lang w:val="en-US" w:eastAsia="zh-CN"/>
                    </w:rPr>
                    <w:t>非甲烷总烃环境空气质量标准1h平均质量浓度限值，采用《环境影响评价技术导则 大气环境》中“附录D.1其他污染物空气质量浓度参考限值的要求”中8h平均质量浓度限值的2倍。</w:t>
                  </w:r>
                </w:p>
              </w:tc>
            </w:tr>
          </w:tbl>
          <w:p w14:paraId="59A66338">
            <w:pPr>
              <w:adjustRightInd w:val="0"/>
              <w:snapToGrid w:val="0"/>
              <w:spacing w:line="360" w:lineRule="auto"/>
              <w:ind w:firstLine="480" w:firstLineChars="200"/>
              <w:rPr>
                <w:rFonts w:hint="default" w:eastAsia="宋体" w:cs="Times New Roman"/>
                <w:color w:val="auto"/>
                <w:sz w:val="24"/>
                <w:highlight w:val="none"/>
                <w:lang w:val="en-US" w:eastAsia="zh-CN"/>
              </w:rPr>
            </w:pPr>
            <w:r>
              <w:rPr>
                <w:rFonts w:hint="eastAsia" w:eastAsia="宋体" w:cs="Times New Roman"/>
                <w:color w:val="auto"/>
                <w:sz w:val="24"/>
                <w:highlight w:val="none"/>
                <w:lang w:val="en-US" w:eastAsia="zh-CN"/>
              </w:rPr>
              <w:t>综上，本项目建设完成后无组织废气排放浓度满足北京市《大气污染物综合排放标准》（DB11/501-2017）表3中“单位周界无组织排放监控点浓度限值要求”，无组织废气对环境敏感目标“万泽经海广场-菁英荟住宅区”的影响，满足《环境影响评价技术导则 大气环境》中“附录D.1其他污染物空气质量浓度参考限值”的要求。</w:t>
            </w:r>
          </w:p>
          <w:p w14:paraId="666C7B15">
            <w:pPr>
              <w:adjustRightInd w:val="0"/>
              <w:snapToGrid w:val="0"/>
              <w:spacing w:line="360" w:lineRule="auto"/>
              <w:ind w:firstLine="480" w:firstLineChars="200"/>
              <w:rPr>
                <w:rFonts w:hint="default" w:eastAsia="宋体" w:cs="Times New Roman"/>
                <w:color w:val="auto"/>
                <w:sz w:val="24"/>
                <w:highlight w:val="none"/>
                <w:lang w:val="en-US" w:eastAsia="zh-CN"/>
              </w:rPr>
            </w:pPr>
            <w:r>
              <w:rPr>
                <w:rFonts w:hint="eastAsia" w:eastAsia="宋体" w:cs="Times New Roman"/>
                <w:color w:val="auto"/>
                <w:sz w:val="24"/>
                <w:highlight w:val="none"/>
                <w:lang w:val="en-US" w:eastAsia="zh-CN"/>
              </w:rPr>
              <w:t>（3）废气监测计划</w:t>
            </w:r>
          </w:p>
          <w:p w14:paraId="4EFCC66E">
            <w:pPr>
              <w:adjustRightInd w:val="0"/>
              <w:snapToGrid w:val="0"/>
              <w:spacing w:line="360" w:lineRule="auto"/>
              <w:ind w:firstLine="480" w:firstLineChars="200"/>
              <w:rPr>
                <w:rFonts w:hint="eastAsia" w:eastAsia="宋体" w:cs="Times New Roman"/>
                <w:color w:val="auto"/>
                <w:sz w:val="24"/>
                <w:highlight w:val="none"/>
                <w:lang w:val="en-US" w:eastAsia="zh-CN"/>
              </w:rPr>
            </w:pPr>
            <w:r>
              <w:rPr>
                <w:rFonts w:hint="eastAsia" w:eastAsia="宋体" w:cs="Times New Roman"/>
                <w:color w:val="auto"/>
                <w:sz w:val="24"/>
                <w:highlight w:val="none"/>
                <w:lang w:val="en-US" w:eastAsia="zh-CN"/>
              </w:rPr>
              <w:t>按照《排污单位自行监测技术指南 总则》（HJ819-2017）的要求，本项目废气监测计划详见下表。</w:t>
            </w:r>
          </w:p>
          <w:p w14:paraId="5CF8CF35">
            <w:pPr>
              <w:pStyle w:val="59"/>
              <w:numPr>
                <w:ilvl w:val="0"/>
                <w:numId w:val="25"/>
              </w:numPr>
              <w:bidi w:val="0"/>
              <w:ind w:left="425" w:leftChars="0" w:hanging="425" w:firstLineChars="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废气监测计划一览表</w:t>
            </w:r>
          </w:p>
          <w:tbl>
            <w:tblPr>
              <w:tblStyle w:val="24"/>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88"/>
              <w:gridCol w:w="1472"/>
              <w:gridCol w:w="1019"/>
              <w:gridCol w:w="1010"/>
              <w:gridCol w:w="3080"/>
            </w:tblGrid>
            <w:tr w14:paraId="2E3E26F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47" w:type="dxa"/>
                  <w:tcBorders>
                    <w:tl2br w:val="nil"/>
                    <w:tr2bl w:val="nil"/>
                  </w:tcBorders>
                  <w:shd w:val="clear" w:color="auto" w:fill="FFFFFF"/>
                  <w:noWrap w:val="0"/>
                  <w:vAlign w:val="center"/>
                </w:tcPr>
                <w:p w14:paraId="7C6A8D7E">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b/>
                      <w:bCs/>
                      <w:color w:val="auto"/>
                      <w:highlight w:val="none"/>
                      <w:lang w:val="en-US" w:eastAsia="zh-CN"/>
                    </w:rPr>
                  </w:pPr>
                  <w:r>
                    <w:rPr>
                      <w:rFonts w:hint="eastAsia"/>
                      <w:b/>
                      <w:bCs/>
                      <w:color w:val="auto"/>
                      <w:highlight w:val="none"/>
                      <w:lang w:val="en-US" w:eastAsia="zh-CN"/>
                    </w:rPr>
                    <w:t>类型</w:t>
                  </w:r>
                </w:p>
              </w:tc>
              <w:tc>
                <w:tcPr>
                  <w:tcW w:w="1560" w:type="dxa"/>
                  <w:tcBorders>
                    <w:tl2br w:val="nil"/>
                    <w:tr2bl w:val="nil"/>
                  </w:tcBorders>
                  <w:shd w:val="clear" w:color="auto" w:fill="FFFFFF"/>
                  <w:noWrap w:val="0"/>
                  <w:vAlign w:val="center"/>
                </w:tcPr>
                <w:p w14:paraId="78E27D2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b/>
                      <w:bCs/>
                      <w:color w:val="auto"/>
                      <w:highlight w:val="none"/>
                      <w:lang w:val="en-US" w:eastAsia="zh-CN"/>
                    </w:rPr>
                  </w:pPr>
                  <w:r>
                    <w:rPr>
                      <w:rFonts w:hint="eastAsia"/>
                      <w:b/>
                      <w:bCs/>
                      <w:color w:val="auto"/>
                      <w:highlight w:val="none"/>
                      <w:lang w:val="en-US" w:eastAsia="zh-CN"/>
                    </w:rPr>
                    <w:t>监测点位</w:t>
                  </w:r>
                </w:p>
              </w:tc>
              <w:tc>
                <w:tcPr>
                  <w:tcW w:w="1080" w:type="dxa"/>
                  <w:tcBorders>
                    <w:tl2br w:val="nil"/>
                    <w:tr2bl w:val="nil"/>
                  </w:tcBorders>
                  <w:shd w:val="clear" w:color="auto" w:fill="FFFFFF"/>
                  <w:noWrap w:val="0"/>
                  <w:vAlign w:val="center"/>
                </w:tcPr>
                <w:p w14:paraId="41534EBE">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
                      <w:bCs/>
                      <w:color w:val="auto"/>
                      <w:highlight w:val="none"/>
                      <w:lang w:val="en-US" w:eastAsia="zh-CN"/>
                    </w:rPr>
                  </w:pPr>
                  <w:r>
                    <w:rPr>
                      <w:rFonts w:hint="eastAsia"/>
                      <w:b/>
                      <w:bCs/>
                      <w:color w:val="auto"/>
                      <w:highlight w:val="none"/>
                      <w:lang w:val="en-US" w:eastAsia="zh-CN"/>
                    </w:rPr>
                    <w:t>监测因子</w:t>
                  </w:r>
                </w:p>
              </w:tc>
              <w:tc>
                <w:tcPr>
                  <w:tcW w:w="1071" w:type="dxa"/>
                  <w:tcBorders>
                    <w:tl2br w:val="nil"/>
                    <w:tr2bl w:val="nil"/>
                  </w:tcBorders>
                  <w:shd w:val="clear" w:color="auto" w:fill="FFFFFF"/>
                  <w:noWrap w:val="0"/>
                  <w:vAlign w:val="center"/>
                </w:tcPr>
                <w:p w14:paraId="23B35EF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b/>
                      <w:bCs/>
                      <w:color w:val="auto"/>
                      <w:highlight w:val="none"/>
                      <w:lang w:val="en-US" w:eastAsia="zh-CN"/>
                    </w:rPr>
                  </w:pPr>
                  <w:r>
                    <w:rPr>
                      <w:rFonts w:hint="eastAsia"/>
                      <w:b/>
                      <w:bCs/>
                      <w:color w:val="auto"/>
                      <w:highlight w:val="none"/>
                      <w:lang w:val="en-US" w:eastAsia="zh-CN"/>
                    </w:rPr>
                    <w:t>监测频率</w:t>
                  </w:r>
                </w:p>
              </w:tc>
              <w:tc>
                <w:tcPr>
                  <w:tcW w:w="3265" w:type="dxa"/>
                  <w:tcBorders>
                    <w:tl2br w:val="nil"/>
                    <w:tr2bl w:val="nil"/>
                  </w:tcBorders>
                  <w:shd w:val="clear" w:color="auto" w:fill="FFFFFF"/>
                  <w:noWrap w:val="0"/>
                  <w:vAlign w:val="center"/>
                </w:tcPr>
                <w:p w14:paraId="4F5E5F7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b/>
                      <w:bCs/>
                      <w:color w:val="auto"/>
                      <w:highlight w:val="none"/>
                      <w:lang w:val="en-US" w:eastAsia="zh-CN"/>
                    </w:rPr>
                  </w:pPr>
                  <w:r>
                    <w:rPr>
                      <w:rFonts w:hint="eastAsia"/>
                      <w:b/>
                      <w:bCs/>
                      <w:color w:val="auto"/>
                      <w:highlight w:val="none"/>
                      <w:lang w:val="en-US" w:eastAsia="zh-CN"/>
                    </w:rPr>
                    <w:t>执行标准</w:t>
                  </w:r>
                </w:p>
              </w:tc>
            </w:tr>
            <w:tr w14:paraId="4C603DA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47" w:type="dxa"/>
                  <w:tcBorders>
                    <w:tl2br w:val="nil"/>
                    <w:tr2bl w:val="nil"/>
                  </w:tcBorders>
                  <w:shd w:val="clear" w:color="auto" w:fill="FFFFFF"/>
                  <w:noWrap w:val="0"/>
                  <w:vAlign w:val="center"/>
                </w:tcPr>
                <w:p w14:paraId="75A8F4F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废气</w:t>
                  </w:r>
                </w:p>
                <w:p w14:paraId="0E4522E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（无组织）</w:t>
                  </w:r>
                </w:p>
              </w:tc>
              <w:tc>
                <w:tcPr>
                  <w:tcW w:w="1560" w:type="dxa"/>
                  <w:tcBorders>
                    <w:tl2br w:val="nil"/>
                    <w:tr2bl w:val="nil"/>
                  </w:tcBorders>
                  <w:shd w:val="clear" w:color="auto" w:fill="FFFFFF"/>
                  <w:noWrap w:val="0"/>
                  <w:vAlign w:val="center"/>
                </w:tcPr>
                <w:p w14:paraId="22D98C5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单位周界</w:t>
                  </w:r>
                </w:p>
                <w:p w14:paraId="1BC7A7AE">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（上风向1个点位、下风向3个点位）</w:t>
                  </w:r>
                </w:p>
              </w:tc>
              <w:tc>
                <w:tcPr>
                  <w:tcW w:w="1080" w:type="dxa"/>
                  <w:tcBorders>
                    <w:tl2br w:val="nil"/>
                    <w:tr2bl w:val="nil"/>
                  </w:tcBorders>
                  <w:shd w:val="clear" w:color="auto" w:fill="FFFFFF"/>
                  <w:noWrap w:val="0"/>
                  <w:vAlign w:val="center"/>
                </w:tcPr>
                <w:p w14:paraId="008414C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非甲烷总烃</w:t>
                  </w:r>
                </w:p>
              </w:tc>
              <w:tc>
                <w:tcPr>
                  <w:tcW w:w="1071" w:type="dxa"/>
                  <w:tcBorders>
                    <w:tl2br w:val="nil"/>
                    <w:tr2bl w:val="nil"/>
                  </w:tcBorders>
                  <w:shd w:val="clear" w:color="auto" w:fill="FFFFFF"/>
                  <w:noWrap w:val="0"/>
                  <w:vAlign w:val="center"/>
                </w:tcPr>
                <w:p w14:paraId="0744FF3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highlight w:val="none"/>
                      <w:lang w:val="en-US" w:eastAsia="zh-CN"/>
                    </w:rPr>
                  </w:pPr>
                  <w:r>
                    <w:rPr>
                      <w:rFonts w:hint="eastAsia"/>
                      <w:color w:val="auto"/>
                      <w:highlight w:val="none"/>
                      <w:lang w:val="en-US" w:eastAsia="zh-CN"/>
                    </w:rPr>
                    <w:t>1次/年</w:t>
                  </w:r>
                </w:p>
              </w:tc>
              <w:tc>
                <w:tcPr>
                  <w:tcW w:w="3265" w:type="dxa"/>
                  <w:tcBorders>
                    <w:tl2br w:val="nil"/>
                    <w:tr2bl w:val="nil"/>
                  </w:tcBorders>
                  <w:shd w:val="clear" w:color="auto" w:fill="FFFFFF"/>
                  <w:noWrap w:val="0"/>
                  <w:vAlign w:val="center"/>
                </w:tcPr>
                <w:p w14:paraId="232D428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olor w:val="auto"/>
                      <w:highlight w:val="none"/>
                      <w:lang w:val="en-US" w:eastAsia="zh-CN"/>
                    </w:rPr>
                  </w:pPr>
                  <w:r>
                    <w:rPr>
                      <w:rFonts w:hint="eastAsia"/>
                      <w:color w:val="auto"/>
                      <w:highlight w:val="none"/>
                      <w:lang w:eastAsia="zh-CN"/>
                    </w:rPr>
                    <w:t>《大气污染物综合排放标准》DB11</w:t>
                  </w:r>
                  <w:r>
                    <w:rPr>
                      <w:rFonts w:hint="eastAsia"/>
                      <w:color w:val="auto"/>
                      <w:highlight w:val="none"/>
                      <w:lang w:val="en-US" w:eastAsia="zh-CN"/>
                    </w:rPr>
                    <w:t>/</w:t>
                  </w:r>
                  <w:r>
                    <w:rPr>
                      <w:rFonts w:hint="eastAsia"/>
                      <w:color w:val="auto"/>
                      <w:highlight w:val="none"/>
                      <w:lang w:eastAsia="zh-CN"/>
                    </w:rPr>
                    <w:t>501</w:t>
                  </w:r>
                  <w:r>
                    <w:rPr>
                      <w:rFonts w:hint="eastAsia"/>
                      <w:color w:val="auto"/>
                      <w:highlight w:val="none"/>
                      <w:lang w:val="en-US" w:eastAsia="zh-CN"/>
                    </w:rPr>
                    <w:t>-</w:t>
                  </w:r>
                  <w:r>
                    <w:rPr>
                      <w:rFonts w:hint="eastAsia"/>
                      <w:color w:val="auto"/>
                      <w:highlight w:val="none"/>
                      <w:lang w:eastAsia="zh-CN"/>
                    </w:rPr>
                    <w:t>2017</w:t>
                  </w:r>
                  <w:r>
                    <w:rPr>
                      <w:rFonts w:hint="eastAsia"/>
                      <w:color w:val="auto"/>
                      <w:highlight w:val="none"/>
                      <w:lang w:val="en-US" w:eastAsia="zh-CN"/>
                    </w:rPr>
                    <w:t>中“表3生产工艺废气及其他废气大气污染物排放限值-单位周界无组织排放监控点浓度限值”1.0mg/m</w:t>
                  </w:r>
                  <w:r>
                    <w:rPr>
                      <w:rFonts w:hint="eastAsia"/>
                      <w:color w:val="auto"/>
                      <w:highlight w:val="none"/>
                      <w:vertAlign w:val="superscript"/>
                      <w:lang w:val="en-US" w:eastAsia="zh-CN"/>
                    </w:rPr>
                    <w:t>3</w:t>
                  </w:r>
                </w:p>
              </w:tc>
            </w:tr>
          </w:tbl>
          <w:p w14:paraId="667638AA">
            <w:pPr>
              <w:adjustRightInd w:val="0"/>
              <w:snapToGrid w:val="0"/>
              <w:rPr>
                <w:rFonts w:hint="default" w:ascii="Times New Roman" w:hAnsi="Times New Roman" w:eastAsia="宋体" w:cs="Times New Roman"/>
                <w:bCs/>
                <w:color w:val="auto"/>
                <w:spacing w:val="-10"/>
                <w:szCs w:val="21"/>
                <w:highlight w:val="none"/>
              </w:rPr>
            </w:pPr>
          </w:p>
          <w:p w14:paraId="5F6A7D05">
            <w:pPr>
              <w:numPr>
                <w:ilvl w:val="0"/>
                <w:numId w:val="24"/>
              </w:numPr>
              <w:adjustRightInd w:val="0"/>
              <w:snapToGrid w:val="0"/>
              <w:spacing w:line="360" w:lineRule="auto"/>
              <w:rPr>
                <w:rFonts w:hint="default" w:ascii="Times New Roman" w:hAnsi="Times New Roman" w:eastAsia="宋体" w:cs="Times New Roman"/>
                <w:b/>
                <w:bCs/>
                <w:color w:val="auto"/>
                <w:spacing w:val="-10"/>
                <w:sz w:val="24"/>
                <w:highlight w:val="none"/>
              </w:rPr>
            </w:pPr>
            <w:r>
              <w:rPr>
                <w:rFonts w:hint="default" w:ascii="Times New Roman" w:hAnsi="Times New Roman" w:eastAsia="宋体" w:cs="Times New Roman"/>
                <w:b/>
                <w:bCs/>
                <w:color w:val="auto"/>
                <w:spacing w:val="-10"/>
                <w:sz w:val="24"/>
                <w:highlight w:val="none"/>
              </w:rPr>
              <w:t>废水</w:t>
            </w:r>
          </w:p>
          <w:p w14:paraId="2CD07F08">
            <w:pPr>
              <w:numPr>
                <w:ilvl w:val="255"/>
                <w:numId w:val="0"/>
              </w:numPr>
              <w:adjustRightInd w:val="0"/>
              <w:spacing w:line="360" w:lineRule="auto"/>
              <w:ind w:left="420" w:left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（1）</w:t>
            </w:r>
            <w:r>
              <w:rPr>
                <w:rFonts w:hint="default" w:ascii="Times New Roman" w:hAnsi="Times New Roman" w:eastAsia="宋体" w:cs="Times New Roman"/>
                <w:b/>
                <w:bCs/>
                <w:color w:val="auto"/>
                <w:sz w:val="24"/>
                <w:highlight w:val="none"/>
                <w:lang w:val="en-US" w:eastAsia="zh-CN"/>
              </w:rPr>
              <w:t>废水源强核算</w:t>
            </w:r>
          </w:p>
          <w:p w14:paraId="23D8A12C">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项目排放的废水主要为生活污水</w:t>
            </w:r>
            <w:r>
              <w:rPr>
                <w:rFonts w:hint="default" w:ascii="Times New Roman" w:hAnsi="Times New Roman" w:eastAsia="宋体"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高压蒸汽灭菌废水、容器第三遍及以后</w:t>
            </w:r>
            <w:r>
              <w:rPr>
                <w:rFonts w:hint="default" w:ascii="Times New Roman" w:hAnsi="Times New Roman" w:eastAsia="宋体" w:cs="Times New Roman"/>
                <w:color w:val="auto"/>
                <w:sz w:val="24"/>
                <w:szCs w:val="32"/>
                <w:highlight w:val="none"/>
                <w:lang w:val="en-US" w:eastAsia="zh-CN"/>
              </w:rPr>
              <w:t>清洗废水</w:t>
            </w:r>
            <w:r>
              <w:rPr>
                <w:rFonts w:hint="eastAsia" w:cs="Times New Roman"/>
                <w:color w:val="auto"/>
                <w:sz w:val="24"/>
                <w:szCs w:val="32"/>
                <w:highlight w:val="none"/>
                <w:lang w:val="en-US" w:eastAsia="zh-CN"/>
              </w:rPr>
              <w:t>、纯水制备废水</w:t>
            </w:r>
            <w:r>
              <w:rPr>
                <w:rFonts w:hint="default" w:ascii="Times New Roman" w:hAnsi="Times New Roman" w:eastAsia="宋体" w:cs="Times New Roman"/>
                <w:color w:val="auto"/>
                <w:sz w:val="24"/>
                <w:szCs w:val="32"/>
                <w:highlight w:val="none"/>
                <w:lang w:val="en-US" w:eastAsia="zh-CN"/>
              </w:rPr>
              <w:t>，</w:t>
            </w:r>
            <w:r>
              <w:rPr>
                <w:rFonts w:hint="eastAsia" w:cs="Times New Roman"/>
                <w:color w:val="auto"/>
                <w:sz w:val="24"/>
                <w:szCs w:val="32"/>
                <w:highlight w:val="none"/>
                <w:lang w:val="en-US" w:eastAsia="zh-CN"/>
              </w:rPr>
              <w:t>以上</w:t>
            </w:r>
            <w:r>
              <w:rPr>
                <w:rFonts w:hint="eastAsia" w:cs="Times New Roman"/>
                <w:color w:val="auto"/>
                <w:sz w:val="24"/>
                <w:highlight w:val="none"/>
                <w:lang w:val="en-US" w:eastAsia="zh-CN"/>
              </w:rPr>
              <w:t>废水一起</w:t>
            </w:r>
            <w:r>
              <w:rPr>
                <w:rFonts w:hint="eastAsia" w:ascii="Times New Roman" w:hAnsi="Times New Roman" w:eastAsia="宋体" w:cs="Times New Roman"/>
                <w:color w:val="auto"/>
                <w:sz w:val="24"/>
                <w:szCs w:val="32"/>
                <w:highlight w:val="none"/>
                <w:lang w:val="en-US" w:eastAsia="zh-CN"/>
              </w:rPr>
              <w:t>进</w:t>
            </w:r>
            <w:r>
              <w:rPr>
                <w:rFonts w:hint="default" w:ascii="Times New Roman" w:hAnsi="Times New Roman" w:eastAsia="宋体" w:cs="Times New Roman"/>
                <w:color w:val="auto"/>
                <w:sz w:val="24"/>
                <w:szCs w:val="32"/>
                <w:highlight w:val="none"/>
              </w:rPr>
              <w:t>园区化粪池处理后排入市政管网</w:t>
            </w:r>
            <w:r>
              <w:rPr>
                <w:rFonts w:hint="eastAsia" w:cs="Times New Roman"/>
                <w:color w:val="auto"/>
                <w:sz w:val="24"/>
                <w:szCs w:val="32"/>
                <w:highlight w:val="none"/>
                <w:lang w:eastAsia="zh-CN"/>
              </w:rPr>
              <w:t>，</w:t>
            </w:r>
            <w:r>
              <w:rPr>
                <w:rFonts w:hint="eastAsia" w:cs="Times New Roman"/>
                <w:color w:val="auto"/>
                <w:sz w:val="24"/>
                <w:szCs w:val="32"/>
                <w:highlight w:val="none"/>
                <w:lang w:val="en-US" w:eastAsia="zh-CN"/>
              </w:rPr>
              <w:t>最终进</w:t>
            </w:r>
            <w:r>
              <w:rPr>
                <w:rFonts w:hint="eastAsia" w:cs="Times New Roman"/>
                <w:color w:val="auto"/>
                <w:sz w:val="24"/>
                <w:highlight w:val="none"/>
                <w:lang w:val="en-US" w:eastAsia="zh-CN"/>
              </w:rPr>
              <w:t>金桥基地第一污水处理厂</w:t>
            </w:r>
            <w:r>
              <w:rPr>
                <w:rFonts w:hint="default" w:ascii="Times New Roman" w:hAnsi="Times New Roman" w:eastAsia="宋体" w:cs="Times New Roman"/>
                <w:color w:val="auto"/>
                <w:sz w:val="24"/>
                <w:highlight w:val="none"/>
                <w:lang w:val="en-US" w:eastAsia="zh-CN"/>
              </w:rPr>
              <w:t>。</w:t>
            </w:r>
          </w:p>
          <w:p w14:paraId="17107B1B">
            <w:pPr>
              <w:numPr>
                <w:ilvl w:val="0"/>
                <w:numId w:val="0"/>
              </w:numPr>
              <w:adjustRightInd w:val="0"/>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本项目生活污水排放量106.25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cs="Times New Roman"/>
                <w:color w:val="auto"/>
                <w:sz w:val="24"/>
                <w:highlight w:val="none"/>
                <w:lang w:val="en-US" w:eastAsia="zh-CN"/>
              </w:rPr>
              <w:t>、容器第三遍及以后</w:t>
            </w:r>
            <w:r>
              <w:rPr>
                <w:rFonts w:hint="default" w:cs="Times New Roman"/>
                <w:color w:val="auto"/>
                <w:sz w:val="24"/>
                <w:highlight w:val="none"/>
                <w:lang w:val="en-US" w:eastAsia="zh-CN"/>
              </w:rPr>
              <w:t>清洗废水</w:t>
            </w:r>
            <w:r>
              <w:rPr>
                <w:rFonts w:hint="eastAsia" w:cs="Times New Roman"/>
                <w:color w:val="auto"/>
                <w:sz w:val="24"/>
                <w:highlight w:val="none"/>
                <w:lang w:val="en-US" w:eastAsia="zh-CN"/>
              </w:rPr>
              <w:t>0.9</w:t>
            </w:r>
            <w:r>
              <w:rPr>
                <w:rFonts w:hint="default" w:ascii="Times New Roman" w:hAnsi="Times New Roman" w:eastAsia="宋体" w:cs="Times New Roman"/>
                <w:bCs/>
                <w:color w:val="auto"/>
                <w:sz w:val="24"/>
                <w:highlight w:val="none"/>
                <w:lang w:val="en-US" w:eastAsia="zh-CN"/>
              </w:rPr>
              <w:t>m</w:t>
            </w:r>
            <w:r>
              <w:rPr>
                <w:rFonts w:hint="default" w:ascii="Times New Roman" w:hAnsi="Times New Roman" w:eastAsia="宋体"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rPr>
              <w:t>/a</w:t>
            </w:r>
            <w:r>
              <w:rPr>
                <w:rFonts w:hint="eastAsia" w:cs="Times New Roman"/>
                <w:color w:val="auto"/>
                <w:sz w:val="24"/>
                <w:highlight w:val="none"/>
                <w:lang w:val="en-US" w:eastAsia="zh-CN"/>
              </w:rPr>
              <w:t>、高压蒸汽灭菌废水0.18</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cs="Times New Roman"/>
                <w:color w:val="auto"/>
                <w:sz w:val="24"/>
                <w:highlight w:val="none"/>
                <w:lang w:val="en-US" w:eastAsia="zh-CN"/>
              </w:rPr>
              <w:t>、纯水制备废水1.18</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eastAsia="宋体" w:cs="Times New Roman"/>
                <w:color w:val="auto"/>
                <w:sz w:val="24"/>
                <w:highlight w:val="none"/>
                <w:lang w:val="en-US" w:eastAsia="zh-CN"/>
              </w:rPr>
              <w:t>，</w:t>
            </w:r>
            <w:r>
              <w:rPr>
                <w:rFonts w:hint="default" w:cs="Times New Roman"/>
                <w:color w:val="auto"/>
                <w:sz w:val="24"/>
                <w:highlight w:val="none"/>
                <w:lang w:val="en-US" w:eastAsia="zh-CN"/>
              </w:rPr>
              <w:t>废水排放总量为</w:t>
            </w:r>
            <w:r>
              <w:rPr>
                <w:rFonts w:hint="eastAsia" w:cs="Times New Roman"/>
                <w:color w:val="auto"/>
                <w:sz w:val="24"/>
                <w:highlight w:val="none"/>
                <w:lang w:val="en-US" w:eastAsia="zh-CN"/>
              </w:rPr>
              <w:t>108.51</w:t>
            </w:r>
            <w:r>
              <w:rPr>
                <w:rFonts w:hint="default" w:cs="Times New Roman"/>
                <w:color w:val="auto"/>
                <w:sz w:val="24"/>
                <w:highlight w:val="none"/>
                <w:lang w:val="en-US" w:eastAsia="zh-CN"/>
              </w:rPr>
              <w:t>m</w:t>
            </w:r>
            <w:r>
              <w:rPr>
                <w:rFonts w:hint="default" w:cs="Times New Roman"/>
                <w:color w:val="auto"/>
                <w:sz w:val="24"/>
                <w:highlight w:val="none"/>
                <w:vertAlign w:val="superscript"/>
                <w:lang w:val="en-US" w:eastAsia="zh-CN"/>
              </w:rPr>
              <w:t xml:space="preserve">3 </w:t>
            </w:r>
            <w:r>
              <w:rPr>
                <w:rFonts w:hint="default" w:cs="Times New Roman"/>
                <w:color w:val="auto"/>
                <w:sz w:val="24"/>
                <w:highlight w:val="none"/>
                <w:lang w:val="en-US" w:eastAsia="zh-CN"/>
              </w:rPr>
              <w:t>/a（</w:t>
            </w:r>
            <w:r>
              <w:rPr>
                <w:rFonts w:hint="eastAsia" w:cs="Times New Roman"/>
                <w:color w:val="auto"/>
                <w:sz w:val="24"/>
                <w:highlight w:val="none"/>
                <w:lang w:val="en-US" w:eastAsia="zh-CN"/>
              </w:rPr>
              <w:t>0.43</w:t>
            </w:r>
            <w:r>
              <w:rPr>
                <w:rFonts w:hint="default" w:cs="Times New Roman"/>
                <w:color w:val="auto"/>
                <w:sz w:val="24"/>
                <w:highlight w:val="none"/>
                <w:lang w:val="en-US" w:eastAsia="zh-CN"/>
              </w:rPr>
              <w:t>m</w:t>
            </w:r>
            <w:r>
              <w:rPr>
                <w:rFonts w:hint="default" w:cs="Times New Roman"/>
                <w:color w:val="auto"/>
                <w:sz w:val="24"/>
                <w:highlight w:val="none"/>
                <w:vertAlign w:val="superscript"/>
                <w:lang w:val="en-US" w:eastAsia="zh-CN"/>
              </w:rPr>
              <w:t>3</w:t>
            </w:r>
            <w:r>
              <w:rPr>
                <w:rFonts w:hint="default" w:cs="Times New Roman"/>
                <w:color w:val="auto"/>
                <w:sz w:val="24"/>
                <w:highlight w:val="none"/>
                <w:lang w:val="en-US" w:eastAsia="zh-CN"/>
              </w:rPr>
              <w:t>/d</w:t>
            </w:r>
            <w:r>
              <w:rPr>
                <w:rFonts w:hint="default" w:ascii="Times New Roman" w:hAnsi="Times New Roman" w:eastAsia="宋体" w:cs="Times New Roman"/>
                <w:color w:val="auto"/>
                <w:sz w:val="24"/>
                <w:highlight w:val="none"/>
                <w:lang w:val="en-US" w:eastAsia="zh-CN"/>
              </w:rPr>
              <w:t>）。</w:t>
            </w:r>
          </w:p>
          <w:p w14:paraId="7409A7DC">
            <w:pPr>
              <w:numPr>
                <w:ilvl w:val="0"/>
                <w:numId w:val="0"/>
              </w:numPr>
              <w:tabs>
                <w:tab w:val="left" w:pos="0"/>
              </w:tabs>
              <w:adjustRightInd w:val="0"/>
              <w:spacing w:line="360" w:lineRule="auto"/>
              <w:ind w:left="420" w:leftChars="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生活污水</w:t>
            </w:r>
          </w:p>
          <w:p w14:paraId="5EFD8EEE">
            <w:pPr>
              <w:adjustRightInd w:val="0"/>
              <w:spacing w:line="360" w:lineRule="auto"/>
              <w:ind w:firstLine="600" w:firstLineChars="25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本项目生活污水</w:t>
            </w:r>
            <w:r>
              <w:rPr>
                <w:rFonts w:hint="eastAsia" w:cs="Times New Roman"/>
                <w:color w:val="auto"/>
                <w:sz w:val="24"/>
                <w:highlight w:val="none"/>
                <w:lang w:val="en-US" w:eastAsia="zh-CN"/>
              </w:rPr>
              <w:t>参考</w:t>
            </w:r>
            <w:r>
              <w:rPr>
                <w:rFonts w:hint="default" w:ascii="Times New Roman" w:hAnsi="Times New Roman" w:eastAsia="宋体" w:cs="Times New Roman"/>
                <w:color w:val="auto"/>
                <w:sz w:val="24"/>
                <w:highlight w:val="none"/>
                <w:lang w:val="en-US" w:eastAsia="zh-CN"/>
              </w:rPr>
              <w:t>《水工业工程设计手册-建筑和小区给排水》中</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12.2.2污水水量和水质</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，本项目生活污水排放量为</w:t>
            </w:r>
            <w:r>
              <w:rPr>
                <w:rFonts w:hint="eastAsia" w:cs="Times New Roman"/>
                <w:color w:val="auto"/>
                <w:sz w:val="24"/>
                <w:highlight w:val="none"/>
                <w:lang w:val="en-US" w:eastAsia="zh-CN"/>
              </w:rPr>
              <w:t>106.25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/a，水质及排放量参数详见下表。</w:t>
            </w:r>
          </w:p>
          <w:p w14:paraId="6B94BC88">
            <w:pPr>
              <w:keepNext w:val="0"/>
              <w:keepLines w:val="0"/>
              <w:widowControl/>
              <w:numPr>
                <w:ilvl w:val="0"/>
                <w:numId w:val="26"/>
              </w:numPr>
              <w:suppressLineNumbers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生活污水水质</w:t>
            </w:r>
            <w:r>
              <w:rPr>
                <w:rFonts w:hint="default" w:ascii="Times New Roman" w:hAnsi="Times New Roman" w:eastAsia="宋体" w:cs="Times New Roman"/>
                <w:b/>
                <w:bCs/>
                <w:color w:val="auto"/>
                <w:sz w:val="24"/>
                <w:highlight w:val="none"/>
                <w:lang w:val="en-US" w:eastAsia="zh-CN"/>
              </w:rPr>
              <w:t>及排放量</w:t>
            </w:r>
          </w:p>
          <w:tbl>
            <w:tblPr>
              <w:tblStyle w:val="23"/>
              <w:tblW w:w="7456"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50"/>
              <w:gridCol w:w="2113"/>
              <w:gridCol w:w="916"/>
              <w:gridCol w:w="869"/>
              <w:gridCol w:w="869"/>
              <w:gridCol w:w="869"/>
              <w:gridCol w:w="870"/>
            </w:tblGrid>
            <w:tr w14:paraId="2D7DEF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637" w:type="pct"/>
                  <w:tcBorders>
                    <w:tl2br w:val="nil"/>
                    <w:tr2bl w:val="nil"/>
                  </w:tcBorders>
                  <w:vAlign w:val="center"/>
                </w:tcPr>
                <w:p w14:paraId="74D584CE">
                  <w:pPr>
                    <w:adjustRightInd w:val="0"/>
                    <w:snapToGrid w:val="0"/>
                    <w:jc w:val="center"/>
                    <w:rPr>
                      <w:rFonts w:hint="default" w:ascii="Times New Roman" w:hAnsi="Times New Roman" w:eastAsia="宋体" w:cs="Times New Roman"/>
                      <w:b/>
                      <w:color w:val="auto"/>
                      <w:szCs w:val="21"/>
                      <w:highlight w:val="none"/>
                      <w:lang w:val="en-US" w:eastAsia="zh-CN"/>
                    </w:rPr>
                  </w:pPr>
                  <w:r>
                    <w:rPr>
                      <w:rFonts w:hint="eastAsia" w:cs="Times New Roman"/>
                      <w:b/>
                      <w:color w:val="auto"/>
                      <w:szCs w:val="21"/>
                      <w:highlight w:val="none"/>
                      <w:lang w:val="en-US" w:eastAsia="zh-CN"/>
                    </w:rPr>
                    <w:t>水量</w:t>
                  </w:r>
                </w:p>
              </w:tc>
              <w:tc>
                <w:tcPr>
                  <w:tcW w:w="1416" w:type="pct"/>
                  <w:tcBorders>
                    <w:tl2br w:val="nil"/>
                    <w:tr2bl w:val="nil"/>
                  </w:tcBorders>
                  <w:vAlign w:val="center"/>
                </w:tcPr>
                <w:p w14:paraId="373160A7">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614" w:type="pct"/>
                  <w:tcBorders>
                    <w:tl2br w:val="nil"/>
                    <w:tr2bl w:val="nil"/>
                  </w:tcBorders>
                  <w:vAlign w:val="center"/>
                </w:tcPr>
                <w:p w14:paraId="06BD8466">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COD</w:t>
                  </w:r>
                  <w:r>
                    <w:rPr>
                      <w:rFonts w:hint="default" w:ascii="Times New Roman" w:hAnsi="Times New Roman" w:eastAsia="宋体" w:cs="Times New Roman"/>
                      <w:b/>
                      <w:color w:val="auto"/>
                      <w:szCs w:val="21"/>
                      <w:highlight w:val="none"/>
                      <w:vertAlign w:val="subscript"/>
                    </w:rPr>
                    <w:t>Cr</w:t>
                  </w:r>
                </w:p>
              </w:tc>
              <w:tc>
                <w:tcPr>
                  <w:tcW w:w="582" w:type="pct"/>
                  <w:tcBorders>
                    <w:tl2br w:val="nil"/>
                    <w:tr2bl w:val="nil"/>
                  </w:tcBorders>
                  <w:vAlign w:val="center"/>
                </w:tcPr>
                <w:p w14:paraId="4DD071A4">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BOD</w:t>
                  </w:r>
                  <w:r>
                    <w:rPr>
                      <w:rFonts w:hint="default" w:ascii="Times New Roman" w:hAnsi="Times New Roman" w:eastAsia="宋体" w:cs="Times New Roman"/>
                      <w:b/>
                      <w:color w:val="auto"/>
                      <w:szCs w:val="21"/>
                      <w:highlight w:val="none"/>
                      <w:vertAlign w:val="subscript"/>
                    </w:rPr>
                    <w:t>5</w:t>
                  </w:r>
                </w:p>
              </w:tc>
              <w:tc>
                <w:tcPr>
                  <w:tcW w:w="582" w:type="pct"/>
                  <w:tcBorders>
                    <w:tl2br w:val="nil"/>
                    <w:tr2bl w:val="nil"/>
                  </w:tcBorders>
                  <w:vAlign w:val="center"/>
                </w:tcPr>
                <w:p w14:paraId="2053B992">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SS</w:t>
                  </w:r>
                </w:p>
              </w:tc>
              <w:tc>
                <w:tcPr>
                  <w:tcW w:w="582" w:type="pct"/>
                  <w:tcBorders>
                    <w:tl2br w:val="nil"/>
                    <w:tr2bl w:val="nil"/>
                  </w:tcBorders>
                  <w:vAlign w:val="center"/>
                </w:tcPr>
                <w:p w14:paraId="1FB181D6">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氨氮</w:t>
                  </w:r>
                </w:p>
              </w:tc>
              <w:tc>
                <w:tcPr>
                  <w:tcW w:w="583" w:type="pct"/>
                  <w:tcBorders>
                    <w:tl2br w:val="nil"/>
                    <w:tr2bl w:val="nil"/>
                  </w:tcBorders>
                  <w:vAlign w:val="center"/>
                </w:tcPr>
                <w:p w14:paraId="418201D8">
                  <w:pPr>
                    <w:adjustRightInd w:val="0"/>
                    <w:snapToGrid w:val="0"/>
                    <w:jc w:val="center"/>
                    <w:rPr>
                      <w:rFonts w:hint="default" w:ascii="Times New Roman" w:hAnsi="Times New Roman" w:eastAsia="宋体" w:cs="Times New Roman"/>
                      <w:b/>
                      <w:color w:val="auto"/>
                      <w:szCs w:val="21"/>
                      <w:highlight w:val="none"/>
                      <w:lang w:eastAsia="zh-CN"/>
                    </w:rPr>
                  </w:pPr>
                  <w:r>
                    <w:rPr>
                      <w:rFonts w:hint="default" w:ascii="Times New Roman" w:hAnsi="Times New Roman" w:eastAsia="宋体" w:cs="Times New Roman"/>
                      <w:b/>
                      <w:color w:val="auto"/>
                      <w:szCs w:val="21"/>
                      <w:highlight w:val="none"/>
                      <w:lang w:eastAsia="zh-CN"/>
                    </w:rPr>
                    <w:t>pH</w:t>
                  </w:r>
                </w:p>
              </w:tc>
            </w:tr>
            <w:tr w14:paraId="769A17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6" w:hRule="atLeast"/>
                <w:jc w:val="center"/>
              </w:trPr>
              <w:tc>
                <w:tcPr>
                  <w:tcW w:w="637" w:type="pct"/>
                  <w:vMerge w:val="restart"/>
                  <w:tcBorders>
                    <w:tl2br w:val="nil"/>
                    <w:tr2bl w:val="nil"/>
                  </w:tcBorders>
                  <w:vAlign w:val="center"/>
                </w:tcPr>
                <w:p w14:paraId="63B2584B">
                  <w:pPr>
                    <w:keepNext w:val="0"/>
                    <w:keepLines w:val="0"/>
                    <w:widowControl/>
                    <w:suppressLineNumbers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106.25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p>
              </w:tc>
              <w:tc>
                <w:tcPr>
                  <w:tcW w:w="1416" w:type="pct"/>
                  <w:tcBorders>
                    <w:tl2br w:val="nil"/>
                    <w:tr2bl w:val="nil"/>
                  </w:tcBorders>
                  <w:vAlign w:val="center"/>
                </w:tcPr>
                <w:p w14:paraId="36C6F21C">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浓度范围</w:t>
                  </w:r>
                  <w:r>
                    <w:rPr>
                      <w:rFonts w:hint="default" w:ascii="Times New Roman" w:hAnsi="Times New Roman" w:eastAsia="宋体" w:cs="Times New Roman"/>
                      <w:color w:val="auto"/>
                      <w:szCs w:val="21"/>
                      <w:highlight w:val="none"/>
                    </w:rPr>
                    <w:t>（mg/L）</w:t>
                  </w:r>
                </w:p>
              </w:tc>
              <w:tc>
                <w:tcPr>
                  <w:tcW w:w="614" w:type="pct"/>
                  <w:tcBorders>
                    <w:tl2br w:val="nil"/>
                    <w:tr2bl w:val="nil"/>
                  </w:tcBorders>
                  <w:vAlign w:val="center"/>
                </w:tcPr>
                <w:p w14:paraId="3826C9FE">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350~450</w:t>
                  </w:r>
                </w:p>
              </w:tc>
              <w:tc>
                <w:tcPr>
                  <w:tcW w:w="582" w:type="pct"/>
                  <w:tcBorders>
                    <w:tl2br w:val="nil"/>
                    <w:tr2bl w:val="nil"/>
                  </w:tcBorders>
                  <w:vAlign w:val="center"/>
                </w:tcPr>
                <w:p w14:paraId="53E6805F">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180~250</w:t>
                  </w:r>
                </w:p>
              </w:tc>
              <w:tc>
                <w:tcPr>
                  <w:tcW w:w="582" w:type="pct"/>
                  <w:tcBorders>
                    <w:tl2br w:val="nil"/>
                    <w:tr2bl w:val="nil"/>
                  </w:tcBorders>
                  <w:vAlign w:val="center"/>
                </w:tcPr>
                <w:p w14:paraId="435E7548">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200~300</w:t>
                  </w:r>
                </w:p>
              </w:tc>
              <w:tc>
                <w:tcPr>
                  <w:tcW w:w="582" w:type="pct"/>
                  <w:tcBorders>
                    <w:tl2br w:val="nil"/>
                    <w:tr2bl w:val="nil"/>
                  </w:tcBorders>
                  <w:vAlign w:val="center"/>
                </w:tcPr>
                <w:p w14:paraId="73E98A05">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35~40</w:t>
                  </w:r>
                </w:p>
              </w:tc>
              <w:tc>
                <w:tcPr>
                  <w:tcW w:w="583" w:type="pct"/>
                  <w:tcBorders>
                    <w:tl2br w:val="nil"/>
                    <w:tr2bl w:val="nil"/>
                  </w:tcBorders>
                  <w:vAlign w:val="center"/>
                </w:tcPr>
                <w:p w14:paraId="4FAB941D">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6.5~7.5</w:t>
                  </w:r>
                </w:p>
                <w:p w14:paraId="70627D2C">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(无量纲)</w:t>
                  </w:r>
                </w:p>
              </w:tc>
            </w:tr>
            <w:tr w14:paraId="486244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6" w:hRule="atLeast"/>
                <w:jc w:val="center"/>
              </w:trPr>
              <w:tc>
                <w:tcPr>
                  <w:tcW w:w="637" w:type="pct"/>
                  <w:vMerge w:val="continue"/>
                  <w:tcBorders>
                    <w:tl2br w:val="nil"/>
                    <w:tr2bl w:val="nil"/>
                  </w:tcBorders>
                  <w:vAlign w:val="center"/>
                </w:tcPr>
                <w:p w14:paraId="50ED02C4">
                  <w:pPr>
                    <w:adjustRightInd w:val="0"/>
                    <w:snapToGrid w:val="0"/>
                    <w:jc w:val="center"/>
                    <w:rPr>
                      <w:rFonts w:hint="default" w:ascii="Times New Roman" w:hAnsi="Times New Roman" w:eastAsia="宋体" w:cs="Times New Roman"/>
                      <w:color w:val="auto"/>
                      <w:szCs w:val="21"/>
                      <w:highlight w:val="none"/>
                    </w:rPr>
                  </w:pPr>
                </w:p>
              </w:tc>
              <w:tc>
                <w:tcPr>
                  <w:tcW w:w="1416" w:type="pct"/>
                  <w:tcBorders>
                    <w:tl2br w:val="nil"/>
                    <w:tr2bl w:val="nil"/>
                  </w:tcBorders>
                  <w:vAlign w:val="center"/>
                </w:tcPr>
                <w:p w14:paraId="72EB3487">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本项目取值</w:t>
                  </w:r>
                  <w:r>
                    <w:rPr>
                      <w:rFonts w:hint="default" w:ascii="Times New Roman" w:hAnsi="Times New Roman" w:eastAsia="宋体" w:cs="Times New Roman"/>
                      <w:color w:val="auto"/>
                      <w:szCs w:val="21"/>
                      <w:highlight w:val="none"/>
                    </w:rPr>
                    <w:t>（mg/L）</w:t>
                  </w:r>
                </w:p>
              </w:tc>
              <w:tc>
                <w:tcPr>
                  <w:tcW w:w="614" w:type="pct"/>
                  <w:tcBorders>
                    <w:tl2br w:val="nil"/>
                    <w:tr2bl w:val="nil"/>
                  </w:tcBorders>
                  <w:vAlign w:val="center"/>
                </w:tcPr>
                <w:p w14:paraId="20F4F307">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450</w:t>
                  </w:r>
                </w:p>
              </w:tc>
              <w:tc>
                <w:tcPr>
                  <w:tcW w:w="582" w:type="pct"/>
                  <w:tcBorders>
                    <w:tl2br w:val="nil"/>
                    <w:tr2bl w:val="nil"/>
                  </w:tcBorders>
                  <w:vAlign w:val="center"/>
                </w:tcPr>
                <w:p w14:paraId="60881415">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250</w:t>
                  </w:r>
                </w:p>
              </w:tc>
              <w:tc>
                <w:tcPr>
                  <w:tcW w:w="582" w:type="pct"/>
                  <w:tcBorders>
                    <w:tl2br w:val="nil"/>
                    <w:tr2bl w:val="nil"/>
                  </w:tcBorders>
                  <w:vAlign w:val="center"/>
                </w:tcPr>
                <w:p w14:paraId="28ADA4A5">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300</w:t>
                  </w:r>
                </w:p>
              </w:tc>
              <w:tc>
                <w:tcPr>
                  <w:tcW w:w="582" w:type="pct"/>
                  <w:tcBorders>
                    <w:tl2br w:val="nil"/>
                    <w:tr2bl w:val="nil"/>
                  </w:tcBorders>
                  <w:vAlign w:val="center"/>
                </w:tcPr>
                <w:p w14:paraId="38F0C952">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w:t>
                  </w:r>
                </w:p>
              </w:tc>
              <w:tc>
                <w:tcPr>
                  <w:tcW w:w="583" w:type="pct"/>
                  <w:tcBorders>
                    <w:tl2br w:val="nil"/>
                    <w:tr2bl w:val="nil"/>
                  </w:tcBorders>
                  <w:vAlign w:val="center"/>
                </w:tcPr>
                <w:p w14:paraId="1546AC3C">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6.5~7.5</w:t>
                  </w:r>
                </w:p>
                <w:p w14:paraId="6490128C">
                  <w:pPr>
                    <w:snapToGrid w:val="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(无量纲)</w:t>
                  </w:r>
                </w:p>
              </w:tc>
            </w:tr>
            <w:tr w14:paraId="59698E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1" w:hRule="atLeast"/>
                <w:jc w:val="center"/>
              </w:trPr>
              <w:tc>
                <w:tcPr>
                  <w:tcW w:w="637" w:type="pct"/>
                  <w:vMerge w:val="continue"/>
                  <w:tcBorders>
                    <w:tl2br w:val="nil"/>
                    <w:tr2bl w:val="nil"/>
                  </w:tcBorders>
                  <w:vAlign w:val="center"/>
                </w:tcPr>
                <w:p w14:paraId="3AC5694A">
                  <w:pPr>
                    <w:keepNext w:val="0"/>
                    <w:keepLines w:val="0"/>
                    <w:widowControl/>
                    <w:suppressLineNumbers w:val="0"/>
                    <w:ind w:firstLine="420" w:firstLineChars="200"/>
                    <w:jc w:val="center"/>
                    <w:rPr>
                      <w:rFonts w:hint="default" w:ascii="Times New Roman" w:hAnsi="Times New Roman" w:eastAsia="宋体" w:cs="Times New Roman"/>
                      <w:color w:val="auto"/>
                      <w:szCs w:val="21"/>
                      <w:highlight w:val="none"/>
                      <w:lang w:val="en-US" w:eastAsia="zh-CN"/>
                    </w:rPr>
                  </w:pPr>
                </w:p>
              </w:tc>
              <w:tc>
                <w:tcPr>
                  <w:tcW w:w="1416" w:type="pct"/>
                  <w:tcBorders>
                    <w:tl2br w:val="nil"/>
                    <w:tr2bl w:val="nil"/>
                  </w:tcBorders>
                  <w:vAlign w:val="center"/>
                </w:tcPr>
                <w:p w14:paraId="0C00AA88">
                  <w:pPr>
                    <w:keepNext w:val="0"/>
                    <w:keepLines w:val="0"/>
                    <w:widowControl/>
                    <w:suppressLineNumbers w:val="0"/>
                    <w:ind w:firstLine="420" w:firstLineChars="20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排放量（</w:t>
                  </w:r>
                  <w:r>
                    <w:rPr>
                      <w:rFonts w:hint="default" w:ascii="Times New Roman" w:hAnsi="Times New Roman" w:eastAsia="宋体" w:cs="Times New Roman"/>
                      <w:color w:val="auto"/>
                      <w:kern w:val="0"/>
                      <w:sz w:val="21"/>
                      <w:szCs w:val="21"/>
                      <w:lang w:val="en-US" w:eastAsia="zh-CN" w:bidi="ar"/>
                    </w:rPr>
                    <w:t>t/a</w:t>
                  </w:r>
                  <w:r>
                    <w:rPr>
                      <w:rFonts w:hint="default" w:ascii="Times New Roman" w:hAnsi="Times New Roman" w:eastAsia="宋体" w:cs="Times New Roman"/>
                      <w:color w:val="auto"/>
                      <w:szCs w:val="21"/>
                      <w:highlight w:val="none"/>
                      <w:lang w:val="en-US" w:eastAsia="zh-CN"/>
                    </w:rPr>
                    <w:t>）</w:t>
                  </w:r>
                </w:p>
              </w:tc>
              <w:tc>
                <w:tcPr>
                  <w:tcW w:w="614" w:type="pct"/>
                  <w:tcBorders>
                    <w:tl2br w:val="nil"/>
                    <w:tr2bl w:val="nil"/>
                  </w:tcBorders>
                  <w:vAlign w:val="center"/>
                </w:tcPr>
                <w:p w14:paraId="1991A26F">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0478</w:t>
                  </w:r>
                </w:p>
              </w:tc>
              <w:tc>
                <w:tcPr>
                  <w:tcW w:w="582" w:type="pct"/>
                  <w:tcBorders>
                    <w:tl2br w:val="nil"/>
                    <w:tr2bl w:val="nil"/>
                  </w:tcBorders>
                  <w:vAlign w:val="center"/>
                </w:tcPr>
                <w:p w14:paraId="4E95C042">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0266</w:t>
                  </w:r>
                </w:p>
              </w:tc>
              <w:tc>
                <w:tcPr>
                  <w:tcW w:w="582" w:type="pct"/>
                  <w:tcBorders>
                    <w:tl2br w:val="nil"/>
                    <w:tr2bl w:val="nil"/>
                  </w:tcBorders>
                  <w:vAlign w:val="center"/>
                </w:tcPr>
                <w:p w14:paraId="507C1038">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0319</w:t>
                  </w:r>
                </w:p>
              </w:tc>
              <w:tc>
                <w:tcPr>
                  <w:tcW w:w="582" w:type="pct"/>
                  <w:tcBorders>
                    <w:tl2br w:val="nil"/>
                    <w:tr2bl w:val="nil"/>
                  </w:tcBorders>
                  <w:vAlign w:val="center"/>
                </w:tcPr>
                <w:p w14:paraId="6CCC5270">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w:t>
                  </w:r>
                  <w:r>
                    <w:rPr>
                      <w:rFonts w:hint="eastAsia" w:cs="Times New Roman"/>
                      <w:color w:val="auto"/>
                      <w:szCs w:val="21"/>
                      <w:highlight w:val="none"/>
                      <w:lang w:val="en-US" w:eastAsia="zh-CN"/>
                    </w:rPr>
                    <w:t>043</w:t>
                  </w:r>
                </w:p>
              </w:tc>
              <w:tc>
                <w:tcPr>
                  <w:tcW w:w="583" w:type="pct"/>
                  <w:tcBorders>
                    <w:tl2br w:val="nil"/>
                    <w:tr2bl w:val="nil"/>
                  </w:tcBorders>
                  <w:vAlign w:val="center"/>
                </w:tcPr>
                <w:p w14:paraId="59187A3F">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bl>
          <w:p w14:paraId="5B24C892">
            <w:pPr>
              <w:numPr>
                <w:ilvl w:val="0"/>
                <w:numId w:val="0"/>
              </w:numPr>
              <w:tabs>
                <w:tab w:val="left" w:pos="0"/>
              </w:tabs>
              <w:spacing w:line="360" w:lineRule="auto"/>
              <w:ind w:left="420" w:leftChars="0"/>
              <w:rPr>
                <w:rFonts w:hint="default" w:ascii="Times New Roman" w:hAnsi="Times New Roman" w:eastAsia="宋体" w:cs="Times New Roman"/>
                <w:bCs/>
                <w:color w:val="auto"/>
                <w:sz w:val="24"/>
                <w:highlight w:val="none"/>
                <w:lang w:val="en-US" w:eastAsia="zh-CN"/>
              </w:rPr>
            </w:pPr>
            <w:r>
              <w:rPr>
                <w:rFonts w:hint="eastAsia" w:cs="Times New Roman"/>
                <w:color w:val="auto"/>
                <w:sz w:val="24"/>
                <w:highlight w:val="none"/>
                <w:lang w:val="en-US" w:eastAsia="zh-CN"/>
              </w:rPr>
              <w:t>2）</w:t>
            </w:r>
            <w:r>
              <w:rPr>
                <w:rFonts w:hint="eastAsia" w:cs="Times New Roman"/>
                <w:bCs/>
                <w:color w:val="auto"/>
                <w:sz w:val="24"/>
                <w:highlight w:val="none"/>
                <w:lang w:val="en-US" w:eastAsia="zh-CN"/>
              </w:rPr>
              <w:t>容器</w:t>
            </w:r>
            <w:r>
              <w:rPr>
                <w:rFonts w:hint="default" w:ascii="Times New Roman" w:hAnsi="Times New Roman" w:eastAsia="宋体" w:cs="Times New Roman"/>
                <w:bCs/>
                <w:color w:val="auto"/>
                <w:sz w:val="24"/>
                <w:highlight w:val="none"/>
                <w:lang w:val="en-US" w:eastAsia="zh-CN"/>
              </w:rPr>
              <w:t>第三次</w:t>
            </w:r>
            <w:r>
              <w:rPr>
                <w:rFonts w:hint="eastAsia" w:cs="Times New Roman"/>
                <w:bCs/>
                <w:color w:val="auto"/>
                <w:sz w:val="24"/>
                <w:highlight w:val="none"/>
                <w:lang w:val="en-US" w:eastAsia="zh-CN"/>
              </w:rPr>
              <w:t>及以后</w:t>
            </w:r>
            <w:r>
              <w:rPr>
                <w:rFonts w:hint="default" w:ascii="Times New Roman" w:hAnsi="Times New Roman" w:eastAsia="宋体" w:cs="Times New Roman"/>
                <w:bCs/>
                <w:color w:val="auto"/>
                <w:sz w:val="24"/>
                <w:highlight w:val="none"/>
                <w:lang w:val="en-US" w:eastAsia="zh-CN"/>
              </w:rPr>
              <w:t>清洗废水</w:t>
            </w:r>
            <w:r>
              <w:rPr>
                <w:rFonts w:hint="eastAsia" w:cs="Times New Roman"/>
                <w:color w:val="auto"/>
                <w:sz w:val="24"/>
                <w:highlight w:val="none"/>
                <w:lang w:eastAsia="zh-CN"/>
              </w:rPr>
              <w:t>、</w:t>
            </w:r>
            <w:r>
              <w:rPr>
                <w:rFonts w:hint="eastAsia" w:cs="Times New Roman"/>
                <w:color w:val="auto"/>
                <w:sz w:val="24"/>
                <w:highlight w:val="none"/>
                <w:lang w:val="en-US" w:eastAsia="zh-CN"/>
              </w:rPr>
              <w:t>高压蒸汽灭菌废水</w:t>
            </w:r>
          </w:p>
          <w:p w14:paraId="099CF035">
            <w:pPr>
              <w:numPr>
                <w:ilvl w:val="0"/>
                <w:numId w:val="0"/>
              </w:numPr>
              <w:tabs>
                <w:tab w:val="left" w:pos="0"/>
              </w:tabs>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本项目</w:t>
            </w:r>
            <w:r>
              <w:rPr>
                <w:rFonts w:hint="eastAsia" w:cs="Times New Roman"/>
                <w:bCs/>
                <w:color w:val="auto"/>
                <w:sz w:val="24"/>
                <w:highlight w:val="none"/>
                <w:lang w:val="en-US" w:eastAsia="zh-CN"/>
              </w:rPr>
              <w:t>容器</w:t>
            </w:r>
            <w:r>
              <w:rPr>
                <w:rFonts w:hint="default" w:ascii="Times New Roman" w:hAnsi="Times New Roman" w:eastAsia="宋体" w:cs="Times New Roman"/>
                <w:bCs/>
                <w:color w:val="auto"/>
                <w:sz w:val="24"/>
                <w:highlight w:val="none"/>
                <w:lang w:val="en-US" w:eastAsia="zh-CN"/>
              </w:rPr>
              <w:t>第三次</w:t>
            </w:r>
            <w:r>
              <w:rPr>
                <w:rFonts w:hint="eastAsia" w:cs="Times New Roman"/>
                <w:bCs/>
                <w:color w:val="auto"/>
                <w:sz w:val="24"/>
                <w:highlight w:val="none"/>
                <w:lang w:val="en-US" w:eastAsia="zh-CN"/>
              </w:rPr>
              <w:t>及以后清洗废水</w:t>
            </w:r>
            <w:r>
              <w:rPr>
                <w:rFonts w:hint="eastAsia" w:cs="Times New Roman"/>
                <w:color w:val="auto"/>
                <w:sz w:val="24"/>
                <w:highlight w:val="none"/>
                <w:lang w:eastAsia="zh-CN"/>
              </w:rPr>
              <w:t>、</w:t>
            </w:r>
            <w:r>
              <w:rPr>
                <w:rFonts w:hint="eastAsia" w:cs="Times New Roman"/>
                <w:color w:val="auto"/>
                <w:sz w:val="24"/>
                <w:highlight w:val="none"/>
                <w:lang w:val="en-US" w:eastAsia="zh-CN"/>
              </w:rPr>
              <w:t>高压蒸汽灭菌废水</w:t>
            </w:r>
            <w:r>
              <w:rPr>
                <w:rFonts w:hint="eastAsia" w:ascii="Times New Roman" w:hAnsi="Times New Roman" w:cs="Times New Roman"/>
                <w:bCs/>
                <w:color w:val="auto"/>
                <w:sz w:val="24"/>
                <w:highlight w:val="none"/>
                <w:lang w:val="en-US" w:eastAsia="zh-CN"/>
              </w:rPr>
              <w:t>参照《科研单位实验室废水处理工程设计与分析》（给水排水2012年第1期第38卷）中的参数，其中BOD按照B/C比为0.3取值，则清洗废水水质为COD</w:t>
            </w:r>
            <w:r>
              <w:rPr>
                <w:rFonts w:hint="eastAsia" w:ascii="Times New Roman" w:hAnsi="Times New Roman" w:cs="Times New Roman"/>
                <w:bCs/>
                <w:color w:val="auto"/>
                <w:sz w:val="24"/>
                <w:highlight w:val="none"/>
                <w:vertAlign w:val="subscript"/>
                <w:lang w:val="en-US" w:eastAsia="zh-CN"/>
              </w:rPr>
              <w:t>Cr</w:t>
            </w:r>
            <w:r>
              <w:rPr>
                <w:rFonts w:hint="eastAsia" w:ascii="Times New Roman" w:hAnsi="Times New Roman" w:cs="Times New Roman"/>
                <w:bCs/>
                <w:color w:val="auto"/>
                <w:sz w:val="24"/>
                <w:highlight w:val="none"/>
                <w:lang w:val="en-US" w:eastAsia="zh-CN"/>
              </w:rPr>
              <w:t>200mg/L、BOD</w:t>
            </w:r>
            <w:r>
              <w:rPr>
                <w:rFonts w:hint="eastAsia" w:ascii="Times New Roman" w:hAnsi="Times New Roman" w:cs="Times New Roman"/>
                <w:bCs/>
                <w:color w:val="auto"/>
                <w:sz w:val="24"/>
                <w:highlight w:val="none"/>
                <w:vertAlign w:val="subscript"/>
                <w:lang w:val="en-US" w:eastAsia="zh-CN"/>
              </w:rPr>
              <w:t>5</w:t>
            </w:r>
            <w:r>
              <w:rPr>
                <w:rFonts w:hint="eastAsia" w:ascii="Times New Roman" w:hAnsi="Times New Roman" w:cs="Times New Roman"/>
                <w:bCs/>
                <w:color w:val="auto"/>
                <w:sz w:val="24"/>
                <w:highlight w:val="none"/>
                <w:lang w:val="en-US" w:eastAsia="zh-CN"/>
              </w:rPr>
              <w:t>60mg/L、SS100mg/L、氨氮25mg/L。</w:t>
            </w:r>
            <w:r>
              <w:rPr>
                <w:rFonts w:hint="default" w:ascii="Times New Roman" w:hAnsi="Times New Roman" w:eastAsia="宋体" w:cs="Times New Roman"/>
                <w:bCs/>
                <w:color w:val="auto"/>
                <w:sz w:val="24"/>
                <w:highlight w:val="none"/>
                <w:lang w:val="en-US" w:eastAsia="zh-CN"/>
              </w:rPr>
              <w:t>废水</w:t>
            </w:r>
            <w:r>
              <w:rPr>
                <w:rFonts w:hint="default" w:ascii="Times New Roman" w:hAnsi="Times New Roman" w:eastAsia="宋体" w:cs="Times New Roman"/>
                <w:color w:val="auto"/>
                <w:sz w:val="24"/>
                <w:highlight w:val="none"/>
                <w:lang w:val="en-US" w:eastAsia="zh-CN"/>
              </w:rPr>
              <w:t>水质及排放量参数详见下表</w:t>
            </w:r>
            <w:r>
              <w:rPr>
                <w:rFonts w:hint="default" w:ascii="Times New Roman" w:hAnsi="Times New Roman" w:eastAsia="宋体" w:cs="Times New Roman"/>
                <w:bCs/>
                <w:color w:val="auto"/>
                <w:sz w:val="24"/>
                <w:highlight w:val="none"/>
                <w:lang w:val="en-US" w:eastAsia="zh-CN"/>
              </w:rPr>
              <w:t>。</w:t>
            </w:r>
          </w:p>
          <w:p w14:paraId="21CADBB4">
            <w:pPr>
              <w:keepNext w:val="0"/>
              <w:keepLines w:val="0"/>
              <w:widowControl/>
              <w:numPr>
                <w:ilvl w:val="0"/>
                <w:numId w:val="26"/>
              </w:numPr>
              <w:suppressLineNumbers w:val="0"/>
              <w:ind w:left="425" w:leftChars="0" w:hanging="425" w:firstLineChars="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4"/>
                <w:szCs w:val="24"/>
                <w:lang w:val="en-US" w:eastAsia="zh-CN" w:bidi="ar"/>
              </w:rPr>
              <w:t>实验室废水产生情况一览表</w:t>
            </w:r>
          </w:p>
          <w:tbl>
            <w:tblPr>
              <w:tblStyle w:val="23"/>
              <w:tblW w:w="500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89"/>
              <w:gridCol w:w="2568"/>
              <w:gridCol w:w="960"/>
              <w:gridCol w:w="1080"/>
              <w:gridCol w:w="936"/>
              <w:gridCol w:w="1146"/>
            </w:tblGrid>
            <w:tr w14:paraId="3F8C95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586" w:type="pct"/>
                  <w:tcBorders>
                    <w:tl2br w:val="nil"/>
                    <w:tr2bl w:val="nil"/>
                  </w:tcBorders>
                  <w:shd w:val="clear" w:color="auto" w:fill="auto"/>
                  <w:vAlign w:val="center"/>
                </w:tcPr>
                <w:p w14:paraId="09E3B27D">
                  <w:pPr>
                    <w:adjustRightInd w:val="0"/>
                    <w:snapToGrid w:val="0"/>
                    <w:jc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szCs w:val="21"/>
                      <w:highlight w:val="none"/>
                      <w:lang w:val="en-US" w:eastAsia="zh-CN"/>
                    </w:rPr>
                    <w:t>水量</w:t>
                  </w:r>
                </w:p>
              </w:tc>
              <w:tc>
                <w:tcPr>
                  <w:tcW w:w="1694" w:type="pct"/>
                  <w:tcBorders>
                    <w:tl2br w:val="nil"/>
                    <w:tr2bl w:val="nil"/>
                  </w:tcBorders>
                  <w:vAlign w:val="center"/>
                </w:tcPr>
                <w:p w14:paraId="26CFD7DE">
                  <w:pPr>
                    <w:adjustRightInd w:val="0"/>
                    <w:snapToGrid w:val="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项目</w:t>
                  </w:r>
                </w:p>
              </w:tc>
              <w:tc>
                <w:tcPr>
                  <w:tcW w:w="633" w:type="pct"/>
                  <w:tcBorders>
                    <w:tl2br w:val="nil"/>
                    <w:tr2bl w:val="nil"/>
                  </w:tcBorders>
                  <w:vAlign w:val="center"/>
                </w:tcPr>
                <w:p w14:paraId="727804F6">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COD</w:t>
                  </w:r>
                  <w:r>
                    <w:rPr>
                      <w:rFonts w:hint="default" w:ascii="Times New Roman" w:hAnsi="Times New Roman" w:eastAsia="宋体" w:cs="Times New Roman"/>
                      <w:b/>
                      <w:color w:val="auto"/>
                      <w:szCs w:val="21"/>
                      <w:highlight w:val="none"/>
                      <w:vertAlign w:val="subscript"/>
                    </w:rPr>
                    <w:t>Cr</w:t>
                  </w:r>
                </w:p>
              </w:tc>
              <w:tc>
                <w:tcPr>
                  <w:tcW w:w="712" w:type="pct"/>
                  <w:tcBorders>
                    <w:tl2br w:val="nil"/>
                    <w:tr2bl w:val="nil"/>
                  </w:tcBorders>
                  <w:vAlign w:val="center"/>
                </w:tcPr>
                <w:p w14:paraId="4ACCBB92">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BOD</w:t>
                  </w:r>
                  <w:r>
                    <w:rPr>
                      <w:rFonts w:hint="default" w:ascii="Times New Roman" w:hAnsi="Times New Roman" w:eastAsia="宋体" w:cs="Times New Roman"/>
                      <w:b/>
                      <w:color w:val="auto"/>
                      <w:szCs w:val="21"/>
                      <w:highlight w:val="none"/>
                      <w:vertAlign w:val="subscript"/>
                    </w:rPr>
                    <w:t>5</w:t>
                  </w:r>
                </w:p>
              </w:tc>
              <w:tc>
                <w:tcPr>
                  <w:tcW w:w="617" w:type="pct"/>
                  <w:tcBorders>
                    <w:tl2br w:val="nil"/>
                    <w:tr2bl w:val="nil"/>
                  </w:tcBorders>
                  <w:vAlign w:val="center"/>
                </w:tcPr>
                <w:p w14:paraId="3F35D530">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SS</w:t>
                  </w:r>
                </w:p>
              </w:tc>
              <w:tc>
                <w:tcPr>
                  <w:tcW w:w="756" w:type="pct"/>
                  <w:tcBorders>
                    <w:tl2br w:val="nil"/>
                    <w:tr2bl w:val="nil"/>
                  </w:tcBorders>
                  <w:vAlign w:val="center"/>
                </w:tcPr>
                <w:p w14:paraId="69537E4B">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氨氮</w:t>
                  </w:r>
                </w:p>
              </w:tc>
            </w:tr>
            <w:tr w14:paraId="726985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7" w:hRule="atLeast"/>
                <w:jc w:val="center"/>
              </w:trPr>
              <w:tc>
                <w:tcPr>
                  <w:tcW w:w="586" w:type="pct"/>
                  <w:vMerge w:val="restart"/>
                  <w:tcBorders>
                    <w:tl2br w:val="nil"/>
                    <w:tr2bl w:val="nil"/>
                  </w:tcBorders>
                  <w:shd w:val="clear" w:color="auto" w:fill="auto"/>
                  <w:vAlign w:val="center"/>
                </w:tcPr>
                <w:p w14:paraId="40C067E1">
                  <w:pPr>
                    <w:keepNext w:val="0"/>
                    <w:keepLines w:val="0"/>
                    <w:widowControl/>
                    <w:suppressLineNumbers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1.08</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p>
              </w:tc>
              <w:tc>
                <w:tcPr>
                  <w:tcW w:w="1694" w:type="pct"/>
                  <w:tcBorders>
                    <w:tl2br w:val="nil"/>
                    <w:tr2bl w:val="nil"/>
                  </w:tcBorders>
                  <w:vAlign w:val="center"/>
                </w:tcPr>
                <w:p w14:paraId="0F26B5A5">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清洗废水</w:t>
                  </w:r>
                  <w:r>
                    <w:rPr>
                      <w:rFonts w:hint="eastAsia" w:cs="Times New Roman"/>
                      <w:color w:val="auto"/>
                      <w:szCs w:val="21"/>
                      <w:highlight w:val="none"/>
                      <w:lang w:val="en-US" w:eastAsia="zh-CN"/>
                    </w:rPr>
                    <w:t>产生浓度</w:t>
                  </w:r>
                  <w:r>
                    <w:rPr>
                      <w:rFonts w:hint="default" w:ascii="Times New Roman" w:hAnsi="Times New Roman" w:eastAsia="宋体" w:cs="Times New Roman"/>
                      <w:color w:val="auto"/>
                      <w:szCs w:val="21"/>
                      <w:highlight w:val="none"/>
                    </w:rPr>
                    <w:t>（mg/L）</w:t>
                  </w:r>
                </w:p>
              </w:tc>
              <w:tc>
                <w:tcPr>
                  <w:tcW w:w="633" w:type="pct"/>
                  <w:tcBorders>
                    <w:tl2br w:val="nil"/>
                    <w:tr2bl w:val="nil"/>
                  </w:tcBorders>
                  <w:vAlign w:val="center"/>
                </w:tcPr>
                <w:p w14:paraId="5EEE11F4">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200</w:t>
                  </w:r>
                </w:p>
              </w:tc>
              <w:tc>
                <w:tcPr>
                  <w:tcW w:w="712" w:type="pct"/>
                  <w:tcBorders>
                    <w:tl2br w:val="nil"/>
                    <w:tr2bl w:val="nil"/>
                  </w:tcBorders>
                  <w:vAlign w:val="center"/>
                </w:tcPr>
                <w:p w14:paraId="7359B495">
                  <w:pPr>
                    <w:adjustRightInd w:val="0"/>
                    <w:snapToGrid w:val="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6</w:t>
                  </w:r>
                  <w:r>
                    <w:rPr>
                      <w:rFonts w:hint="default" w:ascii="Times New Roman" w:hAnsi="Times New Roman" w:eastAsia="宋体" w:cs="Times New Roman"/>
                      <w:color w:val="auto"/>
                      <w:szCs w:val="21"/>
                      <w:highlight w:val="none"/>
                    </w:rPr>
                    <w:t>0</w:t>
                  </w:r>
                </w:p>
              </w:tc>
              <w:tc>
                <w:tcPr>
                  <w:tcW w:w="617" w:type="pct"/>
                  <w:tcBorders>
                    <w:tl2br w:val="nil"/>
                    <w:tr2bl w:val="nil"/>
                  </w:tcBorders>
                  <w:vAlign w:val="center"/>
                </w:tcPr>
                <w:p w14:paraId="5060CE29">
                  <w:pPr>
                    <w:snapToGrid w:val="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10</w:t>
                  </w:r>
                  <w:r>
                    <w:rPr>
                      <w:rFonts w:hint="default" w:ascii="Times New Roman" w:hAnsi="Times New Roman" w:eastAsia="宋体" w:cs="Times New Roman"/>
                      <w:color w:val="auto"/>
                      <w:szCs w:val="21"/>
                      <w:highlight w:val="none"/>
                    </w:rPr>
                    <w:t>0</w:t>
                  </w:r>
                </w:p>
              </w:tc>
              <w:tc>
                <w:tcPr>
                  <w:tcW w:w="756" w:type="pct"/>
                  <w:tcBorders>
                    <w:tl2br w:val="nil"/>
                    <w:tr2bl w:val="nil"/>
                  </w:tcBorders>
                  <w:vAlign w:val="center"/>
                </w:tcPr>
                <w:p w14:paraId="65697C29">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w:t>
                  </w:r>
                </w:p>
              </w:tc>
            </w:tr>
            <w:tr w14:paraId="6F2150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7" w:hRule="atLeast"/>
                <w:jc w:val="center"/>
              </w:trPr>
              <w:tc>
                <w:tcPr>
                  <w:tcW w:w="586" w:type="pct"/>
                  <w:vMerge w:val="continue"/>
                  <w:tcBorders>
                    <w:tl2br w:val="nil"/>
                    <w:tr2bl w:val="nil"/>
                  </w:tcBorders>
                  <w:vAlign w:val="center"/>
                </w:tcPr>
                <w:p w14:paraId="3B7E115C">
                  <w:pPr>
                    <w:keepNext w:val="0"/>
                    <w:keepLines w:val="0"/>
                    <w:widowControl/>
                    <w:suppressLineNumbers w:val="0"/>
                    <w:ind w:firstLine="420" w:firstLineChars="200"/>
                    <w:jc w:val="left"/>
                    <w:rPr>
                      <w:rFonts w:hint="default" w:ascii="Times New Roman" w:hAnsi="Times New Roman" w:eastAsia="宋体" w:cs="Times New Roman"/>
                      <w:color w:val="auto"/>
                      <w:szCs w:val="21"/>
                      <w:highlight w:val="none"/>
                      <w:lang w:val="en-US" w:eastAsia="zh-CN"/>
                    </w:rPr>
                  </w:pPr>
                </w:p>
              </w:tc>
              <w:tc>
                <w:tcPr>
                  <w:tcW w:w="1694" w:type="pct"/>
                  <w:tcBorders>
                    <w:tl2br w:val="nil"/>
                    <w:tr2bl w:val="nil"/>
                  </w:tcBorders>
                  <w:vAlign w:val="center"/>
                </w:tcPr>
                <w:p w14:paraId="2FE6651A">
                  <w:pPr>
                    <w:keepNext w:val="0"/>
                    <w:keepLines w:val="0"/>
                    <w:widowControl/>
                    <w:suppressLineNumbers w:val="0"/>
                    <w:ind w:firstLine="420" w:firstLineChars="20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排放量（</w:t>
                  </w:r>
                  <w:r>
                    <w:rPr>
                      <w:rFonts w:hint="default" w:ascii="Times New Roman" w:hAnsi="Times New Roman" w:eastAsia="宋体" w:cs="Times New Roman"/>
                      <w:color w:val="auto"/>
                      <w:kern w:val="0"/>
                      <w:sz w:val="21"/>
                      <w:szCs w:val="21"/>
                      <w:lang w:val="en-US" w:eastAsia="zh-CN" w:bidi="ar"/>
                    </w:rPr>
                    <w:t>t/a</w:t>
                  </w:r>
                  <w:r>
                    <w:rPr>
                      <w:rFonts w:hint="default" w:ascii="Times New Roman" w:hAnsi="Times New Roman" w:eastAsia="宋体" w:cs="Times New Roman"/>
                      <w:color w:val="auto"/>
                      <w:szCs w:val="21"/>
                      <w:highlight w:val="none"/>
                      <w:lang w:val="en-US" w:eastAsia="zh-CN"/>
                    </w:rPr>
                    <w:t>）</w:t>
                  </w:r>
                </w:p>
              </w:tc>
              <w:tc>
                <w:tcPr>
                  <w:tcW w:w="633" w:type="pct"/>
                  <w:tcBorders>
                    <w:tl2br w:val="nil"/>
                    <w:tr2bl w:val="nil"/>
                  </w:tcBorders>
                  <w:vAlign w:val="center"/>
                </w:tcPr>
                <w:p w14:paraId="3D926EC5">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2</w:t>
                  </w:r>
                </w:p>
              </w:tc>
              <w:tc>
                <w:tcPr>
                  <w:tcW w:w="712" w:type="pct"/>
                  <w:tcBorders>
                    <w:tl2br w:val="nil"/>
                    <w:tr2bl w:val="nil"/>
                  </w:tcBorders>
                  <w:vAlign w:val="center"/>
                </w:tcPr>
                <w:p w14:paraId="02ACB996">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06</w:t>
                  </w:r>
                </w:p>
              </w:tc>
              <w:tc>
                <w:tcPr>
                  <w:tcW w:w="617" w:type="pct"/>
                  <w:tcBorders>
                    <w:tl2br w:val="nil"/>
                    <w:tr2bl w:val="nil"/>
                  </w:tcBorders>
                  <w:vAlign w:val="center"/>
                </w:tcPr>
                <w:p w14:paraId="7FB951F9">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w:t>
                  </w:r>
                  <w:r>
                    <w:rPr>
                      <w:rFonts w:hint="eastAsia" w:cs="Times New Roman"/>
                      <w:color w:val="auto"/>
                      <w:szCs w:val="21"/>
                      <w:highlight w:val="none"/>
                      <w:lang w:val="en-US" w:eastAsia="zh-CN"/>
                    </w:rPr>
                    <w:t>01</w:t>
                  </w:r>
                </w:p>
              </w:tc>
              <w:tc>
                <w:tcPr>
                  <w:tcW w:w="756" w:type="pct"/>
                  <w:tcBorders>
                    <w:tl2br w:val="nil"/>
                    <w:tr2bl w:val="nil"/>
                  </w:tcBorders>
                  <w:vAlign w:val="center"/>
                </w:tcPr>
                <w:p w14:paraId="581AD5D2">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0.0000</w:t>
                  </w:r>
                  <w:r>
                    <w:rPr>
                      <w:rFonts w:hint="eastAsia" w:cs="Times New Roman"/>
                      <w:color w:val="auto"/>
                      <w:szCs w:val="21"/>
                      <w:highlight w:val="none"/>
                      <w:lang w:val="en-US" w:eastAsia="zh-CN"/>
                    </w:rPr>
                    <w:t>3</w:t>
                  </w:r>
                </w:p>
              </w:tc>
            </w:tr>
          </w:tbl>
          <w:p w14:paraId="1AB06FF1">
            <w:pPr>
              <w:numPr>
                <w:ilvl w:val="0"/>
                <w:numId w:val="0"/>
              </w:numPr>
              <w:tabs>
                <w:tab w:val="left" w:pos="0"/>
              </w:tabs>
              <w:spacing w:line="360" w:lineRule="auto"/>
              <w:ind w:left="420" w:leftChars="0"/>
              <w:rPr>
                <w:rFonts w:hint="default" w:cs="Times New Roman"/>
                <w:color w:val="auto"/>
                <w:sz w:val="24"/>
                <w:highlight w:val="none"/>
                <w:lang w:val="en-US" w:eastAsia="zh-CN"/>
              </w:rPr>
            </w:pPr>
            <w:r>
              <w:rPr>
                <w:rFonts w:hint="eastAsia" w:cs="Times New Roman"/>
                <w:color w:val="auto"/>
                <w:sz w:val="24"/>
                <w:highlight w:val="none"/>
                <w:lang w:val="en-US" w:eastAsia="zh-CN"/>
              </w:rPr>
              <w:t>3）纯水制备废水</w:t>
            </w:r>
          </w:p>
          <w:p w14:paraId="0C0C9413">
            <w:pPr>
              <w:numPr>
                <w:ilvl w:val="0"/>
                <w:numId w:val="0"/>
              </w:numPr>
              <w:tabs>
                <w:tab w:val="left" w:pos="0"/>
              </w:tabs>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本项目</w:t>
            </w:r>
            <w:r>
              <w:rPr>
                <w:rFonts w:hint="default" w:ascii="Times New Roman" w:hAnsi="Times New Roman" w:eastAsia="宋体" w:cs="Times New Roman"/>
                <w:bCs/>
                <w:color w:val="auto"/>
                <w:sz w:val="24"/>
                <w:highlight w:val="none"/>
                <w:lang w:val="en-US" w:eastAsia="zh-CN"/>
              </w:rPr>
              <w:t>纯水制备废水产生量</w:t>
            </w:r>
            <w:r>
              <w:rPr>
                <w:rFonts w:hint="eastAsia" w:cs="Times New Roman"/>
                <w:bCs/>
                <w:color w:val="auto"/>
                <w:sz w:val="24"/>
                <w:highlight w:val="none"/>
                <w:lang w:val="en-US" w:eastAsia="zh-CN"/>
              </w:rPr>
              <w:t>1.18</w:t>
            </w:r>
            <w:r>
              <w:rPr>
                <w:rFonts w:hint="default" w:ascii="Times New Roman" w:hAnsi="Times New Roman" w:eastAsia="宋体" w:cs="Times New Roman"/>
                <w:bCs/>
                <w:color w:val="auto"/>
                <w:sz w:val="24"/>
                <w:highlight w:val="none"/>
                <w:lang w:val="en-US" w:eastAsia="zh-CN"/>
              </w:rPr>
              <w:t>m</w:t>
            </w:r>
            <w:r>
              <w:rPr>
                <w:rFonts w:hint="default" w:ascii="Times New Roman" w:hAnsi="Times New Roman" w:eastAsia="宋体"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lang w:val="en-US" w:eastAsia="zh-CN"/>
              </w:rPr>
              <w:t>/a</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参照《社会区域类环境影响评价》（中国科学出版社）中数据，</w:t>
            </w:r>
            <w:r>
              <w:rPr>
                <w:rFonts w:hint="default" w:ascii="Times New Roman" w:hAnsi="Times New Roman" w:eastAsia="宋体" w:cs="Times New Roman"/>
                <w:color w:val="auto"/>
                <w:sz w:val="24"/>
                <w:highlight w:val="none"/>
                <w:lang w:val="en-US" w:eastAsia="zh-CN"/>
              </w:rPr>
              <w:t>水质及排放量参数详见下表</w:t>
            </w:r>
            <w:r>
              <w:rPr>
                <w:rFonts w:hint="default" w:ascii="Times New Roman" w:hAnsi="Times New Roman" w:eastAsia="宋体" w:cs="Times New Roman"/>
                <w:bCs/>
                <w:color w:val="auto"/>
                <w:sz w:val="24"/>
                <w:highlight w:val="none"/>
                <w:lang w:val="en-US" w:eastAsia="zh-CN"/>
              </w:rPr>
              <w:t>。</w:t>
            </w:r>
          </w:p>
          <w:p w14:paraId="1BDFFAC1">
            <w:pPr>
              <w:keepNext w:val="0"/>
              <w:keepLines w:val="0"/>
              <w:widowControl/>
              <w:numPr>
                <w:ilvl w:val="0"/>
                <w:numId w:val="26"/>
              </w:numPr>
              <w:suppressLineNumbers w:val="0"/>
              <w:ind w:left="425" w:leftChars="0" w:hanging="425" w:firstLineChars="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4"/>
                <w:szCs w:val="24"/>
                <w:lang w:val="en-US" w:eastAsia="zh-CN" w:bidi="ar"/>
              </w:rPr>
              <w:t>纯水制备废水产生情况一览表</w:t>
            </w:r>
          </w:p>
          <w:tbl>
            <w:tblPr>
              <w:tblStyle w:val="23"/>
              <w:tblW w:w="7576"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91"/>
              <w:gridCol w:w="2052"/>
              <w:gridCol w:w="888"/>
              <w:gridCol w:w="756"/>
              <w:gridCol w:w="828"/>
              <w:gridCol w:w="744"/>
              <w:gridCol w:w="936"/>
              <w:gridCol w:w="581"/>
            </w:tblGrid>
            <w:tr w14:paraId="40C1CB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8" w:hRule="atLeast"/>
                <w:jc w:val="center"/>
              </w:trPr>
              <w:tc>
                <w:tcPr>
                  <w:tcW w:w="522" w:type="pct"/>
                  <w:tcBorders>
                    <w:tl2br w:val="nil"/>
                    <w:tr2bl w:val="nil"/>
                  </w:tcBorders>
                  <w:shd w:val="clear" w:color="auto" w:fill="auto"/>
                  <w:vAlign w:val="center"/>
                </w:tcPr>
                <w:p w14:paraId="55DF9797">
                  <w:pPr>
                    <w:adjustRightInd w:val="0"/>
                    <w:snapToGrid w:val="0"/>
                    <w:jc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szCs w:val="21"/>
                      <w:highlight w:val="none"/>
                      <w:lang w:val="en-US" w:eastAsia="zh-CN"/>
                    </w:rPr>
                    <w:t>水量</w:t>
                  </w:r>
                </w:p>
              </w:tc>
              <w:tc>
                <w:tcPr>
                  <w:tcW w:w="1354" w:type="pct"/>
                  <w:tcBorders>
                    <w:tl2br w:val="nil"/>
                    <w:tr2bl w:val="nil"/>
                  </w:tcBorders>
                  <w:vAlign w:val="center"/>
                </w:tcPr>
                <w:p w14:paraId="5A794ED9">
                  <w:pPr>
                    <w:adjustRightInd w:val="0"/>
                    <w:snapToGrid w:val="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项目</w:t>
                  </w:r>
                </w:p>
              </w:tc>
              <w:tc>
                <w:tcPr>
                  <w:tcW w:w="586" w:type="pct"/>
                  <w:tcBorders>
                    <w:tl2br w:val="nil"/>
                    <w:tr2bl w:val="nil"/>
                  </w:tcBorders>
                  <w:vAlign w:val="center"/>
                </w:tcPr>
                <w:p w14:paraId="54EA465B">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COD</w:t>
                  </w:r>
                  <w:r>
                    <w:rPr>
                      <w:rFonts w:hint="default" w:ascii="Times New Roman" w:hAnsi="Times New Roman" w:eastAsia="宋体" w:cs="Times New Roman"/>
                      <w:b/>
                      <w:color w:val="auto"/>
                      <w:szCs w:val="21"/>
                      <w:highlight w:val="none"/>
                      <w:vertAlign w:val="subscript"/>
                    </w:rPr>
                    <w:t>Cr</w:t>
                  </w:r>
                </w:p>
              </w:tc>
              <w:tc>
                <w:tcPr>
                  <w:tcW w:w="498" w:type="pct"/>
                  <w:tcBorders>
                    <w:tl2br w:val="nil"/>
                    <w:tr2bl w:val="nil"/>
                  </w:tcBorders>
                  <w:vAlign w:val="center"/>
                </w:tcPr>
                <w:p w14:paraId="7E73E123">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BOD</w:t>
                  </w:r>
                  <w:r>
                    <w:rPr>
                      <w:rFonts w:hint="default" w:ascii="Times New Roman" w:hAnsi="Times New Roman" w:eastAsia="宋体" w:cs="Times New Roman"/>
                      <w:b/>
                      <w:color w:val="auto"/>
                      <w:szCs w:val="21"/>
                      <w:highlight w:val="none"/>
                      <w:vertAlign w:val="subscript"/>
                    </w:rPr>
                    <w:t>5</w:t>
                  </w:r>
                </w:p>
              </w:tc>
              <w:tc>
                <w:tcPr>
                  <w:tcW w:w="546" w:type="pct"/>
                  <w:tcBorders>
                    <w:tl2br w:val="nil"/>
                    <w:tr2bl w:val="nil"/>
                  </w:tcBorders>
                  <w:vAlign w:val="center"/>
                </w:tcPr>
                <w:p w14:paraId="2B20E782">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SS</w:t>
                  </w:r>
                </w:p>
              </w:tc>
              <w:tc>
                <w:tcPr>
                  <w:tcW w:w="491" w:type="pct"/>
                  <w:tcBorders>
                    <w:tl2br w:val="nil"/>
                    <w:tr2bl w:val="nil"/>
                  </w:tcBorders>
                  <w:vAlign w:val="center"/>
                </w:tcPr>
                <w:p w14:paraId="61450183">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氨氮</w:t>
                  </w:r>
                </w:p>
              </w:tc>
              <w:tc>
                <w:tcPr>
                  <w:tcW w:w="617" w:type="pct"/>
                  <w:tcBorders>
                    <w:tl2br w:val="nil"/>
                    <w:tr2bl w:val="nil"/>
                  </w:tcBorders>
                  <w:vAlign w:val="center"/>
                </w:tcPr>
                <w:p w14:paraId="73EFCD88">
                  <w:pPr>
                    <w:adjustRightInd w:val="0"/>
                    <w:snapToGrid w:val="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可溶性固体总量</w:t>
                  </w:r>
                </w:p>
              </w:tc>
              <w:tc>
                <w:tcPr>
                  <w:tcW w:w="383" w:type="pct"/>
                  <w:tcBorders>
                    <w:tl2br w:val="nil"/>
                    <w:tr2bl w:val="nil"/>
                  </w:tcBorders>
                  <w:vAlign w:val="center"/>
                </w:tcPr>
                <w:p w14:paraId="2B6E137A">
                  <w:pPr>
                    <w:adjustRightInd w:val="0"/>
                    <w:snapToGrid w:val="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pH</w:t>
                  </w:r>
                </w:p>
              </w:tc>
            </w:tr>
            <w:tr w14:paraId="34F1E7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0" w:hRule="atLeast"/>
                <w:jc w:val="center"/>
              </w:trPr>
              <w:tc>
                <w:tcPr>
                  <w:tcW w:w="522" w:type="pct"/>
                  <w:vMerge w:val="restart"/>
                  <w:tcBorders>
                    <w:tl2br w:val="nil"/>
                    <w:tr2bl w:val="nil"/>
                  </w:tcBorders>
                  <w:shd w:val="clear" w:color="auto" w:fill="auto"/>
                  <w:vAlign w:val="center"/>
                </w:tcPr>
                <w:p w14:paraId="71847490">
                  <w:pPr>
                    <w:keepNext w:val="0"/>
                    <w:keepLines w:val="0"/>
                    <w:widowControl/>
                    <w:suppressLineNumbers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1.18</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p>
              </w:tc>
              <w:tc>
                <w:tcPr>
                  <w:tcW w:w="1354" w:type="pct"/>
                  <w:tcBorders>
                    <w:tl2br w:val="nil"/>
                    <w:tr2bl w:val="nil"/>
                  </w:tcBorders>
                  <w:vAlign w:val="center"/>
                </w:tcPr>
                <w:p w14:paraId="3C91A7DE">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纯水制备废水</w:t>
                  </w:r>
                  <w:r>
                    <w:rPr>
                      <w:rFonts w:hint="eastAsia"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高压蒸汽</w:t>
                  </w:r>
                  <w:r>
                    <w:rPr>
                      <w:rFonts w:hint="eastAsia" w:cs="Times New Roman"/>
                      <w:color w:val="auto"/>
                      <w:szCs w:val="21"/>
                      <w:highlight w:val="none"/>
                      <w:lang w:val="en-US" w:eastAsia="zh-CN"/>
                    </w:rPr>
                    <w:t>灭菌废水</w:t>
                  </w:r>
                  <w:r>
                    <w:rPr>
                      <w:rFonts w:hint="default" w:ascii="Times New Roman" w:hAnsi="Times New Roman" w:eastAsia="宋体" w:cs="Times New Roman"/>
                      <w:color w:val="auto"/>
                      <w:szCs w:val="21"/>
                      <w:highlight w:val="none"/>
                      <w:lang w:val="en-US" w:eastAsia="zh-CN"/>
                    </w:rPr>
                    <w:t>（mg/L）</w:t>
                  </w:r>
                </w:p>
              </w:tc>
              <w:tc>
                <w:tcPr>
                  <w:tcW w:w="586" w:type="pct"/>
                  <w:tcBorders>
                    <w:tl2br w:val="nil"/>
                    <w:tr2bl w:val="nil"/>
                  </w:tcBorders>
                  <w:vAlign w:val="center"/>
                </w:tcPr>
                <w:p w14:paraId="494DADA9">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50</w:t>
                  </w:r>
                </w:p>
              </w:tc>
              <w:tc>
                <w:tcPr>
                  <w:tcW w:w="498" w:type="pct"/>
                  <w:tcBorders>
                    <w:tl2br w:val="nil"/>
                    <w:tr2bl w:val="nil"/>
                  </w:tcBorders>
                  <w:vAlign w:val="center"/>
                </w:tcPr>
                <w:p w14:paraId="4911AE4A">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30</w:t>
                  </w:r>
                </w:p>
              </w:tc>
              <w:tc>
                <w:tcPr>
                  <w:tcW w:w="546" w:type="pct"/>
                  <w:tcBorders>
                    <w:tl2br w:val="nil"/>
                    <w:tr2bl w:val="nil"/>
                  </w:tcBorders>
                  <w:vAlign w:val="center"/>
                </w:tcPr>
                <w:p w14:paraId="539ECB21">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00</w:t>
                  </w:r>
                </w:p>
              </w:tc>
              <w:tc>
                <w:tcPr>
                  <w:tcW w:w="491" w:type="pct"/>
                  <w:tcBorders>
                    <w:tl2br w:val="nil"/>
                    <w:tr2bl w:val="nil"/>
                  </w:tcBorders>
                  <w:vAlign w:val="center"/>
                </w:tcPr>
                <w:p w14:paraId="3F71AB25">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w:t>
                  </w:r>
                </w:p>
              </w:tc>
              <w:tc>
                <w:tcPr>
                  <w:tcW w:w="617" w:type="pct"/>
                  <w:tcBorders>
                    <w:tl2br w:val="nil"/>
                    <w:tr2bl w:val="nil"/>
                  </w:tcBorders>
                  <w:vAlign w:val="center"/>
                </w:tcPr>
                <w:p w14:paraId="1ECE19C4">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1200</w:t>
                  </w:r>
                </w:p>
              </w:tc>
              <w:tc>
                <w:tcPr>
                  <w:tcW w:w="383" w:type="pct"/>
                  <w:tcBorders>
                    <w:tl2br w:val="nil"/>
                    <w:tr2bl w:val="nil"/>
                  </w:tcBorders>
                  <w:vAlign w:val="center"/>
                </w:tcPr>
                <w:p w14:paraId="22CE336E">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6.5-9</w:t>
                  </w:r>
                </w:p>
                <w:p w14:paraId="5831DC87">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(无量纲)</w:t>
                  </w:r>
                </w:p>
              </w:tc>
            </w:tr>
            <w:tr w14:paraId="60D08E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522" w:type="pct"/>
                  <w:vMerge w:val="continue"/>
                  <w:tcBorders>
                    <w:tl2br w:val="nil"/>
                    <w:tr2bl w:val="nil"/>
                  </w:tcBorders>
                  <w:vAlign w:val="center"/>
                </w:tcPr>
                <w:p w14:paraId="1CB992FA">
                  <w:pPr>
                    <w:keepNext w:val="0"/>
                    <w:keepLines w:val="0"/>
                    <w:widowControl/>
                    <w:suppressLineNumbers w:val="0"/>
                    <w:ind w:firstLine="210" w:firstLineChars="100"/>
                    <w:jc w:val="center"/>
                    <w:rPr>
                      <w:rFonts w:hint="default" w:ascii="Times New Roman" w:hAnsi="Times New Roman" w:eastAsia="宋体" w:cs="Times New Roman"/>
                      <w:color w:val="auto"/>
                      <w:szCs w:val="21"/>
                      <w:highlight w:val="none"/>
                      <w:lang w:val="en-US" w:eastAsia="zh-CN"/>
                    </w:rPr>
                  </w:pPr>
                </w:p>
              </w:tc>
              <w:tc>
                <w:tcPr>
                  <w:tcW w:w="1354" w:type="pct"/>
                  <w:tcBorders>
                    <w:tl2br w:val="nil"/>
                    <w:tr2bl w:val="nil"/>
                  </w:tcBorders>
                  <w:vAlign w:val="center"/>
                </w:tcPr>
                <w:p w14:paraId="4C8B3523">
                  <w:pPr>
                    <w:keepNext w:val="0"/>
                    <w:keepLines w:val="0"/>
                    <w:widowControl/>
                    <w:suppressLineNumbers w:val="0"/>
                    <w:ind w:firstLine="210" w:firstLineChars="10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排放量（</w:t>
                  </w:r>
                  <w:r>
                    <w:rPr>
                      <w:rFonts w:hint="default" w:ascii="Times New Roman" w:hAnsi="Times New Roman" w:eastAsia="宋体" w:cs="Times New Roman"/>
                      <w:color w:val="auto"/>
                      <w:kern w:val="0"/>
                      <w:sz w:val="21"/>
                      <w:szCs w:val="21"/>
                      <w:lang w:val="en-US" w:eastAsia="zh-CN" w:bidi="ar"/>
                    </w:rPr>
                    <w:t>t/a</w:t>
                  </w:r>
                  <w:r>
                    <w:rPr>
                      <w:rFonts w:hint="default" w:ascii="Times New Roman" w:hAnsi="Times New Roman" w:eastAsia="宋体" w:cs="Times New Roman"/>
                      <w:color w:val="auto"/>
                      <w:szCs w:val="21"/>
                      <w:highlight w:val="none"/>
                      <w:lang w:val="en-US" w:eastAsia="zh-CN"/>
                    </w:rPr>
                    <w:t>）</w:t>
                  </w:r>
                </w:p>
              </w:tc>
              <w:tc>
                <w:tcPr>
                  <w:tcW w:w="586" w:type="pct"/>
                  <w:tcBorders>
                    <w:tl2br w:val="nil"/>
                    <w:tr2bl w:val="nil"/>
                  </w:tcBorders>
                  <w:vAlign w:val="center"/>
                </w:tcPr>
                <w:p w14:paraId="54144383">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1</w:t>
                  </w:r>
                </w:p>
              </w:tc>
              <w:tc>
                <w:tcPr>
                  <w:tcW w:w="498" w:type="pct"/>
                  <w:tcBorders>
                    <w:tl2br w:val="nil"/>
                    <w:tr2bl w:val="nil"/>
                  </w:tcBorders>
                  <w:vAlign w:val="center"/>
                </w:tcPr>
                <w:p w14:paraId="0ACF0C1B">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04</w:t>
                  </w:r>
                </w:p>
              </w:tc>
              <w:tc>
                <w:tcPr>
                  <w:tcW w:w="546" w:type="pct"/>
                  <w:tcBorders>
                    <w:tl2br w:val="nil"/>
                    <w:tr2bl w:val="nil"/>
                  </w:tcBorders>
                  <w:vAlign w:val="center"/>
                </w:tcPr>
                <w:p w14:paraId="4D0CD43E">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1</w:t>
                  </w:r>
                </w:p>
              </w:tc>
              <w:tc>
                <w:tcPr>
                  <w:tcW w:w="491" w:type="pct"/>
                  <w:tcBorders>
                    <w:tl2br w:val="nil"/>
                    <w:tr2bl w:val="nil"/>
                  </w:tcBorders>
                  <w:vAlign w:val="center"/>
                </w:tcPr>
                <w:p w14:paraId="246F7B14">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0.0000</w:t>
                  </w:r>
                  <w:r>
                    <w:rPr>
                      <w:rFonts w:hint="eastAsia" w:cs="Times New Roman"/>
                      <w:color w:val="auto"/>
                      <w:szCs w:val="21"/>
                      <w:highlight w:val="none"/>
                      <w:lang w:val="en-US" w:eastAsia="zh-CN"/>
                    </w:rPr>
                    <w:t>1</w:t>
                  </w:r>
                </w:p>
              </w:tc>
              <w:tc>
                <w:tcPr>
                  <w:tcW w:w="617" w:type="pct"/>
                  <w:tcBorders>
                    <w:tl2br w:val="nil"/>
                    <w:tr2bl w:val="nil"/>
                  </w:tcBorders>
                  <w:vAlign w:val="center"/>
                </w:tcPr>
                <w:p w14:paraId="507D3BA1">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w:t>
                  </w:r>
                  <w:r>
                    <w:rPr>
                      <w:rFonts w:hint="eastAsia" w:cs="Times New Roman"/>
                      <w:color w:val="auto"/>
                      <w:szCs w:val="21"/>
                      <w:highlight w:val="none"/>
                      <w:lang w:val="en-US" w:eastAsia="zh-CN"/>
                    </w:rPr>
                    <w:t>014</w:t>
                  </w:r>
                </w:p>
              </w:tc>
              <w:tc>
                <w:tcPr>
                  <w:tcW w:w="383" w:type="pct"/>
                  <w:tcBorders>
                    <w:tl2br w:val="nil"/>
                    <w:tr2bl w:val="nil"/>
                  </w:tcBorders>
                  <w:vAlign w:val="center"/>
                </w:tcPr>
                <w:p w14:paraId="5DBE190B">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w:t>
                  </w:r>
                </w:p>
              </w:tc>
            </w:tr>
          </w:tbl>
          <w:p w14:paraId="31E64E7F">
            <w:pPr>
              <w:numPr>
                <w:ilvl w:val="0"/>
                <w:numId w:val="0"/>
              </w:numPr>
              <w:tabs>
                <w:tab w:val="left" w:pos="0"/>
              </w:tabs>
              <w:spacing w:line="360" w:lineRule="auto"/>
              <w:ind w:left="420" w:leftChars="0"/>
              <w:rPr>
                <w:rFonts w:hint="default" w:ascii="Times New Roman" w:hAnsi="Times New Roman" w:eastAsia="宋体" w:cs="Times New Roman"/>
                <w:color w:val="auto"/>
                <w:sz w:val="24"/>
                <w:highlight w:val="none"/>
              </w:rPr>
            </w:pPr>
          </w:p>
          <w:p w14:paraId="296CA377">
            <w:pPr>
              <w:numPr>
                <w:ilvl w:val="0"/>
                <w:numId w:val="0"/>
              </w:numPr>
              <w:tabs>
                <w:tab w:val="left" w:pos="0"/>
              </w:tabs>
              <w:spacing w:line="360" w:lineRule="auto"/>
              <w:ind w:left="420" w:leftChars="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综合污水</w:t>
            </w:r>
          </w:p>
          <w:p w14:paraId="4C032BF1">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以上废水一起进园区化粪池，</w:t>
            </w:r>
            <w:r>
              <w:rPr>
                <w:rFonts w:hint="default" w:ascii="Times New Roman" w:hAnsi="Times New Roman" w:eastAsia="宋体" w:cs="Times New Roman"/>
                <w:bCs/>
                <w:color w:val="auto"/>
                <w:sz w:val="24"/>
                <w:highlight w:val="none"/>
                <w:lang w:val="en-US" w:eastAsia="zh-CN"/>
              </w:rPr>
              <w:t>根据《化粪池原理及水污染物去除率》中数据，化粪池对各个污染物COD</w:t>
            </w:r>
            <w:r>
              <w:rPr>
                <w:rFonts w:hint="default" w:ascii="Times New Roman" w:hAnsi="Times New Roman" w:eastAsia="宋体" w:cs="Times New Roman"/>
                <w:b/>
                <w:bCs/>
                <w:color w:val="auto"/>
                <w:kern w:val="0"/>
                <w:sz w:val="21"/>
                <w:szCs w:val="21"/>
                <w:highlight w:val="none"/>
                <w:vertAlign w:val="subscript"/>
              </w:rPr>
              <w:t>Cr</w:t>
            </w:r>
            <w:r>
              <w:rPr>
                <w:rFonts w:hint="default" w:ascii="Times New Roman" w:hAnsi="Times New Roman" w:eastAsia="宋体" w:cs="Times New Roman"/>
                <w:bCs/>
                <w:color w:val="auto"/>
                <w:sz w:val="24"/>
                <w:highlight w:val="none"/>
                <w:lang w:val="en-US" w:eastAsia="zh-CN"/>
              </w:rPr>
              <w:t>、BOD</w:t>
            </w:r>
            <w:r>
              <w:rPr>
                <w:rFonts w:hint="default" w:ascii="Times New Roman" w:hAnsi="Times New Roman" w:eastAsia="宋体" w:cs="Times New Roman"/>
                <w:bCs/>
                <w:color w:val="auto"/>
                <w:sz w:val="24"/>
                <w:highlight w:val="none"/>
                <w:vertAlign w:val="subscript"/>
                <w:lang w:val="en-US" w:eastAsia="zh-CN"/>
              </w:rPr>
              <w:t>5</w:t>
            </w:r>
            <w:r>
              <w:rPr>
                <w:rFonts w:hint="default" w:ascii="Times New Roman" w:hAnsi="Times New Roman" w:eastAsia="宋体" w:cs="Times New Roman"/>
                <w:bCs/>
                <w:color w:val="auto"/>
                <w:sz w:val="24"/>
                <w:highlight w:val="none"/>
                <w:lang w:val="en-US" w:eastAsia="zh-CN"/>
              </w:rPr>
              <w:t>、SS、氨氮的去除率分别为15%、9%、30%、3%。本项目废水中各污染物产生量计算结果汇总见下表。</w:t>
            </w:r>
          </w:p>
          <w:p w14:paraId="5AF5287B">
            <w:pPr>
              <w:keepNext w:val="0"/>
              <w:keepLines w:val="0"/>
              <w:widowControl/>
              <w:numPr>
                <w:ilvl w:val="0"/>
                <w:numId w:val="26"/>
              </w:numPr>
              <w:suppressLineNumbers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项目综合污水水污染物产生及排放情况一览表</w:t>
            </w:r>
          </w:p>
          <w:tbl>
            <w:tblPr>
              <w:tblStyle w:val="24"/>
              <w:tblW w:w="736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63"/>
              <w:gridCol w:w="1506"/>
              <w:gridCol w:w="782"/>
              <w:gridCol w:w="782"/>
              <w:gridCol w:w="782"/>
              <w:gridCol w:w="782"/>
              <w:gridCol w:w="782"/>
              <w:gridCol w:w="782"/>
            </w:tblGrid>
            <w:tr w14:paraId="7E699B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63" w:type="dxa"/>
                  <w:tcBorders>
                    <w:tl2br w:val="nil"/>
                    <w:tr2bl w:val="nil"/>
                  </w:tcBorders>
                  <w:vAlign w:val="center"/>
                </w:tcPr>
                <w:p w14:paraId="44DA779B">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项目</w:t>
                  </w:r>
                </w:p>
              </w:tc>
              <w:tc>
                <w:tcPr>
                  <w:tcW w:w="1506" w:type="dxa"/>
                  <w:tcBorders>
                    <w:tl2br w:val="nil"/>
                    <w:tr2bl w:val="nil"/>
                  </w:tcBorders>
                  <w:vAlign w:val="center"/>
                </w:tcPr>
                <w:p w14:paraId="74FC6F33">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污染物种类</w:t>
                  </w:r>
                </w:p>
              </w:tc>
              <w:tc>
                <w:tcPr>
                  <w:tcW w:w="782" w:type="dxa"/>
                  <w:tcBorders>
                    <w:tl2br w:val="nil"/>
                    <w:tr2bl w:val="nil"/>
                  </w:tcBorders>
                  <w:vAlign w:val="center"/>
                </w:tcPr>
                <w:p w14:paraId="5E60E398">
                  <w:pPr>
                    <w:widowControl/>
                    <w:adjustRightInd w:val="0"/>
                    <w:snapToGrid w:val="0"/>
                    <w:jc w:val="center"/>
                    <w:rPr>
                      <w:rFonts w:hint="default" w:ascii="Times New Roman" w:hAnsi="Times New Roman" w:eastAsia="宋体" w:cs="Times New Roman"/>
                      <w:b/>
                      <w:bCs/>
                      <w:color w:val="auto"/>
                      <w:kern w:val="0"/>
                      <w:sz w:val="21"/>
                      <w:szCs w:val="21"/>
                      <w:highlight w:val="none"/>
                      <w:vertAlign w:val="subscript"/>
                    </w:rPr>
                  </w:pPr>
                  <w:r>
                    <w:rPr>
                      <w:rFonts w:hint="default" w:ascii="Times New Roman" w:hAnsi="Times New Roman" w:eastAsia="宋体" w:cs="Times New Roman"/>
                      <w:b/>
                      <w:bCs/>
                      <w:color w:val="auto"/>
                      <w:kern w:val="0"/>
                      <w:sz w:val="21"/>
                      <w:szCs w:val="21"/>
                      <w:highlight w:val="none"/>
                    </w:rPr>
                    <w:t>COD</w:t>
                  </w:r>
                  <w:r>
                    <w:rPr>
                      <w:rFonts w:hint="default" w:ascii="Times New Roman" w:hAnsi="Times New Roman" w:eastAsia="宋体" w:cs="Times New Roman"/>
                      <w:b/>
                      <w:bCs/>
                      <w:color w:val="auto"/>
                      <w:kern w:val="0"/>
                      <w:sz w:val="21"/>
                      <w:szCs w:val="21"/>
                      <w:highlight w:val="none"/>
                      <w:vertAlign w:val="subscript"/>
                    </w:rPr>
                    <w:t>Cr</w:t>
                  </w:r>
                </w:p>
              </w:tc>
              <w:tc>
                <w:tcPr>
                  <w:tcW w:w="782" w:type="dxa"/>
                  <w:tcBorders>
                    <w:tl2br w:val="nil"/>
                    <w:tr2bl w:val="nil"/>
                  </w:tcBorders>
                  <w:vAlign w:val="center"/>
                </w:tcPr>
                <w:p w14:paraId="3B682F7B">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BOD</w:t>
                  </w:r>
                  <w:r>
                    <w:rPr>
                      <w:rFonts w:hint="default" w:ascii="Times New Roman" w:hAnsi="Times New Roman" w:eastAsia="宋体" w:cs="Times New Roman"/>
                      <w:b/>
                      <w:bCs/>
                      <w:color w:val="auto"/>
                      <w:kern w:val="0"/>
                      <w:sz w:val="21"/>
                      <w:szCs w:val="21"/>
                      <w:highlight w:val="none"/>
                      <w:vertAlign w:val="subscript"/>
                    </w:rPr>
                    <w:t>5</w:t>
                  </w:r>
                </w:p>
              </w:tc>
              <w:tc>
                <w:tcPr>
                  <w:tcW w:w="782" w:type="dxa"/>
                  <w:tcBorders>
                    <w:tl2br w:val="nil"/>
                    <w:tr2bl w:val="nil"/>
                  </w:tcBorders>
                  <w:vAlign w:val="center"/>
                </w:tcPr>
                <w:p w14:paraId="269BB45B">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SS</w:t>
                  </w:r>
                </w:p>
              </w:tc>
              <w:tc>
                <w:tcPr>
                  <w:tcW w:w="782" w:type="dxa"/>
                  <w:tcBorders>
                    <w:tl2br w:val="nil"/>
                    <w:tr2bl w:val="nil"/>
                  </w:tcBorders>
                  <w:vAlign w:val="center"/>
                </w:tcPr>
                <w:p w14:paraId="607352E8">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氨氮</w:t>
                  </w:r>
                </w:p>
              </w:tc>
              <w:tc>
                <w:tcPr>
                  <w:tcW w:w="782" w:type="dxa"/>
                  <w:tcBorders>
                    <w:tl2br w:val="nil"/>
                    <w:tr2bl w:val="nil"/>
                  </w:tcBorders>
                  <w:vAlign w:val="center"/>
                </w:tcPr>
                <w:p w14:paraId="77145EA6">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可溶性固体总量</w:t>
                  </w:r>
                </w:p>
              </w:tc>
              <w:tc>
                <w:tcPr>
                  <w:tcW w:w="782" w:type="dxa"/>
                  <w:tcBorders>
                    <w:tl2br w:val="nil"/>
                    <w:tr2bl w:val="nil"/>
                  </w:tcBorders>
                  <w:vAlign w:val="center"/>
                </w:tcPr>
                <w:p w14:paraId="4F2C52DF">
                  <w:pPr>
                    <w:widowControl/>
                    <w:adjustRightInd w:val="0"/>
                    <w:snapToGrid w:val="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pH</w:t>
                  </w:r>
                </w:p>
                <w:p w14:paraId="4B98A583">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无量纲</w:t>
                  </w:r>
                </w:p>
              </w:tc>
            </w:tr>
            <w:tr w14:paraId="774471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restart"/>
                  <w:tcBorders>
                    <w:tl2br w:val="nil"/>
                    <w:tr2bl w:val="nil"/>
                  </w:tcBorders>
                  <w:shd w:val="clear" w:color="auto" w:fill="auto"/>
                  <w:vAlign w:val="center"/>
                </w:tcPr>
                <w:p w14:paraId="5732BA03">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生活污水</w:t>
                  </w:r>
                  <w:r>
                    <w:rPr>
                      <w:rFonts w:hint="eastAsia" w:cs="Times New Roman"/>
                      <w:color w:val="auto"/>
                      <w:sz w:val="21"/>
                      <w:szCs w:val="21"/>
                      <w:highlight w:val="none"/>
                      <w:lang w:val="en-US" w:eastAsia="zh-CN"/>
                    </w:rPr>
                    <w:t>106.25</w:t>
                  </w: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/a</w:t>
                  </w:r>
                </w:p>
              </w:tc>
              <w:tc>
                <w:tcPr>
                  <w:tcW w:w="1506" w:type="dxa"/>
                  <w:tcBorders>
                    <w:tl2br w:val="nil"/>
                    <w:tr2bl w:val="nil"/>
                  </w:tcBorders>
                  <w:shd w:val="clear" w:color="auto" w:fill="auto"/>
                  <w:vAlign w:val="center"/>
                </w:tcPr>
                <w:p w14:paraId="598E7E17">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产生浓度</w:t>
                  </w:r>
                  <w:r>
                    <w:rPr>
                      <w:rFonts w:hint="default" w:ascii="Times New Roman" w:hAnsi="Times New Roman" w:eastAsia="宋体" w:cs="Times New Roman"/>
                      <w:b w:val="0"/>
                      <w:bCs w:val="0"/>
                      <w:color w:val="auto"/>
                      <w:sz w:val="21"/>
                      <w:szCs w:val="21"/>
                      <w:highlight w:val="none"/>
                    </w:rPr>
                    <w:t>（mg/L）</w:t>
                  </w:r>
                </w:p>
              </w:tc>
              <w:tc>
                <w:tcPr>
                  <w:tcW w:w="782" w:type="dxa"/>
                  <w:tcBorders>
                    <w:tl2br w:val="nil"/>
                    <w:tr2bl w:val="nil"/>
                  </w:tcBorders>
                  <w:shd w:val="clear" w:color="auto" w:fill="auto"/>
                  <w:vAlign w:val="center"/>
                </w:tcPr>
                <w:p w14:paraId="10C49F64">
                  <w:pPr>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Cs w:val="21"/>
                      <w:highlight w:val="none"/>
                    </w:rPr>
                    <w:t>450</w:t>
                  </w:r>
                </w:p>
              </w:tc>
              <w:tc>
                <w:tcPr>
                  <w:tcW w:w="782" w:type="dxa"/>
                  <w:tcBorders>
                    <w:tl2br w:val="nil"/>
                    <w:tr2bl w:val="nil"/>
                  </w:tcBorders>
                  <w:shd w:val="clear" w:color="auto" w:fill="auto"/>
                  <w:vAlign w:val="center"/>
                </w:tcPr>
                <w:p w14:paraId="12A7B95F">
                  <w:pPr>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Cs w:val="21"/>
                      <w:highlight w:val="none"/>
                    </w:rPr>
                    <w:t>250</w:t>
                  </w:r>
                </w:p>
              </w:tc>
              <w:tc>
                <w:tcPr>
                  <w:tcW w:w="782" w:type="dxa"/>
                  <w:tcBorders>
                    <w:tl2br w:val="nil"/>
                    <w:tr2bl w:val="nil"/>
                  </w:tcBorders>
                  <w:shd w:val="clear" w:color="auto" w:fill="auto"/>
                  <w:vAlign w:val="center"/>
                </w:tcPr>
                <w:p w14:paraId="7C4A1DCB">
                  <w:pPr>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Cs w:val="21"/>
                      <w:highlight w:val="none"/>
                    </w:rPr>
                    <w:t>300</w:t>
                  </w:r>
                </w:p>
              </w:tc>
              <w:tc>
                <w:tcPr>
                  <w:tcW w:w="782" w:type="dxa"/>
                  <w:tcBorders>
                    <w:tl2br w:val="nil"/>
                    <w:tr2bl w:val="nil"/>
                  </w:tcBorders>
                  <w:shd w:val="clear" w:color="auto" w:fill="auto"/>
                  <w:vAlign w:val="center"/>
                </w:tcPr>
                <w:p w14:paraId="10C8634B">
                  <w:pPr>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Cs w:val="21"/>
                      <w:highlight w:val="none"/>
                    </w:rPr>
                    <w:t>40</w:t>
                  </w:r>
                </w:p>
              </w:tc>
              <w:tc>
                <w:tcPr>
                  <w:tcW w:w="782" w:type="dxa"/>
                  <w:tcBorders>
                    <w:tl2br w:val="nil"/>
                    <w:tr2bl w:val="nil"/>
                  </w:tcBorders>
                  <w:shd w:val="clear" w:color="auto" w:fill="auto"/>
                  <w:vAlign w:val="center"/>
                </w:tcPr>
                <w:p w14:paraId="3DBE71EA">
                  <w:pPr>
                    <w:widowControl/>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6.5~7.5</w:t>
                  </w:r>
                </w:p>
              </w:tc>
              <w:tc>
                <w:tcPr>
                  <w:tcW w:w="782" w:type="dxa"/>
                  <w:tcBorders>
                    <w:tl2br w:val="nil"/>
                    <w:tr2bl w:val="nil"/>
                  </w:tcBorders>
                  <w:shd w:val="clear" w:color="auto" w:fill="auto"/>
                  <w:vAlign w:val="center"/>
                </w:tcPr>
                <w:p w14:paraId="78DEE93E">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6.5~7.5</w:t>
                  </w:r>
                </w:p>
              </w:tc>
            </w:tr>
            <w:tr w14:paraId="70A741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continue"/>
                  <w:tcBorders>
                    <w:tl2br w:val="nil"/>
                    <w:tr2bl w:val="nil"/>
                  </w:tcBorders>
                  <w:vAlign w:val="center"/>
                </w:tcPr>
                <w:p w14:paraId="48B028F5">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shd w:val="clear" w:color="auto" w:fill="auto"/>
                  <w:vAlign w:val="center"/>
                </w:tcPr>
                <w:p w14:paraId="17BE292B">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产生量（t/a）</w:t>
                  </w:r>
                </w:p>
              </w:tc>
              <w:tc>
                <w:tcPr>
                  <w:tcW w:w="782" w:type="dxa"/>
                  <w:tcBorders>
                    <w:tl2br w:val="nil"/>
                    <w:tr2bl w:val="nil"/>
                  </w:tcBorders>
                  <w:shd w:val="clear" w:color="auto" w:fill="auto"/>
                  <w:vAlign w:val="center"/>
                </w:tcPr>
                <w:p w14:paraId="2972D47C">
                  <w:pPr>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0478</w:t>
                  </w:r>
                </w:p>
              </w:tc>
              <w:tc>
                <w:tcPr>
                  <w:tcW w:w="782" w:type="dxa"/>
                  <w:tcBorders>
                    <w:tl2br w:val="nil"/>
                    <w:tr2bl w:val="nil"/>
                  </w:tcBorders>
                  <w:shd w:val="clear" w:color="auto" w:fill="auto"/>
                  <w:vAlign w:val="center"/>
                </w:tcPr>
                <w:p w14:paraId="16170006">
                  <w:pPr>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0266</w:t>
                  </w:r>
                </w:p>
              </w:tc>
              <w:tc>
                <w:tcPr>
                  <w:tcW w:w="782" w:type="dxa"/>
                  <w:tcBorders>
                    <w:tl2br w:val="nil"/>
                    <w:tr2bl w:val="nil"/>
                  </w:tcBorders>
                  <w:shd w:val="clear" w:color="auto" w:fill="auto"/>
                  <w:vAlign w:val="center"/>
                </w:tcPr>
                <w:p w14:paraId="106C9FC9">
                  <w:pPr>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0319</w:t>
                  </w:r>
                </w:p>
              </w:tc>
              <w:tc>
                <w:tcPr>
                  <w:tcW w:w="782" w:type="dxa"/>
                  <w:tcBorders>
                    <w:tl2br w:val="nil"/>
                    <w:tr2bl w:val="nil"/>
                  </w:tcBorders>
                  <w:shd w:val="clear" w:color="auto" w:fill="auto"/>
                  <w:vAlign w:val="center"/>
                </w:tcPr>
                <w:p w14:paraId="6A91841C">
                  <w:pPr>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0.0</w:t>
                  </w:r>
                  <w:r>
                    <w:rPr>
                      <w:rFonts w:hint="eastAsia" w:cs="Times New Roman"/>
                      <w:color w:val="auto"/>
                      <w:szCs w:val="21"/>
                      <w:highlight w:val="none"/>
                      <w:lang w:val="en-US" w:eastAsia="zh-CN"/>
                    </w:rPr>
                    <w:t>043</w:t>
                  </w:r>
                </w:p>
              </w:tc>
              <w:tc>
                <w:tcPr>
                  <w:tcW w:w="782" w:type="dxa"/>
                  <w:tcBorders>
                    <w:tl2br w:val="nil"/>
                    <w:tr2bl w:val="nil"/>
                  </w:tcBorders>
                  <w:shd w:val="clear" w:color="auto" w:fill="auto"/>
                  <w:vAlign w:val="center"/>
                </w:tcPr>
                <w:p w14:paraId="5FBE7B40">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w:t>
                  </w:r>
                </w:p>
              </w:tc>
              <w:tc>
                <w:tcPr>
                  <w:tcW w:w="782" w:type="dxa"/>
                  <w:tcBorders>
                    <w:tl2br w:val="nil"/>
                    <w:tr2bl w:val="nil"/>
                  </w:tcBorders>
                  <w:shd w:val="clear" w:color="auto" w:fill="auto"/>
                  <w:vAlign w:val="center"/>
                </w:tcPr>
                <w:p w14:paraId="35156230">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w:t>
                  </w:r>
                </w:p>
              </w:tc>
            </w:tr>
            <w:tr w14:paraId="41AFB2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restart"/>
                  <w:tcBorders>
                    <w:tl2br w:val="nil"/>
                    <w:tr2bl w:val="nil"/>
                  </w:tcBorders>
                  <w:shd w:val="clear" w:color="auto" w:fill="auto"/>
                  <w:vAlign w:val="center"/>
                </w:tcPr>
                <w:p w14:paraId="0091DB7F">
                  <w:pPr>
                    <w:keepNext w:val="0"/>
                    <w:keepLines w:val="0"/>
                    <w:widowControl/>
                    <w:suppressLineNumbers w:val="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第三遍</w:t>
                  </w:r>
                  <w:r>
                    <w:rPr>
                      <w:rFonts w:hint="eastAsia" w:cs="Times New Roman"/>
                      <w:b w:val="0"/>
                      <w:bCs w:val="0"/>
                      <w:color w:val="auto"/>
                      <w:kern w:val="0"/>
                      <w:sz w:val="21"/>
                      <w:szCs w:val="21"/>
                      <w:highlight w:val="none"/>
                      <w:lang w:val="en-US" w:eastAsia="zh-CN"/>
                    </w:rPr>
                    <w:t>及以后</w:t>
                  </w:r>
                  <w:r>
                    <w:rPr>
                      <w:rFonts w:hint="default" w:ascii="Times New Roman" w:hAnsi="Times New Roman" w:eastAsia="宋体" w:cs="Times New Roman"/>
                      <w:b w:val="0"/>
                      <w:bCs w:val="0"/>
                      <w:color w:val="auto"/>
                      <w:kern w:val="0"/>
                      <w:sz w:val="21"/>
                      <w:szCs w:val="21"/>
                      <w:highlight w:val="none"/>
                      <w:lang w:val="en-US" w:eastAsia="zh-CN"/>
                    </w:rPr>
                    <w:t>清洗废水</w:t>
                  </w:r>
                  <w:r>
                    <w:rPr>
                      <w:rFonts w:hint="eastAsia" w:cs="Times New Roman"/>
                      <w:b w:val="0"/>
                      <w:bCs w:val="0"/>
                      <w:color w:val="auto"/>
                      <w:kern w:val="0"/>
                      <w:sz w:val="21"/>
                      <w:szCs w:val="21"/>
                      <w:highlight w:val="none"/>
                      <w:lang w:val="en-US" w:eastAsia="zh-CN"/>
                    </w:rPr>
                    <w:t>、高压蒸汽灭菌废水</w:t>
                  </w:r>
                  <w:r>
                    <w:rPr>
                      <w:rFonts w:hint="eastAsia" w:cs="Times New Roman"/>
                      <w:b w:val="0"/>
                      <w:bCs w:val="0"/>
                      <w:color w:val="auto"/>
                      <w:sz w:val="21"/>
                      <w:szCs w:val="21"/>
                      <w:highlight w:val="none"/>
                      <w:lang w:val="en-US" w:eastAsia="zh-CN"/>
                    </w:rPr>
                    <w:t>1.08</w:t>
                  </w: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/a</w:t>
                  </w:r>
                </w:p>
              </w:tc>
              <w:tc>
                <w:tcPr>
                  <w:tcW w:w="1506" w:type="dxa"/>
                  <w:tcBorders>
                    <w:tl2br w:val="nil"/>
                    <w:tr2bl w:val="nil"/>
                  </w:tcBorders>
                  <w:shd w:val="clear" w:color="auto" w:fill="auto"/>
                  <w:vAlign w:val="center"/>
                </w:tcPr>
                <w:p w14:paraId="11611372">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产生浓度</w:t>
                  </w:r>
                  <w:r>
                    <w:rPr>
                      <w:rFonts w:hint="default" w:ascii="Times New Roman" w:hAnsi="Times New Roman" w:eastAsia="宋体" w:cs="Times New Roman"/>
                      <w:b w:val="0"/>
                      <w:bCs w:val="0"/>
                      <w:color w:val="auto"/>
                      <w:sz w:val="21"/>
                      <w:szCs w:val="21"/>
                      <w:highlight w:val="none"/>
                    </w:rPr>
                    <w:t>（mg/L）</w:t>
                  </w:r>
                </w:p>
              </w:tc>
              <w:tc>
                <w:tcPr>
                  <w:tcW w:w="782" w:type="dxa"/>
                  <w:tcBorders>
                    <w:tl2br w:val="nil"/>
                    <w:tr2bl w:val="nil"/>
                  </w:tcBorders>
                  <w:shd w:val="clear" w:color="auto" w:fill="auto"/>
                  <w:vAlign w:val="center"/>
                </w:tcPr>
                <w:p w14:paraId="0F90CB2A">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200</w:t>
                  </w:r>
                </w:p>
              </w:tc>
              <w:tc>
                <w:tcPr>
                  <w:tcW w:w="782" w:type="dxa"/>
                  <w:tcBorders>
                    <w:tl2br w:val="nil"/>
                    <w:tr2bl w:val="nil"/>
                  </w:tcBorders>
                  <w:shd w:val="clear" w:color="auto" w:fill="auto"/>
                  <w:vAlign w:val="center"/>
                </w:tcPr>
                <w:p w14:paraId="06D4DED2">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eastAsia" w:cs="Times New Roman"/>
                      <w:color w:val="auto"/>
                      <w:szCs w:val="21"/>
                      <w:highlight w:val="none"/>
                      <w:lang w:val="en-US" w:eastAsia="zh-CN"/>
                    </w:rPr>
                    <w:t>6</w:t>
                  </w:r>
                  <w:r>
                    <w:rPr>
                      <w:rFonts w:hint="default" w:ascii="Times New Roman" w:hAnsi="Times New Roman" w:eastAsia="宋体" w:cs="Times New Roman"/>
                      <w:color w:val="auto"/>
                      <w:szCs w:val="21"/>
                      <w:highlight w:val="none"/>
                    </w:rPr>
                    <w:t>0</w:t>
                  </w:r>
                </w:p>
              </w:tc>
              <w:tc>
                <w:tcPr>
                  <w:tcW w:w="782" w:type="dxa"/>
                  <w:tcBorders>
                    <w:tl2br w:val="nil"/>
                    <w:tr2bl w:val="nil"/>
                  </w:tcBorders>
                  <w:shd w:val="clear" w:color="auto" w:fill="auto"/>
                  <w:vAlign w:val="center"/>
                </w:tcPr>
                <w:p w14:paraId="52CCFA61">
                  <w:pPr>
                    <w:snapToGrid w:val="0"/>
                    <w:jc w:val="center"/>
                    <w:rPr>
                      <w:rFonts w:hint="default" w:ascii="Times New Roman" w:hAnsi="Times New Roman" w:eastAsia="宋体" w:cs="Times New Roman"/>
                      <w:b w:val="0"/>
                      <w:bCs w:val="0"/>
                      <w:color w:val="auto"/>
                      <w:kern w:val="0"/>
                      <w:sz w:val="21"/>
                      <w:szCs w:val="21"/>
                      <w:highlight w:val="none"/>
                    </w:rPr>
                  </w:pPr>
                  <w:r>
                    <w:rPr>
                      <w:rFonts w:hint="eastAsia" w:cs="Times New Roman"/>
                      <w:color w:val="auto"/>
                      <w:szCs w:val="21"/>
                      <w:highlight w:val="none"/>
                      <w:lang w:val="en-US" w:eastAsia="zh-CN"/>
                    </w:rPr>
                    <w:t>10</w:t>
                  </w:r>
                  <w:r>
                    <w:rPr>
                      <w:rFonts w:hint="default" w:ascii="Times New Roman" w:hAnsi="Times New Roman" w:eastAsia="宋体" w:cs="Times New Roman"/>
                      <w:color w:val="auto"/>
                      <w:szCs w:val="21"/>
                      <w:highlight w:val="none"/>
                    </w:rPr>
                    <w:t>0</w:t>
                  </w:r>
                </w:p>
              </w:tc>
              <w:tc>
                <w:tcPr>
                  <w:tcW w:w="782" w:type="dxa"/>
                  <w:tcBorders>
                    <w:tl2br w:val="nil"/>
                    <w:tr2bl w:val="nil"/>
                  </w:tcBorders>
                  <w:shd w:val="clear" w:color="auto" w:fill="auto"/>
                  <w:vAlign w:val="center"/>
                </w:tcPr>
                <w:p w14:paraId="6611EF15">
                  <w:pPr>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25</w:t>
                  </w:r>
                </w:p>
              </w:tc>
              <w:tc>
                <w:tcPr>
                  <w:tcW w:w="782" w:type="dxa"/>
                  <w:tcBorders>
                    <w:tl2br w:val="nil"/>
                    <w:tr2bl w:val="nil"/>
                  </w:tcBorders>
                  <w:shd w:val="clear" w:color="auto" w:fill="auto"/>
                  <w:vAlign w:val="center"/>
                </w:tcPr>
                <w:p w14:paraId="5559D498">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6.5~9</w:t>
                  </w:r>
                </w:p>
              </w:tc>
              <w:tc>
                <w:tcPr>
                  <w:tcW w:w="782" w:type="dxa"/>
                  <w:tcBorders>
                    <w:tl2br w:val="nil"/>
                    <w:tr2bl w:val="nil"/>
                  </w:tcBorders>
                  <w:shd w:val="clear" w:color="auto" w:fill="auto"/>
                  <w:vAlign w:val="center"/>
                </w:tcPr>
                <w:p w14:paraId="6443AFEB">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bidi="ar"/>
                    </w:rPr>
                    <w:t>6.5~9</w:t>
                  </w:r>
                </w:p>
              </w:tc>
            </w:tr>
            <w:tr w14:paraId="5236E3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continue"/>
                  <w:tcBorders>
                    <w:tl2br w:val="nil"/>
                    <w:tr2bl w:val="nil"/>
                  </w:tcBorders>
                  <w:vAlign w:val="center"/>
                </w:tcPr>
                <w:p w14:paraId="7AD219E2">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shd w:val="clear" w:color="auto" w:fill="auto"/>
                  <w:vAlign w:val="center"/>
                </w:tcPr>
                <w:p w14:paraId="6F816542">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产生量（t/a）</w:t>
                  </w:r>
                </w:p>
              </w:tc>
              <w:tc>
                <w:tcPr>
                  <w:tcW w:w="782" w:type="dxa"/>
                  <w:tcBorders>
                    <w:tl2br w:val="nil"/>
                    <w:tr2bl w:val="nil"/>
                  </w:tcBorders>
                  <w:shd w:val="clear" w:color="auto" w:fill="auto"/>
                  <w:vAlign w:val="center"/>
                </w:tcPr>
                <w:p w14:paraId="6A9D3F94">
                  <w:pPr>
                    <w:snapToGrid w:val="0"/>
                    <w:jc w:val="center"/>
                    <w:rPr>
                      <w:rFonts w:hint="default" w:ascii="Times New Roman" w:hAnsi="Times New Roman" w:eastAsia="宋体" w:cs="Times New Roman"/>
                      <w:b w:val="0"/>
                      <w:bCs w:val="0"/>
                      <w:color w:val="auto"/>
                      <w:kern w:val="0"/>
                      <w:sz w:val="21"/>
                      <w:szCs w:val="21"/>
                      <w:highlight w:val="none"/>
                      <w:lang w:val="en-US"/>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2</w:t>
                  </w:r>
                </w:p>
              </w:tc>
              <w:tc>
                <w:tcPr>
                  <w:tcW w:w="782" w:type="dxa"/>
                  <w:tcBorders>
                    <w:tl2br w:val="nil"/>
                    <w:tr2bl w:val="nil"/>
                  </w:tcBorders>
                  <w:shd w:val="clear" w:color="auto" w:fill="auto"/>
                  <w:vAlign w:val="center"/>
                </w:tcPr>
                <w:p w14:paraId="1AB59164">
                  <w:pPr>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06</w:t>
                  </w:r>
                </w:p>
              </w:tc>
              <w:tc>
                <w:tcPr>
                  <w:tcW w:w="782" w:type="dxa"/>
                  <w:tcBorders>
                    <w:tl2br w:val="nil"/>
                    <w:tr2bl w:val="nil"/>
                  </w:tcBorders>
                  <w:shd w:val="clear" w:color="auto" w:fill="auto"/>
                  <w:vAlign w:val="center"/>
                </w:tcPr>
                <w:p w14:paraId="15EE02B3">
                  <w:pPr>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0.00</w:t>
                  </w:r>
                  <w:r>
                    <w:rPr>
                      <w:rFonts w:hint="eastAsia" w:cs="Times New Roman"/>
                      <w:color w:val="auto"/>
                      <w:szCs w:val="21"/>
                      <w:highlight w:val="none"/>
                      <w:lang w:val="en-US" w:eastAsia="zh-CN"/>
                    </w:rPr>
                    <w:t>01</w:t>
                  </w:r>
                </w:p>
              </w:tc>
              <w:tc>
                <w:tcPr>
                  <w:tcW w:w="782" w:type="dxa"/>
                  <w:tcBorders>
                    <w:tl2br w:val="nil"/>
                    <w:tr2bl w:val="nil"/>
                  </w:tcBorders>
                  <w:shd w:val="clear" w:color="auto" w:fill="auto"/>
                  <w:vAlign w:val="center"/>
                </w:tcPr>
                <w:p w14:paraId="3C2116A1">
                  <w:pPr>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0.0000</w:t>
                  </w:r>
                  <w:r>
                    <w:rPr>
                      <w:rFonts w:hint="eastAsia" w:cs="Times New Roman"/>
                      <w:color w:val="auto"/>
                      <w:szCs w:val="21"/>
                      <w:highlight w:val="none"/>
                      <w:lang w:val="en-US" w:eastAsia="zh-CN"/>
                    </w:rPr>
                    <w:t>3</w:t>
                  </w:r>
                </w:p>
              </w:tc>
              <w:tc>
                <w:tcPr>
                  <w:tcW w:w="782" w:type="dxa"/>
                  <w:tcBorders>
                    <w:tl2br w:val="nil"/>
                    <w:tr2bl w:val="nil"/>
                  </w:tcBorders>
                  <w:shd w:val="clear" w:color="auto" w:fill="auto"/>
                  <w:vAlign w:val="center"/>
                </w:tcPr>
                <w:p w14:paraId="40652083">
                  <w:pPr>
                    <w:snapToGrid w:val="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eastAsia="宋体" w:cs="Times New Roman"/>
                      <w:color w:val="auto"/>
                      <w:szCs w:val="21"/>
                      <w:highlight w:val="none"/>
                      <w:lang w:val="en-US" w:eastAsia="zh-CN"/>
                    </w:rPr>
                    <w:t>/</w:t>
                  </w:r>
                </w:p>
              </w:tc>
              <w:tc>
                <w:tcPr>
                  <w:tcW w:w="782" w:type="dxa"/>
                  <w:tcBorders>
                    <w:tl2br w:val="nil"/>
                    <w:tr2bl w:val="nil"/>
                  </w:tcBorders>
                  <w:shd w:val="clear" w:color="auto" w:fill="auto"/>
                  <w:vAlign w:val="center"/>
                </w:tcPr>
                <w:p w14:paraId="79C8B900">
                  <w:pPr>
                    <w:snapToGrid w:val="0"/>
                    <w:jc w:val="center"/>
                    <w:rPr>
                      <w:rFonts w:hint="default" w:ascii="Times New Roman" w:hAnsi="Times New Roman" w:eastAsia="宋体" w:cs="Times New Roman"/>
                      <w:b w:val="0"/>
                      <w:bCs w:val="0"/>
                      <w:color w:val="auto"/>
                      <w:kern w:val="0"/>
                      <w:sz w:val="21"/>
                      <w:szCs w:val="21"/>
                      <w:highlight w:val="none"/>
                      <w:lang w:val="en-US"/>
                    </w:rPr>
                  </w:pPr>
                  <w:r>
                    <w:rPr>
                      <w:rFonts w:hint="eastAsia" w:eastAsia="宋体" w:cs="Times New Roman"/>
                      <w:color w:val="auto"/>
                      <w:szCs w:val="21"/>
                      <w:highlight w:val="none"/>
                      <w:lang w:val="en-US" w:eastAsia="zh-CN"/>
                    </w:rPr>
                    <w:t>/</w:t>
                  </w:r>
                </w:p>
              </w:tc>
            </w:tr>
            <w:tr w14:paraId="2B9855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restart"/>
                  <w:tcBorders>
                    <w:tl2br w:val="nil"/>
                    <w:tr2bl w:val="nil"/>
                  </w:tcBorders>
                  <w:vAlign w:val="center"/>
                </w:tcPr>
                <w:p w14:paraId="04A543AD">
                  <w:pPr>
                    <w:widowControl/>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rPr>
                    <w:t>纯水制备</w:t>
                  </w:r>
                  <w:r>
                    <w:rPr>
                      <w:rFonts w:hint="default" w:ascii="Times New Roman" w:hAnsi="Times New Roman" w:eastAsia="宋体" w:cs="Times New Roman"/>
                      <w:b w:val="0"/>
                      <w:bCs w:val="0"/>
                      <w:color w:val="auto"/>
                      <w:kern w:val="0"/>
                      <w:sz w:val="21"/>
                      <w:szCs w:val="21"/>
                      <w:highlight w:val="none"/>
                      <w:lang w:val="en-US" w:eastAsia="zh-CN"/>
                    </w:rPr>
                    <w:t>废水</w:t>
                  </w:r>
                  <w:r>
                    <w:rPr>
                      <w:rFonts w:hint="eastAsia" w:cs="Times New Roman"/>
                      <w:b w:val="0"/>
                      <w:bCs w:val="0"/>
                      <w:color w:val="auto"/>
                      <w:sz w:val="21"/>
                      <w:szCs w:val="21"/>
                      <w:highlight w:val="none"/>
                      <w:lang w:val="en-US" w:eastAsia="zh-CN"/>
                    </w:rPr>
                    <w:t>1.18</w:t>
                  </w: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/a</w:t>
                  </w:r>
                </w:p>
              </w:tc>
              <w:tc>
                <w:tcPr>
                  <w:tcW w:w="1506" w:type="dxa"/>
                  <w:tcBorders>
                    <w:tl2br w:val="nil"/>
                    <w:tr2bl w:val="nil"/>
                  </w:tcBorders>
                  <w:shd w:val="clear" w:color="auto" w:fill="auto"/>
                  <w:vAlign w:val="center"/>
                </w:tcPr>
                <w:p w14:paraId="2A7E7CA8">
                  <w:pPr>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产生浓度</w:t>
                  </w:r>
                  <w:r>
                    <w:rPr>
                      <w:rFonts w:hint="default" w:ascii="Times New Roman" w:hAnsi="Times New Roman" w:eastAsia="宋体" w:cs="Times New Roman"/>
                      <w:b w:val="0"/>
                      <w:bCs w:val="0"/>
                      <w:color w:val="auto"/>
                      <w:sz w:val="21"/>
                      <w:szCs w:val="21"/>
                      <w:highlight w:val="none"/>
                    </w:rPr>
                    <w:t>（mg/L）</w:t>
                  </w:r>
                </w:p>
              </w:tc>
              <w:tc>
                <w:tcPr>
                  <w:tcW w:w="782" w:type="dxa"/>
                  <w:tcBorders>
                    <w:tl2br w:val="nil"/>
                    <w:tr2bl w:val="nil"/>
                  </w:tcBorders>
                  <w:shd w:val="clear" w:color="auto" w:fill="auto"/>
                  <w:vAlign w:val="center"/>
                </w:tcPr>
                <w:p w14:paraId="5BA11B34">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50</w:t>
                  </w:r>
                </w:p>
              </w:tc>
              <w:tc>
                <w:tcPr>
                  <w:tcW w:w="782" w:type="dxa"/>
                  <w:tcBorders>
                    <w:tl2br w:val="nil"/>
                    <w:tr2bl w:val="nil"/>
                  </w:tcBorders>
                  <w:shd w:val="clear" w:color="auto" w:fill="auto"/>
                  <w:vAlign w:val="center"/>
                </w:tcPr>
                <w:p w14:paraId="5E68327C">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30</w:t>
                  </w:r>
                </w:p>
              </w:tc>
              <w:tc>
                <w:tcPr>
                  <w:tcW w:w="782" w:type="dxa"/>
                  <w:tcBorders>
                    <w:tl2br w:val="nil"/>
                    <w:tr2bl w:val="nil"/>
                  </w:tcBorders>
                  <w:shd w:val="clear" w:color="auto" w:fill="auto"/>
                  <w:vAlign w:val="center"/>
                </w:tcPr>
                <w:p w14:paraId="4C63FA1C">
                  <w:pPr>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00</w:t>
                  </w:r>
                </w:p>
              </w:tc>
              <w:tc>
                <w:tcPr>
                  <w:tcW w:w="782" w:type="dxa"/>
                  <w:tcBorders>
                    <w:tl2br w:val="nil"/>
                    <w:tr2bl w:val="nil"/>
                  </w:tcBorders>
                  <w:shd w:val="clear" w:color="auto" w:fill="auto"/>
                  <w:vAlign w:val="center"/>
                </w:tcPr>
                <w:p w14:paraId="7E50C3AF">
                  <w:pPr>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10</w:t>
                  </w:r>
                </w:p>
              </w:tc>
              <w:tc>
                <w:tcPr>
                  <w:tcW w:w="782" w:type="dxa"/>
                  <w:tcBorders>
                    <w:tl2br w:val="nil"/>
                    <w:tr2bl w:val="nil"/>
                  </w:tcBorders>
                  <w:shd w:val="clear" w:color="auto" w:fill="auto"/>
                  <w:vAlign w:val="center"/>
                </w:tcPr>
                <w:p w14:paraId="49A5024E">
                  <w:pPr>
                    <w:snapToGrid w:val="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color w:val="auto"/>
                      <w:szCs w:val="21"/>
                      <w:highlight w:val="none"/>
                      <w:lang w:val="en-US" w:eastAsia="zh-CN"/>
                    </w:rPr>
                    <w:t>1200</w:t>
                  </w:r>
                </w:p>
              </w:tc>
              <w:tc>
                <w:tcPr>
                  <w:tcW w:w="782" w:type="dxa"/>
                  <w:tcBorders>
                    <w:tl2br w:val="nil"/>
                    <w:tr2bl w:val="nil"/>
                  </w:tcBorders>
                  <w:shd w:val="clear" w:color="auto" w:fill="auto"/>
                  <w:vAlign w:val="center"/>
                </w:tcPr>
                <w:p w14:paraId="7FE667F6">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w:t>
                  </w:r>
                </w:p>
              </w:tc>
            </w:tr>
            <w:tr w14:paraId="1C748A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continue"/>
                  <w:tcBorders>
                    <w:tl2br w:val="nil"/>
                    <w:tr2bl w:val="nil"/>
                  </w:tcBorders>
                  <w:vAlign w:val="center"/>
                </w:tcPr>
                <w:p w14:paraId="2145D53E">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shd w:val="clear" w:color="auto" w:fill="auto"/>
                  <w:vAlign w:val="center"/>
                </w:tcPr>
                <w:p w14:paraId="453E8E3B">
                  <w:pPr>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产生量（t/a）</w:t>
                  </w:r>
                </w:p>
              </w:tc>
              <w:tc>
                <w:tcPr>
                  <w:tcW w:w="782" w:type="dxa"/>
                  <w:tcBorders>
                    <w:tl2br w:val="nil"/>
                    <w:tr2bl w:val="nil"/>
                  </w:tcBorders>
                  <w:shd w:val="clear" w:color="auto" w:fill="auto"/>
                  <w:vAlign w:val="center"/>
                </w:tcPr>
                <w:p w14:paraId="60FF6A1E">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w:t>
                  </w:r>
                  <w:r>
                    <w:rPr>
                      <w:rFonts w:hint="eastAsia" w:ascii="Times New Roman" w:hAnsi="Times New Roman" w:eastAsia="宋体" w:cs="Times New Roman"/>
                      <w:color w:val="auto"/>
                      <w:szCs w:val="21"/>
                      <w:highlight w:val="none"/>
                      <w:lang w:val="en-US" w:eastAsia="zh-CN"/>
                    </w:rPr>
                    <w:t>1</w:t>
                  </w:r>
                </w:p>
              </w:tc>
              <w:tc>
                <w:tcPr>
                  <w:tcW w:w="782" w:type="dxa"/>
                  <w:tcBorders>
                    <w:tl2br w:val="nil"/>
                    <w:tr2bl w:val="nil"/>
                  </w:tcBorders>
                  <w:shd w:val="clear" w:color="auto" w:fill="auto"/>
                  <w:vAlign w:val="center"/>
                </w:tcPr>
                <w:p w14:paraId="32549657">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w:t>
                  </w:r>
                  <w:r>
                    <w:rPr>
                      <w:rFonts w:hint="eastAsia" w:ascii="Times New Roman" w:hAnsi="Times New Roman" w:eastAsia="宋体" w:cs="Times New Roman"/>
                      <w:color w:val="auto"/>
                      <w:szCs w:val="21"/>
                      <w:highlight w:val="none"/>
                      <w:lang w:val="en-US" w:eastAsia="zh-CN"/>
                    </w:rPr>
                    <w:t>04</w:t>
                  </w:r>
                </w:p>
              </w:tc>
              <w:tc>
                <w:tcPr>
                  <w:tcW w:w="782" w:type="dxa"/>
                  <w:tcBorders>
                    <w:tl2br w:val="nil"/>
                    <w:tr2bl w:val="nil"/>
                  </w:tcBorders>
                  <w:shd w:val="clear" w:color="auto" w:fill="auto"/>
                  <w:vAlign w:val="center"/>
                </w:tcPr>
                <w:p w14:paraId="0A9537F2">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w:t>
                  </w:r>
                  <w:r>
                    <w:rPr>
                      <w:rFonts w:hint="eastAsia" w:ascii="Times New Roman" w:hAnsi="Times New Roman" w:eastAsia="宋体" w:cs="Times New Roman"/>
                      <w:color w:val="auto"/>
                      <w:szCs w:val="21"/>
                      <w:highlight w:val="none"/>
                      <w:lang w:val="en-US" w:eastAsia="zh-CN"/>
                    </w:rPr>
                    <w:t>1</w:t>
                  </w:r>
                </w:p>
              </w:tc>
              <w:tc>
                <w:tcPr>
                  <w:tcW w:w="782" w:type="dxa"/>
                  <w:tcBorders>
                    <w:tl2br w:val="nil"/>
                    <w:tr2bl w:val="nil"/>
                  </w:tcBorders>
                  <w:shd w:val="clear" w:color="auto" w:fill="auto"/>
                  <w:vAlign w:val="center"/>
                </w:tcPr>
                <w:p w14:paraId="455B9DD0">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0.0000</w:t>
                  </w:r>
                  <w:r>
                    <w:rPr>
                      <w:rFonts w:hint="eastAsia" w:ascii="Times New Roman" w:hAnsi="Times New Roman" w:eastAsia="宋体" w:cs="Times New Roman"/>
                      <w:color w:val="auto"/>
                      <w:szCs w:val="21"/>
                      <w:highlight w:val="none"/>
                      <w:lang w:val="en-US" w:eastAsia="zh-CN"/>
                    </w:rPr>
                    <w:t>1</w:t>
                  </w:r>
                </w:p>
              </w:tc>
              <w:tc>
                <w:tcPr>
                  <w:tcW w:w="782" w:type="dxa"/>
                  <w:tcBorders>
                    <w:tl2br w:val="nil"/>
                    <w:tr2bl w:val="nil"/>
                  </w:tcBorders>
                  <w:shd w:val="clear" w:color="auto" w:fill="auto"/>
                  <w:vAlign w:val="center"/>
                </w:tcPr>
                <w:p w14:paraId="206F67EC">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w:t>
                  </w:r>
                  <w:r>
                    <w:rPr>
                      <w:rFonts w:hint="eastAsia" w:ascii="Times New Roman" w:hAnsi="Times New Roman" w:eastAsia="宋体" w:cs="Times New Roman"/>
                      <w:color w:val="auto"/>
                      <w:szCs w:val="21"/>
                      <w:highlight w:val="none"/>
                      <w:lang w:val="en-US" w:eastAsia="zh-CN"/>
                    </w:rPr>
                    <w:t>014</w:t>
                  </w:r>
                </w:p>
              </w:tc>
              <w:tc>
                <w:tcPr>
                  <w:tcW w:w="782" w:type="dxa"/>
                  <w:tcBorders>
                    <w:tl2br w:val="nil"/>
                    <w:tr2bl w:val="nil"/>
                  </w:tcBorders>
                  <w:shd w:val="clear" w:color="auto" w:fill="auto"/>
                  <w:vAlign w:val="center"/>
                </w:tcPr>
                <w:p w14:paraId="0AAD77D7">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r w14:paraId="73C441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2" w:hRule="atLeast"/>
                <w:jc w:val="center"/>
              </w:trPr>
              <w:tc>
                <w:tcPr>
                  <w:tcW w:w="1163" w:type="dxa"/>
                  <w:vMerge w:val="restart"/>
                  <w:tcBorders>
                    <w:tl2br w:val="nil"/>
                    <w:tr2bl w:val="nil"/>
                  </w:tcBorders>
                  <w:vAlign w:val="center"/>
                </w:tcPr>
                <w:p w14:paraId="19274802">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综合废水</w:t>
                  </w:r>
                </w:p>
                <w:p w14:paraId="1E9C954E">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eastAsia" w:cs="Times New Roman"/>
                      <w:b w:val="0"/>
                      <w:bCs w:val="0"/>
                      <w:color w:val="auto"/>
                      <w:sz w:val="21"/>
                      <w:szCs w:val="21"/>
                      <w:highlight w:val="none"/>
                      <w:lang w:val="en-US" w:eastAsia="zh-CN"/>
                    </w:rPr>
                    <w:t>108.51</w:t>
                  </w:r>
                  <w:r>
                    <w:rPr>
                      <w:rFonts w:hint="default" w:cs="Times New Roman"/>
                      <w:b w:val="0"/>
                      <w:bCs w:val="0"/>
                      <w:color w:val="auto"/>
                      <w:sz w:val="21"/>
                      <w:szCs w:val="21"/>
                      <w:highlight w:val="none"/>
                      <w:lang w:val="en-US" w:eastAsia="zh-CN"/>
                    </w:rPr>
                    <w:t>m</w:t>
                  </w:r>
                  <w:r>
                    <w:rPr>
                      <w:rFonts w:hint="default" w:cs="Times New Roman"/>
                      <w:b w:val="0"/>
                      <w:bCs w:val="0"/>
                      <w:color w:val="auto"/>
                      <w:sz w:val="21"/>
                      <w:szCs w:val="21"/>
                      <w:highlight w:val="none"/>
                      <w:vertAlign w:val="superscript"/>
                      <w:lang w:val="en-US" w:eastAsia="zh-CN"/>
                    </w:rPr>
                    <w:t>3</w:t>
                  </w:r>
                  <w:r>
                    <w:rPr>
                      <w:rFonts w:hint="default" w:cs="Times New Roman"/>
                      <w:b w:val="0"/>
                      <w:bCs w:val="0"/>
                      <w:color w:val="auto"/>
                      <w:sz w:val="21"/>
                      <w:szCs w:val="21"/>
                      <w:highlight w:val="none"/>
                      <w:lang w:val="en-US" w:eastAsia="zh-CN"/>
                    </w:rPr>
                    <w:t>/a</w:t>
                  </w:r>
                </w:p>
              </w:tc>
              <w:tc>
                <w:tcPr>
                  <w:tcW w:w="1506" w:type="dxa"/>
                  <w:tcBorders>
                    <w:tl2br w:val="nil"/>
                    <w:tr2bl w:val="nil"/>
                  </w:tcBorders>
                  <w:vAlign w:val="center"/>
                </w:tcPr>
                <w:p w14:paraId="1F34B3A5">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综合废水产生浓度</w:t>
                  </w:r>
                  <w:r>
                    <w:rPr>
                      <w:rFonts w:hint="default" w:ascii="Times New Roman" w:hAnsi="Times New Roman" w:eastAsia="宋体" w:cs="Times New Roman"/>
                      <w:b w:val="0"/>
                      <w:bCs w:val="0"/>
                      <w:color w:val="auto"/>
                      <w:sz w:val="21"/>
                      <w:szCs w:val="21"/>
                      <w:highlight w:val="none"/>
                    </w:rPr>
                    <w:t>（mg/L）</w:t>
                  </w:r>
                </w:p>
              </w:tc>
              <w:tc>
                <w:tcPr>
                  <w:tcW w:w="782" w:type="dxa"/>
                  <w:tcBorders>
                    <w:tl2br w:val="nil"/>
                    <w:tr2bl w:val="nil"/>
                  </w:tcBorders>
                  <w:vAlign w:val="center"/>
                </w:tcPr>
                <w:p w14:paraId="780A936C">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443.3</w:t>
                  </w:r>
                </w:p>
              </w:tc>
              <w:tc>
                <w:tcPr>
                  <w:tcW w:w="782" w:type="dxa"/>
                  <w:tcBorders>
                    <w:tl2br w:val="nil"/>
                    <w:tr2bl w:val="nil"/>
                  </w:tcBorders>
                  <w:vAlign w:val="center"/>
                </w:tcPr>
                <w:p w14:paraId="340940F1">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246.1</w:t>
                  </w:r>
                </w:p>
              </w:tc>
              <w:tc>
                <w:tcPr>
                  <w:tcW w:w="782" w:type="dxa"/>
                  <w:tcBorders>
                    <w:tl2br w:val="nil"/>
                    <w:tr2bl w:val="nil"/>
                  </w:tcBorders>
                  <w:vAlign w:val="center"/>
                </w:tcPr>
                <w:p w14:paraId="4DB07C49">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295.8</w:t>
                  </w:r>
                </w:p>
              </w:tc>
              <w:tc>
                <w:tcPr>
                  <w:tcW w:w="782" w:type="dxa"/>
                  <w:tcBorders>
                    <w:tl2br w:val="nil"/>
                    <w:tr2bl w:val="nil"/>
                  </w:tcBorders>
                  <w:vAlign w:val="center"/>
                </w:tcPr>
                <w:p w14:paraId="6918E886">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40.0</w:t>
                  </w:r>
                </w:p>
              </w:tc>
              <w:tc>
                <w:tcPr>
                  <w:tcW w:w="782" w:type="dxa"/>
                  <w:tcBorders>
                    <w:tl2br w:val="nil"/>
                    <w:tr2bl w:val="nil"/>
                  </w:tcBorders>
                  <w:vAlign w:val="center"/>
                </w:tcPr>
                <w:p w14:paraId="7B87D91D">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12.9</w:t>
                  </w:r>
                </w:p>
              </w:tc>
              <w:tc>
                <w:tcPr>
                  <w:tcW w:w="782" w:type="dxa"/>
                  <w:tcBorders>
                    <w:tl2br w:val="nil"/>
                    <w:tr2bl w:val="nil"/>
                  </w:tcBorders>
                  <w:vAlign w:val="center"/>
                </w:tcPr>
                <w:p w14:paraId="7D7F5F30">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6.5~9</w:t>
                  </w:r>
                </w:p>
              </w:tc>
            </w:tr>
            <w:tr w14:paraId="508E93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continue"/>
                  <w:tcBorders>
                    <w:tl2br w:val="nil"/>
                    <w:tr2bl w:val="nil"/>
                  </w:tcBorders>
                  <w:vAlign w:val="center"/>
                </w:tcPr>
                <w:p w14:paraId="196CDAC2">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vAlign w:val="center"/>
                </w:tcPr>
                <w:p w14:paraId="24E3582A">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污染物产生量（t/a）</w:t>
                  </w:r>
                </w:p>
              </w:tc>
              <w:tc>
                <w:tcPr>
                  <w:tcW w:w="782" w:type="dxa"/>
                  <w:tcBorders>
                    <w:tl2br w:val="nil"/>
                    <w:tr2bl w:val="nil"/>
                  </w:tcBorders>
                  <w:vAlign w:val="center"/>
                </w:tcPr>
                <w:p w14:paraId="44F79E01">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0.0481</w:t>
                  </w:r>
                </w:p>
              </w:tc>
              <w:tc>
                <w:tcPr>
                  <w:tcW w:w="782" w:type="dxa"/>
                  <w:tcBorders>
                    <w:tl2br w:val="nil"/>
                    <w:tr2bl w:val="nil"/>
                  </w:tcBorders>
                  <w:vAlign w:val="center"/>
                </w:tcPr>
                <w:p w14:paraId="0848C5FB">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0.0267</w:t>
                  </w:r>
                </w:p>
              </w:tc>
              <w:tc>
                <w:tcPr>
                  <w:tcW w:w="782" w:type="dxa"/>
                  <w:tcBorders>
                    <w:tl2br w:val="nil"/>
                    <w:tr2bl w:val="nil"/>
                  </w:tcBorders>
                  <w:vAlign w:val="center"/>
                </w:tcPr>
                <w:p w14:paraId="5EEFFE5A">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0.0321</w:t>
                  </w:r>
                </w:p>
              </w:tc>
              <w:tc>
                <w:tcPr>
                  <w:tcW w:w="782" w:type="dxa"/>
                  <w:tcBorders>
                    <w:tl2br w:val="nil"/>
                    <w:tr2bl w:val="nil"/>
                  </w:tcBorders>
                  <w:vAlign w:val="center"/>
                </w:tcPr>
                <w:p w14:paraId="40C9D6AE">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0.00434</w:t>
                  </w:r>
                </w:p>
              </w:tc>
              <w:tc>
                <w:tcPr>
                  <w:tcW w:w="782" w:type="dxa"/>
                  <w:tcBorders>
                    <w:tl2br w:val="nil"/>
                    <w:tr2bl w:val="nil"/>
                  </w:tcBorders>
                  <w:vAlign w:val="center"/>
                </w:tcPr>
                <w:p w14:paraId="0892100D">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0.0014</w:t>
                  </w:r>
                </w:p>
              </w:tc>
              <w:tc>
                <w:tcPr>
                  <w:tcW w:w="782" w:type="dxa"/>
                  <w:tcBorders>
                    <w:tl2br w:val="nil"/>
                    <w:tr2bl w:val="nil"/>
                  </w:tcBorders>
                  <w:vAlign w:val="center"/>
                </w:tcPr>
                <w:p w14:paraId="35A86412">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r w14:paraId="1F2DB4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continue"/>
                  <w:tcBorders>
                    <w:tl2br w:val="nil"/>
                    <w:tr2bl w:val="nil"/>
                  </w:tcBorders>
                  <w:vAlign w:val="center"/>
                </w:tcPr>
                <w:p w14:paraId="0E22F207">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vAlign w:val="center"/>
                </w:tcPr>
                <w:p w14:paraId="365222F8">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化粪池去除效率</w:t>
                  </w:r>
                </w:p>
              </w:tc>
              <w:tc>
                <w:tcPr>
                  <w:tcW w:w="782" w:type="dxa"/>
                  <w:tcBorders>
                    <w:tl2br w:val="nil"/>
                    <w:tr2bl w:val="nil"/>
                  </w:tcBorders>
                  <w:vAlign w:val="center"/>
                </w:tcPr>
                <w:p w14:paraId="2623D922">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15%</w:t>
                  </w:r>
                </w:p>
              </w:tc>
              <w:tc>
                <w:tcPr>
                  <w:tcW w:w="782" w:type="dxa"/>
                  <w:tcBorders>
                    <w:tl2br w:val="nil"/>
                    <w:tr2bl w:val="nil"/>
                  </w:tcBorders>
                  <w:vAlign w:val="center"/>
                </w:tcPr>
                <w:p w14:paraId="0E4C3E58">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w:t>
                  </w:r>
                </w:p>
              </w:tc>
              <w:tc>
                <w:tcPr>
                  <w:tcW w:w="782" w:type="dxa"/>
                  <w:tcBorders>
                    <w:tl2br w:val="nil"/>
                    <w:tr2bl w:val="nil"/>
                  </w:tcBorders>
                  <w:vAlign w:val="center"/>
                </w:tcPr>
                <w:p w14:paraId="268B0AFF">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30%</w:t>
                  </w:r>
                </w:p>
              </w:tc>
              <w:tc>
                <w:tcPr>
                  <w:tcW w:w="782" w:type="dxa"/>
                  <w:tcBorders>
                    <w:tl2br w:val="nil"/>
                    <w:tr2bl w:val="nil"/>
                  </w:tcBorders>
                  <w:vAlign w:val="center"/>
                </w:tcPr>
                <w:p w14:paraId="214EC638">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w:t>
                  </w:r>
                </w:p>
              </w:tc>
              <w:tc>
                <w:tcPr>
                  <w:tcW w:w="782" w:type="dxa"/>
                  <w:tcBorders>
                    <w:tl2br w:val="nil"/>
                    <w:tr2bl w:val="nil"/>
                  </w:tcBorders>
                  <w:vAlign w:val="center"/>
                </w:tcPr>
                <w:p w14:paraId="2C59505E">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782" w:type="dxa"/>
                  <w:tcBorders>
                    <w:tl2br w:val="nil"/>
                    <w:tr2bl w:val="nil"/>
                  </w:tcBorders>
                  <w:vAlign w:val="center"/>
                </w:tcPr>
                <w:p w14:paraId="5E44B2E3">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r w14:paraId="2D7236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2" w:hRule="atLeast"/>
                <w:jc w:val="center"/>
              </w:trPr>
              <w:tc>
                <w:tcPr>
                  <w:tcW w:w="1163" w:type="dxa"/>
                  <w:vMerge w:val="continue"/>
                  <w:tcBorders>
                    <w:tl2br w:val="nil"/>
                    <w:tr2bl w:val="nil"/>
                  </w:tcBorders>
                  <w:vAlign w:val="center"/>
                </w:tcPr>
                <w:p w14:paraId="75484EB5">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vAlign w:val="center"/>
                </w:tcPr>
                <w:p w14:paraId="25081CAB">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综合废水排放浓度</w:t>
                  </w:r>
                  <w:r>
                    <w:rPr>
                      <w:rFonts w:hint="default" w:ascii="Times New Roman" w:hAnsi="Times New Roman" w:eastAsia="宋体" w:cs="Times New Roman"/>
                      <w:b w:val="0"/>
                      <w:bCs w:val="0"/>
                      <w:color w:val="auto"/>
                      <w:sz w:val="21"/>
                      <w:szCs w:val="21"/>
                      <w:highlight w:val="none"/>
                    </w:rPr>
                    <w:t>（mg/L）</w:t>
                  </w:r>
                </w:p>
              </w:tc>
              <w:tc>
                <w:tcPr>
                  <w:tcW w:w="782" w:type="dxa"/>
                  <w:tcBorders>
                    <w:tl2br w:val="nil"/>
                    <w:tr2bl w:val="nil"/>
                  </w:tcBorders>
                  <w:vAlign w:val="center"/>
                </w:tcPr>
                <w:p w14:paraId="6E52001F">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376.8</w:t>
                  </w:r>
                </w:p>
              </w:tc>
              <w:tc>
                <w:tcPr>
                  <w:tcW w:w="782" w:type="dxa"/>
                  <w:tcBorders>
                    <w:tl2br w:val="nil"/>
                    <w:tr2bl w:val="nil"/>
                  </w:tcBorders>
                  <w:vAlign w:val="center"/>
                </w:tcPr>
                <w:p w14:paraId="192046BF">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223.9</w:t>
                  </w:r>
                </w:p>
              </w:tc>
              <w:tc>
                <w:tcPr>
                  <w:tcW w:w="782" w:type="dxa"/>
                  <w:tcBorders>
                    <w:tl2br w:val="nil"/>
                    <w:tr2bl w:val="nil"/>
                  </w:tcBorders>
                  <w:vAlign w:val="center"/>
                </w:tcPr>
                <w:p w14:paraId="454BBFD8">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207.1</w:t>
                  </w:r>
                </w:p>
              </w:tc>
              <w:tc>
                <w:tcPr>
                  <w:tcW w:w="782" w:type="dxa"/>
                  <w:tcBorders>
                    <w:tl2br w:val="nil"/>
                    <w:tr2bl w:val="nil"/>
                  </w:tcBorders>
                  <w:vAlign w:val="center"/>
                </w:tcPr>
                <w:p w14:paraId="27A3CB9A">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38.8</w:t>
                  </w:r>
                </w:p>
              </w:tc>
              <w:tc>
                <w:tcPr>
                  <w:tcW w:w="782" w:type="dxa"/>
                  <w:tcBorders>
                    <w:tl2br w:val="nil"/>
                    <w:tr2bl w:val="nil"/>
                  </w:tcBorders>
                  <w:vAlign w:val="center"/>
                </w:tcPr>
                <w:p w14:paraId="53BB5E05">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12.9</w:t>
                  </w:r>
                </w:p>
              </w:tc>
              <w:tc>
                <w:tcPr>
                  <w:tcW w:w="782" w:type="dxa"/>
                  <w:tcBorders>
                    <w:tl2br w:val="nil"/>
                    <w:tr2bl w:val="nil"/>
                  </w:tcBorders>
                  <w:vAlign w:val="center"/>
                </w:tcPr>
                <w:p w14:paraId="52D47ACD">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6.5~9</w:t>
                  </w:r>
                </w:p>
              </w:tc>
            </w:tr>
            <w:tr w14:paraId="416423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continue"/>
                  <w:tcBorders>
                    <w:tl2br w:val="nil"/>
                    <w:tr2bl w:val="nil"/>
                  </w:tcBorders>
                  <w:vAlign w:val="center"/>
                </w:tcPr>
                <w:p w14:paraId="32B6496F">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vAlign w:val="center"/>
                </w:tcPr>
                <w:p w14:paraId="53689370">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污染物排放量（t/a）</w:t>
                  </w:r>
                </w:p>
              </w:tc>
              <w:tc>
                <w:tcPr>
                  <w:tcW w:w="782" w:type="dxa"/>
                  <w:tcBorders>
                    <w:tl2br w:val="nil"/>
                    <w:tr2bl w:val="nil"/>
                  </w:tcBorders>
                  <w:vAlign w:val="center"/>
                </w:tcPr>
                <w:p w14:paraId="1E00133E">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0.0409</w:t>
                  </w:r>
                </w:p>
              </w:tc>
              <w:tc>
                <w:tcPr>
                  <w:tcW w:w="782" w:type="dxa"/>
                  <w:tcBorders>
                    <w:tl2br w:val="nil"/>
                    <w:tr2bl w:val="nil"/>
                  </w:tcBorders>
                  <w:vAlign w:val="center"/>
                </w:tcPr>
                <w:p w14:paraId="526D9C33">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0.0243</w:t>
                  </w:r>
                </w:p>
              </w:tc>
              <w:tc>
                <w:tcPr>
                  <w:tcW w:w="782" w:type="dxa"/>
                  <w:tcBorders>
                    <w:tl2br w:val="nil"/>
                    <w:tr2bl w:val="nil"/>
                  </w:tcBorders>
                  <w:vAlign w:val="center"/>
                </w:tcPr>
                <w:p w14:paraId="40F1D360">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0.0225</w:t>
                  </w:r>
                </w:p>
              </w:tc>
              <w:tc>
                <w:tcPr>
                  <w:tcW w:w="782" w:type="dxa"/>
                  <w:tcBorders>
                    <w:tl2br w:val="nil"/>
                    <w:tr2bl w:val="nil"/>
                  </w:tcBorders>
                  <w:vAlign w:val="center"/>
                </w:tcPr>
                <w:p w14:paraId="51392553">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0.0042</w:t>
                  </w:r>
                </w:p>
              </w:tc>
              <w:tc>
                <w:tcPr>
                  <w:tcW w:w="782" w:type="dxa"/>
                  <w:tcBorders>
                    <w:tl2br w:val="nil"/>
                    <w:tr2bl w:val="nil"/>
                  </w:tcBorders>
                  <w:vAlign w:val="center"/>
                </w:tcPr>
                <w:p w14:paraId="320CEE83">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0.0014</w:t>
                  </w:r>
                </w:p>
              </w:tc>
              <w:tc>
                <w:tcPr>
                  <w:tcW w:w="782" w:type="dxa"/>
                  <w:tcBorders>
                    <w:tl2br w:val="nil"/>
                    <w:tr2bl w:val="nil"/>
                  </w:tcBorders>
                  <w:vAlign w:val="center"/>
                </w:tcPr>
                <w:p w14:paraId="32AF199B">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bl>
          <w:p w14:paraId="3A681799">
            <w:pPr>
              <w:numPr>
                <w:ilvl w:val="0"/>
                <w:numId w:val="0"/>
              </w:numPr>
              <w:adjustRightInd w:val="0"/>
              <w:spacing w:line="360" w:lineRule="auto"/>
              <w:ind w:leftChars="200"/>
              <w:rPr>
                <w:rFonts w:hint="default" w:ascii="Times New Roman" w:hAnsi="Times New Roman" w:eastAsia="宋体" w:cs="Times New Roman"/>
                <w:b/>
                <w:bCs/>
                <w:color w:val="auto"/>
                <w:sz w:val="24"/>
                <w:highlight w:val="none"/>
                <w:lang w:eastAsia="zh-CN"/>
              </w:rPr>
            </w:pPr>
            <w:r>
              <w:rPr>
                <w:rFonts w:hint="eastAsia" w:cs="Times New Roman"/>
                <w:b/>
                <w:bCs/>
                <w:color w:val="auto"/>
                <w:sz w:val="24"/>
                <w:highlight w:val="none"/>
                <w:lang w:eastAsia="zh-CN"/>
              </w:rPr>
              <w:t>（</w:t>
            </w:r>
            <w:r>
              <w:rPr>
                <w:rFonts w:hint="eastAsia" w:cs="Times New Roman"/>
                <w:b/>
                <w:bCs/>
                <w:color w:val="auto"/>
                <w:sz w:val="24"/>
                <w:highlight w:val="none"/>
                <w:lang w:val="en-US" w:eastAsia="zh-CN"/>
              </w:rPr>
              <w:t>2</w:t>
            </w:r>
            <w:r>
              <w:rPr>
                <w:rFonts w:hint="eastAsia" w:cs="Times New Roman"/>
                <w:b/>
                <w:bCs/>
                <w:color w:val="auto"/>
                <w:sz w:val="24"/>
                <w:highlight w:val="none"/>
                <w:lang w:eastAsia="zh-CN"/>
              </w:rPr>
              <w:t>）</w:t>
            </w:r>
            <w:r>
              <w:rPr>
                <w:rFonts w:hint="default" w:ascii="Times New Roman" w:hAnsi="Times New Roman" w:eastAsia="宋体" w:cs="Times New Roman"/>
                <w:b/>
                <w:bCs/>
                <w:color w:val="auto"/>
                <w:sz w:val="24"/>
                <w:highlight w:val="none"/>
                <w:lang w:eastAsia="zh-CN"/>
              </w:rPr>
              <w:t>废水排放口基本情况</w:t>
            </w:r>
          </w:p>
          <w:p w14:paraId="793D169C">
            <w:pPr>
              <w:numPr>
                <w:ilvl w:val="0"/>
                <w:numId w:val="0"/>
              </w:numPr>
              <w:adjustRightIn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本项目容器第三遍及以后清洗废水、生活污水、高压蒸汽灭菌废水一起进园区化粪池处理，最后经市政管网进金桥基地第一污水处理厂</w:t>
            </w:r>
            <w:r>
              <w:rPr>
                <w:rFonts w:hint="eastAsia" w:ascii="Times New Roman" w:hAnsi="Times New Roman" w:eastAsia="宋体" w:cs="Times New Roman"/>
                <w:color w:val="auto"/>
                <w:sz w:val="24"/>
                <w:highlight w:val="none"/>
                <w:lang w:val="en-US" w:eastAsia="zh-CN"/>
              </w:rPr>
              <w:t>。本项目废水排放口情况见下表。</w:t>
            </w:r>
          </w:p>
          <w:p w14:paraId="5D5DB57B">
            <w:pPr>
              <w:keepNext w:val="0"/>
              <w:keepLines w:val="0"/>
              <w:widowControl/>
              <w:numPr>
                <w:ilvl w:val="0"/>
                <w:numId w:val="26"/>
              </w:numPr>
              <w:suppressLineNumbers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废水排放口基本情况</w:t>
            </w:r>
          </w:p>
          <w:tbl>
            <w:tblPr>
              <w:tblStyle w:val="2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67"/>
              <w:gridCol w:w="898"/>
              <w:gridCol w:w="1722"/>
              <w:gridCol w:w="1117"/>
              <w:gridCol w:w="2164"/>
            </w:tblGrid>
            <w:tr w14:paraId="7491C3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00" w:type="pct"/>
                  <w:tcBorders>
                    <w:tl2br w:val="nil"/>
                    <w:tr2bl w:val="nil"/>
                  </w:tcBorders>
                  <w:vAlign w:val="center"/>
                </w:tcPr>
                <w:p w14:paraId="4D0F3A22">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排放口名称</w:t>
                  </w:r>
                </w:p>
              </w:tc>
              <w:tc>
                <w:tcPr>
                  <w:tcW w:w="593" w:type="pct"/>
                  <w:tcBorders>
                    <w:tl2br w:val="nil"/>
                    <w:tr2bl w:val="nil"/>
                  </w:tcBorders>
                  <w:vAlign w:val="center"/>
                </w:tcPr>
                <w:p w14:paraId="33FFB7B9">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编号</w:t>
                  </w:r>
                </w:p>
              </w:tc>
              <w:tc>
                <w:tcPr>
                  <w:tcW w:w="1137" w:type="pct"/>
                  <w:tcBorders>
                    <w:tl2br w:val="nil"/>
                    <w:tr2bl w:val="nil"/>
                  </w:tcBorders>
                  <w:vAlign w:val="center"/>
                </w:tcPr>
                <w:p w14:paraId="235CEEE9">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地理坐标</w:t>
                  </w:r>
                </w:p>
              </w:tc>
              <w:tc>
                <w:tcPr>
                  <w:tcW w:w="738" w:type="pct"/>
                  <w:tcBorders>
                    <w:tl2br w:val="nil"/>
                    <w:tr2bl w:val="nil"/>
                  </w:tcBorders>
                  <w:vAlign w:val="center"/>
                </w:tcPr>
                <w:p w14:paraId="71C3B35C">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类型</w:t>
                  </w:r>
                </w:p>
              </w:tc>
              <w:tc>
                <w:tcPr>
                  <w:tcW w:w="1429" w:type="pct"/>
                  <w:tcBorders>
                    <w:tl2br w:val="nil"/>
                    <w:tr2bl w:val="nil"/>
                  </w:tcBorders>
                  <w:vAlign w:val="center"/>
                </w:tcPr>
                <w:p w14:paraId="274AD0A3">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排放标准</w:t>
                  </w:r>
                </w:p>
              </w:tc>
            </w:tr>
            <w:tr w14:paraId="31342D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00" w:type="pct"/>
                  <w:tcBorders>
                    <w:tl2br w:val="nil"/>
                    <w:tr2bl w:val="nil"/>
                  </w:tcBorders>
                  <w:vAlign w:val="center"/>
                </w:tcPr>
                <w:p w14:paraId="240C7758">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废水总排口（园区化粪池公用排口）</w:t>
                  </w:r>
                </w:p>
              </w:tc>
              <w:tc>
                <w:tcPr>
                  <w:tcW w:w="593" w:type="pct"/>
                  <w:tcBorders>
                    <w:tl2br w:val="nil"/>
                    <w:tr2bl w:val="nil"/>
                  </w:tcBorders>
                  <w:vAlign w:val="center"/>
                </w:tcPr>
                <w:p w14:paraId="5D770F07">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DW001</w:t>
                  </w:r>
                </w:p>
              </w:tc>
              <w:tc>
                <w:tcPr>
                  <w:tcW w:w="1137" w:type="pct"/>
                  <w:tcBorders>
                    <w:tl2br w:val="nil"/>
                    <w:tr2bl w:val="nil"/>
                  </w:tcBorders>
                  <w:vAlign w:val="center"/>
                </w:tcPr>
                <w:p w14:paraId="22AEF937">
                  <w:pPr>
                    <w:numPr>
                      <w:ilvl w:val="0"/>
                      <w:numId w:val="0"/>
                    </w:numPr>
                    <w:adjustRightInd w:val="0"/>
                    <w:snapToGrid w:val="0"/>
                    <w:spacing w:line="36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东经：</w:t>
                  </w:r>
                  <w:r>
                    <w:rPr>
                      <w:rFonts w:hint="default" w:ascii="Times New Roman" w:hAnsi="Times New Roman" w:cs="Times New Roman" w:eastAsiaTheme="minorEastAsia"/>
                      <w:b w:val="0"/>
                      <w:bCs/>
                      <w:sz w:val="21"/>
                      <w:szCs w:val="21"/>
                      <w:lang w:val="en-US" w:eastAsia="zh-CN"/>
                    </w:rPr>
                    <w:t>116.547897</w:t>
                  </w:r>
                  <w:r>
                    <w:rPr>
                      <w:rFonts w:hint="eastAsia" w:ascii="Times New Roman" w:hAnsi="Times New Roman" w:eastAsia="宋体" w:cs="Times New Roman"/>
                      <w:color w:val="auto"/>
                      <w:sz w:val="24"/>
                      <w:highlight w:val="none"/>
                      <w:vertAlign w:val="superscript"/>
                      <w:lang w:val="en-US" w:eastAsia="zh-CN"/>
                    </w:rPr>
                    <w:t>。</w:t>
                  </w:r>
                </w:p>
                <w:p w14:paraId="0C7A02A3">
                  <w:pPr>
                    <w:jc w:val="center"/>
                    <w:rPr>
                      <w:rFonts w:hint="default" w:ascii="Times New Roman" w:hAnsi="Times New Roman" w:eastAsia="宋体" w:cs="Times New Roman"/>
                      <w:color w:val="auto"/>
                      <w:szCs w:val="21"/>
                      <w:highlight w:val="none"/>
                      <w:lang w:val="en-US"/>
                    </w:rPr>
                  </w:pPr>
                  <w:r>
                    <w:rPr>
                      <w:rFonts w:hint="eastAsia" w:cs="Times New Roman"/>
                      <w:b w:val="0"/>
                      <w:bCs w:val="0"/>
                      <w:color w:val="auto"/>
                      <w:kern w:val="0"/>
                      <w:sz w:val="21"/>
                      <w:szCs w:val="21"/>
                      <w:highlight w:val="none"/>
                      <w:vertAlign w:val="baseline"/>
                      <w:lang w:val="en-US" w:eastAsia="zh-CN"/>
                    </w:rPr>
                    <w:t>北纬：</w:t>
                  </w:r>
                  <w:r>
                    <w:rPr>
                      <w:rFonts w:hint="default" w:ascii="Times New Roman" w:hAnsi="Times New Roman" w:cs="Times New Roman" w:eastAsiaTheme="minorEastAsia"/>
                      <w:b w:val="0"/>
                      <w:bCs/>
                      <w:sz w:val="21"/>
                      <w:szCs w:val="21"/>
                      <w:lang w:val="en-US" w:eastAsia="zh-CN"/>
                    </w:rPr>
                    <w:t>39.730556</w:t>
                  </w:r>
                  <w:r>
                    <w:rPr>
                      <w:rFonts w:hint="eastAsia" w:ascii="Times New Roman" w:hAnsi="Times New Roman" w:eastAsia="宋体" w:cs="Times New Roman"/>
                      <w:color w:val="auto"/>
                      <w:sz w:val="24"/>
                      <w:highlight w:val="none"/>
                      <w:vertAlign w:val="superscript"/>
                      <w:lang w:val="en-US" w:eastAsia="zh-CN"/>
                    </w:rPr>
                    <w:t>。</w:t>
                  </w:r>
                </w:p>
              </w:tc>
              <w:tc>
                <w:tcPr>
                  <w:tcW w:w="738" w:type="pct"/>
                  <w:tcBorders>
                    <w:tl2br w:val="nil"/>
                    <w:tr2bl w:val="nil"/>
                  </w:tcBorders>
                  <w:vAlign w:val="center"/>
                </w:tcPr>
                <w:p w14:paraId="281E7A9E">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一般排放口</w:t>
                  </w:r>
                </w:p>
              </w:tc>
              <w:tc>
                <w:tcPr>
                  <w:tcW w:w="1429" w:type="pct"/>
                  <w:tcBorders>
                    <w:tl2br w:val="nil"/>
                    <w:tr2bl w:val="nil"/>
                  </w:tcBorders>
                  <w:vAlign w:val="center"/>
                </w:tcPr>
                <w:p w14:paraId="4FBFE42E">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北京市《水污染物综合排放标准》（DB11/307-2013）</w:t>
                  </w:r>
                </w:p>
              </w:tc>
            </w:tr>
          </w:tbl>
          <w:p w14:paraId="3C83E75D">
            <w:pPr>
              <w:numPr>
                <w:ilvl w:val="255"/>
                <w:numId w:val="0"/>
              </w:numPr>
              <w:adjustRightInd w:val="0"/>
              <w:spacing w:line="360" w:lineRule="auto"/>
              <w:ind w:left="420" w:leftChars="200"/>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eastAsia="zh-CN"/>
              </w:rPr>
              <w:t>）达标及影响分析</w:t>
            </w:r>
          </w:p>
          <w:p w14:paraId="642D679D">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rPr>
              <w:t>本项目废水达标排放分析</w:t>
            </w:r>
            <w:r>
              <w:rPr>
                <w:rFonts w:hint="default" w:ascii="Times New Roman" w:hAnsi="Times New Roman" w:eastAsia="宋体" w:cs="Times New Roman"/>
                <w:color w:val="auto"/>
                <w:sz w:val="24"/>
                <w:highlight w:val="none"/>
                <w:lang w:val="zh-CN" w:eastAsia="zh-CN"/>
              </w:rPr>
              <w:t>见下表。</w:t>
            </w:r>
          </w:p>
          <w:p w14:paraId="10729187">
            <w:pPr>
              <w:keepNext w:val="0"/>
              <w:keepLines w:val="0"/>
              <w:widowControl/>
              <w:numPr>
                <w:ilvl w:val="0"/>
                <w:numId w:val="26"/>
              </w:numPr>
              <w:suppressLineNumbers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项目废水排放及达标情况一览表</w:t>
            </w:r>
          </w:p>
          <w:tbl>
            <w:tblPr>
              <w:tblStyle w:val="23"/>
              <w:tblW w:w="495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49"/>
              <w:gridCol w:w="975"/>
              <w:gridCol w:w="975"/>
              <w:gridCol w:w="975"/>
              <w:gridCol w:w="975"/>
              <w:gridCol w:w="975"/>
              <w:gridCol w:w="980"/>
            </w:tblGrid>
            <w:tr w14:paraId="74F04D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98" w:type="pct"/>
                  <w:tcBorders>
                    <w:tl2br w:val="nil"/>
                    <w:tr2bl w:val="nil"/>
                  </w:tcBorders>
                  <w:vAlign w:val="center"/>
                </w:tcPr>
                <w:p w14:paraId="41FE68E7">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w:t>
                  </w:r>
                </w:p>
              </w:tc>
              <w:tc>
                <w:tcPr>
                  <w:tcW w:w="649" w:type="pct"/>
                  <w:tcBorders>
                    <w:tl2br w:val="nil"/>
                    <w:tr2bl w:val="nil"/>
                  </w:tcBorders>
                  <w:vAlign w:val="center"/>
                </w:tcPr>
                <w:p w14:paraId="3B088F3E">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COD</w:t>
                  </w:r>
                  <w:r>
                    <w:rPr>
                      <w:rFonts w:hint="default" w:ascii="Times New Roman" w:hAnsi="Times New Roman" w:eastAsia="宋体" w:cs="Times New Roman"/>
                      <w:b/>
                      <w:bCs/>
                      <w:color w:val="auto"/>
                      <w:szCs w:val="21"/>
                      <w:highlight w:val="none"/>
                      <w:vertAlign w:val="subscript"/>
                    </w:rPr>
                    <w:t>Cr</w:t>
                  </w:r>
                </w:p>
              </w:tc>
              <w:tc>
                <w:tcPr>
                  <w:tcW w:w="649" w:type="pct"/>
                  <w:tcBorders>
                    <w:tl2br w:val="nil"/>
                    <w:tr2bl w:val="nil"/>
                  </w:tcBorders>
                  <w:vAlign w:val="center"/>
                </w:tcPr>
                <w:p w14:paraId="076792D8">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28"/>
                      <w:szCs w:val="21"/>
                      <w:highlight w:val="none"/>
                    </w:rPr>
                    <w:t>BOD</w:t>
                  </w:r>
                  <w:r>
                    <w:rPr>
                      <w:rFonts w:hint="default" w:ascii="Times New Roman" w:hAnsi="Times New Roman" w:eastAsia="宋体" w:cs="Times New Roman"/>
                      <w:b/>
                      <w:bCs/>
                      <w:color w:val="auto"/>
                      <w:kern w:val="28"/>
                      <w:szCs w:val="21"/>
                      <w:highlight w:val="none"/>
                      <w:vertAlign w:val="subscript"/>
                    </w:rPr>
                    <w:t>5</w:t>
                  </w:r>
                </w:p>
              </w:tc>
              <w:tc>
                <w:tcPr>
                  <w:tcW w:w="649" w:type="pct"/>
                  <w:tcBorders>
                    <w:tl2br w:val="nil"/>
                    <w:tr2bl w:val="nil"/>
                  </w:tcBorders>
                  <w:vAlign w:val="center"/>
                </w:tcPr>
                <w:p w14:paraId="6DB6930A">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SS</w:t>
                  </w:r>
                </w:p>
              </w:tc>
              <w:tc>
                <w:tcPr>
                  <w:tcW w:w="649" w:type="pct"/>
                  <w:tcBorders>
                    <w:tl2br w:val="nil"/>
                    <w:tr2bl w:val="nil"/>
                  </w:tcBorders>
                  <w:vAlign w:val="center"/>
                </w:tcPr>
                <w:p w14:paraId="4CFABF0D">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NH</w:t>
                  </w:r>
                  <w:r>
                    <w:rPr>
                      <w:rFonts w:hint="default" w:ascii="Times New Roman" w:hAnsi="Times New Roman" w:eastAsia="宋体" w:cs="Times New Roman"/>
                      <w:b/>
                      <w:bCs/>
                      <w:color w:val="auto"/>
                      <w:szCs w:val="21"/>
                      <w:highlight w:val="none"/>
                      <w:vertAlign w:val="subscript"/>
                    </w:rPr>
                    <w:t>3</w:t>
                  </w:r>
                  <w:r>
                    <w:rPr>
                      <w:rFonts w:hint="default" w:ascii="Times New Roman" w:hAnsi="Times New Roman" w:eastAsia="宋体" w:cs="Times New Roman"/>
                      <w:b/>
                      <w:bCs/>
                      <w:color w:val="auto"/>
                      <w:szCs w:val="21"/>
                      <w:highlight w:val="none"/>
                    </w:rPr>
                    <w:t>-N</w:t>
                  </w:r>
                </w:p>
              </w:tc>
              <w:tc>
                <w:tcPr>
                  <w:tcW w:w="649" w:type="pct"/>
                  <w:tcBorders>
                    <w:tl2br w:val="nil"/>
                    <w:tr2bl w:val="nil"/>
                  </w:tcBorders>
                  <w:vAlign w:val="center"/>
                </w:tcPr>
                <w:p w14:paraId="4B32C825">
                  <w:pPr>
                    <w:adjustRightInd w:val="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kern w:val="0"/>
                      <w:sz w:val="21"/>
                      <w:szCs w:val="21"/>
                      <w:highlight w:val="none"/>
                    </w:rPr>
                    <w:t>可溶性固体总量</w:t>
                  </w:r>
                </w:p>
              </w:tc>
              <w:tc>
                <w:tcPr>
                  <w:tcW w:w="652" w:type="pct"/>
                  <w:tcBorders>
                    <w:tl2br w:val="nil"/>
                    <w:tr2bl w:val="nil"/>
                  </w:tcBorders>
                  <w:vAlign w:val="center"/>
                </w:tcPr>
                <w:p w14:paraId="32F53BAA">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eastAsia="zh-CN"/>
                    </w:rPr>
                    <w:t>pH</w:t>
                  </w:r>
                </w:p>
              </w:tc>
            </w:tr>
            <w:tr w14:paraId="3C793D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98" w:type="pct"/>
                  <w:tcBorders>
                    <w:tl2br w:val="nil"/>
                    <w:tr2bl w:val="nil"/>
                  </w:tcBorders>
                  <w:vAlign w:val="center"/>
                </w:tcPr>
                <w:p w14:paraId="38AA179E">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排放浓度（mg/L）</w:t>
                  </w:r>
                </w:p>
              </w:tc>
              <w:tc>
                <w:tcPr>
                  <w:tcW w:w="975" w:type="dxa"/>
                  <w:tcBorders>
                    <w:tl2br w:val="nil"/>
                    <w:tr2bl w:val="nil"/>
                  </w:tcBorders>
                  <w:shd w:val="clear" w:color="auto" w:fill="auto"/>
                  <w:vAlign w:val="center"/>
                </w:tcPr>
                <w:p w14:paraId="249FF175">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376.8</w:t>
                  </w:r>
                </w:p>
              </w:tc>
              <w:tc>
                <w:tcPr>
                  <w:tcW w:w="975" w:type="dxa"/>
                  <w:tcBorders>
                    <w:tl2br w:val="nil"/>
                    <w:tr2bl w:val="nil"/>
                  </w:tcBorders>
                  <w:shd w:val="clear" w:color="auto" w:fill="auto"/>
                  <w:vAlign w:val="center"/>
                </w:tcPr>
                <w:p w14:paraId="6B70F7DE">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223.9</w:t>
                  </w:r>
                </w:p>
              </w:tc>
              <w:tc>
                <w:tcPr>
                  <w:tcW w:w="975" w:type="dxa"/>
                  <w:tcBorders>
                    <w:tl2br w:val="nil"/>
                    <w:tr2bl w:val="nil"/>
                  </w:tcBorders>
                  <w:shd w:val="clear" w:color="auto" w:fill="auto"/>
                  <w:vAlign w:val="center"/>
                </w:tcPr>
                <w:p w14:paraId="321FCA0A">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207.1</w:t>
                  </w:r>
                </w:p>
              </w:tc>
              <w:tc>
                <w:tcPr>
                  <w:tcW w:w="975" w:type="dxa"/>
                  <w:tcBorders>
                    <w:tl2br w:val="nil"/>
                    <w:tr2bl w:val="nil"/>
                  </w:tcBorders>
                  <w:shd w:val="clear" w:color="auto" w:fill="auto"/>
                  <w:vAlign w:val="center"/>
                </w:tcPr>
                <w:p w14:paraId="35529B51">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38.8</w:t>
                  </w:r>
                </w:p>
              </w:tc>
              <w:tc>
                <w:tcPr>
                  <w:tcW w:w="975" w:type="dxa"/>
                  <w:tcBorders>
                    <w:tl2br w:val="nil"/>
                    <w:tr2bl w:val="nil"/>
                  </w:tcBorders>
                  <w:shd w:val="clear" w:color="auto" w:fill="auto"/>
                  <w:vAlign w:val="center"/>
                </w:tcPr>
                <w:p w14:paraId="2D348DC5">
                  <w:pPr>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Cs w:val="21"/>
                      <w:highlight w:val="none"/>
                      <w:lang w:val="en-US" w:eastAsia="zh-CN"/>
                    </w:rPr>
                    <w:t>12.9</w:t>
                  </w:r>
                </w:p>
              </w:tc>
              <w:tc>
                <w:tcPr>
                  <w:tcW w:w="980" w:type="dxa"/>
                  <w:tcBorders>
                    <w:tl2br w:val="nil"/>
                    <w:tr2bl w:val="nil"/>
                  </w:tcBorders>
                  <w:shd w:val="clear" w:color="auto" w:fill="auto"/>
                  <w:vAlign w:val="center"/>
                </w:tcPr>
                <w:p w14:paraId="0B3136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6.5~9</w:t>
                  </w:r>
                </w:p>
                <w:p w14:paraId="6527CEF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Cs w:val="21"/>
                      <w:highlight w:val="none"/>
                      <w:lang w:val="en-US" w:eastAsia="zh-CN"/>
                    </w:rPr>
                    <w:t>(无量纲)</w:t>
                  </w:r>
                </w:p>
              </w:tc>
            </w:tr>
            <w:tr w14:paraId="2202EB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1098" w:type="pct"/>
                  <w:tcBorders>
                    <w:tl2br w:val="nil"/>
                    <w:tr2bl w:val="nil"/>
                  </w:tcBorders>
                  <w:vAlign w:val="center"/>
                </w:tcPr>
                <w:p w14:paraId="11B1A2C4">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标准值（mg/L）</w:t>
                  </w:r>
                </w:p>
              </w:tc>
              <w:tc>
                <w:tcPr>
                  <w:tcW w:w="649" w:type="pct"/>
                  <w:tcBorders>
                    <w:tl2br w:val="nil"/>
                    <w:tr2bl w:val="nil"/>
                  </w:tcBorders>
                  <w:vAlign w:val="center"/>
                </w:tcPr>
                <w:p w14:paraId="05F63B0D">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500</w:t>
                  </w:r>
                </w:p>
              </w:tc>
              <w:tc>
                <w:tcPr>
                  <w:tcW w:w="649" w:type="pct"/>
                  <w:tcBorders>
                    <w:tl2br w:val="nil"/>
                    <w:tr2bl w:val="nil"/>
                  </w:tcBorders>
                  <w:vAlign w:val="center"/>
                </w:tcPr>
                <w:p w14:paraId="3D68821A">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300</w:t>
                  </w:r>
                </w:p>
              </w:tc>
              <w:tc>
                <w:tcPr>
                  <w:tcW w:w="649" w:type="pct"/>
                  <w:tcBorders>
                    <w:tl2br w:val="nil"/>
                    <w:tr2bl w:val="nil"/>
                  </w:tcBorders>
                  <w:vAlign w:val="center"/>
                </w:tcPr>
                <w:p w14:paraId="2912044D">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649" w:type="pct"/>
                  <w:tcBorders>
                    <w:tl2br w:val="nil"/>
                    <w:tr2bl w:val="nil"/>
                  </w:tcBorders>
                  <w:vAlign w:val="center"/>
                </w:tcPr>
                <w:p w14:paraId="0B924929">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45</w:t>
                  </w:r>
                </w:p>
              </w:tc>
              <w:tc>
                <w:tcPr>
                  <w:tcW w:w="649" w:type="pct"/>
                  <w:tcBorders>
                    <w:tl2br w:val="nil"/>
                    <w:tr2bl w:val="nil"/>
                  </w:tcBorders>
                  <w:vAlign w:val="center"/>
                </w:tcPr>
                <w:p w14:paraId="4B7E1976">
                  <w:pPr>
                    <w:adjustRightIn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1600</w:t>
                  </w:r>
                </w:p>
              </w:tc>
              <w:tc>
                <w:tcPr>
                  <w:tcW w:w="980" w:type="dxa"/>
                  <w:tcBorders>
                    <w:tl2br w:val="nil"/>
                    <w:tr2bl w:val="nil"/>
                  </w:tcBorders>
                  <w:vAlign w:val="center"/>
                </w:tcPr>
                <w:p w14:paraId="62060CC1">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6.5～9</w:t>
                  </w:r>
                </w:p>
                <w:p w14:paraId="6A6B4BA8">
                  <w:pPr>
                    <w:adjustRightIn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(无量纲)</w:t>
                  </w:r>
                </w:p>
              </w:tc>
            </w:tr>
            <w:tr w14:paraId="6CE3D0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98" w:type="pct"/>
                  <w:tcBorders>
                    <w:tl2br w:val="nil"/>
                    <w:tr2bl w:val="nil"/>
                  </w:tcBorders>
                  <w:vAlign w:val="center"/>
                </w:tcPr>
                <w:p w14:paraId="40B0EAB6">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达标分析</w:t>
                  </w:r>
                </w:p>
              </w:tc>
              <w:tc>
                <w:tcPr>
                  <w:tcW w:w="649" w:type="pct"/>
                  <w:tcBorders>
                    <w:tl2br w:val="nil"/>
                    <w:tr2bl w:val="nil"/>
                  </w:tcBorders>
                  <w:vAlign w:val="center"/>
                </w:tcPr>
                <w:p w14:paraId="03399B35">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c>
                <w:tcPr>
                  <w:tcW w:w="649" w:type="pct"/>
                  <w:tcBorders>
                    <w:tl2br w:val="nil"/>
                    <w:tr2bl w:val="nil"/>
                  </w:tcBorders>
                  <w:vAlign w:val="center"/>
                </w:tcPr>
                <w:p w14:paraId="281E9B60">
                  <w:pPr>
                    <w:adjustRightInd w:val="0"/>
                    <w:spacing w:line="24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c>
                <w:tcPr>
                  <w:tcW w:w="649" w:type="pct"/>
                  <w:tcBorders>
                    <w:tl2br w:val="nil"/>
                    <w:tr2bl w:val="nil"/>
                  </w:tcBorders>
                  <w:vAlign w:val="center"/>
                </w:tcPr>
                <w:p w14:paraId="3324CA85">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c>
                <w:tcPr>
                  <w:tcW w:w="649" w:type="pct"/>
                  <w:tcBorders>
                    <w:tl2br w:val="nil"/>
                    <w:tr2bl w:val="nil"/>
                  </w:tcBorders>
                  <w:vAlign w:val="center"/>
                </w:tcPr>
                <w:p w14:paraId="4B4DBD1B">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c>
                <w:tcPr>
                  <w:tcW w:w="649" w:type="pct"/>
                  <w:tcBorders>
                    <w:tl2br w:val="nil"/>
                    <w:tr2bl w:val="nil"/>
                  </w:tcBorders>
                  <w:vAlign w:val="center"/>
                </w:tcPr>
                <w:p w14:paraId="2D124BB1">
                  <w:pPr>
                    <w:adjustRightInd w:val="0"/>
                    <w:spacing w:line="24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c>
                <w:tcPr>
                  <w:tcW w:w="652" w:type="pct"/>
                  <w:tcBorders>
                    <w:tl2br w:val="nil"/>
                    <w:tr2bl w:val="nil"/>
                  </w:tcBorders>
                  <w:vAlign w:val="center"/>
                </w:tcPr>
                <w:p w14:paraId="112DCEB7">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bl>
          <w:p w14:paraId="40075587">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综上，本项目废水满足北京市《</w:t>
            </w:r>
            <w:r>
              <w:rPr>
                <w:rFonts w:hint="default" w:ascii="Times New Roman" w:hAnsi="Times New Roman" w:eastAsia="宋体" w:cs="Times New Roman"/>
                <w:color w:val="auto"/>
                <w:sz w:val="24"/>
                <w:highlight w:val="none"/>
                <w:lang w:val="zh-CN"/>
              </w:rPr>
              <w:t>水污染物综合排放标准》（DB11/307-</w:t>
            </w:r>
            <w:r>
              <w:rPr>
                <w:rFonts w:hint="default" w:ascii="Times New Roman" w:hAnsi="Times New Roman" w:eastAsia="宋体" w:cs="Times New Roman"/>
                <w:color w:val="auto"/>
                <w:sz w:val="24"/>
                <w:highlight w:val="none"/>
              </w:rPr>
              <w:t>2013</w:t>
            </w:r>
            <w:r>
              <w:rPr>
                <w:rFonts w:hint="default" w:ascii="Times New Roman" w:hAnsi="Times New Roman" w:eastAsia="宋体" w:cs="Times New Roman"/>
                <w:color w:val="auto"/>
                <w:sz w:val="24"/>
                <w:highlight w:val="none"/>
                <w:lang w:val="zh-CN"/>
              </w:rPr>
              <w:t>）中</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表</w:t>
            </w: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val="zh-CN"/>
              </w:rPr>
              <w:t>排入公共污水处理系统的水污染物排放限值</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rPr>
              <w:t>的标准要求。</w:t>
            </w:r>
          </w:p>
          <w:p w14:paraId="11E346DC">
            <w:pPr>
              <w:numPr>
                <w:ilvl w:val="255"/>
                <w:numId w:val="0"/>
              </w:numPr>
              <w:adjustRightInd w:val="0"/>
              <w:spacing w:line="360" w:lineRule="auto"/>
              <w:ind w:left="420" w:leftChars="200"/>
              <w:rPr>
                <w:rFonts w:hint="default"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eastAsia="zh-CN"/>
              </w:rPr>
              <w:t>污水处理厂可行性分析</w:t>
            </w:r>
          </w:p>
          <w:p w14:paraId="49DDCA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本项目位于金桥基地第一污水处理厂的纳水范围内。</w:t>
            </w:r>
            <w:r>
              <w:rPr>
                <w:rFonts w:hint="eastAsia" w:cs="Times New Roman"/>
                <w:color w:val="auto"/>
                <w:sz w:val="24"/>
                <w:highlight w:val="none"/>
                <w:lang w:val="en-US" w:eastAsia="zh-CN"/>
              </w:rPr>
              <w:t>金桥基地第一污水处理厂</w:t>
            </w:r>
            <w:r>
              <w:rPr>
                <w:rFonts w:hint="eastAsia" w:ascii="Times New Roman" w:hAnsi="Times New Roman" w:eastAsia="宋体" w:cs="Times New Roman"/>
                <w:color w:val="auto"/>
                <w:sz w:val="24"/>
                <w:highlight w:val="none"/>
                <w:lang w:val="en-US" w:eastAsia="zh-CN"/>
              </w:rPr>
              <w:t>总处理规模1</w:t>
            </w:r>
            <w:r>
              <w:rPr>
                <w:rFonts w:hint="eastAsia"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万m³/d，该污水处理厂一期、二期采用SBR工艺，设计处理规模5万m³/d，三期、四期采用MBR生物处理工艺，设计处理规模为5万m³/d，目前</w:t>
            </w:r>
            <w:r>
              <w:rPr>
                <w:rFonts w:hint="eastAsia" w:cs="Times New Roman"/>
                <w:color w:val="auto"/>
                <w:sz w:val="24"/>
                <w:highlight w:val="none"/>
                <w:lang w:val="en-US" w:eastAsia="zh-CN"/>
              </w:rPr>
              <w:t>金桥基地第一污水处理厂</w:t>
            </w:r>
            <w:r>
              <w:rPr>
                <w:rFonts w:hint="eastAsia" w:ascii="Times New Roman" w:hAnsi="Times New Roman" w:eastAsia="宋体" w:cs="Times New Roman"/>
                <w:color w:val="auto"/>
                <w:sz w:val="24"/>
                <w:highlight w:val="none"/>
                <w:lang w:val="en-US" w:eastAsia="zh-CN"/>
              </w:rPr>
              <w:t>现状实际处理规模约5.4万m³/d，剩余处理规模4.6万m³/d。本项目运营期间废水排放量为</w:t>
            </w:r>
            <w:r>
              <w:rPr>
                <w:rFonts w:hint="eastAsia" w:cs="Times New Roman"/>
                <w:color w:val="auto"/>
                <w:sz w:val="24"/>
                <w:highlight w:val="none"/>
                <w:lang w:val="en-US" w:eastAsia="zh-CN"/>
              </w:rPr>
              <w:t>0.43</w:t>
            </w:r>
            <w:r>
              <w:rPr>
                <w:rFonts w:hint="eastAsia" w:ascii="Times New Roman" w:hAnsi="Times New Roman" w:eastAsia="宋体" w:cs="Times New Roman"/>
                <w:color w:val="auto"/>
                <w:sz w:val="24"/>
                <w:highlight w:val="none"/>
                <w:lang w:val="en-US" w:eastAsia="zh-CN"/>
              </w:rPr>
              <w:t>m³/d，占金桥基地第一污水处理厂剩余污水处理余量的0.00</w:t>
            </w:r>
            <w:r>
              <w:rPr>
                <w:rFonts w:hint="eastAsia"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%，金桥基地第一污水处理厂有能力接纳本项目排放水量。</w:t>
            </w:r>
          </w:p>
          <w:p w14:paraId="2C70FF4A">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本项目排水水质与金桥基地第一污水处理厂的设计进水水质进行对照比较，比较结果详见下表。</w:t>
            </w:r>
          </w:p>
          <w:p w14:paraId="719035FF">
            <w:pPr>
              <w:keepNext w:val="0"/>
              <w:keepLines w:val="0"/>
              <w:widowControl/>
              <w:numPr>
                <w:ilvl w:val="0"/>
                <w:numId w:val="26"/>
              </w:numPr>
              <w:suppressLineNumbers w:val="0"/>
              <w:ind w:left="425" w:leftChars="0" w:hanging="425" w:firstLineChars="0"/>
              <w:jc w:val="center"/>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本项目排水与污水厂设计进出水水质比较情况表</w:t>
            </w:r>
          </w:p>
          <w:p w14:paraId="4A0E8D14">
            <w:pPr>
              <w:keepNext w:val="0"/>
              <w:keepLines w:val="0"/>
              <w:widowControl/>
              <w:numPr>
                <w:ilvl w:val="0"/>
                <w:numId w:val="0"/>
              </w:numPr>
              <w:suppressLineNumbers w:val="0"/>
              <w:ind w:leftChars="0" w:firstLine="1928" w:firstLineChars="800"/>
              <w:jc w:val="both"/>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（单位：mg/L，pH为无量纲）</w:t>
            </w:r>
          </w:p>
          <w:tbl>
            <w:tblPr>
              <w:tblStyle w:val="24"/>
              <w:tblW w:w="756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8"/>
              <w:gridCol w:w="945"/>
              <w:gridCol w:w="945"/>
              <w:gridCol w:w="945"/>
              <w:gridCol w:w="945"/>
              <w:gridCol w:w="824"/>
              <w:gridCol w:w="1066"/>
            </w:tblGrid>
            <w:tr w14:paraId="516D9B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1898" w:type="dxa"/>
                  <w:tcBorders>
                    <w:tl2br w:val="nil"/>
                    <w:tr2bl w:val="nil"/>
                  </w:tcBorders>
                  <w:shd w:val="clear" w:color="auto" w:fill="auto"/>
                  <w:vAlign w:val="center"/>
                </w:tcPr>
                <w:p w14:paraId="3067B99F">
                  <w:pPr>
                    <w:keepNext w:val="0"/>
                    <w:keepLines w:val="0"/>
                    <w:widowControl/>
                    <w:numPr>
                      <w:ilvl w:val="0"/>
                      <w:numId w:val="0"/>
                    </w:numPr>
                    <w:suppressLineNumbers w:val="0"/>
                    <w:spacing w:line="240" w:lineRule="auto"/>
                    <w:ind w:left="0" w:leftChars="0" w:firstLine="0" w:firstLineChars="0"/>
                    <w:jc w:val="center"/>
                    <w:rPr>
                      <w:rFonts w:hint="eastAsia" w:ascii="Times New Roman" w:hAnsi="Times New Roman" w:eastAsia="宋体" w:cs="Times New Roman"/>
                      <w:b/>
                      <w:bCs/>
                      <w:color w:val="auto"/>
                      <w:kern w:val="2"/>
                      <w:sz w:val="24"/>
                      <w:szCs w:val="24"/>
                      <w:highlight w:val="none"/>
                      <w:vertAlign w:val="baseline"/>
                      <w:lang w:val="en-US" w:eastAsia="zh-CN" w:bidi="ar-SA"/>
                    </w:rPr>
                  </w:pPr>
                  <w:r>
                    <w:rPr>
                      <w:rFonts w:hint="eastAsia" w:ascii="Times New Roman" w:hAnsi="Times New Roman" w:eastAsia="宋体" w:cs="Times New Roman"/>
                      <w:b/>
                      <w:bCs/>
                      <w:color w:val="auto"/>
                      <w:sz w:val="24"/>
                      <w:highlight w:val="none"/>
                      <w:vertAlign w:val="baseline"/>
                      <w:lang w:val="en-US" w:eastAsia="zh-CN"/>
                    </w:rPr>
                    <w:t>项目</w:t>
                  </w:r>
                </w:p>
              </w:tc>
              <w:tc>
                <w:tcPr>
                  <w:tcW w:w="945" w:type="dxa"/>
                  <w:tcBorders>
                    <w:tl2br w:val="nil"/>
                    <w:tr2bl w:val="nil"/>
                  </w:tcBorders>
                  <w:shd w:val="clear" w:color="auto" w:fill="auto"/>
                  <w:vAlign w:val="center"/>
                </w:tcPr>
                <w:p w14:paraId="70A771D2">
                  <w:pPr>
                    <w:keepNext w:val="0"/>
                    <w:keepLines w:val="0"/>
                    <w:widowControl/>
                    <w:numPr>
                      <w:ilvl w:val="0"/>
                      <w:numId w:val="0"/>
                    </w:numPr>
                    <w:suppressLineNumbers w:val="0"/>
                    <w:spacing w:line="240" w:lineRule="auto"/>
                    <w:ind w:left="0" w:leftChars="0" w:firstLine="0" w:firstLineChars="0"/>
                    <w:jc w:val="center"/>
                    <w:rPr>
                      <w:rFonts w:hint="eastAsia" w:ascii="Times New Roman" w:hAnsi="Times New Roman" w:eastAsia="宋体" w:cs="Times New Roman"/>
                      <w:b/>
                      <w:bCs/>
                      <w:color w:val="auto"/>
                      <w:kern w:val="2"/>
                      <w:sz w:val="24"/>
                      <w:szCs w:val="24"/>
                      <w:highlight w:val="none"/>
                      <w:vertAlign w:val="baseline"/>
                      <w:lang w:val="en-US" w:eastAsia="zh-CN" w:bidi="ar-SA"/>
                    </w:rPr>
                  </w:pPr>
                  <w:r>
                    <w:rPr>
                      <w:rFonts w:hint="eastAsia" w:ascii="Times New Roman" w:hAnsi="Times New Roman" w:eastAsia="宋体" w:cs="Times New Roman"/>
                      <w:b/>
                      <w:bCs/>
                      <w:color w:val="auto"/>
                      <w:sz w:val="24"/>
                      <w:highlight w:val="none"/>
                      <w:vertAlign w:val="baseline"/>
                      <w:lang w:val="en-US" w:eastAsia="zh-CN"/>
                    </w:rPr>
                    <w:t>pH</w:t>
                  </w:r>
                </w:p>
              </w:tc>
              <w:tc>
                <w:tcPr>
                  <w:tcW w:w="945" w:type="dxa"/>
                  <w:tcBorders>
                    <w:tl2br w:val="nil"/>
                    <w:tr2bl w:val="nil"/>
                  </w:tcBorders>
                  <w:shd w:val="clear" w:color="auto" w:fill="auto"/>
                  <w:vAlign w:val="center"/>
                </w:tcPr>
                <w:p w14:paraId="26676FC0">
                  <w:pPr>
                    <w:adjustRightInd w:val="0"/>
                    <w:spacing w:line="240" w:lineRule="auto"/>
                    <w:jc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rPr>
                    <w:t>COD</w:t>
                  </w:r>
                  <w:r>
                    <w:rPr>
                      <w:rFonts w:hint="default" w:ascii="Times New Roman" w:hAnsi="Times New Roman" w:eastAsia="宋体" w:cs="Times New Roman"/>
                      <w:b/>
                      <w:bCs/>
                      <w:color w:val="auto"/>
                      <w:szCs w:val="21"/>
                      <w:highlight w:val="none"/>
                      <w:vertAlign w:val="subscript"/>
                    </w:rPr>
                    <w:t>Cr</w:t>
                  </w:r>
                </w:p>
              </w:tc>
              <w:tc>
                <w:tcPr>
                  <w:tcW w:w="945" w:type="dxa"/>
                  <w:tcBorders>
                    <w:tl2br w:val="nil"/>
                    <w:tr2bl w:val="nil"/>
                  </w:tcBorders>
                  <w:shd w:val="clear" w:color="auto" w:fill="auto"/>
                  <w:vAlign w:val="center"/>
                </w:tcPr>
                <w:p w14:paraId="7BA89FF0">
                  <w:pPr>
                    <w:adjustRightInd w:val="0"/>
                    <w:spacing w:line="240" w:lineRule="auto"/>
                    <w:jc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8"/>
                      <w:szCs w:val="21"/>
                      <w:highlight w:val="none"/>
                    </w:rPr>
                    <w:t>BOD</w:t>
                  </w:r>
                  <w:r>
                    <w:rPr>
                      <w:rFonts w:hint="default" w:ascii="Times New Roman" w:hAnsi="Times New Roman" w:eastAsia="宋体" w:cs="Times New Roman"/>
                      <w:b/>
                      <w:bCs/>
                      <w:color w:val="auto"/>
                      <w:kern w:val="28"/>
                      <w:szCs w:val="21"/>
                      <w:highlight w:val="none"/>
                      <w:vertAlign w:val="subscript"/>
                    </w:rPr>
                    <w:t>5</w:t>
                  </w:r>
                </w:p>
              </w:tc>
              <w:tc>
                <w:tcPr>
                  <w:tcW w:w="945" w:type="dxa"/>
                  <w:tcBorders>
                    <w:tl2br w:val="nil"/>
                    <w:tr2bl w:val="nil"/>
                  </w:tcBorders>
                  <w:shd w:val="clear" w:color="auto" w:fill="auto"/>
                  <w:vAlign w:val="center"/>
                </w:tcPr>
                <w:p w14:paraId="24385165">
                  <w:pPr>
                    <w:adjustRightInd w:val="0"/>
                    <w:spacing w:line="240" w:lineRule="auto"/>
                    <w:jc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rPr>
                    <w:t>SS</w:t>
                  </w:r>
                </w:p>
              </w:tc>
              <w:tc>
                <w:tcPr>
                  <w:tcW w:w="824" w:type="dxa"/>
                  <w:tcBorders>
                    <w:tl2br w:val="nil"/>
                    <w:tr2bl w:val="nil"/>
                  </w:tcBorders>
                  <w:shd w:val="clear" w:color="auto" w:fill="auto"/>
                  <w:vAlign w:val="center"/>
                </w:tcPr>
                <w:p w14:paraId="3D036DA6">
                  <w:pPr>
                    <w:adjustRightInd w:val="0"/>
                    <w:spacing w:line="240" w:lineRule="auto"/>
                    <w:jc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rPr>
                    <w:t>NH</w:t>
                  </w:r>
                  <w:r>
                    <w:rPr>
                      <w:rFonts w:hint="default" w:ascii="Times New Roman" w:hAnsi="Times New Roman" w:eastAsia="宋体" w:cs="Times New Roman"/>
                      <w:b/>
                      <w:bCs/>
                      <w:color w:val="auto"/>
                      <w:szCs w:val="21"/>
                      <w:highlight w:val="none"/>
                      <w:vertAlign w:val="subscript"/>
                    </w:rPr>
                    <w:t>3</w:t>
                  </w:r>
                  <w:r>
                    <w:rPr>
                      <w:rFonts w:hint="default" w:ascii="Times New Roman" w:hAnsi="Times New Roman" w:eastAsia="宋体" w:cs="Times New Roman"/>
                      <w:b/>
                      <w:bCs/>
                      <w:color w:val="auto"/>
                      <w:szCs w:val="21"/>
                      <w:highlight w:val="none"/>
                    </w:rPr>
                    <w:t>-N</w:t>
                  </w:r>
                </w:p>
              </w:tc>
              <w:tc>
                <w:tcPr>
                  <w:tcW w:w="1066" w:type="dxa"/>
                  <w:tcBorders>
                    <w:tl2br w:val="nil"/>
                    <w:tr2bl w:val="nil"/>
                  </w:tcBorders>
                  <w:shd w:val="clear" w:color="auto" w:fill="auto"/>
                  <w:vAlign w:val="center"/>
                </w:tcPr>
                <w:p w14:paraId="508762B2">
                  <w:pPr>
                    <w:adjustRightInd w:val="0"/>
                    <w:spacing w:line="240" w:lineRule="auto"/>
                    <w:jc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rPr>
                    <w:t>可溶性固体总量</w:t>
                  </w:r>
                </w:p>
              </w:tc>
            </w:tr>
            <w:tr w14:paraId="45C56B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8" w:type="dxa"/>
                  <w:tcBorders>
                    <w:tl2br w:val="nil"/>
                    <w:tr2bl w:val="nil"/>
                  </w:tcBorders>
                  <w:shd w:val="clear" w:color="auto" w:fill="auto"/>
                  <w:vAlign w:val="center"/>
                </w:tcPr>
                <w:p w14:paraId="65B1E8D4">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本项目排水水质</w:t>
                  </w:r>
                </w:p>
              </w:tc>
              <w:tc>
                <w:tcPr>
                  <w:tcW w:w="945" w:type="dxa"/>
                  <w:tcBorders>
                    <w:tl2br w:val="nil"/>
                    <w:tr2bl w:val="nil"/>
                  </w:tcBorders>
                  <w:shd w:val="clear" w:color="auto" w:fill="auto"/>
                  <w:vAlign w:val="center"/>
                </w:tcPr>
                <w:p w14:paraId="4BB57067">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6.5-9</w:t>
                  </w:r>
                </w:p>
              </w:tc>
              <w:tc>
                <w:tcPr>
                  <w:tcW w:w="945" w:type="dxa"/>
                  <w:tcBorders>
                    <w:tl2br w:val="nil"/>
                    <w:tr2bl w:val="nil"/>
                  </w:tcBorders>
                  <w:shd w:val="clear" w:color="auto" w:fill="auto"/>
                  <w:vAlign w:val="center"/>
                </w:tcPr>
                <w:p w14:paraId="1F14A552">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376.8</w:t>
                  </w:r>
                </w:p>
              </w:tc>
              <w:tc>
                <w:tcPr>
                  <w:tcW w:w="945" w:type="dxa"/>
                  <w:tcBorders>
                    <w:tl2br w:val="nil"/>
                    <w:tr2bl w:val="nil"/>
                  </w:tcBorders>
                  <w:shd w:val="clear" w:color="auto" w:fill="auto"/>
                  <w:vAlign w:val="center"/>
                </w:tcPr>
                <w:p w14:paraId="6D20C780">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223.9</w:t>
                  </w:r>
                </w:p>
              </w:tc>
              <w:tc>
                <w:tcPr>
                  <w:tcW w:w="945" w:type="dxa"/>
                  <w:tcBorders>
                    <w:tl2br w:val="nil"/>
                    <w:tr2bl w:val="nil"/>
                  </w:tcBorders>
                  <w:shd w:val="clear" w:color="auto" w:fill="auto"/>
                  <w:vAlign w:val="center"/>
                </w:tcPr>
                <w:p w14:paraId="26AA770B">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207.1</w:t>
                  </w:r>
                </w:p>
              </w:tc>
              <w:tc>
                <w:tcPr>
                  <w:tcW w:w="824" w:type="dxa"/>
                  <w:tcBorders>
                    <w:tl2br w:val="nil"/>
                    <w:tr2bl w:val="nil"/>
                  </w:tcBorders>
                  <w:shd w:val="clear" w:color="auto" w:fill="auto"/>
                  <w:vAlign w:val="center"/>
                </w:tcPr>
                <w:p w14:paraId="56070374">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38.8</w:t>
                  </w:r>
                </w:p>
              </w:tc>
              <w:tc>
                <w:tcPr>
                  <w:tcW w:w="1066" w:type="dxa"/>
                  <w:tcBorders>
                    <w:tl2br w:val="nil"/>
                    <w:tr2bl w:val="nil"/>
                  </w:tcBorders>
                  <w:shd w:val="clear" w:color="auto" w:fill="auto"/>
                  <w:vAlign w:val="center"/>
                </w:tcPr>
                <w:p w14:paraId="12E9541B">
                  <w:pPr>
                    <w:adjustRightInd w:val="0"/>
                    <w:snapToGrid w:val="0"/>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12.9</w:t>
                  </w:r>
                </w:p>
              </w:tc>
            </w:tr>
            <w:tr w14:paraId="77F2C0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8" w:type="dxa"/>
                  <w:tcBorders>
                    <w:tl2br w:val="nil"/>
                    <w:tr2bl w:val="nil"/>
                  </w:tcBorders>
                  <w:shd w:val="clear" w:color="auto" w:fill="auto"/>
                  <w:vAlign w:val="center"/>
                </w:tcPr>
                <w:p w14:paraId="2A74361D">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金桥基地第一污水处理厂进水水质</w:t>
                  </w:r>
                </w:p>
              </w:tc>
              <w:tc>
                <w:tcPr>
                  <w:tcW w:w="945" w:type="dxa"/>
                  <w:tcBorders>
                    <w:tl2br w:val="nil"/>
                    <w:tr2bl w:val="nil"/>
                  </w:tcBorders>
                  <w:shd w:val="clear" w:color="auto" w:fill="auto"/>
                  <w:vAlign w:val="center"/>
                </w:tcPr>
                <w:p w14:paraId="1480187E">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6.5-9</w:t>
                  </w:r>
                </w:p>
              </w:tc>
              <w:tc>
                <w:tcPr>
                  <w:tcW w:w="945" w:type="dxa"/>
                  <w:tcBorders>
                    <w:tl2br w:val="nil"/>
                    <w:tr2bl w:val="nil"/>
                  </w:tcBorders>
                  <w:shd w:val="clear" w:color="auto" w:fill="auto"/>
                  <w:vAlign w:val="center"/>
                </w:tcPr>
                <w:p w14:paraId="4ACB33C6">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500</w:t>
                  </w:r>
                </w:p>
              </w:tc>
              <w:tc>
                <w:tcPr>
                  <w:tcW w:w="945" w:type="dxa"/>
                  <w:tcBorders>
                    <w:tl2br w:val="nil"/>
                    <w:tr2bl w:val="nil"/>
                  </w:tcBorders>
                  <w:shd w:val="clear" w:color="auto" w:fill="auto"/>
                  <w:vAlign w:val="center"/>
                </w:tcPr>
                <w:p w14:paraId="400435AF">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300</w:t>
                  </w:r>
                </w:p>
              </w:tc>
              <w:tc>
                <w:tcPr>
                  <w:tcW w:w="945" w:type="dxa"/>
                  <w:tcBorders>
                    <w:tl2br w:val="nil"/>
                    <w:tr2bl w:val="nil"/>
                  </w:tcBorders>
                  <w:shd w:val="clear" w:color="auto" w:fill="auto"/>
                  <w:vAlign w:val="center"/>
                </w:tcPr>
                <w:p w14:paraId="328724E6">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400</w:t>
                  </w:r>
                </w:p>
              </w:tc>
              <w:tc>
                <w:tcPr>
                  <w:tcW w:w="824" w:type="dxa"/>
                  <w:tcBorders>
                    <w:tl2br w:val="nil"/>
                    <w:tr2bl w:val="nil"/>
                  </w:tcBorders>
                  <w:shd w:val="clear" w:color="auto" w:fill="auto"/>
                  <w:vAlign w:val="center"/>
                </w:tcPr>
                <w:p w14:paraId="35B93916">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45</w:t>
                  </w:r>
                </w:p>
              </w:tc>
              <w:tc>
                <w:tcPr>
                  <w:tcW w:w="1066" w:type="dxa"/>
                  <w:tcBorders>
                    <w:tl2br w:val="nil"/>
                    <w:tr2bl w:val="nil"/>
                  </w:tcBorders>
                  <w:shd w:val="clear" w:color="auto" w:fill="auto"/>
                  <w:vAlign w:val="center"/>
                </w:tcPr>
                <w:p w14:paraId="1B77E2CC">
                  <w:pPr>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1600</w:t>
                  </w:r>
                </w:p>
              </w:tc>
            </w:tr>
          </w:tbl>
          <w:p w14:paraId="60EA26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由上表可知，本项目排水中主要污染物的浓度均低于污水处理厂的进水水质要求，且本项目污水进入化粪池预处理后，不会给生物系统的正常运行带来危害。金桥基地第一污水处理厂排放污染物为pH、COD</w:t>
            </w:r>
            <w:r>
              <w:rPr>
                <w:rFonts w:hint="eastAsia" w:ascii="Times New Roman" w:hAnsi="Times New Roman" w:eastAsia="宋体" w:cs="Times New Roman"/>
                <w:color w:val="auto"/>
                <w:sz w:val="24"/>
                <w:highlight w:val="none"/>
                <w:vertAlign w:val="subscript"/>
                <w:lang w:val="en-US" w:eastAsia="zh-CN"/>
              </w:rPr>
              <w:t>Cr</w:t>
            </w:r>
            <w:r>
              <w:rPr>
                <w:rFonts w:hint="eastAsia" w:ascii="Times New Roman" w:hAnsi="Times New Roman" w:eastAsia="宋体" w:cs="Times New Roman"/>
                <w:color w:val="auto"/>
                <w:sz w:val="24"/>
                <w:highlight w:val="none"/>
                <w:lang w:val="en-US" w:eastAsia="zh-CN"/>
              </w:rPr>
              <w:t>、BOD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SS、动植物油、石油类、阴离子表面活性剂、总氮、氨氮、总磷、色度、粪大肠菌群、总汞、烷基贡、总镉、总铬、六价格、总砷、总铅，其排放污染物涵盖本项目排放的水污染物。本项目运营期废水占金桥基地第一污水处理厂可接纳污水处理能力的比例很小，接纳本项目污水不会造成明显的负荷冲击。因此，本项目外排废水排入该污水处理厂是可行的。</w:t>
            </w:r>
          </w:p>
          <w:p w14:paraId="20DAAA22">
            <w:pPr>
              <w:adjustRightInd w:val="0"/>
              <w:snapToGrid w:val="0"/>
              <w:spacing w:line="360" w:lineRule="auto"/>
              <w:ind w:firstLine="361" w:firstLineChars="15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w:t>
            </w:r>
            <w:r>
              <w:rPr>
                <w:rFonts w:hint="eastAsia"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废水监测计划</w:t>
            </w:r>
          </w:p>
          <w:p w14:paraId="1C385784">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根据《排污许可证申请与核发技术规范总则》(HJ942-2018)、《排污单位自行监测技术指南 总则》(HJ819-2017)，本项目废水监测计划详见下表。</w:t>
            </w:r>
          </w:p>
          <w:p w14:paraId="252F95CD">
            <w:pPr>
              <w:numPr>
                <w:ilvl w:val="0"/>
                <w:numId w:val="26"/>
              </w:numPr>
              <w:adjustRightInd w:val="0"/>
              <w:snapToGrid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项目废水监测计划</w:t>
            </w:r>
          </w:p>
          <w:tbl>
            <w:tblPr>
              <w:tblStyle w:val="23"/>
              <w:tblW w:w="7643"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1178"/>
              <w:gridCol w:w="2848"/>
              <w:gridCol w:w="1314"/>
              <w:gridCol w:w="1288"/>
            </w:tblGrid>
            <w:tr w14:paraId="160C0A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64" w:type="pct"/>
                  <w:tcBorders>
                    <w:tl2br w:val="nil"/>
                    <w:tr2bl w:val="nil"/>
                  </w:tcBorders>
                  <w:vAlign w:val="center"/>
                </w:tcPr>
                <w:p w14:paraId="2282F8BD">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时段</w:t>
                  </w:r>
                </w:p>
              </w:tc>
              <w:tc>
                <w:tcPr>
                  <w:tcW w:w="770" w:type="pct"/>
                  <w:tcBorders>
                    <w:tl2br w:val="nil"/>
                    <w:tr2bl w:val="nil"/>
                  </w:tcBorders>
                  <w:vAlign w:val="center"/>
                </w:tcPr>
                <w:p w14:paraId="7DC71777">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监测内容</w:t>
                  </w:r>
                </w:p>
              </w:tc>
              <w:tc>
                <w:tcPr>
                  <w:tcW w:w="1863" w:type="pct"/>
                  <w:tcBorders>
                    <w:tl2br w:val="nil"/>
                    <w:tr2bl w:val="nil"/>
                  </w:tcBorders>
                  <w:vAlign w:val="center"/>
                </w:tcPr>
                <w:p w14:paraId="7AB68C23">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监测因子</w:t>
                  </w:r>
                </w:p>
              </w:tc>
              <w:tc>
                <w:tcPr>
                  <w:tcW w:w="859" w:type="pct"/>
                  <w:tcBorders>
                    <w:tl2br w:val="nil"/>
                    <w:tr2bl w:val="nil"/>
                  </w:tcBorders>
                  <w:vAlign w:val="center"/>
                </w:tcPr>
                <w:p w14:paraId="4D7FA380">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842" w:type="pct"/>
                  <w:tcBorders>
                    <w:tl2br w:val="nil"/>
                    <w:tr2bl w:val="nil"/>
                  </w:tcBorders>
                  <w:vAlign w:val="center"/>
                </w:tcPr>
                <w:p w14:paraId="7A369332">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监测频次</w:t>
                  </w:r>
                </w:p>
              </w:tc>
            </w:tr>
            <w:tr w14:paraId="343268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64" w:type="pct"/>
                  <w:vMerge w:val="restart"/>
                  <w:tcBorders>
                    <w:tl2br w:val="nil"/>
                    <w:tr2bl w:val="nil"/>
                  </w:tcBorders>
                  <w:vAlign w:val="center"/>
                </w:tcPr>
                <w:p w14:paraId="6FCA8E39">
                  <w:pPr>
                    <w:widowControl/>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运营期</w:t>
                  </w:r>
                </w:p>
              </w:tc>
              <w:tc>
                <w:tcPr>
                  <w:tcW w:w="770" w:type="pct"/>
                  <w:vMerge w:val="restart"/>
                  <w:tcBorders>
                    <w:tl2br w:val="nil"/>
                    <w:tr2bl w:val="nil"/>
                  </w:tcBorders>
                  <w:vAlign w:val="center"/>
                </w:tcPr>
                <w:p w14:paraId="13E489FF">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废水</w:t>
                  </w:r>
                </w:p>
              </w:tc>
              <w:tc>
                <w:tcPr>
                  <w:tcW w:w="1863" w:type="pct"/>
                  <w:tcBorders>
                    <w:tl2br w:val="nil"/>
                    <w:tr2bl w:val="nil"/>
                  </w:tcBorders>
                  <w:vAlign w:val="center"/>
                </w:tcPr>
                <w:p w14:paraId="35C71D85">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COD</w:t>
                  </w:r>
                  <w:r>
                    <w:rPr>
                      <w:rFonts w:hint="default" w:ascii="Times New Roman" w:hAnsi="Times New Roman" w:eastAsia="宋体" w:cs="Times New Roman"/>
                      <w:color w:val="auto"/>
                      <w:szCs w:val="21"/>
                      <w:highlight w:val="none"/>
                      <w:vertAlign w:val="subscript"/>
                    </w:rPr>
                    <w:t>Cr</w:t>
                  </w:r>
                  <w:r>
                    <w:rPr>
                      <w:rFonts w:hint="default" w:ascii="Times New Roman" w:hAnsi="Times New Roman" w:eastAsia="宋体" w:cs="Times New Roman"/>
                      <w:color w:val="auto"/>
                      <w:szCs w:val="21"/>
                      <w:highlight w:val="none"/>
                    </w:rPr>
                    <w:t>、BOD</w:t>
                  </w:r>
                  <w:r>
                    <w:rPr>
                      <w:rFonts w:hint="default" w:ascii="Times New Roman" w:hAnsi="Times New Roman" w:eastAsia="宋体" w:cs="Times New Roman"/>
                      <w:color w:val="auto"/>
                      <w:szCs w:val="21"/>
                      <w:highlight w:val="none"/>
                      <w:vertAlign w:val="subscript"/>
                    </w:rPr>
                    <w:t>5</w:t>
                  </w:r>
                  <w:r>
                    <w:rPr>
                      <w:rFonts w:hint="default" w:ascii="Times New Roman" w:hAnsi="Times New Roman" w:eastAsia="宋体" w:cs="Times New Roman"/>
                      <w:color w:val="auto"/>
                      <w:szCs w:val="21"/>
                      <w:highlight w:val="none"/>
                    </w:rPr>
                    <w:t>、SS、NH</w:t>
                  </w:r>
                  <w:r>
                    <w:rPr>
                      <w:rFonts w:hint="default" w:ascii="Times New Roman" w:hAnsi="Times New Roman" w:eastAsia="宋体" w:cs="Times New Roman"/>
                      <w:color w:val="auto"/>
                      <w:szCs w:val="21"/>
                      <w:highlight w:val="none"/>
                      <w:vertAlign w:val="subscript"/>
                    </w:rPr>
                    <w:t>3</w:t>
                  </w:r>
                  <w:r>
                    <w:rPr>
                      <w:rFonts w:hint="default" w:ascii="Times New Roman" w:hAnsi="Times New Roman" w:eastAsia="宋体" w:cs="Times New Roman"/>
                      <w:color w:val="auto"/>
                      <w:szCs w:val="21"/>
                      <w:highlight w:val="none"/>
                    </w:rPr>
                    <w:t>-N</w:t>
                  </w:r>
                </w:p>
              </w:tc>
              <w:tc>
                <w:tcPr>
                  <w:tcW w:w="859" w:type="pct"/>
                  <w:vMerge w:val="restart"/>
                  <w:tcBorders>
                    <w:tl2br w:val="nil"/>
                    <w:tr2bl w:val="nil"/>
                  </w:tcBorders>
                  <w:vAlign w:val="center"/>
                </w:tcPr>
                <w:p w14:paraId="0BB6B45D">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废水总排口</w:t>
                  </w:r>
                </w:p>
              </w:tc>
              <w:tc>
                <w:tcPr>
                  <w:tcW w:w="842" w:type="pct"/>
                  <w:tcBorders>
                    <w:tl2br w:val="nil"/>
                    <w:tr2bl w:val="nil"/>
                  </w:tcBorders>
                  <w:vAlign w:val="center"/>
                </w:tcPr>
                <w:p w14:paraId="5B5B8794">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每季度1次</w:t>
                  </w:r>
                </w:p>
              </w:tc>
            </w:tr>
            <w:tr w14:paraId="345236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64" w:type="pct"/>
                  <w:vMerge w:val="continue"/>
                  <w:tcBorders>
                    <w:tl2br w:val="nil"/>
                    <w:tr2bl w:val="nil"/>
                  </w:tcBorders>
                  <w:vAlign w:val="center"/>
                </w:tcPr>
                <w:p w14:paraId="5C22CD2A">
                  <w:pPr>
                    <w:widowControl/>
                    <w:snapToGrid w:val="0"/>
                    <w:jc w:val="center"/>
                    <w:rPr>
                      <w:rFonts w:hint="default" w:ascii="Times New Roman" w:hAnsi="Times New Roman" w:eastAsia="宋体" w:cs="Times New Roman"/>
                      <w:bCs/>
                      <w:color w:val="auto"/>
                      <w:szCs w:val="21"/>
                      <w:highlight w:val="none"/>
                    </w:rPr>
                  </w:pPr>
                </w:p>
              </w:tc>
              <w:tc>
                <w:tcPr>
                  <w:tcW w:w="770" w:type="pct"/>
                  <w:vMerge w:val="continue"/>
                  <w:tcBorders>
                    <w:tl2br w:val="nil"/>
                    <w:tr2bl w:val="nil"/>
                  </w:tcBorders>
                  <w:vAlign w:val="center"/>
                </w:tcPr>
                <w:p w14:paraId="193B89C1">
                  <w:pPr>
                    <w:adjustRightInd w:val="0"/>
                    <w:snapToGrid w:val="0"/>
                    <w:jc w:val="center"/>
                    <w:rPr>
                      <w:rFonts w:hint="default" w:ascii="Times New Roman" w:hAnsi="Times New Roman" w:eastAsia="宋体" w:cs="Times New Roman"/>
                      <w:bCs/>
                      <w:color w:val="auto"/>
                      <w:szCs w:val="21"/>
                      <w:highlight w:val="none"/>
                    </w:rPr>
                  </w:pPr>
                </w:p>
              </w:tc>
              <w:tc>
                <w:tcPr>
                  <w:tcW w:w="1863" w:type="pct"/>
                  <w:tcBorders>
                    <w:tl2br w:val="nil"/>
                    <w:tr2bl w:val="nil"/>
                  </w:tcBorders>
                  <w:vAlign w:val="center"/>
                </w:tcPr>
                <w:p w14:paraId="2195957B">
                  <w:pPr>
                    <w:snapToGrid w:val="0"/>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eastAsia="zh-CN"/>
                    </w:rPr>
                    <w:t>pH</w:t>
                  </w:r>
                  <w:r>
                    <w:rPr>
                      <w:rFonts w:hint="eastAsia" w:cs="Times New Roman"/>
                      <w:color w:val="auto"/>
                      <w:szCs w:val="21"/>
                      <w:highlight w:val="none"/>
                      <w:lang w:eastAsia="zh-CN"/>
                    </w:rPr>
                    <w:t>、</w:t>
                  </w:r>
                  <w:r>
                    <w:rPr>
                      <w:rFonts w:hint="eastAsia" w:cs="Times New Roman"/>
                      <w:color w:val="auto"/>
                      <w:szCs w:val="21"/>
                      <w:highlight w:val="none"/>
                      <w:lang w:val="en-US" w:eastAsia="zh-CN"/>
                    </w:rPr>
                    <w:t>可溶性固体总量</w:t>
                  </w:r>
                </w:p>
              </w:tc>
              <w:tc>
                <w:tcPr>
                  <w:tcW w:w="859" w:type="pct"/>
                  <w:vMerge w:val="continue"/>
                  <w:tcBorders>
                    <w:tl2br w:val="nil"/>
                    <w:tr2bl w:val="nil"/>
                  </w:tcBorders>
                  <w:vAlign w:val="center"/>
                </w:tcPr>
                <w:p w14:paraId="59981DEF">
                  <w:pPr>
                    <w:adjustRightInd w:val="0"/>
                    <w:snapToGrid w:val="0"/>
                    <w:jc w:val="center"/>
                    <w:rPr>
                      <w:rFonts w:hint="default" w:ascii="Times New Roman" w:hAnsi="Times New Roman" w:eastAsia="宋体" w:cs="Times New Roman"/>
                      <w:bCs/>
                      <w:color w:val="auto"/>
                      <w:szCs w:val="21"/>
                      <w:highlight w:val="none"/>
                    </w:rPr>
                  </w:pPr>
                </w:p>
              </w:tc>
              <w:tc>
                <w:tcPr>
                  <w:tcW w:w="842" w:type="pct"/>
                  <w:tcBorders>
                    <w:tl2br w:val="nil"/>
                    <w:tr2bl w:val="nil"/>
                  </w:tcBorders>
                  <w:vAlign w:val="center"/>
                </w:tcPr>
                <w:p w14:paraId="29C4DEB0">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每年1次</w:t>
                  </w:r>
                </w:p>
              </w:tc>
            </w:tr>
          </w:tbl>
          <w:p w14:paraId="68718DFA">
            <w:pPr>
              <w:adjustRightInd w:val="0"/>
              <w:spacing w:line="360" w:lineRule="auto"/>
              <w:ind w:firstLine="3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bCs/>
                <w:color w:val="auto"/>
                <w:spacing w:val="-10"/>
                <w:szCs w:val="21"/>
                <w:highlight w:val="none"/>
              </w:rPr>
              <w:t>（注：</w:t>
            </w:r>
            <w:r>
              <w:rPr>
                <w:rFonts w:hint="default" w:ascii="Times New Roman" w:hAnsi="Times New Roman" w:eastAsia="宋体" w:cs="Times New Roman"/>
                <w:bCs/>
                <w:color w:val="auto"/>
                <w:szCs w:val="21"/>
                <w:highlight w:val="none"/>
              </w:rPr>
              <w:t>废水监测计划参照《</w:t>
            </w:r>
            <w:r>
              <w:rPr>
                <w:rFonts w:hint="default" w:ascii="Times New Roman" w:hAnsi="Times New Roman" w:eastAsia="宋体" w:cs="Times New Roman"/>
                <w:bCs/>
                <w:color w:val="auto"/>
                <w:szCs w:val="21"/>
                <w:highlight w:val="none"/>
                <w:lang w:val="ru-RU"/>
              </w:rPr>
              <w:t>排污单位自行监测技术指南 总则</w:t>
            </w:r>
            <w:r>
              <w:rPr>
                <w:rFonts w:hint="default" w:ascii="Times New Roman" w:hAnsi="Times New Roman" w:eastAsia="宋体" w:cs="Times New Roman"/>
                <w:bCs/>
                <w:color w:val="auto"/>
                <w:szCs w:val="21"/>
                <w:highlight w:val="none"/>
              </w:rPr>
              <w:t>》（HJ819-2017）</w:t>
            </w:r>
            <w:r>
              <w:rPr>
                <w:rFonts w:hint="default" w:ascii="Times New Roman" w:hAnsi="Times New Roman" w:eastAsia="宋体" w:cs="Times New Roman"/>
                <w:bCs/>
                <w:color w:val="auto"/>
                <w:spacing w:val="-10"/>
                <w:szCs w:val="21"/>
                <w:highlight w:val="none"/>
              </w:rPr>
              <w:t>）</w:t>
            </w:r>
          </w:p>
          <w:p w14:paraId="4BE7B8D8">
            <w:pPr>
              <w:numPr>
                <w:ilvl w:val="0"/>
                <w:numId w:val="24"/>
              </w:numPr>
              <w:adjustRightInd w:val="0"/>
              <w:snapToGrid w:val="0"/>
              <w:spacing w:line="360" w:lineRule="auto"/>
              <w:rPr>
                <w:rFonts w:hint="default" w:ascii="Times New Roman" w:hAnsi="Times New Roman" w:eastAsia="宋体" w:cs="Times New Roman"/>
                <w:b/>
                <w:bCs/>
                <w:color w:val="auto"/>
                <w:spacing w:val="-10"/>
                <w:sz w:val="24"/>
                <w:highlight w:val="none"/>
              </w:rPr>
            </w:pPr>
            <w:r>
              <w:rPr>
                <w:rFonts w:hint="default" w:ascii="Times New Roman" w:hAnsi="Times New Roman" w:eastAsia="宋体" w:cs="Times New Roman"/>
                <w:b/>
                <w:bCs/>
                <w:color w:val="auto"/>
                <w:spacing w:val="-10"/>
                <w:sz w:val="24"/>
                <w:highlight w:val="none"/>
              </w:rPr>
              <w:t>声环境影响分析及环境保护措施</w:t>
            </w:r>
          </w:p>
          <w:p w14:paraId="7A1A6CD6">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（1）噪声源强</w:t>
            </w:r>
          </w:p>
          <w:p w14:paraId="1271230C">
            <w:pPr>
              <w:adjustRightInd w:val="0"/>
              <w:snapToGrid w:val="0"/>
              <w:spacing w:line="360" w:lineRule="auto"/>
              <w:ind w:left="0" w:leftChars="0" w:firstLine="480" w:firstLineChars="200"/>
              <w:rPr>
                <w:rFonts w:hint="default"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项目噪声源为</w:t>
            </w:r>
            <w:r>
              <w:rPr>
                <w:rFonts w:hint="eastAsia" w:ascii="Times New Roman" w:hAnsi="Times New Roman" w:eastAsia="宋体" w:cs="Times New Roman"/>
                <w:color w:val="auto"/>
                <w:sz w:val="24"/>
                <w:highlight w:val="none"/>
                <w:lang w:val="en-US" w:eastAsia="zh-CN"/>
              </w:rPr>
              <w:t>空调外机、离心机</w:t>
            </w:r>
            <w:r>
              <w:rPr>
                <w:rFonts w:hint="eastAsia" w:cs="Times New Roman"/>
                <w:color w:val="auto"/>
                <w:sz w:val="24"/>
                <w:highlight w:val="none"/>
                <w:lang w:val="en-US" w:eastAsia="zh-CN"/>
              </w:rPr>
              <w:t>、发酵罐</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离心机</w:t>
            </w:r>
            <w:r>
              <w:rPr>
                <w:rFonts w:hint="eastAsia" w:cs="Times New Roman"/>
                <w:color w:val="auto"/>
                <w:sz w:val="24"/>
                <w:highlight w:val="none"/>
                <w:lang w:val="en-US" w:eastAsia="zh-CN"/>
              </w:rPr>
              <w:t>、发酵罐</w:t>
            </w:r>
            <w:r>
              <w:rPr>
                <w:rFonts w:hint="eastAsia" w:ascii="Times New Roman" w:hAnsi="Times New Roman" w:eastAsia="宋体" w:cs="Times New Roman"/>
                <w:color w:val="auto"/>
                <w:sz w:val="24"/>
                <w:highlight w:val="none"/>
                <w:lang w:val="en-US" w:eastAsia="zh-CN"/>
              </w:rPr>
              <w:t>在室内</w:t>
            </w:r>
            <w:r>
              <w:rPr>
                <w:rFonts w:hint="eastAsia"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空调外机在室外，各噪声源</w:t>
            </w:r>
            <w:r>
              <w:rPr>
                <w:rFonts w:hint="default" w:ascii="Times New Roman" w:hAnsi="Times New Roman" w:eastAsia="宋体" w:cs="Times New Roman"/>
                <w:color w:val="auto"/>
                <w:sz w:val="24"/>
                <w:highlight w:val="none"/>
                <w:lang w:val="en-US" w:eastAsia="zh-CN"/>
              </w:rPr>
              <w:t>产噪情况详见下表。</w:t>
            </w:r>
          </w:p>
          <w:p w14:paraId="5746541A">
            <w:pPr>
              <w:numPr>
                <w:ilvl w:val="0"/>
                <w:numId w:val="25"/>
              </w:numPr>
              <w:adjustRightInd w:val="0"/>
              <w:spacing w:line="360" w:lineRule="auto"/>
              <w:ind w:left="425" w:leftChars="0" w:hanging="425" w:firstLineChars="0"/>
              <w:jc w:val="center"/>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sz w:val="24"/>
                <w:highlight w:val="none"/>
              </w:rPr>
              <w:t>本项目噪声源强调查清单（室外声源）</w:t>
            </w:r>
          </w:p>
          <w:tbl>
            <w:tblPr>
              <w:tblStyle w:val="24"/>
              <w:tblW w:w="4899" w:type="pct"/>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79"/>
              <w:gridCol w:w="1256"/>
              <w:gridCol w:w="690"/>
              <w:gridCol w:w="528"/>
              <w:gridCol w:w="528"/>
              <w:gridCol w:w="528"/>
              <w:gridCol w:w="849"/>
              <w:gridCol w:w="985"/>
              <w:gridCol w:w="883"/>
              <w:gridCol w:w="690"/>
            </w:tblGrid>
            <w:tr w14:paraId="67F0BB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479" w:type="dxa"/>
                  <w:vMerge w:val="restart"/>
                  <w:tcBorders>
                    <w:tl2br w:val="nil"/>
                    <w:tr2bl w:val="nil"/>
                  </w:tcBorders>
                  <w:vAlign w:val="center"/>
                </w:tcPr>
                <w:p w14:paraId="699740BB">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序号</w:t>
                  </w:r>
                </w:p>
              </w:tc>
              <w:tc>
                <w:tcPr>
                  <w:tcW w:w="1256" w:type="dxa"/>
                  <w:vMerge w:val="restart"/>
                  <w:tcBorders>
                    <w:tl2br w:val="nil"/>
                    <w:tr2bl w:val="nil"/>
                  </w:tcBorders>
                  <w:vAlign w:val="center"/>
                </w:tcPr>
                <w:p w14:paraId="7B3B815C">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声源名称</w:t>
                  </w:r>
                </w:p>
              </w:tc>
              <w:tc>
                <w:tcPr>
                  <w:tcW w:w="690" w:type="dxa"/>
                  <w:vMerge w:val="restart"/>
                  <w:tcBorders>
                    <w:tl2br w:val="nil"/>
                    <w:tr2bl w:val="nil"/>
                  </w:tcBorders>
                  <w:vAlign w:val="center"/>
                </w:tcPr>
                <w:p w14:paraId="2A939BC4">
                  <w:pPr>
                    <w:numPr>
                      <w:ilvl w:val="0"/>
                      <w:numId w:val="0"/>
                    </w:numPr>
                    <w:adjustRightInd w:val="0"/>
                    <w:snapToGrid w:val="0"/>
                    <w:spacing w:line="240" w:lineRule="auto"/>
                    <w:jc w:val="center"/>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数量</w:t>
                  </w:r>
                </w:p>
                <w:p w14:paraId="3FE07AB6">
                  <w:pPr>
                    <w:numPr>
                      <w:ilvl w:val="0"/>
                      <w:numId w:val="0"/>
                    </w:numPr>
                    <w:adjustRightInd w:val="0"/>
                    <w:snapToGrid w:val="0"/>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台</w:t>
                  </w:r>
                </w:p>
              </w:tc>
              <w:tc>
                <w:tcPr>
                  <w:tcW w:w="1584" w:type="dxa"/>
                  <w:gridSpan w:val="3"/>
                  <w:tcBorders>
                    <w:tl2br w:val="nil"/>
                    <w:tr2bl w:val="nil"/>
                  </w:tcBorders>
                  <w:vAlign w:val="center"/>
                </w:tcPr>
                <w:p w14:paraId="3722948C">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空间相对位置/m</w:t>
                  </w:r>
                </w:p>
              </w:tc>
              <w:tc>
                <w:tcPr>
                  <w:tcW w:w="849" w:type="dxa"/>
                  <w:vMerge w:val="restart"/>
                  <w:tcBorders>
                    <w:tl2br w:val="nil"/>
                    <w:tr2bl w:val="nil"/>
                  </w:tcBorders>
                  <w:vAlign w:val="center"/>
                </w:tcPr>
                <w:p w14:paraId="7C2C0732">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声功率级/dB(A)</w:t>
                  </w:r>
                </w:p>
              </w:tc>
              <w:tc>
                <w:tcPr>
                  <w:tcW w:w="985" w:type="dxa"/>
                  <w:vMerge w:val="restart"/>
                  <w:tcBorders>
                    <w:tl2br w:val="nil"/>
                    <w:tr2bl w:val="nil"/>
                  </w:tcBorders>
                  <w:vAlign w:val="center"/>
                </w:tcPr>
                <w:p w14:paraId="29EE943C">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声源控制措施</w:t>
                  </w:r>
                </w:p>
              </w:tc>
              <w:tc>
                <w:tcPr>
                  <w:tcW w:w="883" w:type="dxa"/>
                  <w:vMerge w:val="restart"/>
                  <w:tcBorders>
                    <w:tl2br w:val="nil"/>
                    <w:tr2bl w:val="nil"/>
                  </w:tcBorders>
                  <w:vAlign w:val="center"/>
                </w:tcPr>
                <w:p w14:paraId="6AB5D121">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排放强度</w:t>
                  </w:r>
                  <w:r>
                    <w:rPr>
                      <w:rFonts w:hint="default" w:ascii="Times New Roman" w:hAnsi="Times New Roman" w:eastAsia="宋体" w:cs="Times New Roman"/>
                      <w:b/>
                      <w:bCs/>
                      <w:color w:val="auto"/>
                      <w:sz w:val="21"/>
                      <w:szCs w:val="21"/>
                      <w:highlight w:val="none"/>
                      <w:vertAlign w:val="baseline"/>
                      <w:lang w:val="zh-CN"/>
                    </w:rPr>
                    <w:t>/dB(A)</w:t>
                  </w:r>
                </w:p>
              </w:tc>
              <w:tc>
                <w:tcPr>
                  <w:tcW w:w="690" w:type="dxa"/>
                  <w:vMerge w:val="restart"/>
                  <w:tcBorders>
                    <w:tl2br w:val="nil"/>
                    <w:tr2bl w:val="nil"/>
                  </w:tcBorders>
                  <w:shd w:val="clear" w:color="auto" w:fill="auto"/>
                  <w:vAlign w:val="center"/>
                </w:tcPr>
                <w:p w14:paraId="305564B0">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运行时段</w:t>
                  </w:r>
                </w:p>
              </w:tc>
            </w:tr>
            <w:tr w14:paraId="6442E4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479" w:type="dxa"/>
                  <w:vMerge w:val="continue"/>
                  <w:tcBorders>
                    <w:tl2br w:val="nil"/>
                    <w:tr2bl w:val="nil"/>
                  </w:tcBorders>
                  <w:vAlign w:val="center"/>
                </w:tcPr>
                <w:p w14:paraId="151F251C">
                  <w:pPr>
                    <w:adjustRightInd w:val="0"/>
                    <w:snapToGrid w:val="0"/>
                    <w:jc w:val="center"/>
                    <w:rPr>
                      <w:rFonts w:hint="default" w:ascii="Times New Roman" w:hAnsi="Times New Roman" w:eastAsia="宋体" w:cs="Times New Roman"/>
                      <w:b/>
                      <w:bCs/>
                      <w:color w:val="auto"/>
                      <w:szCs w:val="21"/>
                      <w:highlight w:val="none"/>
                    </w:rPr>
                  </w:pPr>
                </w:p>
              </w:tc>
              <w:tc>
                <w:tcPr>
                  <w:tcW w:w="1256" w:type="dxa"/>
                  <w:vMerge w:val="continue"/>
                  <w:tcBorders>
                    <w:tl2br w:val="nil"/>
                    <w:tr2bl w:val="nil"/>
                  </w:tcBorders>
                  <w:vAlign w:val="center"/>
                </w:tcPr>
                <w:p w14:paraId="421036B3">
                  <w:pPr>
                    <w:adjustRightInd w:val="0"/>
                    <w:snapToGrid w:val="0"/>
                    <w:jc w:val="center"/>
                    <w:rPr>
                      <w:rFonts w:hint="default" w:ascii="Times New Roman" w:hAnsi="Times New Roman" w:eastAsia="宋体" w:cs="Times New Roman"/>
                      <w:b/>
                      <w:bCs/>
                      <w:color w:val="auto"/>
                      <w:szCs w:val="21"/>
                      <w:highlight w:val="none"/>
                    </w:rPr>
                  </w:pPr>
                </w:p>
              </w:tc>
              <w:tc>
                <w:tcPr>
                  <w:tcW w:w="690" w:type="dxa"/>
                  <w:vMerge w:val="continue"/>
                  <w:tcBorders>
                    <w:tl2br w:val="nil"/>
                    <w:tr2bl w:val="nil"/>
                  </w:tcBorders>
                  <w:vAlign w:val="center"/>
                </w:tcPr>
                <w:p w14:paraId="7F65DA16">
                  <w:pPr>
                    <w:adjustRightInd w:val="0"/>
                    <w:snapToGrid w:val="0"/>
                    <w:jc w:val="center"/>
                    <w:rPr>
                      <w:rFonts w:hint="default" w:ascii="Times New Roman" w:hAnsi="Times New Roman" w:eastAsia="宋体" w:cs="Times New Roman"/>
                      <w:b/>
                      <w:bCs/>
                      <w:color w:val="auto"/>
                      <w:szCs w:val="21"/>
                      <w:highlight w:val="none"/>
                    </w:rPr>
                  </w:pPr>
                </w:p>
              </w:tc>
              <w:tc>
                <w:tcPr>
                  <w:tcW w:w="528" w:type="dxa"/>
                  <w:tcBorders>
                    <w:tl2br w:val="nil"/>
                    <w:tr2bl w:val="nil"/>
                  </w:tcBorders>
                  <w:vAlign w:val="center"/>
                </w:tcPr>
                <w:p w14:paraId="3F4FFCFE">
                  <w:pPr>
                    <w:adjustRightInd w:val="0"/>
                    <w:snapToGrid w:val="0"/>
                    <w:ind w:left="0" w:leftChars="0"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X</w:t>
                  </w:r>
                </w:p>
              </w:tc>
              <w:tc>
                <w:tcPr>
                  <w:tcW w:w="528" w:type="dxa"/>
                  <w:tcBorders>
                    <w:tl2br w:val="nil"/>
                    <w:tr2bl w:val="nil"/>
                  </w:tcBorders>
                  <w:vAlign w:val="center"/>
                </w:tcPr>
                <w:p w14:paraId="6DE1D877">
                  <w:pPr>
                    <w:adjustRightInd w:val="0"/>
                    <w:snapToGrid w:val="0"/>
                    <w:ind w:left="0" w:leftChars="0"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Y</w:t>
                  </w:r>
                </w:p>
              </w:tc>
              <w:tc>
                <w:tcPr>
                  <w:tcW w:w="528" w:type="dxa"/>
                  <w:tcBorders>
                    <w:tl2br w:val="nil"/>
                    <w:tr2bl w:val="nil"/>
                  </w:tcBorders>
                  <w:vAlign w:val="center"/>
                </w:tcPr>
                <w:p w14:paraId="39AB8EBD">
                  <w:pPr>
                    <w:adjustRightInd w:val="0"/>
                    <w:snapToGrid w:val="0"/>
                    <w:ind w:left="0" w:leftChars="0"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Z</w:t>
                  </w:r>
                </w:p>
              </w:tc>
              <w:tc>
                <w:tcPr>
                  <w:tcW w:w="849" w:type="dxa"/>
                  <w:vMerge w:val="continue"/>
                  <w:tcBorders>
                    <w:tl2br w:val="nil"/>
                    <w:tr2bl w:val="nil"/>
                  </w:tcBorders>
                  <w:vAlign w:val="center"/>
                </w:tcPr>
                <w:p w14:paraId="25F9DA04">
                  <w:pPr>
                    <w:adjustRightInd w:val="0"/>
                    <w:snapToGrid w:val="0"/>
                    <w:jc w:val="center"/>
                    <w:rPr>
                      <w:rFonts w:hint="default" w:ascii="Times New Roman" w:hAnsi="Times New Roman" w:eastAsia="宋体" w:cs="Times New Roman"/>
                      <w:b/>
                      <w:bCs/>
                      <w:color w:val="auto"/>
                      <w:szCs w:val="21"/>
                      <w:highlight w:val="none"/>
                    </w:rPr>
                  </w:pPr>
                </w:p>
              </w:tc>
              <w:tc>
                <w:tcPr>
                  <w:tcW w:w="985" w:type="dxa"/>
                  <w:vMerge w:val="continue"/>
                  <w:tcBorders>
                    <w:tl2br w:val="nil"/>
                    <w:tr2bl w:val="nil"/>
                  </w:tcBorders>
                  <w:vAlign w:val="center"/>
                </w:tcPr>
                <w:p w14:paraId="02212153">
                  <w:pPr>
                    <w:adjustRightInd w:val="0"/>
                    <w:snapToGrid w:val="0"/>
                    <w:jc w:val="center"/>
                    <w:rPr>
                      <w:rFonts w:hint="default" w:ascii="Times New Roman" w:hAnsi="Times New Roman" w:eastAsia="宋体" w:cs="Times New Roman"/>
                      <w:b/>
                      <w:bCs/>
                      <w:color w:val="auto"/>
                      <w:szCs w:val="21"/>
                      <w:highlight w:val="none"/>
                    </w:rPr>
                  </w:pPr>
                </w:p>
              </w:tc>
              <w:tc>
                <w:tcPr>
                  <w:tcW w:w="883" w:type="dxa"/>
                  <w:vMerge w:val="continue"/>
                  <w:tcBorders>
                    <w:tl2br w:val="nil"/>
                    <w:tr2bl w:val="nil"/>
                  </w:tcBorders>
                  <w:vAlign w:val="center"/>
                </w:tcPr>
                <w:p w14:paraId="6DC235D0">
                  <w:pPr>
                    <w:adjustRightInd w:val="0"/>
                    <w:snapToGrid w:val="0"/>
                    <w:jc w:val="center"/>
                    <w:rPr>
                      <w:rFonts w:hint="default" w:ascii="Times New Roman" w:hAnsi="Times New Roman" w:eastAsia="宋体" w:cs="Times New Roman"/>
                      <w:b/>
                      <w:bCs/>
                      <w:color w:val="auto"/>
                      <w:szCs w:val="21"/>
                      <w:highlight w:val="none"/>
                    </w:rPr>
                  </w:pPr>
                </w:p>
              </w:tc>
              <w:tc>
                <w:tcPr>
                  <w:tcW w:w="690" w:type="dxa"/>
                  <w:vMerge w:val="continue"/>
                  <w:tcBorders>
                    <w:tl2br w:val="nil"/>
                    <w:tr2bl w:val="nil"/>
                  </w:tcBorders>
                  <w:vAlign w:val="center"/>
                </w:tcPr>
                <w:p w14:paraId="230C1F91">
                  <w:pPr>
                    <w:adjustRightInd w:val="0"/>
                    <w:snapToGrid w:val="0"/>
                    <w:jc w:val="center"/>
                    <w:rPr>
                      <w:rFonts w:hint="default" w:ascii="Times New Roman" w:hAnsi="Times New Roman" w:eastAsia="宋体" w:cs="Times New Roman"/>
                      <w:b/>
                      <w:bCs/>
                      <w:color w:val="auto"/>
                      <w:szCs w:val="21"/>
                      <w:highlight w:val="none"/>
                    </w:rPr>
                  </w:pPr>
                </w:p>
              </w:tc>
            </w:tr>
            <w:tr w14:paraId="2198CA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6" w:hRule="atLeast"/>
              </w:trPr>
              <w:tc>
                <w:tcPr>
                  <w:tcW w:w="479" w:type="dxa"/>
                  <w:tcBorders>
                    <w:tl2br w:val="nil"/>
                    <w:tr2bl w:val="nil"/>
                  </w:tcBorders>
                  <w:vAlign w:val="center"/>
                </w:tcPr>
                <w:p w14:paraId="7DB37CB1">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1256" w:type="dxa"/>
                  <w:tcBorders>
                    <w:tl2br w:val="nil"/>
                    <w:tr2bl w:val="nil"/>
                  </w:tcBorders>
                  <w:shd w:val="clear" w:color="auto" w:fill="FFFFFF"/>
                  <w:vAlign w:val="center"/>
                </w:tcPr>
                <w:p w14:paraId="4627BC91">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空调外机</w:t>
                  </w:r>
                  <w:r>
                    <w:rPr>
                      <w:rFonts w:hint="eastAsia" w:cs="Times New Roman"/>
                      <w:color w:val="auto"/>
                      <w:sz w:val="21"/>
                      <w:szCs w:val="21"/>
                      <w:highlight w:val="none"/>
                      <w:vertAlign w:val="baseline"/>
                      <w:lang w:val="en-US" w:eastAsia="zh-CN"/>
                    </w:rPr>
                    <w:t>-1</w:t>
                  </w:r>
                </w:p>
              </w:tc>
              <w:tc>
                <w:tcPr>
                  <w:tcW w:w="690" w:type="dxa"/>
                  <w:tcBorders>
                    <w:tl2br w:val="nil"/>
                    <w:tr2bl w:val="nil"/>
                  </w:tcBorders>
                  <w:shd w:val="clear" w:color="auto" w:fill="FFFFFF"/>
                  <w:vAlign w:val="center"/>
                </w:tcPr>
                <w:p w14:paraId="2BCF09DB">
                  <w:pPr>
                    <w:numPr>
                      <w:ilvl w:val="0"/>
                      <w:numId w:val="0"/>
                    </w:numPr>
                    <w:adjustRightInd w:val="0"/>
                    <w:snapToGri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528" w:type="dxa"/>
                  <w:tcBorders>
                    <w:tl2br w:val="nil"/>
                    <w:tr2bl w:val="nil"/>
                  </w:tcBorders>
                  <w:shd w:val="clear" w:color="auto" w:fill="FFFFFF"/>
                  <w:vAlign w:val="center"/>
                </w:tcPr>
                <w:p w14:paraId="2CD941D3">
                  <w:pPr>
                    <w:numPr>
                      <w:ilvl w:val="0"/>
                      <w:numId w:val="0"/>
                    </w:numPr>
                    <w:adjustRightInd w:val="0"/>
                    <w:snapToGri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-8.4</w:t>
                  </w:r>
                </w:p>
              </w:tc>
              <w:tc>
                <w:tcPr>
                  <w:tcW w:w="528" w:type="dxa"/>
                  <w:tcBorders>
                    <w:tl2br w:val="nil"/>
                    <w:tr2bl w:val="nil"/>
                  </w:tcBorders>
                  <w:shd w:val="clear" w:color="auto" w:fill="FFFFFF"/>
                  <w:vAlign w:val="center"/>
                </w:tcPr>
                <w:p w14:paraId="228DBFDC">
                  <w:pPr>
                    <w:numPr>
                      <w:ilvl w:val="0"/>
                      <w:numId w:val="0"/>
                    </w:numPr>
                    <w:adjustRightInd w:val="0"/>
                    <w:snapToGri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-19.6</w:t>
                  </w:r>
                </w:p>
              </w:tc>
              <w:tc>
                <w:tcPr>
                  <w:tcW w:w="528" w:type="dxa"/>
                  <w:tcBorders>
                    <w:tl2br w:val="nil"/>
                    <w:tr2bl w:val="nil"/>
                  </w:tcBorders>
                  <w:shd w:val="clear" w:color="auto" w:fill="FFFFFF"/>
                  <w:vAlign w:val="center"/>
                </w:tcPr>
                <w:p w14:paraId="18C143F0">
                  <w:pPr>
                    <w:numPr>
                      <w:ilvl w:val="0"/>
                      <w:numId w:val="0"/>
                    </w:numPr>
                    <w:adjustRightInd w:val="0"/>
                    <w:snapToGri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w:t>
                  </w:r>
                </w:p>
              </w:tc>
              <w:tc>
                <w:tcPr>
                  <w:tcW w:w="849" w:type="dxa"/>
                  <w:tcBorders>
                    <w:tl2br w:val="nil"/>
                    <w:tr2bl w:val="nil"/>
                  </w:tcBorders>
                  <w:shd w:val="clear" w:color="auto" w:fill="auto"/>
                  <w:vAlign w:val="center"/>
                </w:tcPr>
                <w:p w14:paraId="29ABE757">
                  <w:pPr>
                    <w:numPr>
                      <w:ilvl w:val="0"/>
                      <w:numId w:val="0"/>
                    </w:numPr>
                    <w:adjustRightInd w:val="0"/>
                    <w:snapToGri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60</w:t>
                  </w:r>
                </w:p>
              </w:tc>
              <w:tc>
                <w:tcPr>
                  <w:tcW w:w="985" w:type="dxa"/>
                  <w:vMerge w:val="restart"/>
                  <w:tcBorders>
                    <w:tl2br w:val="nil"/>
                    <w:tr2bl w:val="nil"/>
                  </w:tcBorders>
                  <w:vAlign w:val="center"/>
                </w:tcPr>
                <w:p w14:paraId="691A1FCC">
                  <w:pPr>
                    <w:numPr>
                      <w:ilvl w:val="0"/>
                      <w:numId w:val="0"/>
                    </w:numPr>
                    <w:adjustRightInd w:val="0"/>
                    <w:snapToGrid w:val="0"/>
                    <w:spacing w:line="240" w:lineRule="auto"/>
                    <w:jc w:val="center"/>
                    <w:rPr>
                      <w:rFonts w:hint="default"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选用低噪声设备、减振等措施</w:t>
                  </w:r>
                </w:p>
              </w:tc>
              <w:tc>
                <w:tcPr>
                  <w:tcW w:w="883" w:type="dxa"/>
                  <w:tcBorders>
                    <w:tl2br w:val="nil"/>
                    <w:tr2bl w:val="nil"/>
                  </w:tcBorders>
                  <w:vAlign w:val="center"/>
                </w:tcPr>
                <w:p w14:paraId="1F4C32B6">
                  <w:pPr>
                    <w:numPr>
                      <w:ilvl w:val="0"/>
                      <w:numId w:val="0"/>
                    </w:numPr>
                    <w:adjustRightInd w:val="0"/>
                    <w:snapToGri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60</w:t>
                  </w:r>
                </w:p>
              </w:tc>
              <w:tc>
                <w:tcPr>
                  <w:tcW w:w="690" w:type="dxa"/>
                  <w:tcBorders>
                    <w:tl2br w:val="nil"/>
                    <w:tr2bl w:val="nil"/>
                  </w:tcBorders>
                  <w:vAlign w:val="center"/>
                </w:tcPr>
                <w:p w14:paraId="0F4F8BAD">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昼间</w:t>
                  </w:r>
                </w:p>
                <w:p w14:paraId="18B1348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运行</w:t>
                  </w:r>
                </w:p>
              </w:tc>
            </w:tr>
            <w:tr w14:paraId="509494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6" w:hRule="atLeast"/>
              </w:trPr>
              <w:tc>
                <w:tcPr>
                  <w:tcW w:w="479" w:type="dxa"/>
                  <w:tcBorders>
                    <w:tl2br w:val="nil"/>
                    <w:tr2bl w:val="nil"/>
                  </w:tcBorders>
                  <w:shd w:val="clear" w:color="auto" w:fill="auto"/>
                  <w:vAlign w:val="center"/>
                </w:tcPr>
                <w:p w14:paraId="1AA632F7">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w:t>
                  </w:r>
                </w:p>
              </w:tc>
              <w:tc>
                <w:tcPr>
                  <w:tcW w:w="1256" w:type="dxa"/>
                  <w:tcBorders>
                    <w:tl2br w:val="nil"/>
                    <w:tr2bl w:val="nil"/>
                  </w:tcBorders>
                  <w:shd w:val="clear" w:color="auto" w:fill="FFFFFF"/>
                  <w:vAlign w:val="center"/>
                </w:tcPr>
                <w:p w14:paraId="0DE9C98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空调外机</w:t>
                  </w:r>
                  <w:r>
                    <w:rPr>
                      <w:rFonts w:hint="eastAsia" w:cs="Times New Roman"/>
                      <w:color w:val="auto"/>
                      <w:sz w:val="21"/>
                      <w:szCs w:val="21"/>
                      <w:highlight w:val="none"/>
                      <w:vertAlign w:val="baseline"/>
                      <w:lang w:val="en-US" w:eastAsia="zh-CN"/>
                    </w:rPr>
                    <w:t>-2</w:t>
                  </w:r>
                </w:p>
              </w:tc>
              <w:tc>
                <w:tcPr>
                  <w:tcW w:w="690" w:type="dxa"/>
                  <w:tcBorders>
                    <w:tl2br w:val="nil"/>
                    <w:tr2bl w:val="nil"/>
                  </w:tcBorders>
                  <w:shd w:val="clear" w:color="auto" w:fill="FFFFFF"/>
                  <w:vAlign w:val="center"/>
                </w:tcPr>
                <w:p w14:paraId="7F4A2C6D">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528" w:type="dxa"/>
                  <w:tcBorders>
                    <w:tl2br w:val="nil"/>
                    <w:tr2bl w:val="nil"/>
                  </w:tcBorders>
                  <w:shd w:val="clear" w:color="auto" w:fill="FFFFFF"/>
                  <w:vAlign w:val="center"/>
                </w:tcPr>
                <w:p w14:paraId="34C471AA">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528" w:type="dxa"/>
                  <w:tcBorders>
                    <w:tl2br w:val="nil"/>
                    <w:tr2bl w:val="nil"/>
                  </w:tcBorders>
                  <w:shd w:val="clear" w:color="auto" w:fill="FFFFFF"/>
                  <w:vAlign w:val="center"/>
                </w:tcPr>
                <w:p w14:paraId="5096E1BC">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-19.4</w:t>
                  </w:r>
                </w:p>
              </w:tc>
              <w:tc>
                <w:tcPr>
                  <w:tcW w:w="528" w:type="dxa"/>
                  <w:tcBorders>
                    <w:tl2br w:val="nil"/>
                    <w:tr2bl w:val="nil"/>
                  </w:tcBorders>
                  <w:shd w:val="clear" w:color="auto" w:fill="FFFFFF"/>
                  <w:vAlign w:val="center"/>
                </w:tcPr>
                <w:p w14:paraId="4D4B4B66">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w:t>
                  </w:r>
                </w:p>
              </w:tc>
              <w:tc>
                <w:tcPr>
                  <w:tcW w:w="849" w:type="dxa"/>
                  <w:tcBorders>
                    <w:tl2br w:val="nil"/>
                    <w:tr2bl w:val="nil"/>
                  </w:tcBorders>
                  <w:shd w:val="clear" w:color="auto" w:fill="auto"/>
                  <w:vAlign w:val="center"/>
                </w:tcPr>
                <w:p w14:paraId="59F36D1B">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60</w:t>
                  </w:r>
                </w:p>
              </w:tc>
              <w:tc>
                <w:tcPr>
                  <w:tcW w:w="985" w:type="dxa"/>
                  <w:vMerge w:val="continue"/>
                  <w:tcBorders>
                    <w:tl2br w:val="nil"/>
                    <w:tr2bl w:val="nil"/>
                  </w:tcBorders>
                  <w:vAlign w:val="center"/>
                </w:tcPr>
                <w:p w14:paraId="77995C3D">
                  <w:pPr>
                    <w:numPr>
                      <w:ilvl w:val="0"/>
                      <w:numId w:val="0"/>
                    </w:numPr>
                    <w:adjustRightInd w:val="0"/>
                    <w:snapToGrid w:val="0"/>
                    <w:spacing w:line="240" w:lineRule="auto"/>
                    <w:jc w:val="center"/>
                    <w:rPr>
                      <w:rFonts w:hint="default" w:cs="Times New Roman"/>
                      <w:color w:val="auto"/>
                      <w:sz w:val="21"/>
                      <w:szCs w:val="21"/>
                      <w:highlight w:val="none"/>
                      <w:vertAlign w:val="baseline"/>
                      <w:lang w:val="en-US" w:eastAsia="zh-CN"/>
                    </w:rPr>
                  </w:pPr>
                </w:p>
              </w:tc>
              <w:tc>
                <w:tcPr>
                  <w:tcW w:w="883" w:type="dxa"/>
                  <w:tcBorders>
                    <w:tl2br w:val="nil"/>
                    <w:tr2bl w:val="nil"/>
                  </w:tcBorders>
                  <w:vAlign w:val="center"/>
                </w:tcPr>
                <w:p w14:paraId="48507502">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60</w:t>
                  </w:r>
                </w:p>
              </w:tc>
              <w:tc>
                <w:tcPr>
                  <w:tcW w:w="690" w:type="dxa"/>
                  <w:tcBorders>
                    <w:tl2br w:val="nil"/>
                    <w:tr2bl w:val="nil"/>
                  </w:tcBorders>
                  <w:vAlign w:val="center"/>
                </w:tcPr>
                <w:p w14:paraId="51B6120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昼间</w:t>
                  </w:r>
                </w:p>
                <w:p w14:paraId="4FD45EE9">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运行</w:t>
                  </w:r>
                </w:p>
              </w:tc>
            </w:tr>
            <w:tr w14:paraId="3D42E8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6" w:hRule="atLeast"/>
              </w:trPr>
              <w:tc>
                <w:tcPr>
                  <w:tcW w:w="479" w:type="dxa"/>
                  <w:tcBorders>
                    <w:tl2br w:val="nil"/>
                    <w:tr2bl w:val="nil"/>
                  </w:tcBorders>
                  <w:shd w:val="clear" w:color="auto" w:fill="auto"/>
                  <w:vAlign w:val="center"/>
                </w:tcPr>
                <w:p w14:paraId="30F41D3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3</w:t>
                  </w:r>
                </w:p>
              </w:tc>
              <w:tc>
                <w:tcPr>
                  <w:tcW w:w="1256" w:type="dxa"/>
                  <w:tcBorders>
                    <w:tl2br w:val="nil"/>
                    <w:tr2bl w:val="nil"/>
                  </w:tcBorders>
                  <w:shd w:val="clear" w:color="auto" w:fill="FFFFFF"/>
                  <w:vAlign w:val="center"/>
                </w:tcPr>
                <w:p w14:paraId="1EF2F0C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空调外机</w:t>
                  </w:r>
                  <w:r>
                    <w:rPr>
                      <w:rFonts w:hint="eastAsia" w:cs="Times New Roman"/>
                      <w:color w:val="auto"/>
                      <w:sz w:val="21"/>
                      <w:szCs w:val="21"/>
                      <w:highlight w:val="none"/>
                      <w:vertAlign w:val="baseline"/>
                      <w:lang w:val="en-US" w:eastAsia="zh-CN"/>
                    </w:rPr>
                    <w:t>-3</w:t>
                  </w:r>
                </w:p>
              </w:tc>
              <w:tc>
                <w:tcPr>
                  <w:tcW w:w="690" w:type="dxa"/>
                  <w:tcBorders>
                    <w:tl2br w:val="nil"/>
                    <w:tr2bl w:val="nil"/>
                  </w:tcBorders>
                  <w:shd w:val="clear" w:color="auto" w:fill="FFFFFF"/>
                  <w:vAlign w:val="center"/>
                </w:tcPr>
                <w:p w14:paraId="4EF59566">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528" w:type="dxa"/>
                  <w:tcBorders>
                    <w:tl2br w:val="nil"/>
                    <w:tr2bl w:val="nil"/>
                  </w:tcBorders>
                  <w:shd w:val="clear" w:color="auto" w:fill="FFFFFF"/>
                  <w:vAlign w:val="center"/>
                </w:tcPr>
                <w:p w14:paraId="7625674A">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13.1</w:t>
                  </w:r>
                </w:p>
              </w:tc>
              <w:tc>
                <w:tcPr>
                  <w:tcW w:w="528" w:type="dxa"/>
                  <w:tcBorders>
                    <w:tl2br w:val="nil"/>
                    <w:tr2bl w:val="nil"/>
                  </w:tcBorders>
                  <w:shd w:val="clear" w:color="auto" w:fill="FFFFFF"/>
                  <w:vAlign w:val="center"/>
                </w:tcPr>
                <w:p w14:paraId="5E67BC0F">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-19.4</w:t>
                  </w:r>
                </w:p>
              </w:tc>
              <w:tc>
                <w:tcPr>
                  <w:tcW w:w="528" w:type="dxa"/>
                  <w:tcBorders>
                    <w:tl2br w:val="nil"/>
                    <w:tr2bl w:val="nil"/>
                  </w:tcBorders>
                  <w:shd w:val="clear" w:color="auto" w:fill="FFFFFF"/>
                  <w:vAlign w:val="center"/>
                </w:tcPr>
                <w:p w14:paraId="542A3BBB">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w:t>
                  </w:r>
                </w:p>
              </w:tc>
              <w:tc>
                <w:tcPr>
                  <w:tcW w:w="849" w:type="dxa"/>
                  <w:tcBorders>
                    <w:tl2br w:val="nil"/>
                    <w:tr2bl w:val="nil"/>
                  </w:tcBorders>
                  <w:shd w:val="clear" w:color="auto" w:fill="auto"/>
                  <w:vAlign w:val="center"/>
                </w:tcPr>
                <w:p w14:paraId="6F13310F">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60</w:t>
                  </w:r>
                </w:p>
              </w:tc>
              <w:tc>
                <w:tcPr>
                  <w:tcW w:w="985" w:type="dxa"/>
                  <w:vMerge w:val="continue"/>
                  <w:tcBorders>
                    <w:tl2br w:val="nil"/>
                    <w:tr2bl w:val="nil"/>
                  </w:tcBorders>
                  <w:vAlign w:val="center"/>
                </w:tcPr>
                <w:p w14:paraId="4B8597E9">
                  <w:pPr>
                    <w:numPr>
                      <w:ilvl w:val="0"/>
                      <w:numId w:val="0"/>
                    </w:numPr>
                    <w:adjustRightInd w:val="0"/>
                    <w:snapToGrid w:val="0"/>
                    <w:spacing w:line="240" w:lineRule="auto"/>
                    <w:jc w:val="center"/>
                    <w:rPr>
                      <w:rFonts w:hint="default" w:cs="Times New Roman"/>
                      <w:color w:val="auto"/>
                      <w:sz w:val="21"/>
                      <w:szCs w:val="21"/>
                      <w:highlight w:val="none"/>
                      <w:vertAlign w:val="baseline"/>
                      <w:lang w:val="en-US" w:eastAsia="zh-CN"/>
                    </w:rPr>
                  </w:pPr>
                </w:p>
              </w:tc>
              <w:tc>
                <w:tcPr>
                  <w:tcW w:w="883" w:type="dxa"/>
                  <w:tcBorders>
                    <w:tl2br w:val="nil"/>
                    <w:tr2bl w:val="nil"/>
                  </w:tcBorders>
                  <w:vAlign w:val="center"/>
                </w:tcPr>
                <w:p w14:paraId="699BD4CB">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60</w:t>
                  </w:r>
                </w:p>
              </w:tc>
              <w:tc>
                <w:tcPr>
                  <w:tcW w:w="690" w:type="dxa"/>
                  <w:tcBorders>
                    <w:tl2br w:val="nil"/>
                    <w:tr2bl w:val="nil"/>
                  </w:tcBorders>
                  <w:vAlign w:val="center"/>
                </w:tcPr>
                <w:p w14:paraId="3D8F8C8C">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昼间</w:t>
                  </w:r>
                </w:p>
                <w:p w14:paraId="4B9E9549">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运行</w:t>
                  </w:r>
                </w:p>
              </w:tc>
            </w:tr>
            <w:tr w14:paraId="005DCD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6" w:hRule="atLeast"/>
              </w:trPr>
              <w:tc>
                <w:tcPr>
                  <w:tcW w:w="479" w:type="dxa"/>
                  <w:tcBorders>
                    <w:tl2br w:val="nil"/>
                    <w:tr2bl w:val="nil"/>
                  </w:tcBorders>
                  <w:shd w:val="clear" w:color="auto" w:fill="auto"/>
                  <w:vAlign w:val="center"/>
                </w:tcPr>
                <w:p w14:paraId="5855CF3B">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4</w:t>
                  </w:r>
                </w:p>
              </w:tc>
              <w:tc>
                <w:tcPr>
                  <w:tcW w:w="1256" w:type="dxa"/>
                  <w:tcBorders>
                    <w:tl2br w:val="nil"/>
                    <w:tr2bl w:val="nil"/>
                  </w:tcBorders>
                  <w:shd w:val="clear" w:color="auto" w:fill="FFFFFF"/>
                  <w:vAlign w:val="center"/>
                </w:tcPr>
                <w:p w14:paraId="608F4BE0">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空调外机</w:t>
                  </w:r>
                  <w:r>
                    <w:rPr>
                      <w:rFonts w:hint="eastAsia" w:cs="Times New Roman"/>
                      <w:color w:val="auto"/>
                      <w:sz w:val="21"/>
                      <w:szCs w:val="21"/>
                      <w:highlight w:val="none"/>
                      <w:vertAlign w:val="baseline"/>
                      <w:lang w:val="en-US" w:eastAsia="zh-CN"/>
                    </w:rPr>
                    <w:t>-4</w:t>
                  </w:r>
                </w:p>
              </w:tc>
              <w:tc>
                <w:tcPr>
                  <w:tcW w:w="690" w:type="dxa"/>
                  <w:tcBorders>
                    <w:tl2br w:val="nil"/>
                    <w:tr2bl w:val="nil"/>
                  </w:tcBorders>
                  <w:shd w:val="clear" w:color="auto" w:fill="FFFFFF"/>
                  <w:vAlign w:val="center"/>
                </w:tcPr>
                <w:p w14:paraId="174BA07A">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528" w:type="dxa"/>
                  <w:tcBorders>
                    <w:tl2br w:val="nil"/>
                    <w:tr2bl w:val="nil"/>
                  </w:tcBorders>
                  <w:shd w:val="clear" w:color="auto" w:fill="FFFFFF"/>
                  <w:vAlign w:val="center"/>
                </w:tcPr>
                <w:p w14:paraId="47098A42">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-7.1</w:t>
                  </w:r>
                </w:p>
              </w:tc>
              <w:tc>
                <w:tcPr>
                  <w:tcW w:w="528" w:type="dxa"/>
                  <w:tcBorders>
                    <w:tl2br w:val="nil"/>
                    <w:tr2bl w:val="nil"/>
                  </w:tcBorders>
                  <w:shd w:val="clear" w:color="auto" w:fill="FFFFFF"/>
                  <w:vAlign w:val="center"/>
                </w:tcPr>
                <w:p w14:paraId="712D64DB">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19.9</w:t>
                  </w:r>
                </w:p>
              </w:tc>
              <w:tc>
                <w:tcPr>
                  <w:tcW w:w="528" w:type="dxa"/>
                  <w:tcBorders>
                    <w:tl2br w:val="nil"/>
                    <w:tr2bl w:val="nil"/>
                  </w:tcBorders>
                  <w:shd w:val="clear" w:color="auto" w:fill="FFFFFF"/>
                  <w:vAlign w:val="center"/>
                </w:tcPr>
                <w:p w14:paraId="5920C4FA">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w:t>
                  </w:r>
                </w:p>
              </w:tc>
              <w:tc>
                <w:tcPr>
                  <w:tcW w:w="849" w:type="dxa"/>
                  <w:tcBorders>
                    <w:tl2br w:val="nil"/>
                    <w:tr2bl w:val="nil"/>
                  </w:tcBorders>
                  <w:shd w:val="clear" w:color="auto" w:fill="auto"/>
                  <w:vAlign w:val="center"/>
                </w:tcPr>
                <w:p w14:paraId="3A15A334">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60</w:t>
                  </w:r>
                </w:p>
              </w:tc>
              <w:tc>
                <w:tcPr>
                  <w:tcW w:w="985" w:type="dxa"/>
                  <w:vMerge w:val="continue"/>
                  <w:tcBorders>
                    <w:tl2br w:val="nil"/>
                    <w:tr2bl w:val="nil"/>
                  </w:tcBorders>
                  <w:vAlign w:val="center"/>
                </w:tcPr>
                <w:p w14:paraId="74D35489">
                  <w:pPr>
                    <w:numPr>
                      <w:ilvl w:val="0"/>
                      <w:numId w:val="0"/>
                    </w:numPr>
                    <w:adjustRightInd w:val="0"/>
                    <w:snapToGrid w:val="0"/>
                    <w:spacing w:line="240" w:lineRule="auto"/>
                    <w:jc w:val="center"/>
                    <w:rPr>
                      <w:rFonts w:hint="default" w:cs="Times New Roman"/>
                      <w:color w:val="auto"/>
                      <w:sz w:val="21"/>
                      <w:szCs w:val="21"/>
                      <w:highlight w:val="none"/>
                      <w:vertAlign w:val="baseline"/>
                      <w:lang w:val="en-US" w:eastAsia="zh-CN"/>
                    </w:rPr>
                  </w:pPr>
                </w:p>
              </w:tc>
              <w:tc>
                <w:tcPr>
                  <w:tcW w:w="883" w:type="dxa"/>
                  <w:tcBorders>
                    <w:tl2br w:val="nil"/>
                    <w:tr2bl w:val="nil"/>
                  </w:tcBorders>
                  <w:vAlign w:val="center"/>
                </w:tcPr>
                <w:p w14:paraId="75C64964">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60</w:t>
                  </w:r>
                </w:p>
              </w:tc>
              <w:tc>
                <w:tcPr>
                  <w:tcW w:w="690" w:type="dxa"/>
                  <w:tcBorders>
                    <w:tl2br w:val="nil"/>
                    <w:tr2bl w:val="nil"/>
                  </w:tcBorders>
                  <w:vAlign w:val="center"/>
                </w:tcPr>
                <w:p w14:paraId="684A3F62">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昼间</w:t>
                  </w:r>
                </w:p>
                <w:p w14:paraId="28D2FF1F">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运行</w:t>
                  </w:r>
                </w:p>
              </w:tc>
            </w:tr>
            <w:tr w14:paraId="605308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6" w:hRule="atLeast"/>
              </w:trPr>
              <w:tc>
                <w:tcPr>
                  <w:tcW w:w="479" w:type="dxa"/>
                  <w:tcBorders>
                    <w:tl2br w:val="nil"/>
                    <w:tr2bl w:val="nil"/>
                  </w:tcBorders>
                  <w:vAlign w:val="center"/>
                </w:tcPr>
                <w:p w14:paraId="58566C66">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w:t>
                  </w:r>
                </w:p>
              </w:tc>
              <w:tc>
                <w:tcPr>
                  <w:tcW w:w="1256" w:type="dxa"/>
                  <w:tcBorders>
                    <w:tl2br w:val="nil"/>
                    <w:tr2bl w:val="nil"/>
                  </w:tcBorders>
                  <w:shd w:val="clear" w:color="auto" w:fill="FFFFFF"/>
                  <w:vAlign w:val="center"/>
                </w:tcPr>
                <w:p w14:paraId="0CA719FE">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空调外机</w:t>
                  </w:r>
                  <w:r>
                    <w:rPr>
                      <w:rFonts w:hint="eastAsia" w:cs="Times New Roman"/>
                      <w:color w:val="auto"/>
                      <w:sz w:val="21"/>
                      <w:szCs w:val="21"/>
                      <w:highlight w:val="none"/>
                      <w:vertAlign w:val="baseline"/>
                      <w:lang w:val="en-US" w:eastAsia="zh-CN"/>
                    </w:rPr>
                    <w:t>-5</w:t>
                  </w:r>
                </w:p>
              </w:tc>
              <w:tc>
                <w:tcPr>
                  <w:tcW w:w="690" w:type="dxa"/>
                  <w:tcBorders>
                    <w:tl2br w:val="nil"/>
                    <w:tr2bl w:val="nil"/>
                  </w:tcBorders>
                  <w:shd w:val="clear" w:color="auto" w:fill="FFFFFF"/>
                  <w:vAlign w:val="center"/>
                </w:tcPr>
                <w:p w14:paraId="7D497862">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528" w:type="dxa"/>
                  <w:tcBorders>
                    <w:tl2br w:val="nil"/>
                    <w:tr2bl w:val="nil"/>
                  </w:tcBorders>
                  <w:shd w:val="clear" w:color="auto" w:fill="FFFFFF"/>
                  <w:vAlign w:val="center"/>
                </w:tcPr>
                <w:p w14:paraId="279D59D7">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8.5</w:t>
                  </w:r>
                </w:p>
              </w:tc>
              <w:tc>
                <w:tcPr>
                  <w:tcW w:w="528" w:type="dxa"/>
                  <w:tcBorders>
                    <w:tl2br w:val="nil"/>
                    <w:tr2bl w:val="nil"/>
                  </w:tcBorders>
                  <w:shd w:val="clear" w:color="auto" w:fill="FFFFFF"/>
                  <w:vAlign w:val="center"/>
                </w:tcPr>
                <w:p w14:paraId="20BB60F6">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19.9</w:t>
                  </w:r>
                </w:p>
              </w:tc>
              <w:tc>
                <w:tcPr>
                  <w:tcW w:w="528" w:type="dxa"/>
                  <w:tcBorders>
                    <w:tl2br w:val="nil"/>
                    <w:tr2bl w:val="nil"/>
                  </w:tcBorders>
                  <w:shd w:val="clear" w:color="auto" w:fill="FFFFFF"/>
                  <w:vAlign w:val="center"/>
                </w:tcPr>
                <w:p w14:paraId="4D1B5429">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w:t>
                  </w:r>
                </w:p>
              </w:tc>
              <w:tc>
                <w:tcPr>
                  <w:tcW w:w="849" w:type="dxa"/>
                  <w:tcBorders>
                    <w:tl2br w:val="nil"/>
                    <w:tr2bl w:val="nil"/>
                  </w:tcBorders>
                  <w:shd w:val="clear" w:color="auto" w:fill="auto"/>
                  <w:vAlign w:val="center"/>
                </w:tcPr>
                <w:p w14:paraId="27739746">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60</w:t>
                  </w:r>
                </w:p>
              </w:tc>
              <w:tc>
                <w:tcPr>
                  <w:tcW w:w="985" w:type="dxa"/>
                  <w:vMerge w:val="continue"/>
                  <w:tcBorders>
                    <w:tl2br w:val="nil"/>
                    <w:tr2bl w:val="nil"/>
                  </w:tcBorders>
                  <w:vAlign w:val="center"/>
                </w:tcPr>
                <w:p w14:paraId="7C4534D8">
                  <w:pPr>
                    <w:numPr>
                      <w:ilvl w:val="0"/>
                      <w:numId w:val="0"/>
                    </w:numPr>
                    <w:adjustRightInd w:val="0"/>
                    <w:snapToGrid w:val="0"/>
                    <w:spacing w:line="240" w:lineRule="auto"/>
                    <w:jc w:val="center"/>
                    <w:rPr>
                      <w:rFonts w:hint="default" w:cs="Times New Roman"/>
                      <w:color w:val="auto"/>
                      <w:sz w:val="21"/>
                      <w:szCs w:val="21"/>
                      <w:highlight w:val="none"/>
                      <w:vertAlign w:val="baseline"/>
                      <w:lang w:val="en-US" w:eastAsia="zh-CN"/>
                    </w:rPr>
                  </w:pPr>
                </w:p>
              </w:tc>
              <w:tc>
                <w:tcPr>
                  <w:tcW w:w="883" w:type="dxa"/>
                  <w:tcBorders>
                    <w:tl2br w:val="nil"/>
                    <w:tr2bl w:val="nil"/>
                  </w:tcBorders>
                  <w:vAlign w:val="center"/>
                </w:tcPr>
                <w:p w14:paraId="0FE6C929">
                  <w:pPr>
                    <w:numPr>
                      <w:ilvl w:val="0"/>
                      <w:numId w:val="0"/>
                    </w:numPr>
                    <w:adjustRightInd w:val="0"/>
                    <w:snapToGri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60</w:t>
                  </w:r>
                </w:p>
              </w:tc>
              <w:tc>
                <w:tcPr>
                  <w:tcW w:w="690" w:type="dxa"/>
                  <w:tcBorders>
                    <w:tl2br w:val="nil"/>
                    <w:tr2bl w:val="nil"/>
                  </w:tcBorders>
                  <w:vAlign w:val="center"/>
                </w:tcPr>
                <w:p w14:paraId="220A9956">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昼间</w:t>
                  </w:r>
                </w:p>
                <w:p w14:paraId="59074E3A">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运行</w:t>
                  </w:r>
                </w:p>
              </w:tc>
            </w:tr>
            <w:tr w14:paraId="1EBA95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7416" w:type="dxa"/>
                  <w:gridSpan w:val="10"/>
                  <w:tcBorders>
                    <w:tl2br w:val="nil"/>
                    <w:tr2bl w:val="nil"/>
                  </w:tcBorders>
                  <w:vAlign w:val="center"/>
                </w:tcPr>
                <w:p w14:paraId="1442EC04">
                  <w:pPr>
                    <w:kinsoku w:val="0"/>
                    <w:overflowPunct w:val="0"/>
                    <w:autoSpaceDE w:val="0"/>
                    <w:autoSpaceDN w:val="0"/>
                    <w:adjustRightInd w:val="0"/>
                    <w:snapToGrid w:val="0"/>
                    <w:spacing w:line="240" w:lineRule="auto"/>
                    <w:ind w:left="0" w:leftChars="0" w:firstLine="0" w:firstLineChars="0"/>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eastAsiaTheme="minorEastAsia"/>
                      <w:b w:val="0"/>
                      <w:bCs/>
                      <w:sz w:val="21"/>
                      <w:szCs w:val="21"/>
                      <w:lang w:val="en-US" w:eastAsia="zh-CN"/>
                    </w:rPr>
                    <w:t>表中坐标以厂界中心（116.547897</w:t>
                  </w:r>
                  <w:r>
                    <w:rPr>
                      <w:rFonts w:hint="eastAsia" w:ascii="Times New Roman" w:hAnsi="Times New Roman" w:cs="Times New Roman" w:eastAsiaTheme="minorEastAsia"/>
                      <w:b w:val="0"/>
                      <w:bCs/>
                      <w:sz w:val="21"/>
                      <w:szCs w:val="21"/>
                      <w:lang w:val="en-US" w:eastAsia="zh-CN"/>
                    </w:rPr>
                    <w:t>，</w:t>
                  </w:r>
                  <w:r>
                    <w:rPr>
                      <w:rFonts w:hint="default" w:ascii="Times New Roman" w:hAnsi="Times New Roman" w:cs="Times New Roman" w:eastAsiaTheme="minorEastAsia"/>
                      <w:b w:val="0"/>
                      <w:bCs/>
                      <w:sz w:val="21"/>
                      <w:szCs w:val="21"/>
                      <w:lang w:val="en-US" w:eastAsia="zh-CN"/>
                    </w:rPr>
                    <w:t>39.730556）为坐标原点，正东向为X轴正方向，正北向为Y轴正方向</w:t>
                  </w:r>
                  <w:r>
                    <w:rPr>
                      <w:rFonts w:hint="default" w:ascii="Times New Roman" w:hAnsi="Times New Roman" w:eastAsia="宋体" w:cs="Times New Roman"/>
                      <w:b w:val="0"/>
                      <w:bCs/>
                      <w:color w:val="auto"/>
                      <w:sz w:val="21"/>
                      <w:szCs w:val="21"/>
                      <w:lang w:val="en-US" w:eastAsia="zh-CN"/>
                    </w:rPr>
                    <w:t>。</w:t>
                  </w:r>
                </w:p>
              </w:tc>
            </w:tr>
          </w:tbl>
          <w:p w14:paraId="6CB763CC">
            <w:pPr>
              <w:numPr>
                <w:ilvl w:val="0"/>
                <w:numId w:val="25"/>
              </w:numPr>
              <w:adjustRightInd w:val="0"/>
              <w:spacing w:line="360" w:lineRule="auto"/>
              <w:ind w:left="425" w:leftChars="0" w:hanging="425" w:firstLineChars="0"/>
              <w:jc w:val="center"/>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sz w:val="24"/>
                <w:highlight w:val="none"/>
              </w:rPr>
              <w:t>本项目噪声源强调查清单（室内声源）</w:t>
            </w:r>
          </w:p>
          <w:tbl>
            <w:tblPr>
              <w:tblStyle w:val="50"/>
              <w:tblW w:w="4899" w:type="pct"/>
              <w:jc w:val="center"/>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434"/>
              <w:gridCol w:w="1129"/>
              <w:gridCol w:w="645"/>
              <w:gridCol w:w="804"/>
              <w:gridCol w:w="792"/>
              <w:gridCol w:w="521"/>
              <w:gridCol w:w="430"/>
              <w:gridCol w:w="475"/>
              <w:gridCol w:w="792"/>
              <w:gridCol w:w="860"/>
              <w:gridCol w:w="534"/>
            </w:tblGrid>
            <w:tr w14:paraId="624C6E6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312" w:hRule="atLeast"/>
                <w:jc w:val="center"/>
              </w:trPr>
              <w:tc>
                <w:tcPr>
                  <w:tcW w:w="434" w:type="dxa"/>
                  <w:vMerge w:val="restart"/>
                  <w:tcBorders>
                    <w:tl2br w:val="nil"/>
                    <w:tr2bl w:val="nil"/>
                  </w:tcBorders>
                  <w:vAlign w:val="center"/>
                </w:tcPr>
                <w:p w14:paraId="49735684">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序号</w:t>
                  </w:r>
                </w:p>
              </w:tc>
              <w:tc>
                <w:tcPr>
                  <w:tcW w:w="1129" w:type="dxa"/>
                  <w:vMerge w:val="restart"/>
                  <w:tcBorders>
                    <w:right w:val="single" w:color="auto" w:sz="4" w:space="0"/>
                    <w:tl2br w:val="nil"/>
                    <w:tr2bl w:val="nil"/>
                  </w:tcBorders>
                  <w:vAlign w:val="center"/>
                </w:tcPr>
                <w:p w14:paraId="65F573FD">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声源名称</w:t>
                  </w:r>
                </w:p>
              </w:tc>
              <w:tc>
                <w:tcPr>
                  <w:tcW w:w="645" w:type="dxa"/>
                  <w:vMerge w:val="restart"/>
                  <w:tcBorders>
                    <w:left w:val="single" w:color="auto" w:sz="4" w:space="0"/>
                    <w:tl2br w:val="nil"/>
                    <w:tr2bl w:val="nil"/>
                  </w:tcBorders>
                  <w:vAlign w:val="center"/>
                </w:tcPr>
                <w:p w14:paraId="356445A2">
                  <w:pPr>
                    <w:numPr>
                      <w:ilvl w:val="0"/>
                      <w:numId w:val="0"/>
                    </w:numPr>
                    <w:adjustRightInd w:val="0"/>
                    <w:snapToGrid w:val="0"/>
                    <w:spacing w:line="240" w:lineRule="auto"/>
                    <w:jc w:val="center"/>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数量</w:t>
                  </w:r>
                </w:p>
                <w:p w14:paraId="3087CCDA">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eastAsia" w:cs="Times New Roman"/>
                      <w:b/>
                      <w:bCs/>
                      <w:color w:val="auto"/>
                      <w:sz w:val="21"/>
                      <w:szCs w:val="21"/>
                      <w:highlight w:val="none"/>
                      <w:vertAlign w:val="baseline"/>
                      <w:lang w:val="en-US" w:eastAsia="zh-CN"/>
                    </w:rPr>
                    <w:t>台</w:t>
                  </w:r>
                </w:p>
              </w:tc>
              <w:tc>
                <w:tcPr>
                  <w:tcW w:w="804" w:type="dxa"/>
                  <w:vMerge w:val="restart"/>
                  <w:tcBorders>
                    <w:tl2br w:val="nil"/>
                    <w:tr2bl w:val="nil"/>
                  </w:tcBorders>
                  <w:vAlign w:val="center"/>
                </w:tcPr>
                <w:p w14:paraId="2EBDC5ED">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声源源强/dB(A)</w:t>
                  </w:r>
                </w:p>
              </w:tc>
              <w:tc>
                <w:tcPr>
                  <w:tcW w:w="792" w:type="dxa"/>
                  <w:vMerge w:val="restart"/>
                  <w:tcBorders>
                    <w:tl2br w:val="nil"/>
                    <w:tr2bl w:val="nil"/>
                  </w:tcBorders>
                  <w:vAlign w:val="center"/>
                </w:tcPr>
                <w:p w14:paraId="274D896F">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声源控制措施</w:t>
                  </w:r>
                </w:p>
              </w:tc>
              <w:tc>
                <w:tcPr>
                  <w:tcW w:w="1426" w:type="dxa"/>
                  <w:gridSpan w:val="3"/>
                  <w:tcBorders>
                    <w:tl2br w:val="nil"/>
                    <w:tr2bl w:val="nil"/>
                  </w:tcBorders>
                  <w:vAlign w:val="center"/>
                </w:tcPr>
                <w:p w14:paraId="6BEB8502">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空间相对位置/m</w:t>
                  </w:r>
                </w:p>
              </w:tc>
              <w:tc>
                <w:tcPr>
                  <w:tcW w:w="792" w:type="dxa"/>
                  <w:vMerge w:val="restart"/>
                  <w:tcBorders>
                    <w:tl2br w:val="nil"/>
                    <w:tr2bl w:val="nil"/>
                  </w:tcBorders>
                  <w:vAlign w:val="center"/>
                </w:tcPr>
                <w:p w14:paraId="2C5C791F">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eastAsia="zh-CN"/>
                    </w:rPr>
                  </w:pPr>
                  <w:r>
                    <w:rPr>
                      <w:rFonts w:hint="default" w:ascii="Times New Roman" w:hAnsi="Times New Roman" w:eastAsia="宋体" w:cs="Times New Roman"/>
                      <w:b/>
                      <w:bCs/>
                      <w:color w:val="auto"/>
                      <w:sz w:val="21"/>
                      <w:szCs w:val="21"/>
                      <w:highlight w:val="none"/>
                      <w:vertAlign w:val="baseline"/>
                      <w:lang w:val="en-US" w:eastAsia="zh-CN"/>
                    </w:rPr>
                    <w:t>排放强度</w:t>
                  </w:r>
                  <w:r>
                    <w:rPr>
                      <w:rFonts w:hint="default" w:ascii="Times New Roman" w:hAnsi="Times New Roman" w:eastAsia="宋体" w:cs="Times New Roman"/>
                      <w:b/>
                      <w:bCs/>
                      <w:color w:val="auto"/>
                      <w:sz w:val="21"/>
                      <w:szCs w:val="21"/>
                      <w:highlight w:val="none"/>
                      <w:vertAlign w:val="baseline"/>
                      <w:lang w:val="zh-CN"/>
                    </w:rPr>
                    <w:t>/dB(A)</w:t>
                  </w:r>
                </w:p>
              </w:tc>
              <w:tc>
                <w:tcPr>
                  <w:tcW w:w="860" w:type="dxa"/>
                  <w:vMerge w:val="restart"/>
                  <w:tcBorders>
                    <w:tl2br w:val="nil"/>
                    <w:tr2bl w:val="nil"/>
                  </w:tcBorders>
                  <w:vAlign w:val="center"/>
                </w:tcPr>
                <w:p w14:paraId="2CF80A70">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建筑物插入损失dB(A)</w:t>
                  </w:r>
                </w:p>
              </w:tc>
              <w:tc>
                <w:tcPr>
                  <w:tcW w:w="534" w:type="dxa"/>
                  <w:vMerge w:val="restart"/>
                  <w:tcBorders>
                    <w:tl2br w:val="nil"/>
                    <w:tr2bl w:val="nil"/>
                  </w:tcBorders>
                  <w:vAlign w:val="center"/>
                </w:tcPr>
                <w:p w14:paraId="02721870">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运行</w:t>
                  </w:r>
                </w:p>
                <w:p w14:paraId="693120B1">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时段</w:t>
                  </w:r>
                </w:p>
              </w:tc>
            </w:tr>
            <w:tr w14:paraId="1AD31C56">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434" w:type="dxa"/>
                  <w:vMerge w:val="continue"/>
                  <w:tcBorders>
                    <w:tl2br w:val="nil"/>
                    <w:tr2bl w:val="nil"/>
                  </w:tcBorders>
                  <w:vAlign w:val="center"/>
                </w:tcPr>
                <w:p w14:paraId="30F83BBE">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1129" w:type="dxa"/>
                  <w:vMerge w:val="continue"/>
                  <w:tcBorders>
                    <w:right w:val="single" w:color="auto" w:sz="4" w:space="0"/>
                    <w:tl2br w:val="nil"/>
                    <w:tr2bl w:val="nil"/>
                  </w:tcBorders>
                  <w:vAlign w:val="center"/>
                </w:tcPr>
                <w:p w14:paraId="29AEA69F">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645" w:type="dxa"/>
                  <w:vMerge w:val="continue"/>
                  <w:tcBorders>
                    <w:left w:val="single" w:color="auto" w:sz="4" w:space="0"/>
                    <w:tl2br w:val="nil"/>
                    <w:tr2bl w:val="nil"/>
                  </w:tcBorders>
                  <w:vAlign w:val="center"/>
                </w:tcPr>
                <w:p w14:paraId="7001938C">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804" w:type="dxa"/>
                  <w:vMerge w:val="continue"/>
                  <w:tcBorders>
                    <w:tl2br w:val="nil"/>
                    <w:tr2bl w:val="nil"/>
                  </w:tcBorders>
                  <w:vAlign w:val="center"/>
                </w:tcPr>
                <w:p w14:paraId="4DD64F18">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792" w:type="dxa"/>
                  <w:vMerge w:val="continue"/>
                  <w:tcBorders>
                    <w:tl2br w:val="nil"/>
                    <w:tr2bl w:val="nil"/>
                  </w:tcBorders>
                  <w:vAlign w:val="center"/>
                </w:tcPr>
                <w:p w14:paraId="61797739">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521" w:type="dxa"/>
                  <w:tcBorders>
                    <w:tl2br w:val="nil"/>
                    <w:tr2bl w:val="nil"/>
                  </w:tcBorders>
                  <w:vAlign w:val="center"/>
                </w:tcPr>
                <w:p w14:paraId="7C09AA97">
                  <w:pPr>
                    <w:adjustRightInd w:val="0"/>
                    <w:snapToGrid w:val="0"/>
                    <w:ind w:left="0" w:leftChars="0"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X</w:t>
                  </w:r>
                </w:p>
              </w:tc>
              <w:tc>
                <w:tcPr>
                  <w:tcW w:w="430" w:type="dxa"/>
                  <w:tcBorders>
                    <w:tl2br w:val="nil"/>
                    <w:tr2bl w:val="nil"/>
                  </w:tcBorders>
                  <w:vAlign w:val="center"/>
                </w:tcPr>
                <w:p w14:paraId="1D562011">
                  <w:pPr>
                    <w:adjustRightInd w:val="0"/>
                    <w:snapToGrid w:val="0"/>
                    <w:ind w:left="0" w:leftChars="0"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Y</w:t>
                  </w:r>
                </w:p>
              </w:tc>
              <w:tc>
                <w:tcPr>
                  <w:tcW w:w="475" w:type="dxa"/>
                  <w:tcBorders>
                    <w:tl2br w:val="nil"/>
                    <w:tr2bl w:val="nil"/>
                  </w:tcBorders>
                  <w:vAlign w:val="center"/>
                </w:tcPr>
                <w:p w14:paraId="0B3207D0">
                  <w:pPr>
                    <w:adjustRightInd w:val="0"/>
                    <w:snapToGrid w:val="0"/>
                    <w:ind w:left="0" w:leftChars="0"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Z</w:t>
                  </w:r>
                </w:p>
              </w:tc>
              <w:tc>
                <w:tcPr>
                  <w:tcW w:w="792" w:type="dxa"/>
                  <w:vMerge w:val="continue"/>
                  <w:tcBorders>
                    <w:tl2br w:val="nil"/>
                    <w:tr2bl w:val="nil"/>
                  </w:tcBorders>
                  <w:vAlign w:val="center"/>
                </w:tcPr>
                <w:p w14:paraId="35BA6CE3">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860" w:type="dxa"/>
                  <w:vMerge w:val="continue"/>
                  <w:tcBorders>
                    <w:tl2br w:val="nil"/>
                    <w:tr2bl w:val="nil"/>
                  </w:tcBorders>
                  <w:vAlign w:val="center"/>
                </w:tcPr>
                <w:p w14:paraId="47A598C2">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534" w:type="dxa"/>
                  <w:vMerge w:val="continue"/>
                  <w:tcBorders>
                    <w:tl2br w:val="nil"/>
                    <w:tr2bl w:val="nil"/>
                  </w:tcBorders>
                  <w:vAlign w:val="center"/>
                </w:tcPr>
                <w:p w14:paraId="1D751F43">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r>
            <w:tr w14:paraId="11819E5A">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569" w:hRule="atLeast"/>
                <w:jc w:val="center"/>
              </w:trPr>
              <w:tc>
                <w:tcPr>
                  <w:tcW w:w="434" w:type="dxa"/>
                  <w:tcBorders>
                    <w:tl2br w:val="nil"/>
                    <w:tr2bl w:val="nil"/>
                  </w:tcBorders>
                  <w:vAlign w:val="center"/>
                </w:tcPr>
                <w:p w14:paraId="29CED89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p>
              </w:tc>
              <w:tc>
                <w:tcPr>
                  <w:tcW w:w="1129" w:type="dxa"/>
                  <w:tcBorders>
                    <w:right w:val="single" w:color="auto" w:sz="4" w:space="0"/>
                    <w:tl2br w:val="nil"/>
                    <w:tr2bl w:val="nil"/>
                  </w:tcBorders>
                  <w:vAlign w:val="center"/>
                </w:tcPr>
                <w:p w14:paraId="6E530D99">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发酵罐</w:t>
                  </w:r>
                </w:p>
              </w:tc>
              <w:tc>
                <w:tcPr>
                  <w:tcW w:w="645" w:type="dxa"/>
                  <w:tcBorders>
                    <w:left w:val="single" w:color="auto" w:sz="4" w:space="0"/>
                    <w:tl2br w:val="nil"/>
                    <w:tr2bl w:val="nil"/>
                  </w:tcBorders>
                  <w:vAlign w:val="center"/>
                </w:tcPr>
                <w:p w14:paraId="0156AAA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p>
              </w:tc>
              <w:tc>
                <w:tcPr>
                  <w:tcW w:w="804" w:type="dxa"/>
                  <w:tcBorders>
                    <w:tl2br w:val="nil"/>
                    <w:tr2bl w:val="nil"/>
                  </w:tcBorders>
                  <w:vAlign w:val="center"/>
                </w:tcPr>
                <w:p w14:paraId="5CF2DD4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65</w:t>
                  </w:r>
                </w:p>
              </w:tc>
              <w:tc>
                <w:tcPr>
                  <w:tcW w:w="792" w:type="dxa"/>
                  <w:vMerge w:val="restart"/>
                  <w:tcBorders>
                    <w:tl2br w:val="nil"/>
                    <w:tr2bl w:val="nil"/>
                  </w:tcBorders>
                  <w:vAlign w:val="center"/>
                </w:tcPr>
                <w:p w14:paraId="60A7876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低噪声设备，基础减振</w:t>
                  </w:r>
                </w:p>
              </w:tc>
              <w:tc>
                <w:tcPr>
                  <w:tcW w:w="521" w:type="dxa"/>
                  <w:tcBorders>
                    <w:tl2br w:val="nil"/>
                    <w:tr2bl w:val="nil"/>
                  </w:tcBorders>
                  <w:shd w:val="clear" w:color="auto" w:fill="FFFFFF"/>
                  <w:vAlign w:val="center"/>
                </w:tcPr>
                <w:p w14:paraId="69B529A2">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8.9</w:t>
                  </w:r>
                </w:p>
              </w:tc>
              <w:tc>
                <w:tcPr>
                  <w:tcW w:w="430" w:type="dxa"/>
                  <w:tcBorders>
                    <w:tl2br w:val="nil"/>
                    <w:tr2bl w:val="nil"/>
                  </w:tcBorders>
                  <w:shd w:val="clear" w:color="auto" w:fill="FFFFFF"/>
                  <w:vAlign w:val="center"/>
                </w:tcPr>
                <w:p w14:paraId="4A2D02A6">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0.6</w:t>
                  </w:r>
                </w:p>
              </w:tc>
              <w:tc>
                <w:tcPr>
                  <w:tcW w:w="475" w:type="dxa"/>
                  <w:tcBorders>
                    <w:tl2br w:val="nil"/>
                    <w:tr2bl w:val="nil"/>
                  </w:tcBorders>
                  <w:shd w:val="clear" w:color="auto" w:fill="FFFFFF"/>
                  <w:vAlign w:val="center"/>
                </w:tcPr>
                <w:p w14:paraId="08D6E661">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w:t>
                  </w:r>
                </w:p>
              </w:tc>
              <w:tc>
                <w:tcPr>
                  <w:tcW w:w="792" w:type="dxa"/>
                  <w:tcBorders>
                    <w:tl2br w:val="nil"/>
                    <w:tr2bl w:val="nil"/>
                  </w:tcBorders>
                  <w:shd w:val="clear" w:color="auto" w:fill="auto"/>
                  <w:vAlign w:val="center"/>
                </w:tcPr>
                <w:p w14:paraId="6E94BE9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45</w:t>
                  </w:r>
                </w:p>
              </w:tc>
              <w:tc>
                <w:tcPr>
                  <w:tcW w:w="860" w:type="dxa"/>
                  <w:tcBorders>
                    <w:tl2br w:val="nil"/>
                    <w:tr2bl w:val="nil"/>
                  </w:tcBorders>
                  <w:shd w:val="clear" w:color="auto" w:fill="auto"/>
                  <w:vAlign w:val="center"/>
                </w:tcPr>
                <w:p w14:paraId="3621692C">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w:t>
                  </w:r>
                </w:p>
              </w:tc>
              <w:tc>
                <w:tcPr>
                  <w:tcW w:w="534" w:type="dxa"/>
                  <w:vMerge w:val="restart"/>
                  <w:tcBorders>
                    <w:tl2br w:val="nil"/>
                    <w:tr2bl w:val="nil"/>
                  </w:tcBorders>
                  <w:vAlign w:val="center"/>
                </w:tcPr>
                <w:p w14:paraId="1DFDE98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昼间</w:t>
                  </w:r>
                </w:p>
                <w:p w14:paraId="56346EB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运行</w:t>
                  </w:r>
                </w:p>
              </w:tc>
            </w:tr>
            <w:tr w14:paraId="473850C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539" w:hRule="atLeast"/>
                <w:jc w:val="center"/>
              </w:trPr>
              <w:tc>
                <w:tcPr>
                  <w:tcW w:w="434" w:type="dxa"/>
                  <w:tcBorders>
                    <w:tl2br w:val="nil"/>
                    <w:tr2bl w:val="nil"/>
                  </w:tcBorders>
                  <w:vAlign w:val="center"/>
                </w:tcPr>
                <w:p w14:paraId="23EAFA37">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w:t>
                  </w:r>
                </w:p>
              </w:tc>
              <w:tc>
                <w:tcPr>
                  <w:tcW w:w="1129" w:type="dxa"/>
                  <w:tcBorders>
                    <w:right w:val="single" w:color="auto" w:sz="4" w:space="0"/>
                    <w:tl2br w:val="nil"/>
                    <w:tr2bl w:val="nil"/>
                  </w:tcBorders>
                  <w:vAlign w:val="center"/>
                </w:tcPr>
                <w:p w14:paraId="144F261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离心机</w:t>
                  </w:r>
                </w:p>
              </w:tc>
              <w:tc>
                <w:tcPr>
                  <w:tcW w:w="645" w:type="dxa"/>
                  <w:tcBorders>
                    <w:left w:val="single" w:color="auto" w:sz="4" w:space="0"/>
                    <w:tl2br w:val="nil"/>
                    <w:tr2bl w:val="nil"/>
                  </w:tcBorders>
                  <w:vAlign w:val="center"/>
                </w:tcPr>
                <w:p w14:paraId="546CC93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p>
              </w:tc>
              <w:tc>
                <w:tcPr>
                  <w:tcW w:w="804" w:type="dxa"/>
                  <w:tcBorders>
                    <w:tl2br w:val="nil"/>
                    <w:tr2bl w:val="nil"/>
                  </w:tcBorders>
                  <w:vAlign w:val="center"/>
                </w:tcPr>
                <w:p w14:paraId="0F7B9E06">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50</w:t>
                  </w:r>
                </w:p>
              </w:tc>
              <w:tc>
                <w:tcPr>
                  <w:tcW w:w="792" w:type="dxa"/>
                  <w:vMerge w:val="continue"/>
                  <w:tcBorders>
                    <w:tl2br w:val="nil"/>
                    <w:tr2bl w:val="nil"/>
                  </w:tcBorders>
                  <w:vAlign w:val="center"/>
                </w:tcPr>
                <w:p w14:paraId="64EA35D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521" w:type="dxa"/>
                  <w:tcBorders>
                    <w:tl2br w:val="nil"/>
                    <w:tr2bl w:val="nil"/>
                  </w:tcBorders>
                  <w:shd w:val="clear" w:color="auto" w:fill="FFFFFF"/>
                  <w:vAlign w:val="center"/>
                </w:tcPr>
                <w:p w14:paraId="48FD2D49">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12.2</w:t>
                  </w:r>
                </w:p>
              </w:tc>
              <w:tc>
                <w:tcPr>
                  <w:tcW w:w="430" w:type="dxa"/>
                  <w:tcBorders>
                    <w:tl2br w:val="nil"/>
                    <w:tr2bl w:val="nil"/>
                  </w:tcBorders>
                  <w:shd w:val="clear" w:color="auto" w:fill="FFFFFF"/>
                  <w:vAlign w:val="center"/>
                </w:tcPr>
                <w:p w14:paraId="42B4BC78">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10.7</w:t>
                  </w:r>
                </w:p>
              </w:tc>
              <w:tc>
                <w:tcPr>
                  <w:tcW w:w="475" w:type="dxa"/>
                  <w:tcBorders>
                    <w:tl2br w:val="nil"/>
                    <w:tr2bl w:val="nil"/>
                  </w:tcBorders>
                  <w:shd w:val="clear" w:color="auto" w:fill="FFFFFF"/>
                  <w:vAlign w:val="center"/>
                </w:tcPr>
                <w:p w14:paraId="5296A4F8">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w:t>
                  </w:r>
                </w:p>
              </w:tc>
              <w:tc>
                <w:tcPr>
                  <w:tcW w:w="792" w:type="dxa"/>
                  <w:tcBorders>
                    <w:tl2br w:val="nil"/>
                    <w:tr2bl w:val="nil"/>
                  </w:tcBorders>
                  <w:shd w:val="clear" w:color="auto" w:fill="auto"/>
                  <w:vAlign w:val="center"/>
                </w:tcPr>
                <w:p w14:paraId="2697A41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30</w:t>
                  </w:r>
                </w:p>
              </w:tc>
              <w:tc>
                <w:tcPr>
                  <w:tcW w:w="860" w:type="dxa"/>
                  <w:tcBorders>
                    <w:tl2br w:val="nil"/>
                    <w:tr2bl w:val="nil"/>
                  </w:tcBorders>
                  <w:shd w:val="clear" w:color="auto" w:fill="auto"/>
                  <w:vAlign w:val="center"/>
                </w:tcPr>
                <w:p w14:paraId="48FE6F4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w:t>
                  </w:r>
                </w:p>
              </w:tc>
              <w:tc>
                <w:tcPr>
                  <w:tcW w:w="534" w:type="dxa"/>
                  <w:vMerge w:val="continue"/>
                  <w:tcBorders>
                    <w:tl2br w:val="nil"/>
                    <w:tr2bl w:val="nil"/>
                  </w:tcBorders>
                  <w:vAlign w:val="center"/>
                </w:tcPr>
                <w:p w14:paraId="4559390C">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r>
            <w:tr w14:paraId="457DD2A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539" w:hRule="atLeast"/>
                <w:jc w:val="center"/>
              </w:trPr>
              <w:tc>
                <w:tcPr>
                  <w:tcW w:w="434" w:type="dxa"/>
                  <w:tcBorders>
                    <w:tl2br w:val="nil"/>
                    <w:tr2bl w:val="nil"/>
                  </w:tcBorders>
                  <w:vAlign w:val="center"/>
                </w:tcPr>
                <w:p w14:paraId="5270260D">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w:t>
                  </w:r>
                </w:p>
              </w:tc>
              <w:tc>
                <w:tcPr>
                  <w:tcW w:w="1129" w:type="dxa"/>
                  <w:tcBorders>
                    <w:right w:val="single" w:color="auto" w:sz="4" w:space="0"/>
                    <w:tl2br w:val="nil"/>
                    <w:tr2bl w:val="nil"/>
                  </w:tcBorders>
                  <w:vAlign w:val="center"/>
                </w:tcPr>
                <w:p w14:paraId="490173D2">
                  <w:pPr>
                    <w:numPr>
                      <w:ilvl w:val="0"/>
                      <w:numId w:val="0"/>
                    </w:numPr>
                    <w:adjustRightInd w:val="0"/>
                    <w:snapToGrid w:val="0"/>
                    <w:spacing w:line="240" w:lineRule="auto"/>
                    <w:jc w:val="center"/>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新风风机</w:t>
                  </w:r>
                </w:p>
              </w:tc>
              <w:tc>
                <w:tcPr>
                  <w:tcW w:w="645" w:type="dxa"/>
                  <w:tcBorders>
                    <w:left w:val="single" w:color="auto" w:sz="4" w:space="0"/>
                    <w:tl2br w:val="nil"/>
                    <w:tr2bl w:val="nil"/>
                  </w:tcBorders>
                  <w:vAlign w:val="center"/>
                </w:tcPr>
                <w:p w14:paraId="0C2FB8B0">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p>
              </w:tc>
              <w:tc>
                <w:tcPr>
                  <w:tcW w:w="804" w:type="dxa"/>
                  <w:tcBorders>
                    <w:tl2br w:val="nil"/>
                    <w:tr2bl w:val="nil"/>
                  </w:tcBorders>
                  <w:vAlign w:val="center"/>
                </w:tcPr>
                <w:p w14:paraId="1B7A209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70</w:t>
                  </w:r>
                </w:p>
              </w:tc>
              <w:tc>
                <w:tcPr>
                  <w:tcW w:w="792" w:type="dxa"/>
                  <w:vMerge w:val="continue"/>
                  <w:tcBorders>
                    <w:tl2br w:val="nil"/>
                    <w:tr2bl w:val="nil"/>
                  </w:tcBorders>
                  <w:vAlign w:val="center"/>
                </w:tcPr>
                <w:p w14:paraId="0953F1B8">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521" w:type="dxa"/>
                  <w:tcBorders>
                    <w:tl2br w:val="nil"/>
                    <w:tr2bl w:val="nil"/>
                  </w:tcBorders>
                  <w:shd w:val="clear" w:color="auto" w:fill="FFFFFF"/>
                  <w:vAlign w:val="center"/>
                </w:tcPr>
                <w:p w14:paraId="7FC8049B">
                  <w:pPr>
                    <w:numPr>
                      <w:ilvl w:val="0"/>
                      <w:numId w:val="0"/>
                    </w:numPr>
                    <w:adjustRightInd w:val="0"/>
                    <w:snapToGrid w:val="0"/>
                    <w:spacing w:line="240" w:lineRule="auto"/>
                    <w:jc w:val="center"/>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-17</w:t>
                  </w:r>
                </w:p>
              </w:tc>
              <w:tc>
                <w:tcPr>
                  <w:tcW w:w="430" w:type="dxa"/>
                  <w:tcBorders>
                    <w:tl2br w:val="nil"/>
                    <w:tr2bl w:val="nil"/>
                  </w:tcBorders>
                  <w:shd w:val="clear" w:color="auto" w:fill="FFFFFF"/>
                  <w:vAlign w:val="center"/>
                </w:tcPr>
                <w:p w14:paraId="65264A3C">
                  <w:pPr>
                    <w:numPr>
                      <w:ilvl w:val="0"/>
                      <w:numId w:val="0"/>
                    </w:numPr>
                    <w:adjustRightInd w:val="0"/>
                    <w:snapToGrid w:val="0"/>
                    <w:spacing w:line="240" w:lineRule="auto"/>
                    <w:jc w:val="center"/>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-2.9</w:t>
                  </w:r>
                </w:p>
              </w:tc>
              <w:tc>
                <w:tcPr>
                  <w:tcW w:w="475" w:type="dxa"/>
                  <w:tcBorders>
                    <w:tl2br w:val="nil"/>
                    <w:tr2bl w:val="nil"/>
                  </w:tcBorders>
                  <w:shd w:val="clear" w:color="auto" w:fill="FFFFFF"/>
                  <w:vAlign w:val="center"/>
                </w:tcPr>
                <w:p w14:paraId="2FE3636A">
                  <w:pPr>
                    <w:numPr>
                      <w:ilvl w:val="0"/>
                      <w:numId w:val="0"/>
                    </w:numPr>
                    <w:adjustRightInd w:val="0"/>
                    <w:snapToGrid w:val="0"/>
                    <w:spacing w:line="240" w:lineRule="auto"/>
                    <w:jc w:val="center"/>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w:t>
                  </w:r>
                </w:p>
              </w:tc>
              <w:tc>
                <w:tcPr>
                  <w:tcW w:w="792" w:type="dxa"/>
                  <w:tcBorders>
                    <w:tl2br w:val="nil"/>
                    <w:tr2bl w:val="nil"/>
                  </w:tcBorders>
                  <w:shd w:val="clear" w:color="auto" w:fill="auto"/>
                  <w:vAlign w:val="center"/>
                </w:tcPr>
                <w:p w14:paraId="206EB0A2">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50</w:t>
                  </w:r>
                </w:p>
              </w:tc>
              <w:tc>
                <w:tcPr>
                  <w:tcW w:w="860" w:type="dxa"/>
                  <w:tcBorders>
                    <w:tl2br w:val="nil"/>
                    <w:tr2bl w:val="nil"/>
                  </w:tcBorders>
                  <w:shd w:val="clear" w:color="auto" w:fill="auto"/>
                  <w:vAlign w:val="center"/>
                </w:tcPr>
                <w:p w14:paraId="3EBAC26C">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w:t>
                  </w:r>
                </w:p>
              </w:tc>
              <w:tc>
                <w:tcPr>
                  <w:tcW w:w="534" w:type="dxa"/>
                  <w:vMerge w:val="continue"/>
                  <w:tcBorders>
                    <w:tl2br w:val="nil"/>
                    <w:tr2bl w:val="nil"/>
                  </w:tcBorders>
                  <w:vAlign w:val="center"/>
                </w:tcPr>
                <w:p w14:paraId="799FDB5A">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r>
            <w:tr w14:paraId="27889A49">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7416" w:type="dxa"/>
                  <w:gridSpan w:val="11"/>
                  <w:tcBorders>
                    <w:tl2br w:val="nil"/>
                    <w:tr2bl w:val="nil"/>
                  </w:tcBorders>
                  <w:vAlign w:val="center"/>
                </w:tcPr>
                <w:p w14:paraId="154435B8">
                  <w:pP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eastAsiaTheme="minorEastAsia"/>
                      <w:b w:val="0"/>
                      <w:bCs/>
                      <w:sz w:val="21"/>
                      <w:szCs w:val="21"/>
                      <w:lang w:val="en-US" w:eastAsia="zh-CN"/>
                    </w:rPr>
                    <w:t>表中坐标以厂界中心（</w:t>
                  </w:r>
                  <w:bookmarkStart w:id="0" w:name="PO_7"/>
                  <w:r>
                    <w:rPr>
                      <w:rFonts w:hint="default" w:ascii="Times New Roman" w:hAnsi="Times New Roman" w:cs="Times New Roman" w:eastAsiaTheme="minorEastAsia"/>
                      <w:b w:val="0"/>
                      <w:bCs/>
                      <w:sz w:val="21"/>
                      <w:szCs w:val="21"/>
                      <w:lang w:val="en-US" w:eastAsia="zh-CN"/>
                    </w:rPr>
                    <w:t>116.547897</w:t>
                  </w:r>
                  <w:r>
                    <w:rPr>
                      <w:rFonts w:hint="eastAsia" w:ascii="Times New Roman" w:hAnsi="Times New Roman" w:cs="Times New Roman" w:eastAsiaTheme="minorEastAsia"/>
                      <w:b w:val="0"/>
                      <w:bCs/>
                      <w:sz w:val="21"/>
                      <w:szCs w:val="21"/>
                      <w:lang w:val="en-US" w:eastAsia="zh-CN"/>
                    </w:rPr>
                    <w:t>，</w:t>
                  </w:r>
                  <w:r>
                    <w:rPr>
                      <w:rFonts w:hint="default" w:ascii="Times New Roman" w:hAnsi="Times New Roman" w:cs="Times New Roman" w:eastAsiaTheme="minorEastAsia"/>
                      <w:b w:val="0"/>
                      <w:bCs/>
                      <w:sz w:val="21"/>
                      <w:szCs w:val="21"/>
                      <w:lang w:val="en-US" w:eastAsia="zh-CN"/>
                    </w:rPr>
                    <w:t>39.730556</w:t>
                  </w:r>
                  <w:bookmarkEnd w:id="0"/>
                  <w:r>
                    <w:rPr>
                      <w:rFonts w:hint="default" w:ascii="Times New Roman" w:hAnsi="Times New Roman" w:cs="Times New Roman" w:eastAsiaTheme="minorEastAsia"/>
                      <w:b w:val="0"/>
                      <w:bCs/>
                      <w:sz w:val="21"/>
                      <w:szCs w:val="21"/>
                      <w:lang w:val="en-US" w:eastAsia="zh-CN"/>
                    </w:rPr>
                    <w:t>）为坐标原点，正东向为X轴正方向，正北向为Y轴正方向</w:t>
                  </w:r>
                  <w:r>
                    <w:rPr>
                      <w:rFonts w:hint="default" w:ascii="Times New Roman" w:hAnsi="Times New Roman" w:eastAsia="宋体" w:cs="Times New Roman"/>
                      <w:b w:val="0"/>
                      <w:bCs/>
                      <w:color w:val="auto"/>
                      <w:sz w:val="21"/>
                      <w:szCs w:val="21"/>
                      <w:lang w:val="en-US" w:eastAsia="zh-CN"/>
                    </w:rPr>
                    <w:t>。</w:t>
                  </w:r>
                </w:p>
              </w:tc>
            </w:tr>
          </w:tbl>
          <w:p w14:paraId="35ABE134">
            <w:pPr>
              <w:adjustRightInd w:val="0"/>
              <w:spacing w:line="360" w:lineRule="auto"/>
              <w:ind w:firstLine="480" w:firstLineChars="200"/>
              <w:rPr>
                <w:rFonts w:hint="default" w:ascii="Times New Roman" w:hAnsi="Times New Roman" w:eastAsia="宋体" w:cs="Times New Roman"/>
                <w:snapToGrid w:val="0"/>
                <w:color w:val="auto"/>
                <w:kern w:val="0"/>
                <w:sz w:val="24"/>
                <w:highlight w:val="none"/>
                <w:lang w:val="en-US" w:eastAsia="zh-CN"/>
              </w:rPr>
            </w:pPr>
            <w:r>
              <w:rPr>
                <w:rFonts w:hint="default" w:ascii="Times New Roman" w:hAnsi="Times New Roman" w:eastAsia="宋体" w:cs="Times New Roman"/>
                <w:snapToGrid w:val="0"/>
                <w:color w:val="auto"/>
                <w:kern w:val="0"/>
                <w:sz w:val="24"/>
                <w:highlight w:val="none"/>
                <w:lang w:eastAsia="zh-CN"/>
              </w:rPr>
              <w:t>（</w:t>
            </w:r>
            <w:r>
              <w:rPr>
                <w:rFonts w:hint="default" w:ascii="Times New Roman" w:hAnsi="Times New Roman" w:eastAsia="宋体" w:cs="Times New Roman"/>
                <w:snapToGrid w:val="0"/>
                <w:color w:val="auto"/>
                <w:kern w:val="0"/>
                <w:sz w:val="24"/>
                <w:highlight w:val="none"/>
                <w:lang w:val="en-US" w:eastAsia="zh-CN"/>
              </w:rPr>
              <w:t>2</w:t>
            </w:r>
            <w:r>
              <w:rPr>
                <w:rFonts w:hint="default" w:ascii="Times New Roman" w:hAnsi="Times New Roman" w:eastAsia="宋体" w:cs="Times New Roman"/>
                <w:snapToGrid w:val="0"/>
                <w:color w:val="auto"/>
                <w:kern w:val="0"/>
                <w:sz w:val="24"/>
                <w:highlight w:val="none"/>
                <w:lang w:eastAsia="zh-CN"/>
              </w:rPr>
              <w:t>）</w:t>
            </w:r>
            <w:r>
              <w:rPr>
                <w:rFonts w:hint="default" w:ascii="Times New Roman" w:hAnsi="Times New Roman" w:eastAsia="宋体" w:cs="Times New Roman"/>
                <w:snapToGrid w:val="0"/>
                <w:color w:val="auto"/>
                <w:kern w:val="0"/>
                <w:sz w:val="24"/>
                <w:highlight w:val="none"/>
                <w:lang w:val="en-US" w:eastAsia="zh-CN"/>
              </w:rPr>
              <w:t>噪声影响分析</w:t>
            </w:r>
          </w:p>
          <w:p w14:paraId="6243DB5B">
            <w:pPr>
              <w:adjustRightInd w:val="0"/>
              <w:spacing w:line="360" w:lineRule="auto"/>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根据《环境影响评价技术导则 声环境》（HJ2.4—2021）推荐的方法，把上述声源当作点声源处理，等效点声源位置在声源本身的中心，对项目噪声环境影响进行预测：</w:t>
            </w:r>
          </w:p>
          <w:p w14:paraId="50C116CB">
            <w:pPr>
              <w:numPr>
                <w:ilvl w:val="0"/>
                <w:numId w:val="27"/>
              </w:numPr>
              <w:adjustRightInd w:val="0"/>
              <w:spacing w:line="360" w:lineRule="auto"/>
              <w:ind w:left="0" w:leftChars="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点声源几何发散在预测点（厂界处）产生的A声级的计算：</w:t>
            </w:r>
          </w:p>
          <w:p w14:paraId="00D67B2F">
            <w:pPr>
              <w:adjustRightIn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8" o:spt="75" type="#_x0000_t75" style="height:18.15pt;width:163.4pt;" o:ole="t" filled="f" coordsize="21600,21600">
                  <v:path/>
                  <v:fill on="f" focussize="0,0"/>
                  <v:stroke/>
                  <v:imagedata r:id="rId29" o:title=""/>
                  <o:lock v:ext="edit" aspectratio="t"/>
                  <w10:wrap type="none"/>
                  <w10:anchorlock/>
                </v:shape>
                <o:OLEObject Type="Embed" ProgID="Equation.3" ShapeID="_x0000_i1028" DrawAspect="Content" ObjectID="_1468075729" r:id="rId28">
                  <o:LockedField>false</o:LockedField>
                </o:OLEObject>
              </w:object>
            </w:r>
          </w:p>
          <w:p w14:paraId="43A140DC">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p>
          <w:p w14:paraId="1A695CE9">
            <w:pPr>
              <w:adjustRightInd w:val="0"/>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w:t>
            </w:r>
            <w:r>
              <w:rPr>
                <w:rFonts w:hint="default" w:ascii="Times New Roman" w:hAnsi="Times New Roman" w:eastAsia="宋体" w:cs="Times New Roman"/>
                <w:color w:val="auto"/>
                <w:sz w:val="24"/>
                <w:highlight w:val="none"/>
              </w:rPr>
              <w:t>(r)—距声源r处（厂界处）的A声级，dB(A)；</w:t>
            </w:r>
          </w:p>
          <w:p w14:paraId="582FE280">
            <w:pPr>
              <w:adjustRightInd w:val="0"/>
              <w:spacing w:line="360" w:lineRule="auto"/>
              <w:ind w:firstLine="1200" w:firstLineChars="500"/>
              <w:outlineLvl w:val="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)—参考位置r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处（声源）的A声级，dB(A)；</w:t>
            </w:r>
          </w:p>
          <w:p w14:paraId="15728138">
            <w:pPr>
              <w:adjustRightInd w:val="0"/>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bar</w:t>
            </w:r>
            <w:r>
              <w:rPr>
                <w:rFonts w:hint="default" w:ascii="Times New Roman" w:hAnsi="Times New Roman" w:eastAsia="宋体" w:cs="Times New Roman"/>
                <w:color w:val="auto"/>
                <w:sz w:val="24"/>
                <w:highlight w:val="none"/>
              </w:rPr>
              <w:t>—声屏障引起的倍频带衰减（建筑隔声），dB；</w:t>
            </w:r>
          </w:p>
          <w:p w14:paraId="196E5292">
            <w:pPr>
              <w:numPr>
                <w:ilvl w:val="0"/>
                <w:numId w:val="27"/>
              </w:numPr>
              <w:adjustRightInd w:val="0"/>
              <w:spacing w:line="360" w:lineRule="auto"/>
              <w:ind w:left="0" w:leftChars="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噪声叠加公式</w:t>
            </w:r>
          </w:p>
          <w:p w14:paraId="295E8BE0">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对于多点源存在时，某个评价点的噪声贡献，可用下式计算：</w:t>
            </w:r>
          </w:p>
          <w:p w14:paraId="2A122995">
            <w:pPr>
              <w:adjustRightInd w:val="0"/>
              <w:spacing w:line="360" w:lineRule="auto"/>
              <w:ind w:firstLine="2520" w:firstLineChars="105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Lp=10Lg（10</w:t>
            </w:r>
            <w:r>
              <w:rPr>
                <w:rFonts w:hint="default" w:ascii="Times New Roman" w:hAnsi="Times New Roman" w:eastAsia="宋体" w:cs="Times New Roman"/>
                <w:bCs/>
                <w:color w:val="auto"/>
                <w:sz w:val="24"/>
                <w:highlight w:val="none"/>
                <w:vertAlign w:val="superscript"/>
              </w:rPr>
              <w:t>Lp1/10</w:t>
            </w:r>
            <w:r>
              <w:rPr>
                <w:rFonts w:hint="default" w:ascii="Times New Roman" w:hAnsi="Times New Roman" w:eastAsia="宋体" w:cs="Times New Roman"/>
                <w:bCs/>
                <w:color w:val="auto"/>
                <w:sz w:val="24"/>
                <w:highlight w:val="none"/>
              </w:rPr>
              <w:t>+10</w:t>
            </w:r>
            <w:r>
              <w:rPr>
                <w:rFonts w:hint="default" w:ascii="Times New Roman" w:hAnsi="Times New Roman" w:eastAsia="宋体" w:cs="Times New Roman"/>
                <w:bCs/>
                <w:color w:val="auto"/>
                <w:sz w:val="24"/>
                <w:highlight w:val="none"/>
                <w:vertAlign w:val="superscript"/>
              </w:rPr>
              <w:t>Lp2/10</w:t>
            </w:r>
            <w:r>
              <w:rPr>
                <w:rFonts w:hint="default" w:ascii="Times New Roman" w:hAnsi="Times New Roman" w:eastAsia="宋体" w:cs="Times New Roman"/>
                <w:bCs/>
                <w:color w:val="auto"/>
                <w:sz w:val="24"/>
                <w:highlight w:val="none"/>
              </w:rPr>
              <w:t>+…）</w:t>
            </w:r>
          </w:p>
          <w:p w14:paraId="2CE70F62">
            <w:pPr>
              <w:adjustRightInd w:val="0"/>
              <w:ind w:firstLine="480" w:firstLineChars="200"/>
              <w:outlineLvl w:val="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式中：L——总等效声级；</w:t>
            </w:r>
          </w:p>
          <w:p w14:paraId="47D7EE04">
            <w:pPr>
              <w:adjustRightInd w:val="0"/>
              <w:spacing w:line="360" w:lineRule="auto"/>
              <w:ind w:firstLine="1200" w:firstLineChars="5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L1，L2…，Ln——分别为n个噪声的等效声级。</w:t>
            </w:r>
          </w:p>
          <w:p w14:paraId="0618ABA6">
            <w:pPr>
              <w:numPr>
                <w:ilvl w:val="0"/>
                <w:numId w:val="27"/>
              </w:numPr>
              <w:adjustRightInd w:val="0"/>
              <w:spacing w:line="360" w:lineRule="auto"/>
              <w:ind w:left="0" w:leftChars="0"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室内声源可采用等效室外声源声功率级法进行计算。设靠近门口处（或窗户）室内、室外的声压级分别为L</w:t>
            </w:r>
            <w:r>
              <w:rPr>
                <w:rFonts w:hint="default" w:ascii="Times New Roman" w:hAnsi="Times New Roman" w:eastAsia="宋体" w:cs="Times New Roman"/>
                <w:bCs/>
                <w:i/>
                <w:iCs/>
                <w:snapToGrid w:val="0"/>
                <w:color w:val="auto"/>
                <w:kern w:val="0"/>
                <w:sz w:val="24"/>
                <w:highlight w:val="none"/>
                <w:vertAlign w:val="subscript"/>
              </w:rPr>
              <w:t>p1</w:t>
            </w:r>
            <w:r>
              <w:rPr>
                <w:rFonts w:hint="default" w:ascii="Times New Roman" w:hAnsi="Times New Roman" w:eastAsia="宋体" w:cs="Times New Roman"/>
                <w:bCs/>
                <w:snapToGrid w:val="0"/>
                <w:color w:val="auto"/>
                <w:kern w:val="0"/>
                <w:sz w:val="24"/>
                <w:highlight w:val="none"/>
              </w:rPr>
              <w:t>和L</w:t>
            </w:r>
            <w:r>
              <w:rPr>
                <w:rFonts w:hint="default" w:ascii="Times New Roman" w:hAnsi="Times New Roman" w:eastAsia="宋体" w:cs="Times New Roman"/>
                <w:bCs/>
                <w:i/>
                <w:iCs/>
                <w:snapToGrid w:val="0"/>
                <w:color w:val="auto"/>
                <w:kern w:val="0"/>
                <w:sz w:val="24"/>
                <w:highlight w:val="none"/>
                <w:vertAlign w:val="subscript"/>
              </w:rPr>
              <w:t>p2</w:t>
            </w:r>
            <w:r>
              <w:rPr>
                <w:rFonts w:hint="default" w:ascii="Times New Roman" w:hAnsi="Times New Roman" w:eastAsia="宋体" w:cs="Times New Roman"/>
                <w:bCs/>
                <w:snapToGrid w:val="0"/>
                <w:color w:val="auto"/>
                <w:kern w:val="0"/>
                <w:sz w:val="24"/>
                <w:highlight w:val="none"/>
              </w:rPr>
              <w:t>。若声源所在室内声场为近似扩散声场，则室外的声压级可按下式近似求出：</w:t>
            </w:r>
          </w:p>
          <w:p w14:paraId="35977EC8">
            <w:pPr>
              <w:adjustRightInd w:val="0"/>
              <w:spacing w:line="360" w:lineRule="auto"/>
              <w:ind w:firstLine="480" w:firstLineChars="200"/>
              <w:jc w:val="center"/>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L</w:t>
            </w:r>
            <w:r>
              <w:rPr>
                <w:rFonts w:hint="default" w:ascii="Times New Roman" w:hAnsi="Times New Roman" w:eastAsia="宋体" w:cs="Times New Roman"/>
                <w:bCs/>
                <w:i/>
                <w:iCs/>
                <w:snapToGrid w:val="0"/>
                <w:color w:val="auto"/>
                <w:kern w:val="0"/>
                <w:sz w:val="24"/>
                <w:highlight w:val="none"/>
                <w:vertAlign w:val="subscript"/>
              </w:rPr>
              <w:t>p2</w:t>
            </w:r>
            <w:r>
              <w:rPr>
                <w:rFonts w:hint="default" w:ascii="Times New Roman" w:hAnsi="Times New Roman" w:eastAsia="宋体" w:cs="Times New Roman"/>
                <w:bCs/>
                <w:snapToGrid w:val="0"/>
                <w:color w:val="auto"/>
                <w:kern w:val="0"/>
                <w:sz w:val="24"/>
                <w:highlight w:val="none"/>
              </w:rPr>
              <w:t>=L</w:t>
            </w:r>
            <w:r>
              <w:rPr>
                <w:rFonts w:hint="default" w:ascii="Times New Roman" w:hAnsi="Times New Roman" w:eastAsia="宋体" w:cs="Times New Roman"/>
                <w:bCs/>
                <w:i/>
                <w:iCs/>
                <w:snapToGrid w:val="0"/>
                <w:color w:val="auto"/>
                <w:kern w:val="0"/>
                <w:sz w:val="24"/>
                <w:highlight w:val="none"/>
                <w:vertAlign w:val="subscript"/>
              </w:rPr>
              <w:t>p1</w:t>
            </w:r>
            <w:r>
              <w:rPr>
                <w:rFonts w:hint="default" w:ascii="Times New Roman" w:hAnsi="Times New Roman" w:eastAsia="宋体" w:cs="Times New Roman"/>
                <w:bCs/>
                <w:snapToGrid w:val="0"/>
                <w:color w:val="auto"/>
                <w:kern w:val="0"/>
                <w:sz w:val="24"/>
                <w:highlight w:val="none"/>
              </w:rPr>
              <w:t>-(TL+6)</w:t>
            </w:r>
          </w:p>
          <w:p w14:paraId="0B8AE84E">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式中：TL——围护结构的隔声量，dB(A)，根据《民用建筑隔声设计规范》（GB50118-2010）表 8.2.1，办公室与普通房间之间的隔墙、楼板隔声标准最低为 45dB。本项目保守考虑，工业厂房建筑隔声按照20dB计。</w:t>
            </w:r>
          </w:p>
          <w:p w14:paraId="7EF9E164">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计算某一室内声源靠近围护结构处产生的倍频带声压级：</w:t>
            </w:r>
          </w:p>
          <w:p w14:paraId="54B98A65">
            <w:pPr>
              <w:adjustRightInd w:val="0"/>
              <w:spacing w:line="360" w:lineRule="auto"/>
              <w:ind w:firstLine="42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color w:val="auto"/>
                <w:highlight w:val="none"/>
              </w:rPr>
              <w:drawing>
                <wp:anchor distT="0" distB="0" distL="114300" distR="114300" simplePos="0" relativeHeight="251663360" behindDoc="0" locked="0" layoutInCell="1" allowOverlap="1">
                  <wp:simplePos x="0" y="0"/>
                  <wp:positionH relativeFrom="column">
                    <wp:posOffset>1477645</wp:posOffset>
                  </wp:positionH>
                  <wp:positionV relativeFrom="paragraph">
                    <wp:posOffset>10160</wp:posOffset>
                  </wp:positionV>
                  <wp:extent cx="1887220" cy="457200"/>
                  <wp:effectExtent l="0" t="0" r="2540" b="0"/>
                  <wp:wrapTopAndBottom/>
                  <wp:docPr id="1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
                          <pic:cNvPicPr>
                            <a:picLocks noChangeAspect="1"/>
                          </pic:cNvPicPr>
                        </pic:nvPicPr>
                        <pic:blipFill>
                          <a:blip r:embed="rId30"/>
                          <a:stretch>
                            <a:fillRect/>
                          </a:stretch>
                        </pic:blipFill>
                        <pic:spPr>
                          <a:xfrm>
                            <a:off x="0" y="0"/>
                            <a:ext cx="1887220" cy="457200"/>
                          </a:xfrm>
                          <a:prstGeom prst="rect">
                            <a:avLst/>
                          </a:prstGeom>
                          <a:noFill/>
                          <a:ln>
                            <a:noFill/>
                          </a:ln>
                        </pic:spPr>
                      </pic:pic>
                    </a:graphicData>
                  </a:graphic>
                </wp:anchor>
              </w:drawing>
            </w:r>
            <w:r>
              <w:rPr>
                <w:rFonts w:hint="default" w:ascii="Times New Roman" w:hAnsi="Times New Roman" w:eastAsia="宋体" w:cs="Times New Roman"/>
                <w:bCs/>
                <w:snapToGrid w:val="0"/>
                <w:color w:val="auto"/>
                <w:kern w:val="0"/>
                <w:sz w:val="24"/>
                <w:highlight w:val="none"/>
              </w:rPr>
              <w:t>式中：L</w:t>
            </w:r>
            <w:r>
              <w:rPr>
                <w:rFonts w:hint="default" w:ascii="Times New Roman" w:hAnsi="Times New Roman" w:eastAsia="宋体" w:cs="Times New Roman"/>
                <w:bCs/>
                <w:i/>
                <w:iCs/>
                <w:snapToGrid w:val="0"/>
                <w:color w:val="auto"/>
                <w:kern w:val="0"/>
                <w:sz w:val="24"/>
                <w:highlight w:val="none"/>
                <w:vertAlign w:val="subscript"/>
              </w:rPr>
              <w:t>p1</w:t>
            </w:r>
            <w:r>
              <w:rPr>
                <w:rFonts w:hint="default" w:ascii="Times New Roman" w:hAnsi="Times New Roman" w:eastAsia="宋体" w:cs="Times New Roman"/>
                <w:bCs/>
                <w:snapToGrid w:val="0"/>
                <w:color w:val="auto"/>
                <w:kern w:val="0"/>
                <w:sz w:val="24"/>
                <w:highlight w:val="none"/>
              </w:rPr>
              <w:t>——靠近开口处（或窗户）室内某倍频带的声压级或A声级，dB；</w:t>
            </w:r>
          </w:p>
          <w:p w14:paraId="058DCBE5">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L</w:t>
            </w:r>
            <w:r>
              <w:rPr>
                <w:rFonts w:hint="default" w:ascii="Times New Roman" w:hAnsi="Times New Roman" w:eastAsia="宋体" w:cs="Times New Roman"/>
                <w:bCs/>
                <w:i/>
                <w:iCs/>
                <w:snapToGrid w:val="0"/>
                <w:color w:val="auto"/>
                <w:kern w:val="0"/>
                <w:sz w:val="24"/>
                <w:highlight w:val="none"/>
                <w:vertAlign w:val="subscript"/>
              </w:rPr>
              <w:t>W</w:t>
            </w:r>
            <w:r>
              <w:rPr>
                <w:rFonts w:hint="default" w:ascii="Times New Roman" w:hAnsi="Times New Roman" w:eastAsia="宋体" w:cs="Times New Roman"/>
                <w:bCs/>
                <w:snapToGrid w:val="0"/>
                <w:color w:val="auto"/>
                <w:kern w:val="0"/>
                <w:sz w:val="24"/>
                <w:highlight w:val="none"/>
              </w:rPr>
              <w:t>——点声源声功率级（A 计权或倍频带），dB；</w:t>
            </w:r>
          </w:p>
          <w:p w14:paraId="4F53B466">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Q——指向性因数；通常对无指向性声源，当声源放在房间中心时，Q=1；</w:t>
            </w:r>
          </w:p>
          <w:p w14:paraId="765D1830">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当放在一面墙的中心时，Q=2；当放在两面墙夹角处时，Q=4；当放在三面墙夹角处时，Q=8；</w:t>
            </w:r>
          </w:p>
          <w:p w14:paraId="3EE67ECA">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R——房间常数；R=S/(1-α)，S 为房间内表面面积，m</w:t>
            </w:r>
            <w:r>
              <w:rPr>
                <w:rFonts w:hint="default" w:ascii="Times New Roman" w:hAnsi="Times New Roman" w:eastAsia="宋体" w:cs="Times New Roman"/>
                <w:bCs/>
                <w:snapToGrid w:val="0"/>
                <w:color w:val="auto"/>
                <w:kern w:val="0"/>
                <w:sz w:val="24"/>
                <w:highlight w:val="none"/>
                <w:vertAlign w:val="superscript"/>
              </w:rPr>
              <w:t>2</w:t>
            </w:r>
            <w:r>
              <w:rPr>
                <w:rFonts w:hint="default" w:ascii="Times New Roman" w:hAnsi="Times New Roman" w:eastAsia="宋体" w:cs="Times New Roman"/>
                <w:bCs/>
                <w:snapToGrid w:val="0"/>
                <w:color w:val="auto"/>
                <w:kern w:val="0"/>
                <w:sz w:val="24"/>
                <w:highlight w:val="none"/>
              </w:rPr>
              <w:t>；α为平均吸声系数；</w:t>
            </w:r>
          </w:p>
          <w:p w14:paraId="37658CB4">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r——声源到靠近围护结构某点处的距离，m。</w:t>
            </w:r>
          </w:p>
          <w:p w14:paraId="558AF215">
            <w:pPr>
              <w:numPr>
                <w:ilvl w:val="0"/>
                <w:numId w:val="27"/>
              </w:numPr>
              <w:adjustRightInd w:val="0"/>
              <w:spacing w:line="360" w:lineRule="auto"/>
              <w:ind w:left="0" w:leftChars="0"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建设项目声源在预测点产生的等效声级贡献值计算公式：</w:t>
            </w:r>
          </w:p>
          <w:p w14:paraId="7925B7D1">
            <w:pPr>
              <w:adjustRightInd w:val="0"/>
              <w:spacing w:line="360" w:lineRule="auto"/>
              <w:ind w:firstLine="420" w:firstLineChars="200"/>
              <w:jc w:val="center"/>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color w:val="auto"/>
                <w:highlight w:val="none"/>
              </w:rPr>
              <w:drawing>
                <wp:inline distT="0" distB="0" distL="114300" distR="114300">
                  <wp:extent cx="2581275" cy="600075"/>
                  <wp:effectExtent l="0" t="0" r="9525" b="9525"/>
                  <wp:docPr id="1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
                          <pic:cNvPicPr>
                            <a:picLocks noChangeAspect="1"/>
                          </pic:cNvPicPr>
                        </pic:nvPicPr>
                        <pic:blipFill>
                          <a:blip r:embed="rId31"/>
                          <a:stretch>
                            <a:fillRect/>
                          </a:stretch>
                        </pic:blipFill>
                        <pic:spPr>
                          <a:xfrm>
                            <a:off x="0" y="0"/>
                            <a:ext cx="2581275" cy="600075"/>
                          </a:xfrm>
                          <a:prstGeom prst="rect">
                            <a:avLst/>
                          </a:prstGeom>
                          <a:noFill/>
                          <a:ln>
                            <a:noFill/>
                          </a:ln>
                        </pic:spPr>
                      </pic:pic>
                    </a:graphicData>
                  </a:graphic>
                </wp:inline>
              </w:drawing>
            </w:r>
          </w:p>
          <w:p w14:paraId="55A7E794">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式中：L</w:t>
            </w:r>
            <w:r>
              <w:rPr>
                <w:rFonts w:hint="default" w:ascii="Times New Roman" w:hAnsi="Times New Roman" w:eastAsia="宋体" w:cs="Times New Roman"/>
                <w:bCs/>
                <w:i/>
                <w:iCs/>
                <w:snapToGrid w:val="0"/>
                <w:color w:val="auto"/>
                <w:kern w:val="0"/>
                <w:sz w:val="24"/>
                <w:highlight w:val="none"/>
                <w:vertAlign w:val="subscript"/>
              </w:rPr>
              <w:t>eqg</w:t>
            </w:r>
            <w:r>
              <w:rPr>
                <w:rFonts w:hint="default" w:ascii="Times New Roman" w:hAnsi="Times New Roman" w:eastAsia="宋体" w:cs="Times New Roman"/>
                <w:bCs/>
                <w:snapToGrid w:val="0"/>
                <w:color w:val="auto"/>
                <w:kern w:val="0"/>
                <w:sz w:val="24"/>
                <w:highlight w:val="none"/>
              </w:rPr>
              <w:t>—建设项目声源在预测点的等效声级贡献值，dB(A)；</w:t>
            </w:r>
          </w:p>
          <w:p w14:paraId="707AD75D">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L</w:t>
            </w:r>
            <w:r>
              <w:rPr>
                <w:rFonts w:hint="default" w:ascii="Times New Roman" w:hAnsi="Times New Roman" w:eastAsia="宋体" w:cs="Times New Roman"/>
                <w:bCs/>
                <w:i/>
                <w:iCs/>
                <w:snapToGrid w:val="0"/>
                <w:color w:val="auto"/>
                <w:kern w:val="0"/>
                <w:sz w:val="24"/>
                <w:highlight w:val="none"/>
                <w:vertAlign w:val="subscript"/>
              </w:rPr>
              <w:t>Ai</w:t>
            </w:r>
            <w:r>
              <w:rPr>
                <w:rFonts w:hint="default" w:ascii="Times New Roman" w:hAnsi="Times New Roman" w:eastAsia="宋体" w:cs="Times New Roman"/>
                <w:bCs/>
                <w:snapToGrid w:val="0"/>
                <w:color w:val="auto"/>
                <w:kern w:val="0"/>
                <w:sz w:val="24"/>
                <w:highlight w:val="none"/>
              </w:rPr>
              <w:t>—i声源在预测点产生的A声级，dB(A)；</w:t>
            </w:r>
          </w:p>
          <w:p w14:paraId="20DE033F">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T—预测计算的时间段，s；</w:t>
            </w:r>
          </w:p>
          <w:p w14:paraId="0F90EA02">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t</w:t>
            </w:r>
            <w:r>
              <w:rPr>
                <w:rFonts w:hint="default" w:ascii="Times New Roman" w:hAnsi="Times New Roman" w:eastAsia="宋体" w:cs="Times New Roman"/>
                <w:bCs/>
                <w:i/>
                <w:iCs/>
                <w:snapToGrid w:val="0"/>
                <w:color w:val="auto"/>
                <w:kern w:val="0"/>
                <w:sz w:val="24"/>
                <w:highlight w:val="none"/>
                <w:vertAlign w:val="subscript"/>
              </w:rPr>
              <w:t>i</w:t>
            </w:r>
            <w:r>
              <w:rPr>
                <w:rFonts w:hint="default" w:ascii="Times New Roman" w:hAnsi="Times New Roman" w:eastAsia="宋体" w:cs="Times New Roman"/>
                <w:bCs/>
                <w:snapToGrid w:val="0"/>
                <w:color w:val="auto"/>
                <w:kern w:val="0"/>
                <w:sz w:val="24"/>
                <w:highlight w:val="none"/>
              </w:rPr>
              <w:t>—i声源在T时段内的运行时间，s。</w:t>
            </w:r>
          </w:p>
          <w:p w14:paraId="33CD920A">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本项目噪声预测值详见下表。</w:t>
            </w:r>
          </w:p>
          <w:p w14:paraId="2A62F14F">
            <w:pPr>
              <w:numPr>
                <w:ilvl w:val="0"/>
                <w:numId w:val="26"/>
              </w:numPr>
              <w:adjustRightInd w:val="0"/>
              <w:spacing w:line="360" w:lineRule="auto"/>
              <w:ind w:left="425" w:leftChars="0" w:hanging="425" w:firstLineChars="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建设项目厂界噪声预测结果一览表   单位：dB(A)</w:t>
            </w:r>
          </w:p>
          <w:tbl>
            <w:tblPr>
              <w:tblStyle w:val="23"/>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1426"/>
              <w:gridCol w:w="1596"/>
              <w:gridCol w:w="1743"/>
              <w:gridCol w:w="1417"/>
            </w:tblGrid>
            <w:tr w14:paraId="0DBE85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1309" w:type="dxa"/>
                  <w:tcBorders>
                    <w:tl2br w:val="nil"/>
                    <w:tr2bl w:val="nil"/>
                  </w:tcBorders>
                  <w:vAlign w:val="center"/>
                </w:tcPr>
                <w:p w14:paraId="58965DDA">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预测方位</w:t>
                  </w:r>
                </w:p>
              </w:tc>
              <w:tc>
                <w:tcPr>
                  <w:tcW w:w="1512" w:type="dxa"/>
                  <w:tcBorders>
                    <w:tl2br w:val="nil"/>
                    <w:tr2bl w:val="nil"/>
                  </w:tcBorders>
                  <w:vAlign w:val="center"/>
                </w:tcPr>
                <w:p w14:paraId="37ECA0CD">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时段</w:t>
                  </w:r>
                </w:p>
              </w:tc>
              <w:tc>
                <w:tcPr>
                  <w:tcW w:w="1692" w:type="dxa"/>
                  <w:tcBorders>
                    <w:tl2br w:val="nil"/>
                    <w:tr2bl w:val="nil"/>
                  </w:tcBorders>
                  <w:vAlign w:val="center"/>
                </w:tcPr>
                <w:p w14:paraId="41F7D032">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贡献值dB(A)</w:t>
                  </w:r>
                </w:p>
              </w:tc>
              <w:tc>
                <w:tcPr>
                  <w:tcW w:w="1848" w:type="dxa"/>
                  <w:tcBorders>
                    <w:tl2br w:val="nil"/>
                    <w:tr2bl w:val="nil"/>
                  </w:tcBorders>
                  <w:vAlign w:val="center"/>
                </w:tcPr>
                <w:p w14:paraId="56934B7A">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标准限值dB(A)</w:t>
                  </w:r>
                </w:p>
              </w:tc>
              <w:tc>
                <w:tcPr>
                  <w:tcW w:w="1502" w:type="dxa"/>
                  <w:tcBorders>
                    <w:tl2br w:val="nil"/>
                    <w:tr2bl w:val="nil"/>
                  </w:tcBorders>
                  <w:vAlign w:val="center"/>
                </w:tcPr>
                <w:p w14:paraId="0463CC16">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达标情况</w:t>
                  </w:r>
                </w:p>
              </w:tc>
            </w:tr>
            <w:tr w14:paraId="7C4020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2" w:hRule="exact"/>
                <w:jc w:val="center"/>
              </w:trPr>
              <w:tc>
                <w:tcPr>
                  <w:tcW w:w="1309" w:type="dxa"/>
                  <w:tcBorders>
                    <w:tl2br w:val="nil"/>
                    <w:tr2bl w:val="nil"/>
                  </w:tcBorders>
                  <w:shd w:val="clear" w:color="auto" w:fill="FFFFFF"/>
                  <w:vAlign w:val="center"/>
                </w:tcPr>
                <w:p w14:paraId="52DB26E0">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东侧</w:t>
                  </w:r>
                </w:p>
              </w:tc>
              <w:tc>
                <w:tcPr>
                  <w:tcW w:w="1512" w:type="dxa"/>
                  <w:tcBorders>
                    <w:tl2br w:val="nil"/>
                    <w:tr2bl w:val="nil"/>
                  </w:tcBorders>
                  <w:shd w:val="clear" w:color="auto" w:fill="FFFFFF"/>
                  <w:vAlign w:val="center"/>
                </w:tcPr>
                <w:p w14:paraId="391595E0">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昼间</w:t>
                  </w:r>
                </w:p>
              </w:tc>
              <w:tc>
                <w:tcPr>
                  <w:tcW w:w="1692" w:type="dxa"/>
                  <w:tcBorders>
                    <w:tl2br w:val="nil"/>
                    <w:tr2bl w:val="nil"/>
                  </w:tcBorders>
                  <w:shd w:val="clear" w:color="auto" w:fill="FFFFFF"/>
                  <w:vAlign w:val="center"/>
                </w:tcPr>
                <w:p w14:paraId="47DF414D">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37.7</w:t>
                  </w:r>
                </w:p>
              </w:tc>
              <w:tc>
                <w:tcPr>
                  <w:tcW w:w="1848" w:type="dxa"/>
                  <w:tcBorders>
                    <w:tl2br w:val="nil"/>
                    <w:tr2bl w:val="nil"/>
                  </w:tcBorders>
                  <w:shd w:val="clear" w:color="auto" w:fill="FFFFFF"/>
                  <w:vAlign w:val="center"/>
                </w:tcPr>
                <w:p w14:paraId="6CD41EB2">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1502" w:type="dxa"/>
                  <w:tcBorders>
                    <w:tl2br w:val="nil"/>
                    <w:tr2bl w:val="nil"/>
                  </w:tcBorders>
                  <w:shd w:val="clear" w:color="auto" w:fill="FFFFFF"/>
                  <w:vAlign w:val="center"/>
                </w:tcPr>
                <w:p w14:paraId="07F6C237">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达标</w:t>
                  </w:r>
                </w:p>
              </w:tc>
            </w:tr>
            <w:tr w14:paraId="024DA8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2" w:hRule="exact"/>
                <w:jc w:val="center"/>
              </w:trPr>
              <w:tc>
                <w:tcPr>
                  <w:tcW w:w="1309" w:type="dxa"/>
                  <w:tcBorders>
                    <w:tl2br w:val="nil"/>
                    <w:tr2bl w:val="nil"/>
                  </w:tcBorders>
                  <w:shd w:val="clear" w:color="auto" w:fill="FFFFFF"/>
                  <w:vAlign w:val="center"/>
                </w:tcPr>
                <w:p w14:paraId="566C393A">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南侧</w:t>
                  </w:r>
                </w:p>
              </w:tc>
              <w:tc>
                <w:tcPr>
                  <w:tcW w:w="1512" w:type="dxa"/>
                  <w:tcBorders>
                    <w:tl2br w:val="nil"/>
                    <w:tr2bl w:val="nil"/>
                  </w:tcBorders>
                  <w:shd w:val="clear" w:color="auto" w:fill="FFFFFF"/>
                  <w:vAlign w:val="center"/>
                </w:tcPr>
                <w:p w14:paraId="2F412DFB">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昼间</w:t>
                  </w:r>
                </w:p>
              </w:tc>
              <w:tc>
                <w:tcPr>
                  <w:tcW w:w="1692" w:type="dxa"/>
                  <w:tcBorders>
                    <w:tl2br w:val="nil"/>
                    <w:tr2bl w:val="nil"/>
                  </w:tcBorders>
                  <w:shd w:val="clear" w:color="auto" w:fill="FFFFFF"/>
                  <w:vAlign w:val="center"/>
                </w:tcPr>
                <w:p w14:paraId="26D901B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58.7</w:t>
                  </w:r>
                </w:p>
              </w:tc>
              <w:tc>
                <w:tcPr>
                  <w:tcW w:w="1848" w:type="dxa"/>
                  <w:tcBorders>
                    <w:tl2br w:val="nil"/>
                    <w:tr2bl w:val="nil"/>
                  </w:tcBorders>
                  <w:shd w:val="clear" w:color="auto" w:fill="FFFFFF"/>
                  <w:vAlign w:val="center"/>
                </w:tcPr>
                <w:p w14:paraId="2DEF236E">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1502" w:type="dxa"/>
                  <w:tcBorders>
                    <w:tl2br w:val="nil"/>
                    <w:tr2bl w:val="nil"/>
                  </w:tcBorders>
                  <w:shd w:val="clear" w:color="auto" w:fill="FFFFFF"/>
                  <w:vAlign w:val="center"/>
                </w:tcPr>
                <w:p w14:paraId="4DA3FEB0">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达标</w:t>
                  </w:r>
                </w:p>
              </w:tc>
            </w:tr>
            <w:tr w14:paraId="5812DF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2" w:hRule="exact"/>
                <w:jc w:val="center"/>
              </w:trPr>
              <w:tc>
                <w:tcPr>
                  <w:tcW w:w="1309" w:type="dxa"/>
                  <w:tcBorders>
                    <w:tl2br w:val="nil"/>
                    <w:tr2bl w:val="nil"/>
                  </w:tcBorders>
                  <w:shd w:val="clear" w:color="auto" w:fill="FFFFFF"/>
                  <w:vAlign w:val="center"/>
                </w:tcPr>
                <w:p w14:paraId="3E0C820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西侧</w:t>
                  </w:r>
                </w:p>
              </w:tc>
              <w:tc>
                <w:tcPr>
                  <w:tcW w:w="1512" w:type="dxa"/>
                  <w:tcBorders>
                    <w:tl2br w:val="nil"/>
                    <w:tr2bl w:val="nil"/>
                  </w:tcBorders>
                  <w:shd w:val="clear" w:color="auto" w:fill="FFFFFF"/>
                  <w:vAlign w:val="center"/>
                </w:tcPr>
                <w:p w14:paraId="55EF5318">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昼间</w:t>
                  </w:r>
                </w:p>
              </w:tc>
              <w:tc>
                <w:tcPr>
                  <w:tcW w:w="1692" w:type="dxa"/>
                  <w:tcBorders>
                    <w:tl2br w:val="nil"/>
                    <w:tr2bl w:val="nil"/>
                  </w:tcBorders>
                  <w:shd w:val="clear" w:color="auto" w:fill="FFFFFF"/>
                  <w:vAlign w:val="center"/>
                </w:tcPr>
                <w:p w14:paraId="17EE58F7">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38.8</w:t>
                  </w:r>
                </w:p>
              </w:tc>
              <w:tc>
                <w:tcPr>
                  <w:tcW w:w="1848" w:type="dxa"/>
                  <w:tcBorders>
                    <w:tl2br w:val="nil"/>
                    <w:tr2bl w:val="nil"/>
                  </w:tcBorders>
                  <w:shd w:val="clear" w:color="auto" w:fill="FFFFFF"/>
                  <w:vAlign w:val="center"/>
                </w:tcPr>
                <w:p w14:paraId="3DA05CA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1502" w:type="dxa"/>
                  <w:tcBorders>
                    <w:tl2br w:val="nil"/>
                    <w:tr2bl w:val="nil"/>
                  </w:tcBorders>
                  <w:shd w:val="clear" w:color="auto" w:fill="FFFFFF"/>
                  <w:vAlign w:val="center"/>
                </w:tcPr>
                <w:p w14:paraId="65D4E75D">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达标</w:t>
                  </w:r>
                </w:p>
              </w:tc>
            </w:tr>
            <w:tr w14:paraId="275F75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2" w:hRule="exact"/>
                <w:jc w:val="center"/>
              </w:trPr>
              <w:tc>
                <w:tcPr>
                  <w:tcW w:w="1309" w:type="dxa"/>
                  <w:tcBorders>
                    <w:tl2br w:val="nil"/>
                    <w:tr2bl w:val="nil"/>
                  </w:tcBorders>
                  <w:shd w:val="clear" w:color="auto" w:fill="FFFFFF"/>
                  <w:vAlign w:val="center"/>
                </w:tcPr>
                <w:p w14:paraId="05E944A7">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北侧</w:t>
                  </w:r>
                </w:p>
              </w:tc>
              <w:tc>
                <w:tcPr>
                  <w:tcW w:w="1512" w:type="dxa"/>
                  <w:tcBorders>
                    <w:tl2br w:val="nil"/>
                    <w:tr2bl w:val="nil"/>
                  </w:tcBorders>
                  <w:shd w:val="clear" w:color="auto" w:fill="FFFFFF"/>
                  <w:vAlign w:val="center"/>
                </w:tcPr>
                <w:p w14:paraId="11F9FF1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昼间</w:t>
                  </w:r>
                </w:p>
              </w:tc>
              <w:tc>
                <w:tcPr>
                  <w:tcW w:w="1692" w:type="dxa"/>
                  <w:tcBorders>
                    <w:tl2br w:val="nil"/>
                    <w:tr2bl w:val="nil"/>
                  </w:tcBorders>
                  <w:shd w:val="clear" w:color="auto" w:fill="FFFFFF"/>
                  <w:vAlign w:val="center"/>
                </w:tcPr>
                <w:p w14:paraId="0DF04CF1">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55.6</w:t>
                  </w:r>
                </w:p>
              </w:tc>
              <w:tc>
                <w:tcPr>
                  <w:tcW w:w="1848" w:type="dxa"/>
                  <w:tcBorders>
                    <w:tl2br w:val="nil"/>
                    <w:tr2bl w:val="nil"/>
                  </w:tcBorders>
                  <w:shd w:val="clear" w:color="auto" w:fill="FFFFFF"/>
                  <w:vAlign w:val="center"/>
                </w:tcPr>
                <w:p w14:paraId="32C62F7C">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1502" w:type="dxa"/>
                  <w:tcBorders>
                    <w:tl2br w:val="nil"/>
                    <w:tr2bl w:val="nil"/>
                  </w:tcBorders>
                  <w:shd w:val="clear" w:color="auto" w:fill="FFFFFF"/>
                  <w:vAlign w:val="center"/>
                </w:tcPr>
                <w:p w14:paraId="430232E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达标</w:t>
                  </w:r>
                </w:p>
              </w:tc>
            </w:tr>
          </w:tbl>
          <w:p w14:paraId="132F0E28">
            <w:pPr>
              <w:adjustRightInd w:val="0"/>
              <w:spacing w:before="120" w:beforeLines="5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32"/>
                <w:highlight w:val="none"/>
              </w:rPr>
              <w:t>由上分析可以看出，本项目噪声源经隔声、设备基础减振等措施后，厂界</w:t>
            </w:r>
            <w:r>
              <w:rPr>
                <w:rFonts w:hint="eastAsia" w:cs="Times New Roman"/>
                <w:color w:val="auto"/>
                <w:sz w:val="24"/>
                <w:szCs w:val="32"/>
                <w:highlight w:val="none"/>
                <w:lang w:val="en-US" w:eastAsia="zh-CN"/>
              </w:rPr>
              <w:t>贡献值</w:t>
            </w:r>
            <w:r>
              <w:rPr>
                <w:rFonts w:hint="default" w:ascii="Times New Roman" w:hAnsi="Times New Roman" w:eastAsia="宋体" w:cs="Times New Roman"/>
                <w:color w:val="auto"/>
                <w:sz w:val="24"/>
                <w:szCs w:val="32"/>
                <w:highlight w:val="none"/>
              </w:rPr>
              <w:t>符合《工业企业厂界环境噪声排放标准》（GB12348－2008）中3类标准的限值要求</w:t>
            </w:r>
            <w:r>
              <w:rPr>
                <w:rFonts w:hint="default" w:ascii="Times New Roman" w:hAnsi="Times New Roman" w:eastAsia="宋体" w:cs="Times New Roman"/>
                <w:color w:val="auto"/>
                <w:sz w:val="24"/>
                <w:highlight w:val="none"/>
              </w:rPr>
              <w:t>。</w:t>
            </w:r>
          </w:p>
          <w:p w14:paraId="67BDD1D4">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噪声监测计划</w:t>
            </w:r>
          </w:p>
          <w:p w14:paraId="36989B06">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本项目噪声监测计划详见下表。</w:t>
            </w:r>
          </w:p>
          <w:p w14:paraId="6EFE4AE9">
            <w:pPr>
              <w:numPr>
                <w:ilvl w:val="0"/>
                <w:numId w:val="26"/>
              </w:numPr>
              <w:adjustRightInd w:val="0"/>
              <w:spacing w:line="360" w:lineRule="auto"/>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项目噪声监测计划</w:t>
            </w:r>
          </w:p>
          <w:tbl>
            <w:tblPr>
              <w:tblStyle w:val="23"/>
              <w:tblW w:w="8027" w:type="dxa"/>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146"/>
              <w:gridCol w:w="2060"/>
              <w:gridCol w:w="1894"/>
              <w:gridCol w:w="1711"/>
            </w:tblGrid>
            <w:tr w14:paraId="3B890A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7" w:type="pct"/>
                  <w:tcBorders>
                    <w:tl2br w:val="nil"/>
                    <w:tr2bl w:val="nil"/>
                  </w:tcBorders>
                  <w:vAlign w:val="center"/>
                </w:tcPr>
                <w:p w14:paraId="64F6CC4C">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时段</w:t>
                  </w:r>
                </w:p>
              </w:tc>
              <w:tc>
                <w:tcPr>
                  <w:tcW w:w="713" w:type="pct"/>
                  <w:tcBorders>
                    <w:tl2br w:val="nil"/>
                    <w:tr2bl w:val="nil"/>
                  </w:tcBorders>
                  <w:vAlign w:val="center"/>
                </w:tcPr>
                <w:p w14:paraId="754B2195">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监测内容</w:t>
                  </w:r>
                </w:p>
              </w:tc>
              <w:tc>
                <w:tcPr>
                  <w:tcW w:w="1283" w:type="pct"/>
                  <w:tcBorders>
                    <w:tl2br w:val="nil"/>
                    <w:tr2bl w:val="nil"/>
                  </w:tcBorders>
                  <w:vAlign w:val="center"/>
                </w:tcPr>
                <w:p w14:paraId="55CFC420">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监测指标</w:t>
                  </w:r>
                </w:p>
              </w:tc>
              <w:tc>
                <w:tcPr>
                  <w:tcW w:w="1179" w:type="pct"/>
                  <w:tcBorders>
                    <w:tl2br w:val="nil"/>
                    <w:tr2bl w:val="nil"/>
                  </w:tcBorders>
                  <w:vAlign w:val="center"/>
                </w:tcPr>
                <w:p w14:paraId="09CD14F9">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监测点位</w:t>
                  </w:r>
                </w:p>
              </w:tc>
              <w:tc>
                <w:tcPr>
                  <w:tcW w:w="1065" w:type="pct"/>
                  <w:tcBorders>
                    <w:tl2br w:val="nil"/>
                    <w:tr2bl w:val="nil"/>
                  </w:tcBorders>
                  <w:vAlign w:val="center"/>
                </w:tcPr>
                <w:p w14:paraId="1EC48985">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监测频次</w:t>
                  </w:r>
                </w:p>
              </w:tc>
            </w:tr>
            <w:tr w14:paraId="4ED4A5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7" w:type="pct"/>
                  <w:tcBorders>
                    <w:tl2br w:val="nil"/>
                    <w:tr2bl w:val="nil"/>
                  </w:tcBorders>
                  <w:vAlign w:val="center"/>
                </w:tcPr>
                <w:p w14:paraId="037ED6F6">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运营期</w:t>
                  </w:r>
                </w:p>
              </w:tc>
              <w:tc>
                <w:tcPr>
                  <w:tcW w:w="713" w:type="pct"/>
                  <w:tcBorders>
                    <w:tl2br w:val="nil"/>
                    <w:tr2bl w:val="nil"/>
                  </w:tcBorders>
                  <w:vAlign w:val="center"/>
                </w:tcPr>
                <w:p w14:paraId="6E30DEEE">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噪声</w:t>
                  </w:r>
                </w:p>
              </w:tc>
              <w:tc>
                <w:tcPr>
                  <w:tcW w:w="1283" w:type="pct"/>
                  <w:tcBorders>
                    <w:tl2br w:val="nil"/>
                    <w:tr2bl w:val="nil"/>
                  </w:tcBorders>
                  <w:vAlign w:val="center"/>
                </w:tcPr>
                <w:p w14:paraId="28DA40C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等效连续A声级</w:t>
                  </w:r>
                </w:p>
              </w:tc>
              <w:tc>
                <w:tcPr>
                  <w:tcW w:w="1179" w:type="pct"/>
                  <w:tcBorders>
                    <w:tl2br w:val="nil"/>
                    <w:tr2bl w:val="nil"/>
                  </w:tcBorders>
                  <w:vAlign w:val="center"/>
                </w:tcPr>
                <w:p w14:paraId="62F9F19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厂界</w:t>
                  </w:r>
                  <w:r>
                    <w:rPr>
                      <w:rFonts w:hint="eastAsia" w:cs="Times New Roman"/>
                      <w:color w:val="auto"/>
                      <w:sz w:val="21"/>
                      <w:szCs w:val="21"/>
                      <w:highlight w:val="none"/>
                      <w:vertAlign w:val="baseline"/>
                      <w:lang w:val="en-US" w:eastAsia="zh-CN"/>
                    </w:rPr>
                    <w:t>东、南、北侧</w:t>
                  </w:r>
                  <w:r>
                    <w:rPr>
                      <w:rFonts w:hint="eastAsia" w:ascii="Times New Roman" w:hAnsi="Times New Roman" w:eastAsia="宋体" w:cs="Times New Roman"/>
                      <w:color w:val="auto"/>
                      <w:sz w:val="21"/>
                      <w:szCs w:val="21"/>
                      <w:highlight w:val="none"/>
                      <w:vertAlign w:val="baseline"/>
                      <w:lang w:val="en-US" w:eastAsia="zh-CN"/>
                    </w:rPr>
                    <w:t>各</w:t>
                  </w:r>
                  <w:r>
                    <w:rPr>
                      <w:rFonts w:hint="default" w:ascii="Times New Roman" w:hAnsi="Times New Roman" w:eastAsia="宋体" w:cs="Times New Roman"/>
                      <w:color w:val="auto"/>
                      <w:sz w:val="21"/>
                      <w:szCs w:val="21"/>
                      <w:highlight w:val="none"/>
                      <w:vertAlign w:val="baseline"/>
                      <w:lang w:val="en-US" w:eastAsia="zh-CN"/>
                    </w:rPr>
                    <w:t>1</w:t>
                  </w:r>
                  <w:r>
                    <w:rPr>
                      <w:rFonts w:hint="eastAsia" w:ascii="Times New Roman" w:hAnsi="Times New Roman" w:eastAsia="宋体" w:cs="Times New Roman"/>
                      <w:color w:val="auto"/>
                      <w:sz w:val="21"/>
                      <w:szCs w:val="21"/>
                      <w:highlight w:val="none"/>
                      <w:vertAlign w:val="baseline"/>
                      <w:lang w:val="en-US" w:eastAsia="zh-CN"/>
                    </w:rPr>
                    <w:t>个点位（共</w:t>
                  </w:r>
                  <w:r>
                    <w:rPr>
                      <w:rFonts w:hint="eastAsia" w:cs="Times New Roman"/>
                      <w:color w:val="auto"/>
                      <w:sz w:val="21"/>
                      <w:szCs w:val="21"/>
                      <w:highlight w:val="none"/>
                      <w:vertAlign w:val="baseline"/>
                      <w:lang w:val="en-US" w:eastAsia="zh-CN"/>
                    </w:rPr>
                    <w:t>3</w:t>
                  </w:r>
                  <w:r>
                    <w:rPr>
                      <w:rFonts w:hint="eastAsia" w:ascii="Times New Roman" w:hAnsi="Times New Roman" w:eastAsia="宋体" w:cs="Times New Roman"/>
                      <w:color w:val="auto"/>
                      <w:sz w:val="21"/>
                      <w:szCs w:val="21"/>
                      <w:highlight w:val="none"/>
                      <w:vertAlign w:val="baseline"/>
                      <w:lang w:val="en-US" w:eastAsia="zh-CN"/>
                    </w:rPr>
                    <w:t>点）</w:t>
                  </w:r>
                </w:p>
              </w:tc>
              <w:tc>
                <w:tcPr>
                  <w:tcW w:w="1065" w:type="pct"/>
                  <w:tcBorders>
                    <w:tl2br w:val="nil"/>
                    <w:tr2bl w:val="nil"/>
                  </w:tcBorders>
                  <w:vAlign w:val="center"/>
                </w:tcPr>
                <w:p w14:paraId="75114F87">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每季度1次</w:t>
                  </w:r>
                </w:p>
              </w:tc>
            </w:tr>
            <w:tr w14:paraId="689EFC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000" w:type="pct"/>
                  <w:gridSpan w:val="5"/>
                  <w:tcBorders>
                    <w:tl2br w:val="nil"/>
                    <w:tr2bl w:val="nil"/>
                  </w:tcBorders>
                  <w:vAlign w:val="center"/>
                </w:tcPr>
                <w:p w14:paraId="679CBFF2">
                  <w:pPr>
                    <w:numPr>
                      <w:ilvl w:val="0"/>
                      <w:numId w:val="0"/>
                    </w:numPr>
                    <w:adjustRightInd w:val="0"/>
                    <w:snapToGrid w:val="0"/>
                    <w:spacing w:line="240" w:lineRule="auto"/>
                    <w:jc w:val="both"/>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本项目西侧紧邻本建筑其他单元，不具备检测条件。</w:t>
                  </w:r>
                </w:p>
              </w:tc>
            </w:tr>
          </w:tbl>
          <w:p w14:paraId="57BB748F">
            <w:pPr>
              <w:numPr>
                <w:ilvl w:val="0"/>
                <w:numId w:val="24"/>
              </w:numPr>
              <w:adjustRightInd w:val="0"/>
              <w:snapToGri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固体废物</w:t>
            </w:r>
            <w:r>
              <w:rPr>
                <w:rFonts w:hint="default" w:ascii="Times New Roman" w:hAnsi="Times New Roman" w:eastAsia="宋体" w:cs="Times New Roman"/>
                <w:b/>
                <w:color w:val="auto"/>
                <w:sz w:val="24"/>
                <w:highlight w:val="none"/>
                <w:lang w:val="en-US" w:eastAsia="zh-CN"/>
              </w:rPr>
              <w:t>环境</w:t>
            </w:r>
            <w:r>
              <w:rPr>
                <w:rFonts w:hint="default" w:ascii="Times New Roman" w:hAnsi="Times New Roman" w:eastAsia="宋体" w:cs="Times New Roman"/>
                <w:b/>
                <w:color w:val="auto"/>
                <w:sz w:val="24"/>
                <w:highlight w:val="none"/>
              </w:rPr>
              <w:t>影响分析</w:t>
            </w:r>
          </w:p>
          <w:p w14:paraId="00470828">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 xml:space="preserve">（1）固体废物源强 </w:t>
            </w:r>
          </w:p>
          <w:p w14:paraId="01B9FDA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本项目固体废物包括生活垃圾、一般</w:t>
            </w:r>
            <w:r>
              <w:rPr>
                <w:rFonts w:hint="eastAsia" w:cs="Times New Roman"/>
                <w:color w:val="auto"/>
                <w:sz w:val="24"/>
                <w:highlight w:val="none"/>
                <w:lang w:val="en-US" w:eastAsia="zh-CN"/>
              </w:rPr>
              <w:t>工业</w:t>
            </w:r>
            <w:r>
              <w:rPr>
                <w:rFonts w:hint="default" w:ascii="Times New Roman" w:hAnsi="Times New Roman" w:eastAsia="宋体" w:cs="Times New Roman"/>
                <w:color w:val="auto"/>
                <w:sz w:val="24"/>
                <w:highlight w:val="none"/>
                <w:lang w:val="en-US" w:eastAsia="zh-CN"/>
              </w:rPr>
              <w:t>固体废物</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危险废物。</w:t>
            </w:r>
          </w:p>
          <w:p w14:paraId="3012E3B7">
            <w:pPr>
              <w:numPr>
                <w:ilvl w:val="0"/>
                <w:numId w:val="0"/>
              </w:num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生活垃圾</w:t>
            </w:r>
          </w:p>
          <w:p w14:paraId="37573322">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w:t>
            </w:r>
            <w:r>
              <w:rPr>
                <w:rFonts w:hint="eastAsia" w:ascii="Times New Roman" w:hAnsi="Times New Roman" w:eastAsia="宋体" w:cs="Times New Roman"/>
                <w:color w:val="auto"/>
                <w:sz w:val="24"/>
                <w:highlight w:val="none"/>
                <w:lang w:val="en-US" w:eastAsia="zh-CN"/>
              </w:rPr>
              <w:t>员工10</w:t>
            </w:r>
            <w:r>
              <w:rPr>
                <w:rFonts w:hint="default" w:ascii="Times New Roman" w:hAnsi="Times New Roman" w:eastAsia="宋体" w:cs="Times New Roman"/>
                <w:color w:val="auto"/>
                <w:sz w:val="24"/>
                <w:highlight w:val="none"/>
                <w:lang w:val="en-US" w:eastAsia="zh-CN"/>
              </w:rPr>
              <w:t>人，生活垃圾产生量按0.5kg/人•d计，拟建项目年工作2</w:t>
            </w:r>
            <w:r>
              <w:rPr>
                <w:rFonts w:hint="eastAsia" w:ascii="Times New Roman" w:hAnsi="Times New Roman" w:eastAsia="宋体" w:cs="Times New Roman"/>
                <w:color w:val="auto"/>
                <w:sz w:val="24"/>
                <w:highlight w:val="none"/>
                <w:lang w:val="en-US" w:eastAsia="zh-CN"/>
              </w:rPr>
              <w:t>50</w:t>
            </w:r>
            <w:r>
              <w:rPr>
                <w:rFonts w:hint="default" w:ascii="Times New Roman" w:hAnsi="Times New Roman" w:eastAsia="宋体" w:cs="Times New Roman"/>
                <w:color w:val="auto"/>
                <w:sz w:val="24"/>
                <w:highlight w:val="none"/>
                <w:lang w:val="en-US" w:eastAsia="zh-CN"/>
              </w:rPr>
              <w:t>d/a，则生活垃圾产生量为</w:t>
            </w:r>
            <w:r>
              <w:rPr>
                <w:rFonts w:hint="eastAsia" w:ascii="Times New Roman" w:hAnsi="Times New Roman" w:eastAsia="宋体" w:cs="Times New Roman"/>
                <w:color w:val="auto"/>
                <w:sz w:val="24"/>
                <w:highlight w:val="none"/>
                <w:lang w:val="en-US" w:eastAsia="zh-CN"/>
              </w:rPr>
              <w:t>1.25</w:t>
            </w:r>
            <w:r>
              <w:rPr>
                <w:rFonts w:hint="default" w:ascii="Times New Roman" w:hAnsi="Times New Roman" w:eastAsia="宋体" w:cs="Times New Roman"/>
                <w:color w:val="auto"/>
                <w:sz w:val="24"/>
                <w:highlight w:val="none"/>
                <w:lang w:val="en-US" w:eastAsia="zh-CN"/>
              </w:rPr>
              <w:t>t/a。生活垃圾分类收集后，由当地环卫部门定期清运。</w:t>
            </w:r>
          </w:p>
          <w:p w14:paraId="482A1616">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一般工业固体废物</w:t>
            </w:r>
          </w:p>
          <w:p w14:paraId="0A580B0A">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本项目一般</w:t>
            </w:r>
            <w:r>
              <w:rPr>
                <w:rFonts w:hint="eastAsia" w:cs="Times New Roman"/>
                <w:color w:val="auto"/>
                <w:sz w:val="24"/>
                <w:highlight w:val="none"/>
                <w:lang w:val="en-US" w:eastAsia="zh-CN"/>
              </w:rPr>
              <w:t>工业</w:t>
            </w:r>
            <w:r>
              <w:rPr>
                <w:rFonts w:hint="default" w:ascii="Times New Roman" w:hAnsi="Times New Roman" w:eastAsia="宋体" w:cs="Times New Roman"/>
                <w:color w:val="auto"/>
                <w:sz w:val="24"/>
                <w:highlight w:val="none"/>
                <w:lang w:val="en-US" w:eastAsia="zh-CN"/>
              </w:rPr>
              <w:t>固体废物</w:t>
            </w:r>
            <w:r>
              <w:rPr>
                <w:rFonts w:hint="eastAsia" w:cs="Times New Roman"/>
                <w:color w:val="auto"/>
                <w:sz w:val="24"/>
                <w:highlight w:val="none"/>
                <w:lang w:val="en-US" w:eastAsia="zh-CN"/>
              </w:rPr>
              <w:t>包括</w:t>
            </w:r>
            <w:r>
              <w:rPr>
                <w:rFonts w:hint="default" w:ascii="Times New Roman" w:hAnsi="Times New Roman" w:eastAsia="宋体" w:cs="Times New Roman"/>
                <w:color w:val="auto"/>
                <w:sz w:val="24"/>
                <w:highlight w:val="none"/>
                <w:lang w:val="en-US" w:eastAsia="zh-CN"/>
              </w:rPr>
              <w:t>未沾染化学试剂的废包装物。未沾染化学试剂的废包装物产生量约</w:t>
            </w:r>
            <w:r>
              <w:rPr>
                <w:rFonts w:hint="eastAsia" w:cs="Times New Roman"/>
                <w:color w:val="auto"/>
                <w:sz w:val="24"/>
                <w:highlight w:val="none"/>
                <w:lang w:val="en-US" w:eastAsia="zh-CN"/>
              </w:rPr>
              <w:t>0.5</w:t>
            </w:r>
            <w:r>
              <w:rPr>
                <w:rFonts w:hint="default" w:ascii="Times New Roman" w:hAnsi="Times New Roman" w:eastAsia="宋体" w:cs="Times New Roman"/>
                <w:color w:val="auto"/>
                <w:sz w:val="24"/>
                <w:highlight w:val="none"/>
                <w:lang w:val="en-US" w:eastAsia="zh-CN"/>
              </w:rPr>
              <w:t>t/a，由</w:t>
            </w:r>
            <w:r>
              <w:rPr>
                <w:rFonts w:hint="eastAsia" w:cs="Times New Roman"/>
                <w:color w:val="auto"/>
                <w:sz w:val="24"/>
                <w:highlight w:val="none"/>
                <w:lang w:val="en-US" w:eastAsia="zh-CN"/>
              </w:rPr>
              <w:t>物资回收单位</w:t>
            </w:r>
            <w:r>
              <w:rPr>
                <w:rFonts w:hint="default" w:ascii="Times New Roman" w:hAnsi="Times New Roman" w:eastAsia="宋体" w:cs="Times New Roman"/>
                <w:color w:val="auto"/>
                <w:sz w:val="24"/>
                <w:highlight w:val="none"/>
                <w:lang w:val="en-US" w:eastAsia="zh-CN"/>
              </w:rPr>
              <w:t>进行回收。</w:t>
            </w:r>
          </w:p>
          <w:p w14:paraId="2045A875">
            <w:pPr>
              <w:numPr>
                <w:ilvl w:val="0"/>
                <w:numId w:val="28"/>
              </w:numPr>
              <w:adjustRightInd w:val="0"/>
              <w:snapToGrid w:val="0"/>
              <w:spacing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危险废物</w:t>
            </w:r>
          </w:p>
          <w:p w14:paraId="2A8EE1CE">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项目营运过程中产生的危险废物有：废离心上清液、清洗废液、废一次性试验耗材、</w:t>
            </w:r>
            <w:r>
              <w:rPr>
                <w:rFonts w:hint="eastAsia" w:cs="Times New Roman"/>
                <w:color w:val="auto"/>
                <w:sz w:val="24"/>
                <w:highlight w:val="none"/>
                <w:lang w:val="en-US" w:eastAsia="zh-CN"/>
              </w:rPr>
              <w:t>废培养基、检测废液、废紫外灯管</w:t>
            </w:r>
            <w:r>
              <w:rPr>
                <w:rFonts w:hint="eastAsia" w:ascii="Times New Roman" w:hAnsi="Times New Roman" w:eastAsia="宋体" w:cs="Times New Roman"/>
                <w:color w:val="auto"/>
                <w:sz w:val="24"/>
                <w:highlight w:val="none"/>
                <w:lang w:val="en-US" w:eastAsia="zh-CN"/>
              </w:rPr>
              <w:t>。</w:t>
            </w:r>
          </w:p>
          <w:p w14:paraId="0BD0A2C7">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根据企业提供的资料，综合分析核算本项目危险废物产生量：废离心上清液0.</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、容器清洗废液0.</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、废一次性试验耗材0.05</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、废</w:t>
            </w:r>
            <w:r>
              <w:rPr>
                <w:rFonts w:hint="eastAsia" w:cs="Times New Roman"/>
                <w:color w:val="auto"/>
                <w:sz w:val="24"/>
                <w:highlight w:val="none"/>
                <w:lang w:val="en-US" w:eastAsia="zh-CN"/>
              </w:rPr>
              <w:t>培养基</w:t>
            </w:r>
            <w:r>
              <w:rPr>
                <w:rFonts w:hint="eastAsia" w:ascii="Times New Roman" w:hAnsi="Times New Roman" w:eastAsia="宋体" w:cs="Times New Roman"/>
                <w:color w:val="auto"/>
                <w:sz w:val="24"/>
                <w:highlight w:val="none"/>
                <w:lang w:val="en-US" w:eastAsia="zh-CN"/>
              </w:rPr>
              <w:t>0.</w:t>
            </w:r>
            <w:r>
              <w:rPr>
                <w:rFonts w:hint="eastAsia" w:cs="Times New Roman"/>
                <w:color w:val="auto"/>
                <w:sz w:val="24"/>
                <w:highlight w:val="none"/>
                <w:lang w:val="en-US" w:eastAsia="zh-CN"/>
              </w:rPr>
              <w:t>02</w:t>
            </w:r>
            <w:r>
              <w:rPr>
                <w:rFonts w:hint="default" w:ascii="Times New Roman" w:hAnsi="Times New Roman" w:eastAsia="宋体" w:cs="Times New Roman"/>
                <w:color w:val="auto"/>
                <w:sz w:val="24"/>
                <w:highlight w:val="none"/>
                <w:lang w:val="en-US" w:eastAsia="zh-CN"/>
              </w:rPr>
              <w:t>t/a</w:t>
            </w:r>
            <w:r>
              <w:rPr>
                <w:rFonts w:hint="eastAsia" w:cs="Times New Roman"/>
                <w:color w:val="auto"/>
                <w:sz w:val="24"/>
                <w:highlight w:val="none"/>
                <w:lang w:val="en-US" w:eastAsia="zh-CN"/>
              </w:rPr>
              <w:t>、检测废液0.05</w:t>
            </w:r>
            <w:r>
              <w:rPr>
                <w:rFonts w:hint="default" w:ascii="Times New Roman" w:hAnsi="Times New Roman" w:eastAsia="宋体" w:cs="Times New Roman"/>
                <w:color w:val="auto"/>
                <w:sz w:val="24"/>
                <w:highlight w:val="none"/>
                <w:lang w:val="en-US" w:eastAsia="zh-CN"/>
              </w:rPr>
              <w:t>t/a</w:t>
            </w:r>
            <w:r>
              <w:rPr>
                <w:rFonts w:hint="eastAsia" w:cs="Times New Roman"/>
                <w:color w:val="auto"/>
                <w:sz w:val="24"/>
                <w:highlight w:val="none"/>
                <w:lang w:val="en-US" w:eastAsia="zh-CN"/>
              </w:rPr>
              <w:t>、废紫外灯管0.0001</w:t>
            </w:r>
            <w:r>
              <w:rPr>
                <w:rFonts w:hint="default" w:ascii="Times New Roman" w:hAnsi="Times New Roman" w:eastAsia="宋体" w:cs="Times New Roman"/>
                <w:color w:val="auto"/>
                <w:sz w:val="24"/>
                <w:highlight w:val="none"/>
                <w:lang w:val="en-US" w:eastAsia="zh-CN"/>
              </w:rPr>
              <w:t>t/a</w:t>
            </w:r>
            <w:r>
              <w:rPr>
                <w:rFonts w:hint="eastAsia" w:cs="Times New Roman"/>
                <w:color w:val="auto"/>
                <w:sz w:val="24"/>
                <w:highlight w:val="none"/>
                <w:lang w:val="en-US" w:eastAsia="zh-CN"/>
              </w:rPr>
              <w:t>、废样品0.02</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w:t>
            </w:r>
          </w:p>
          <w:p w14:paraId="0E593A83">
            <w:pPr>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本项目产生的</w:t>
            </w:r>
            <w:r>
              <w:rPr>
                <w:rFonts w:hint="default" w:ascii="Times New Roman" w:hAnsi="Times New Roman" w:eastAsia="宋体" w:cs="Times New Roman"/>
                <w:color w:val="auto"/>
                <w:sz w:val="24"/>
                <w:highlight w:val="none"/>
                <w:lang w:val="en-US" w:eastAsia="zh-CN"/>
              </w:rPr>
              <w:t>固体</w:t>
            </w:r>
            <w:r>
              <w:rPr>
                <w:rFonts w:hint="default" w:ascii="Times New Roman" w:hAnsi="Times New Roman" w:eastAsia="宋体" w:cs="Times New Roman"/>
                <w:color w:val="auto"/>
                <w:sz w:val="24"/>
                <w:highlight w:val="none"/>
              </w:rPr>
              <w:t>废物</w:t>
            </w:r>
            <w:r>
              <w:rPr>
                <w:rFonts w:hint="eastAsia" w:cs="Times New Roman"/>
                <w:color w:val="auto"/>
                <w:sz w:val="24"/>
                <w:highlight w:val="none"/>
                <w:lang w:val="en-US" w:eastAsia="zh-CN"/>
              </w:rPr>
              <w:t>具体情况</w:t>
            </w:r>
            <w:r>
              <w:rPr>
                <w:rFonts w:hint="default" w:ascii="Times New Roman" w:hAnsi="Times New Roman" w:eastAsia="宋体" w:cs="Times New Roman"/>
                <w:color w:val="auto"/>
                <w:sz w:val="24"/>
                <w:highlight w:val="none"/>
              </w:rPr>
              <w:t>见下表</w:t>
            </w:r>
            <w:r>
              <w:rPr>
                <w:rFonts w:hint="default" w:ascii="Times New Roman" w:hAnsi="Times New Roman" w:eastAsia="宋体" w:cs="Times New Roman"/>
                <w:color w:val="auto"/>
                <w:sz w:val="24"/>
                <w:highlight w:val="none"/>
                <w:lang w:eastAsia="zh-CN"/>
              </w:rPr>
              <w:t>。</w:t>
            </w:r>
          </w:p>
          <w:p w14:paraId="22B600AF">
            <w:pPr>
              <w:numPr>
                <w:ilvl w:val="0"/>
                <w:numId w:val="26"/>
              </w:numPr>
              <w:adjustRightInd w:val="0"/>
              <w:spacing w:line="360" w:lineRule="auto"/>
              <w:ind w:left="425" w:leftChars="0" w:hanging="425" w:firstLineChars="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项目</w:t>
            </w:r>
            <w:r>
              <w:rPr>
                <w:rFonts w:hint="default" w:ascii="Times New Roman" w:hAnsi="Times New Roman" w:eastAsia="宋体" w:cs="Times New Roman"/>
                <w:b/>
                <w:color w:val="auto"/>
                <w:sz w:val="24"/>
                <w:highlight w:val="none"/>
                <w:lang w:val="en-US" w:eastAsia="zh-CN"/>
              </w:rPr>
              <w:t>固体</w:t>
            </w:r>
            <w:r>
              <w:rPr>
                <w:rFonts w:hint="eastAsia" w:cs="Times New Roman"/>
                <w:b/>
                <w:color w:val="auto"/>
                <w:sz w:val="24"/>
                <w:highlight w:val="none"/>
                <w:lang w:val="en-US" w:eastAsia="zh-CN"/>
              </w:rPr>
              <w:t>废物</w:t>
            </w:r>
            <w:r>
              <w:rPr>
                <w:rFonts w:hint="default" w:ascii="Times New Roman" w:hAnsi="Times New Roman" w:eastAsia="宋体" w:cs="Times New Roman"/>
                <w:b/>
                <w:color w:val="auto"/>
                <w:sz w:val="24"/>
                <w:highlight w:val="none"/>
              </w:rPr>
              <w:t>产生情况一览表</w:t>
            </w:r>
          </w:p>
          <w:tbl>
            <w:tblPr>
              <w:tblStyle w:val="23"/>
              <w:tblW w:w="498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57"/>
              <w:gridCol w:w="867"/>
              <w:gridCol w:w="734"/>
              <w:gridCol w:w="1086"/>
              <w:gridCol w:w="792"/>
              <w:gridCol w:w="840"/>
              <w:gridCol w:w="888"/>
              <w:gridCol w:w="816"/>
              <w:gridCol w:w="972"/>
            </w:tblGrid>
            <w:tr w14:paraId="799191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20" w:hRule="atLeast"/>
                <w:jc w:val="center"/>
              </w:trPr>
              <w:tc>
                <w:tcPr>
                  <w:tcW w:w="368" w:type="pct"/>
                  <w:tcBorders>
                    <w:tl2br w:val="nil"/>
                    <w:tr2bl w:val="nil"/>
                  </w:tcBorders>
                  <w:vAlign w:val="center"/>
                </w:tcPr>
                <w:p w14:paraId="535EC5CD">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序号</w:t>
                  </w:r>
                </w:p>
              </w:tc>
              <w:tc>
                <w:tcPr>
                  <w:tcW w:w="574" w:type="pct"/>
                  <w:tcBorders>
                    <w:tl2br w:val="nil"/>
                    <w:tr2bl w:val="nil"/>
                  </w:tcBorders>
                  <w:vAlign w:val="center"/>
                </w:tcPr>
                <w:p w14:paraId="29C9C4FA">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名称</w:t>
                  </w:r>
                </w:p>
              </w:tc>
              <w:tc>
                <w:tcPr>
                  <w:tcW w:w="485" w:type="pct"/>
                  <w:tcBorders>
                    <w:tl2br w:val="nil"/>
                    <w:tr2bl w:val="nil"/>
                  </w:tcBorders>
                  <w:vAlign w:val="center"/>
                </w:tcPr>
                <w:p w14:paraId="0CA5341D">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危险废物类别</w:t>
                  </w:r>
                </w:p>
              </w:tc>
              <w:tc>
                <w:tcPr>
                  <w:tcW w:w="719" w:type="pct"/>
                  <w:tcBorders>
                    <w:tl2br w:val="nil"/>
                    <w:tr2bl w:val="nil"/>
                  </w:tcBorders>
                  <w:vAlign w:val="center"/>
                </w:tcPr>
                <w:p w14:paraId="640231EB">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lang w:val="en-US" w:eastAsia="zh-CN"/>
                    </w:rPr>
                    <w:t>固体</w:t>
                  </w:r>
                  <w:r>
                    <w:rPr>
                      <w:rFonts w:hint="default" w:ascii="Times New Roman" w:hAnsi="Times New Roman" w:eastAsia="宋体" w:cs="Times New Roman"/>
                      <w:b/>
                      <w:color w:val="auto"/>
                      <w:szCs w:val="21"/>
                      <w:highlight w:val="none"/>
                    </w:rPr>
                    <w:t>废物</w:t>
                  </w:r>
                </w:p>
                <w:p w14:paraId="2F9357DB">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代码</w:t>
                  </w:r>
                </w:p>
              </w:tc>
              <w:tc>
                <w:tcPr>
                  <w:tcW w:w="524" w:type="pct"/>
                  <w:tcBorders>
                    <w:tl2br w:val="nil"/>
                    <w:tr2bl w:val="nil"/>
                  </w:tcBorders>
                  <w:vAlign w:val="center"/>
                </w:tcPr>
                <w:p w14:paraId="48DFF4C9">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形态</w:t>
                  </w:r>
                </w:p>
              </w:tc>
              <w:tc>
                <w:tcPr>
                  <w:tcW w:w="556" w:type="pct"/>
                  <w:tcBorders>
                    <w:tl2br w:val="nil"/>
                    <w:tr2bl w:val="nil"/>
                  </w:tcBorders>
                  <w:vAlign w:val="center"/>
                </w:tcPr>
                <w:p w14:paraId="4F27DB7C">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危险</w:t>
                  </w:r>
                </w:p>
                <w:p w14:paraId="624FD84C">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特性</w:t>
                  </w:r>
                </w:p>
              </w:tc>
              <w:tc>
                <w:tcPr>
                  <w:tcW w:w="587" w:type="pct"/>
                  <w:tcBorders>
                    <w:tl2br w:val="nil"/>
                    <w:tr2bl w:val="nil"/>
                  </w:tcBorders>
                  <w:vAlign w:val="center"/>
                </w:tcPr>
                <w:p w14:paraId="5523F599">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产生量</w:t>
                  </w:r>
                </w:p>
                <w:p w14:paraId="4619F67E">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（吨/年）</w:t>
                  </w:r>
                </w:p>
              </w:tc>
              <w:tc>
                <w:tcPr>
                  <w:tcW w:w="540" w:type="pct"/>
                  <w:tcBorders>
                    <w:tl2br w:val="nil"/>
                    <w:tr2bl w:val="nil"/>
                  </w:tcBorders>
                  <w:vAlign w:val="center"/>
                </w:tcPr>
                <w:p w14:paraId="3D60FF9A">
                  <w:pPr>
                    <w:spacing w:line="240" w:lineRule="auto"/>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产废</w:t>
                  </w:r>
                </w:p>
                <w:p w14:paraId="7680B3AF">
                  <w:pPr>
                    <w:spacing w:line="240" w:lineRule="auto"/>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周期</w:t>
                  </w:r>
                </w:p>
              </w:tc>
              <w:tc>
                <w:tcPr>
                  <w:tcW w:w="643" w:type="pct"/>
                  <w:tcBorders>
                    <w:tl2br w:val="nil"/>
                    <w:tr2bl w:val="nil"/>
                  </w:tcBorders>
                  <w:vAlign w:val="center"/>
                </w:tcPr>
                <w:p w14:paraId="556CFF07">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污染防治</w:t>
                  </w:r>
                </w:p>
                <w:p w14:paraId="60D0AF88">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措施</w:t>
                  </w:r>
                </w:p>
              </w:tc>
            </w:tr>
            <w:tr w14:paraId="314BE3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5000" w:type="pct"/>
                  <w:gridSpan w:val="9"/>
                  <w:tcBorders>
                    <w:tl2br w:val="nil"/>
                    <w:tr2bl w:val="nil"/>
                  </w:tcBorders>
                  <w:vAlign w:val="center"/>
                </w:tcPr>
                <w:p w14:paraId="669341F9">
                  <w:pPr>
                    <w:spacing w:line="240" w:lineRule="auto"/>
                    <w:jc w:val="center"/>
                    <w:rPr>
                      <w:rFonts w:hint="eastAsia" w:ascii="Times New Roman" w:hAnsi="Times New Roman" w:eastAsia="宋体" w:cs="Times New Roman"/>
                      <w:b/>
                      <w:color w:val="auto"/>
                      <w:szCs w:val="21"/>
                      <w:highlight w:val="none"/>
                      <w:lang w:val="en-US" w:eastAsia="zh-CN"/>
                    </w:rPr>
                  </w:pPr>
                  <w:r>
                    <w:rPr>
                      <w:rFonts w:hint="eastAsia" w:cs="Times New Roman"/>
                      <w:b w:val="0"/>
                      <w:bCs/>
                      <w:color w:val="auto"/>
                      <w:szCs w:val="21"/>
                      <w:highlight w:val="none"/>
                      <w:lang w:val="en-US" w:eastAsia="zh-CN"/>
                    </w:rPr>
                    <w:t>危险废物</w:t>
                  </w:r>
                </w:p>
              </w:tc>
            </w:tr>
            <w:tr w14:paraId="40B4E0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68" w:type="pct"/>
                  <w:tcBorders>
                    <w:tl2br w:val="nil"/>
                    <w:tr2bl w:val="nil"/>
                  </w:tcBorders>
                  <w:vAlign w:val="center"/>
                </w:tcPr>
                <w:p w14:paraId="54859476">
                  <w:pPr>
                    <w:numPr>
                      <w:ilvl w:val="0"/>
                      <w:numId w:val="29"/>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72A3FFBA">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废离心上清液</w:t>
                  </w:r>
                </w:p>
              </w:tc>
              <w:tc>
                <w:tcPr>
                  <w:tcW w:w="485" w:type="pct"/>
                  <w:tcBorders>
                    <w:tl2br w:val="nil"/>
                    <w:tr2bl w:val="nil"/>
                  </w:tcBorders>
                  <w:vAlign w:val="center"/>
                </w:tcPr>
                <w:p w14:paraId="0C98AB6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vAlign w:val="center"/>
                </w:tcPr>
                <w:p w14:paraId="329B9D9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-49</w:t>
                  </w:r>
                </w:p>
              </w:tc>
              <w:tc>
                <w:tcPr>
                  <w:tcW w:w="524" w:type="pct"/>
                  <w:tcBorders>
                    <w:tl2br w:val="nil"/>
                    <w:tr2bl w:val="nil"/>
                  </w:tcBorders>
                  <w:vAlign w:val="center"/>
                </w:tcPr>
                <w:p w14:paraId="27872E9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556" w:type="pct"/>
                  <w:tcBorders>
                    <w:tl2br w:val="nil"/>
                    <w:tr2bl w:val="nil"/>
                  </w:tcBorders>
                  <w:vAlign w:val="center"/>
                </w:tcPr>
                <w:p w14:paraId="1231E8B4">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587" w:type="pct"/>
                  <w:tcBorders>
                    <w:tl2br w:val="nil"/>
                    <w:tr2bl w:val="nil"/>
                  </w:tcBorders>
                  <w:vAlign w:val="center"/>
                </w:tcPr>
                <w:p w14:paraId="74D96488">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540" w:type="pct"/>
                  <w:tcBorders>
                    <w:tl2br w:val="nil"/>
                    <w:tr2bl w:val="nil"/>
                  </w:tcBorders>
                  <w:vAlign w:val="center"/>
                </w:tcPr>
                <w:p w14:paraId="687AB69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每天</w:t>
                  </w:r>
                </w:p>
              </w:tc>
              <w:tc>
                <w:tcPr>
                  <w:tcW w:w="643" w:type="pct"/>
                  <w:vMerge w:val="restart"/>
                  <w:tcBorders>
                    <w:tl2br w:val="nil"/>
                    <w:tr2bl w:val="nil"/>
                  </w:tcBorders>
                  <w:vAlign w:val="center"/>
                </w:tcPr>
                <w:p w14:paraId="5BABEA8F">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统一收集后暂存于危险废物暂存间，定期交</w:t>
                  </w:r>
                  <w:r>
                    <w:rPr>
                      <w:rFonts w:hint="eastAsia" w:cs="Times New Roman"/>
                      <w:color w:val="auto"/>
                      <w:kern w:val="0"/>
                      <w:szCs w:val="21"/>
                      <w:highlight w:val="none"/>
                      <w:lang w:val="en-US" w:eastAsia="zh-CN" w:bidi="ar"/>
                    </w:rPr>
                    <w:t>资质单位</w:t>
                  </w:r>
                  <w:r>
                    <w:rPr>
                      <w:rFonts w:hint="default" w:ascii="Times New Roman" w:hAnsi="Times New Roman" w:eastAsia="宋体" w:cs="Times New Roman"/>
                      <w:color w:val="auto"/>
                      <w:sz w:val="21"/>
                      <w:szCs w:val="21"/>
                      <w:highlight w:val="none"/>
                    </w:rPr>
                    <w:t>处置。</w:t>
                  </w:r>
                </w:p>
              </w:tc>
            </w:tr>
            <w:tr w14:paraId="667FC5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68" w:type="pct"/>
                  <w:tcBorders>
                    <w:tl2br w:val="nil"/>
                    <w:tr2bl w:val="nil"/>
                  </w:tcBorders>
                  <w:vAlign w:val="center"/>
                </w:tcPr>
                <w:p w14:paraId="3C5438E2">
                  <w:pPr>
                    <w:numPr>
                      <w:ilvl w:val="0"/>
                      <w:numId w:val="29"/>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06FB5A54">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清洗废液</w:t>
                  </w:r>
                </w:p>
              </w:tc>
              <w:tc>
                <w:tcPr>
                  <w:tcW w:w="485" w:type="pct"/>
                  <w:tcBorders>
                    <w:tl2br w:val="nil"/>
                    <w:tr2bl w:val="nil"/>
                  </w:tcBorders>
                  <w:vAlign w:val="center"/>
                </w:tcPr>
                <w:p w14:paraId="7678C84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vAlign w:val="center"/>
                </w:tcPr>
                <w:p w14:paraId="26400FF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900-047-49</w:t>
                  </w:r>
                </w:p>
              </w:tc>
              <w:tc>
                <w:tcPr>
                  <w:tcW w:w="524" w:type="pct"/>
                  <w:tcBorders>
                    <w:tl2br w:val="nil"/>
                    <w:tr2bl w:val="nil"/>
                  </w:tcBorders>
                  <w:vAlign w:val="center"/>
                </w:tcPr>
                <w:p w14:paraId="2B9A394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556" w:type="pct"/>
                  <w:tcBorders>
                    <w:tl2br w:val="nil"/>
                    <w:tr2bl w:val="nil"/>
                  </w:tcBorders>
                  <w:vAlign w:val="center"/>
                </w:tcPr>
                <w:p w14:paraId="7257F35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587" w:type="pct"/>
                  <w:tcBorders>
                    <w:tl2br w:val="nil"/>
                    <w:tr2bl w:val="nil"/>
                  </w:tcBorders>
                  <w:vAlign w:val="center"/>
                </w:tcPr>
                <w:p w14:paraId="76C83ED6">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w:t>
                  </w:r>
                </w:p>
              </w:tc>
              <w:tc>
                <w:tcPr>
                  <w:tcW w:w="540" w:type="pct"/>
                  <w:tcBorders>
                    <w:tl2br w:val="nil"/>
                    <w:tr2bl w:val="nil"/>
                  </w:tcBorders>
                  <w:vAlign w:val="center"/>
                </w:tcPr>
                <w:p w14:paraId="01203FE7">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每天</w:t>
                  </w:r>
                </w:p>
              </w:tc>
              <w:tc>
                <w:tcPr>
                  <w:tcW w:w="643" w:type="pct"/>
                  <w:vMerge w:val="continue"/>
                  <w:tcBorders>
                    <w:tl2br w:val="nil"/>
                    <w:tr2bl w:val="nil"/>
                  </w:tcBorders>
                  <w:vAlign w:val="center"/>
                </w:tcPr>
                <w:p w14:paraId="5A100323">
                  <w:pPr>
                    <w:widowControl/>
                    <w:spacing w:line="240" w:lineRule="auto"/>
                    <w:jc w:val="center"/>
                    <w:rPr>
                      <w:rFonts w:hint="default" w:ascii="Times New Roman" w:hAnsi="Times New Roman" w:eastAsia="宋体" w:cs="Times New Roman"/>
                      <w:color w:val="auto"/>
                      <w:sz w:val="21"/>
                      <w:szCs w:val="21"/>
                      <w:highlight w:val="none"/>
                    </w:rPr>
                  </w:pPr>
                </w:p>
              </w:tc>
            </w:tr>
            <w:tr w14:paraId="60E99D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68" w:type="pct"/>
                  <w:tcBorders>
                    <w:tl2br w:val="nil"/>
                    <w:tr2bl w:val="nil"/>
                  </w:tcBorders>
                  <w:vAlign w:val="center"/>
                </w:tcPr>
                <w:p w14:paraId="117953F4">
                  <w:pPr>
                    <w:numPr>
                      <w:ilvl w:val="0"/>
                      <w:numId w:val="29"/>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44E1504B">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废一次性试验耗材</w:t>
                  </w:r>
                </w:p>
              </w:tc>
              <w:tc>
                <w:tcPr>
                  <w:tcW w:w="485" w:type="pct"/>
                  <w:tcBorders>
                    <w:tl2br w:val="nil"/>
                    <w:tr2bl w:val="nil"/>
                  </w:tcBorders>
                  <w:vAlign w:val="center"/>
                </w:tcPr>
                <w:p w14:paraId="3EB5865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vAlign w:val="center"/>
                </w:tcPr>
                <w:p w14:paraId="4C3FC48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-49</w:t>
                  </w:r>
                </w:p>
              </w:tc>
              <w:tc>
                <w:tcPr>
                  <w:tcW w:w="524" w:type="pct"/>
                  <w:tcBorders>
                    <w:tl2br w:val="nil"/>
                    <w:tr2bl w:val="nil"/>
                  </w:tcBorders>
                  <w:vAlign w:val="center"/>
                </w:tcPr>
                <w:p w14:paraId="4EDF78A5">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w:t>
                  </w:r>
                  <w:r>
                    <w:rPr>
                      <w:rFonts w:hint="default" w:ascii="Times New Roman" w:hAnsi="Times New Roman" w:eastAsia="宋体" w:cs="Times New Roman"/>
                      <w:color w:val="auto"/>
                      <w:sz w:val="21"/>
                      <w:szCs w:val="21"/>
                      <w:highlight w:val="none"/>
                      <w:lang w:val="en-US" w:eastAsia="zh-CN"/>
                    </w:rPr>
                    <w:t>态</w:t>
                  </w:r>
                </w:p>
              </w:tc>
              <w:tc>
                <w:tcPr>
                  <w:tcW w:w="556" w:type="pct"/>
                  <w:tcBorders>
                    <w:tl2br w:val="nil"/>
                    <w:tr2bl w:val="nil"/>
                  </w:tcBorders>
                  <w:vAlign w:val="center"/>
                </w:tcPr>
                <w:p w14:paraId="7BCE86E2">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587" w:type="pct"/>
                  <w:tcBorders>
                    <w:tl2br w:val="nil"/>
                    <w:tr2bl w:val="nil"/>
                  </w:tcBorders>
                  <w:vAlign w:val="center"/>
                </w:tcPr>
                <w:p w14:paraId="335570EC">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540" w:type="pct"/>
                  <w:tcBorders>
                    <w:tl2br w:val="nil"/>
                    <w:tr2bl w:val="nil"/>
                  </w:tcBorders>
                  <w:vAlign w:val="center"/>
                </w:tcPr>
                <w:p w14:paraId="1E45FC3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每天</w:t>
                  </w:r>
                </w:p>
              </w:tc>
              <w:tc>
                <w:tcPr>
                  <w:tcW w:w="643" w:type="pct"/>
                  <w:vMerge w:val="continue"/>
                  <w:tcBorders>
                    <w:tl2br w:val="nil"/>
                    <w:tr2bl w:val="nil"/>
                  </w:tcBorders>
                  <w:vAlign w:val="center"/>
                </w:tcPr>
                <w:p w14:paraId="650A1FA8">
                  <w:pPr>
                    <w:widowControl/>
                    <w:spacing w:line="240" w:lineRule="auto"/>
                    <w:jc w:val="center"/>
                    <w:rPr>
                      <w:rFonts w:hint="default" w:ascii="Times New Roman" w:hAnsi="Times New Roman" w:eastAsia="宋体" w:cs="Times New Roman"/>
                      <w:color w:val="auto"/>
                      <w:sz w:val="21"/>
                      <w:szCs w:val="21"/>
                      <w:highlight w:val="none"/>
                    </w:rPr>
                  </w:pPr>
                </w:p>
              </w:tc>
            </w:tr>
            <w:tr w14:paraId="2B0FCC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68" w:type="pct"/>
                  <w:tcBorders>
                    <w:tl2br w:val="nil"/>
                    <w:tr2bl w:val="nil"/>
                  </w:tcBorders>
                  <w:vAlign w:val="center"/>
                </w:tcPr>
                <w:p w14:paraId="156A8965">
                  <w:pPr>
                    <w:numPr>
                      <w:ilvl w:val="0"/>
                      <w:numId w:val="29"/>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6CE0E84F">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废培养基</w:t>
                  </w:r>
                </w:p>
              </w:tc>
              <w:tc>
                <w:tcPr>
                  <w:tcW w:w="485" w:type="pct"/>
                  <w:tcBorders>
                    <w:tl2br w:val="nil"/>
                    <w:tr2bl w:val="nil"/>
                  </w:tcBorders>
                  <w:vAlign w:val="center"/>
                </w:tcPr>
                <w:p w14:paraId="0115BFC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vAlign w:val="center"/>
                </w:tcPr>
                <w:p w14:paraId="6D575AF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-49</w:t>
                  </w:r>
                </w:p>
              </w:tc>
              <w:tc>
                <w:tcPr>
                  <w:tcW w:w="524" w:type="pct"/>
                  <w:tcBorders>
                    <w:tl2br w:val="nil"/>
                    <w:tr2bl w:val="nil"/>
                  </w:tcBorders>
                  <w:vAlign w:val="center"/>
                </w:tcPr>
                <w:p w14:paraId="530FC757">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w:t>
                  </w:r>
                  <w:r>
                    <w:rPr>
                      <w:rFonts w:hint="default" w:ascii="Times New Roman" w:hAnsi="Times New Roman" w:eastAsia="宋体" w:cs="Times New Roman"/>
                      <w:color w:val="auto"/>
                      <w:sz w:val="21"/>
                      <w:szCs w:val="21"/>
                      <w:highlight w:val="none"/>
                      <w:lang w:val="en-US" w:eastAsia="zh-CN"/>
                    </w:rPr>
                    <w:t>态</w:t>
                  </w:r>
                </w:p>
              </w:tc>
              <w:tc>
                <w:tcPr>
                  <w:tcW w:w="556" w:type="pct"/>
                  <w:tcBorders>
                    <w:tl2br w:val="nil"/>
                    <w:tr2bl w:val="nil"/>
                  </w:tcBorders>
                  <w:vAlign w:val="center"/>
                </w:tcPr>
                <w:p w14:paraId="1485689B">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587" w:type="pct"/>
                  <w:tcBorders>
                    <w:tl2br w:val="nil"/>
                    <w:tr2bl w:val="nil"/>
                  </w:tcBorders>
                  <w:vAlign w:val="center"/>
                </w:tcPr>
                <w:p w14:paraId="4F72E946">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540" w:type="pct"/>
                  <w:tcBorders>
                    <w:tl2br w:val="nil"/>
                    <w:tr2bl w:val="nil"/>
                  </w:tcBorders>
                  <w:vAlign w:val="center"/>
                </w:tcPr>
                <w:p w14:paraId="3A916AA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每天</w:t>
                  </w:r>
                </w:p>
              </w:tc>
              <w:tc>
                <w:tcPr>
                  <w:tcW w:w="643" w:type="pct"/>
                  <w:vMerge w:val="continue"/>
                  <w:tcBorders>
                    <w:tl2br w:val="nil"/>
                    <w:tr2bl w:val="nil"/>
                  </w:tcBorders>
                  <w:vAlign w:val="center"/>
                </w:tcPr>
                <w:p w14:paraId="6896E446">
                  <w:pPr>
                    <w:widowControl/>
                    <w:spacing w:line="240" w:lineRule="auto"/>
                    <w:jc w:val="center"/>
                    <w:rPr>
                      <w:rFonts w:hint="default" w:ascii="Times New Roman" w:hAnsi="Times New Roman" w:eastAsia="宋体" w:cs="Times New Roman"/>
                      <w:color w:val="auto"/>
                      <w:sz w:val="21"/>
                      <w:szCs w:val="21"/>
                      <w:highlight w:val="none"/>
                    </w:rPr>
                  </w:pPr>
                </w:p>
              </w:tc>
            </w:tr>
            <w:tr w14:paraId="5D8249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368" w:type="pct"/>
                  <w:tcBorders>
                    <w:tl2br w:val="nil"/>
                    <w:tr2bl w:val="nil"/>
                  </w:tcBorders>
                  <w:vAlign w:val="center"/>
                </w:tcPr>
                <w:p w14:paraId="13BBFCD1">
                  <w:pPr>
                    <w:numPr>
                      <w:ilvl w:val="0"/>
                      <w:numId w:val="29"/>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5874AA0B">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检测废液</w:t>
                  </w:r>
                </w:p>
              </w:tc>
              <w:tc>
                <w:tcPr>
                  <w:tcW w:w="485" w:type="pct"/>
                  <w:tcBorders>
                    <w:tl2br w:val="nil"/>
                    <w:tr2bl w:val="nil"/>
                  </w:tcBorders>
                  <w:vAlign w:val="center"/>
                </w:tcPr>
                <w:p w14:paraId="0B2BCF1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vAlign w:val="center"/>
                </w:tcPr>
                <w:p w14:paraId="1A8C5BC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w:t>
                  </w:r>
                  <w:r>
                    <w:rPr>
                      <w:rFonts w:hint="eastAsia"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-49</w:t>
                  </w:r>
                </w:p>
              </w:tc>
              <w:tc>
                <w:tcPr>
                  <w:tcW w:w="524" w:type="pct"/>
                  <w:tcBorders>
                    <w:tl2br w:val="nil"/>
                    <w:tr2bl w:val="nil"/>
                  </w:tcBorders>
                  <w:shd w:val="clear" w:color="auto" w:fill="auto"/>
                  <w:vAlign w:val="center"/>
                </w:tcPr>
                <w:p w14:paraId="654A4D27">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w:t>
                  </w:r>
                  <w:r>
                    <w:rPr>
                      <w:rFonts w:hint="default" w:ascii="Times New Roman" w:hAnsi="Times New Roman" w:eastAsia="宋体" w:cs="Times New Roman"/>
                      <w:color w:val="auto"/>
                      <w:sz w:val="21"/>
                      <w:szCs w:val="21"/>
                      <w:highlight w:val="none"/>
                      <w:lang w:val="en-US" w:eastAsia="zh-CN"/>
                    </w:rPr>
                    <w:t>态</w:t>
                  </w:r>
                </w:p>
              </w:tc>
              <w:tc>
                <w:tcPr>
                  <w:tcW w:w="556" w:type="pct"/>
                  <w:tcBorders>
                    <w:tl2br w:val="nil"/>
                    <w:tr2bl w:val="nil"/>
                  </w:tcBorders>
                  <w:vAlign w:val="center"/>
                </w:tcPr>
                <w:p w14:paraId="7F91D9B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587" w:type="pct"/>
                  <w:tcBorders>
                    <w:tl2br w:val="nil"/>
                    <w:tr2bl w:val="nil"/>
                  </w:tcBorders>
                  <w:vAlign w:val="center"/>
                </w:tcPr>
                <w:p w14:paraId="7DAD4F2D">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540" w:type="pct"/>
                  <w:tcBorders>
                    <w:tl2br w:val="nil"/>
                    <w:tr2bl w:val="nil"/>
                  </w:tcBorders>
                  <w:vAlign w:val="center"/>
                </w:tcPr>
                <w:p w14:paraId="61BA719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每天</w:t>
                  </w:r>
                </w:p>
              </w:tc>
              <w:tc>
                <w:tcPr>
                  <w:tcW w:w="643" w:type="pct"/>
                  <w:vMerge w:val="continue"/>
                  <w:tcBorders>
                    <w:tl2br w:val="nil"/>
                    <w:tr2bl w:val="nil"/>
                  </w:tcBorders>
                  <w:vAlign w:val="center"/>
                </w:tcPr>
                <w:p w14:paraId="1E383CE8">
                  <w:pPr>
                    <w:widowControl/>
                    <w:spacing w:line="240" w:lineRule="auto"/>
                    <w:jc w:val="center"/>
                    <w:rPr>
                      <w:rFonts w:hint="default" w:ascii="Times New Roman" w:hAnsi="Times New Roman" w:eastAsia="宋体" w:cs="Times New Roman"/>
                      <w:color w:val="auto"/>
                      <w:sz w:val="21"/>
                      <w:szCs w:val="21"/>
                      <w:highlight w:val="none"/>
                    </w:rPr>
                  </w:pPr>
                </w:p>
              </w:tc>
            </w:tr>
            <w:tr w14:paraId="4B681C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368" w:type="pct"/>
                  <w:tcBorders>
                    <w:tl2br w:val="nil"/>
                    <w:tr2bl w:val="nil"/>
                  </w:tcBorders>
                  <w:vAlign w:val="center"/>
                </w:tcPr>
                <w:p w14:paraId="1930B830">
                  <w:pPr>
                    <w:numPr>
                      <w:ilvl w:val="0"/>
                      <w:numId w:val="29"/>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4AE1BD51">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废紫外灯管</w:t>
                  </w:r>
                </w:p>
              </w:tc>
              <w:tc>
                <w:tcPr>
                  <w:tcW w:w="485" w:type="pct"/>
                  <w:tcBorders>
                    <w:tl2br w:val="nil"/>
                    <w:tr2bl w:val="nil"/>
                  </w:tcBorders>
                  <w:vAlign w:val="center"/>
                </w:tcPr>
                <w:p w14:paraId="55EF6E62">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W29 </w:t>
                  </w:r>
                </w:p>
              </w:tc>
              <w:tc>
                <w:tcPr>
                  <w:tcW w:w="719" w:type="pct"/>
                  <w:tcBorders>
                    <w:tl2br w:val="nil"/>
                    <w:tr2bl w:val="nil"/>
                  </w:tcBorders>
                  <w:vAlign w:val="center"/>
                </w:tcPr>
                <w:p w14:paraId="2C2DE5D0">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lang w:val="en-US" w:eastAsia="zh-CN"/>
                    </w:rPr>
                    <w:t>00-023-29</w:t>
                  </w:r>
                </w:p>
              </w:tc>
              <w:tc>
                <w:tcPr>
                  <w:tcW w:w="524" w:type="pct"/>
                  <w:tcBorders>
                    <w:tl2br w:val="nil"/>
                    <w:tr2bl w:val="nil"/>
                  </w:tcBorders>
                  <w:shd w:val="clear" w:color="auto" w:fill="auto"/>
                  <w:vAlign w:val="center"/>
                </w:tcPr>
                <w:p w14:paraId="3BAA53B0">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固体</w:t>
                  </w:r>
                </w:p>
              </w:tc>
              <w:tc>
                <w:tcPr>
                  <w:tcW w:w="556" w:type="pct"/>
                  <w:tcBorders>
                    <w:tl2br w:val="nil"/>
                    <w:tr2bl w:val="nil"/>
                  </w:tcBorders>
                  <w:vAlign w:val="center"/>
                </w:tcPr>
                <w:p w14:paraId="70BE0D45">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w:t>
                  </w:r>
                </w:p>
              </w:tc>
              <w:tc>
                <w:tcPr>
                  <w:tcW w:w="587" w:type="pct"/>
                  <w:tcBorders>
                    <w:tl2br w:val="nil"/>
                    <w:tr2bl w:val="nil"/>
                  </w:tcBorders>
                  <w:vAlign w:val="center"/>
                </w:tcPr>
                <w:p w14:paraId="78C69094">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w:t>
                  </w:r>
                </w:p>
              </w:tc>
              <w:tc>
                <w:tcPr>
                  <w:tcW w:w="540" w:type="pct"/>
                  <w:tcBorders>
                    <w:tl2br w:val="nil"/>
                    <w:tr2bl w:val="nil"/>
                  </w:tcBorders>
                  <w:vAlign w:val="center"/>
                </w:tcPr>
                <w:p w14:paraId="4E835AA6">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每年</w:t>
                  </w:r>
                </w:p>
              </w:tc>
              <w:tc>
                <w:tcPr>
                  <w:tcW w:w="643" w:type="pct"/>
                  <w:vMerge w:val="continue"/>
                  <w:tcBorders>
                    <w:tl2br w:val="nil"/>
                    <w:tr2bl w:val="nil"/>
                  </w:tcBorders>
                  <w:vAlign w:val="center"/>
                </w:tcPr>
                <w:p w14:paraId="61CF8D51">
                  <w:pPr>
                    <w:widowControl/>
                    <w:spacing w:line="240" w:lineRule="auto"/>
                    <w:jc w:val="center"/>
                    <w:rPr>
                      <w:rFonts w:hint="default" w:ascii="Times New Roman" w:hAnsi="Times New Roman" w:eastAsia="宋体" w:cs="Times New Roman"/>
                      <w:color w:val="auto"/>
                      <w:sz w:val="21"/>
                      <w:szCs w:val="21"/>
                      <w:highlight w:val="none"/>
                    </w:rPr>
                  </w:pPr>
                </w:p>
              </w:tc>
            </w:tr>
            <w:tr w14:paraId="178ED6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368" w:type="pct"/>
                  <w:tcBorders>
                    <w:tl2br w:val="nil"/>
                    <w:tr2bl w:val="nil"/>
                  </w:tcBorders>
                  <w:vAlign w:val="center"/>
                </w:tcPr>
                <w:p w14:paraId="331C4DBA">
                  <w:pPr>
                    <w:numPr>
                      <w:ilvl w:val="0"/>
                      <w:numId w:val="29"/>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1CC3D576">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废样品</w:t>
                  </w:r>
                </w:p>
              </w:tc>
              <w:tc>
                <w:tcPr>
                  <w:tcW w:w="485" w:type="pct"/>
                  <w:tcBorders>
                    <w:tl2br w:val="nil"/>
                    <w:tr2bl w:val="nil"/>
                  </w:tcBorders>
                  <w:shd w:val="clear"/>
                  <w:vAlign w:val="center"/>
                </w:tcPr>
                <w:p w14:paraId="23BCB423">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shd w:val="clear"/>
                  <w:vAlign w:val="center"/>
                </w:tcPr>
                <w:p w14:paraId="46FBC98C">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900-047-49</w:t>
                  </w:r>
                </w:p>
              </w:tc>
              <w:tc>
                <w:tcPr>
                  <w:tcW w:w="524" w:type="pct"/>
                  <w:tcBorders>
                    <w:tl2br w:val="nil"/>
                    <w:tr2bl w:val="nil"/>
                  </w:tcBorders>
                  <w:shd w:val="clear"/>
                  <w:vAlign w:val="center"/>
                </w:tcPr>
                <w:p w14:paraId="1760E393">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w:t>
                  </w:r>
                </w:p>
              </w:tc>
              <w:tc>
                <w:tcPr>
                  <w:tcW w:w="556" w:type="pct"/>
                  <w:tcBorders>
                    <w:tl2br w:val="nil"/>
                    <w:tr2bl w:val="nil"/>
                  </w:tcBorders>
                  <w:shd w:val="clear"/>
                  <w:vAlign w:val="center"/>
                </w:tcPr>
                <w:p w14:paraId="2CE6C7F0">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w:t>
                  </w:r>
                </w:p>
              </w:tc>
              <w:tc>
                <w:tcPr>
                  <w:tcW w:w="587" w:type="pct"/>
                  <w:tcBorders>
                    <w:tl2br w:val="nil"/>
                    <w:tr2bl w:val="nil"/>
                  </w:tcBorders>
                  <w:shd w:val="clear"/>
                  <w:vAlign w:val="center"/>
                </w:tcPr>
                <w:p w14:paraId="70333055">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0.02</w:t>
                  </w:r>
                </w:p>
              </w:tc>
              <w:tc>
                <w:tcPr>
                  <w:tcW w:w="540" w:type="pct"/>
                  <w:tcBorders>
                    <w:tl2br w:val="nil"/>
                    <w:tr2bl w:val="nil"/>
                  </w:tcBorders>
                  <w:shd w:val="clear"/>
                  <w:vAlign w:val="center"/>
                </w:tcPr>
                <w:p w14:paraId="795DA6F8">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每天</w:t>
                  </w:r>
                </w:p>
              </w:tc>
              <w:tc>
                <w:tcPr>
                  <w:tcW w:w="643" w:type="pct"/>
                  <w:tcBorders>
                    <w:tl2br w:val="nil"/>
                    <w:tr2bl w:val="nil"/>
                  </w:tcBorders>
                  <w:vAlign w:val="center"/>
                </w:tcPr>
                <w:p w14:paraId="7BE4F8F6">
                  <w:pPr>
                    <w:widowControl/>
                    <w:spacing w:line="240" w:lineRule="auto"/>
                    <w:jc w:val="center"/>
                    <w:rPr>
                      <w:rFonts w:hint="default" w:ascii="Times New Roman" w:hAnsi="Times New Roman" w:eastAsia="宋体" w:cs="Times New Roman"/>
                      <w:color w:val="auto"/>
                      <w:sz w:val="21"/>
                      <w:szCs w:val="21"/>
                      <w:highlight w:val="none"/>
                    </w:rPr>
                  </w:pPr>
                </w:p>
              </w:tc>
            </w:tr>
            <w:tr w14:paraId="06D7DA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368" w:type="pct"/>
                  <w:tcBorders>
                    <w:tl2br w:val="nil"/>
                    <w:tr2bl w:val="nil"/>
                  </w:tcBorders>
                  <w:vAlign w:val="center"/>
                </w:tcPr>
                <w:p w14:paraId="1B033006">
                  <w:pPr>
                    <w:numPr>
                      <w:ilvl w:val="0"/>
                      <w:numId w:val="29"/>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1AB8E195">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小计</w:t>
                  </w:r>
                </w:p>
              </w:tc>
              <w:tc>
                <w:tcPr>
                  <w:tcW w:w="485" w:type="pct"/>
                  <w:tcBorders>
                    <w:tl2br w:val="nil"/>
                    <w:tr2bl w:val="nil"/>
                  </w:tcBorders>
                  <w:shd w:val="clear" w:color="auto" w:fill="auto"/>
                  <w:vAlign w:val="center"/>
                </w:tcPr>
                <w:p w14:paraId="1AE46296">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19" w:type="pct"/>
                  <w:tcBorders>
                    <w:tl2br w:val="nil"/>
                    <w:tr2bl w:val="nil"/>
                  </w:tcBorders>
                  <w:shd w:val="clear" w:color="auto" w:fill="auto"/>
                  <w:vAlign w:val="center"/>
                </w:tcPr>
                <w:p w14:paraId="1B6FCB44">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24" w:type="pct"/>
                  <w:tcBorders>
                    <w:tl2br w:val="nil"/>
                    <w:tr2bl w:val="nil"/>
                  </w:tcBorders>
                  <w:shd w:val="clear" w:color="auto" w:fill="auto"/>
                  <w:vAlign w:val="center"/>
                </w:tcPr>
                <w:p w14:paraId="1BBCF12A">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56" w:type="pct"/>
                  <w:tcBorders>
                    <w:tl2br w:val="nil"/>
                    <w:tr2bl w:val="nil"/>
                  </w:tcBorders>
                  <w:shd w:val="clear" w:color="auto" w:fill="auto"/>
                  <w:vAlign w:val="center"/>
                </w:tcPr>
                <w:p w14:paraId="354FA4AF">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87" w:type="pct"/>
                  <w:tcBorders>
                    <w:tl2br w:val="nil"/>
                    <w:tr2bl w:val="nil"/>
                  </w:tcBorders>
                  <w:shd w:val="clear" w:color="auto" w:fill="auto"/>
                  <w:vAlign w:val="center"/>
                </w:tcPr>
                <w:p w14:paraId="4C59BBE2">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1.2401</w:t>
                  </w:r>
                </w:p>
              </w:tc>
              <w:tc>
                <w:tcPr>
                  <w:tcW w:w="540" w:type="pct"/>
                  <w:tcBorders>
                    <w:tl2br w:val="nil"/>
                    <w:tr2bl w:val="nil"/>
                  </w:tcBorders>
                  <w:shd w:val="clear" w:color="auto" w:fill="auto"/>
                  <w:vAlign w:val="center"/>
                </w:tcPr>
                <w:p w14:paraId="6565F77D">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43" w:type="pct"/>
                  <w:tcBorders>
                    <w:tl2br w:val="nil"/>
                    <w:tr2bl w:val="nil"/>
                  </w:tcBorders>
                  <w:vAlign w:val="center"/>
                </w:tcPr>
                <w:p w14:paraId="52C341A8">
                  <w:pPr>
                    <w:spacing w:line="240" w:lineRule="auto"/>
                    <w:jc w:val="center"/>
                    <w:rPr>
                      <w:rFonts w:hint="default" w:ascii="Times New Roman" w:hAnsi="Times New Roman" w:eastAsia="宋体" w:cs="Times New Roman"/>
                      <w:color w:val="auto"/>
                      <w:sz w:val="21"/>
                      <w:szCs w:val="21"/>
                      <w:highlight w:val="none"/>
                      <w:lang w:val="en-US" w:eastAsia="zh-CN"/>
                    </w:rPr>
                  </w:pPr>
                </w:p>
              </w:tc>
            </w:tr>
            <w:tr w14:paraId="67E4C9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5000" w:type="pct"/>
                  <w:gridSpan w:val="9"/>
                  <w:tcBorders>
                    <w:tl2br w:val="nil"/>
                    <w:tr2bl w:val="nil"/>
                  </w:tcBorders>
                  <w:vAlign w:val="center"/>
                </w:tcPr>
                <w:p w14:paraId="31D707D4">
                  <w:pPr>
                    <w:widowControl/>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一般固废</w:t>
                  </w:r>
                </w:p>
              </w:tc>
            </w:tr>
            <w:tr w14:paraId="4CB132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368" w:type="pct"/>
                  <w:tcBorders>
                    <w:tl2br w:val="nil"/>
                    <w:tr2bl w:val="nil"/>
                  </w:tcBorders>
                  <w:vAlign w:val="center"/>
                </w:tcPr>
                <w:p w14:paraId="26AA904F">
                  <w:pPr>
                    <w:numPr>
                      <w:ilvl w:val="0"/>
                      <w:numId w:val="29"/>
                    </w:numPr>
                    <w:spacing w:line="240" w:lineRule="auto"/>
                    <w:ind w:left="210"/>
                    <w:jc w:val="center"/>
                    <w:rPr>
                      <w:rFonts w:hint="default" w:ascii="Times New Roman" w:hAnsi="Times New Roman" w:eastAsia="宋体" w:cs="Times New Roman"/>
                      <w:color w:val="auto"/>
                      <w:sz w:val="21"/>
                      <w:szCs w:val="21"/>
                      <w:highlight w:val="none"/>
                      <w:lang w:val="en-US" w:eastAsia="zh-CN"/>
                    </w:rPr>
                  </w:pPr>
                </w:p>
              </w:tc>
              <w:tc>
                <w:tcPr>
                  <w:tcW w:w="574" w:type="pct"/>
                  <w:tcBorders>
                    <w:tl2br w:val="nil"/>
                    <w:tr2bl w:val="nil"/>
                  </w:tcBorders>
                  <w:shd w:val="clear" w:color="auto" w:fill="auto"/>
                  <w:vAlign w:val="center"/>
                </w:tcPr>
                <w:p w14:paraId="3D1430AC">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未沾染化学试剂的废包装物</w:t>
                  </w:r>
                </w:p>
              </w:tc>
              <w:tc>
                <w:tcPr>
                  <w:tcW w:w="485" w:type="pct"/>
                  <w:tcBorders>
                    <w:tl2br w:val="nil"/>
                    <w:tr2bl w:val="nil"/>
                  </w:tcBorders>
                  <w:shd w:val="clear" w:color="auto" w:fill="auto"/>
                  <w:vAlign w:val="center"/>
                </w:tcPr>
                <w:p w14:paraId="1A379744">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19" w:type="pct"/>
                  <w:tcBorders>
                    <w:tl2br w:val="nil"/>
                    <w:tr2bl w:val="nil"/>
                  </w:tcBorders>
                  <w:shd w:val="clear" w:color="auto" w:fill="auto"/>
                  <w:vAlign w:val="center"/>
                </w:tcPr>
                <w:p w14:paraId="6BE18184">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900-999-99</w:t>
                  </w:r>
                </w:p>
              </w:tc>
              <w:tc>
                <w:tcPr>
                  <w:tcW w:w="524" w:type="pct"/>
                  <w:tcBorders>
                    <w:tl2br w:val="nil"/>
                    <w:tr2bl w:val="nil"/>
                  </w:tcBorders>
                  <w:shd w:val="clear" w:color="auto" w:fill="auto"/>
                  <w:vAlign w:val="center"/>
                </w:tcPr>
                <w:p w14:paraId="3A6A5D90">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556" w:type="pct"/>
                  <w:tcBorders>
                    <w:tl2br w:val="nil"/>
                    <w:tr2bl w:val="nil"/>
                  </w:tcBorders>
                  <w:shd w:val="clear" w:color="auto" w:fill="auto"/>
                  <w:vAlign w:val="center"/>
                </w:tcPr>
                <w:p w14:paraId="3E9ADE1D">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87" w:type="pct"/>
                  <w:tcBorders>
                    <w:tl2br w:val="nil"/>
                    <w:tr2bl w:val="nil"/>
                  </w:tcBorders>
                  <w:shd w:val="clear" w:color="auto" w:fill="auto"/>
                  <w:vAlign w:val="center"/>
                </w:tcPr>
                <w:p w14:paraId="6320BE61">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0.5</w:t>
                  </w:r>
                </w:p>
              </w:tc>
              <w:tc>
                <w:tcPr>
                  <w:tcW w:w="540" w:type="pct"/>
                  <w:tcBorders>
                    <w:tl2br w:val="nil"/>
                    <w:tr2bl w:val="nil"/>
                  </w:tcBorders>
                  <w:shd w:val="clear" w:color="auto" w:fill="auto"/>
                  <w:vAlign w:val="center"/>
                </w:tcPr>
                <w:p w14:paraId="2E8B5CFB">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每天</w:t>
                  </w:r>
                </w:p>
              </w:tc>
              <w:tc>
                <w:tcPr>
                  <w:tcW w:w="643" w:type="pct"/>
                  <w:tcBorders>
                    <w:tl2br w:val="nil"/>
                    <w:tr2bl w:val="nil"/>
                  </w:tcBorders>
                  <w:vAlign w:val="center"/>
                </w:tcPr>
                <w:p w14:paraId="0A222ED7">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物资回收</w:t>
                  </w:r>
                  <w:r>
                    <w:rPr>
                      <w:rFonts w:hint="eastAsia" w:cs="Times New Roman"/>
                      <w:color w:val="auto"/>
                      <w:sz w:val="21"/>
                      <w:szCs w:val="21"/>
                      <w:highlight w:val="none"/>
                      <w:lang w:val="en-US" w:eastAsia="zh-CN"/>
                    </w:rPr>
                    <w:t>单位</w:t>
                  </w:r>
                  <w:r>
                    <w:rPr>
                      <w:rFonts w:hint="default" w:ascii="Times New Roman" w:hAnsi="Times New Roman" w:eastAsia="宋体" w:cs="Times New Roman"/>
                      <w:color w:val="auto"/>
                      <w:sz w:val="21"/>
                      <w:szCs w:val="21"/>
                      <w:highlight w:val="none"/>
                      <w:lang w:val="en-US" w:eastAsia="zh-CN"/>
                    </w:rPr>
                    <w:t>回收</w:t>
                  </w:r>
                </w:p>
              </w:tc>
            </w:tr>
            <w:tr w14:paraId="204AA4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5000" w:type="pct"/>
                  <w:gridSpan w:val="9"/>
                  <w:tcBorders>
                    <w:tl2br w:val="nil"/>
                    <w:tr2bl w:val="nil"/>
                  </w:tcBorders>
                  <w:vAlign w:val="center"/>
                </w:tcPr>
                <w:p w14:paraId="76E2F33D">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r>
            <w:tr w14:paraId="28EBAD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368" w:type="pct"/>
                  <w:tcBorders>
                    <w:tl2br w:val="nil"/>
                    <w:tr2bl w:val="nil"/>
                  </w:tcBorders>
                  <w:vAlign w:val="center"/>
                </w:tcPr>
                <w:p w14:paraId="20FBC6F1">
                  <w:pPr>
                    <w:numPr>
                      <w:ilvl w:val="0"/>
                      <w:numId w:val="29"/>
                    </w:numPr>
                    <w:spacing w:line="240" w:lineRule="auto"/>
                    <w:ind w:left="210"/>
                    <w:jc w:val="center"/>
                    <w:rPr>
                      <w:rFonts w:hint="default" w:ascii="Times New Roman" w:hAnsi="Times New Roman" w:eastAsia="宋体" w:cs="Times New Roman"/>
                      <w:color w:val="auto"/>
                      <w:sz w:val="21"/>
                      <w:szCs w:val="21"/>
                      <w:highlight w:val="none"/>
                      <w:lang w:val="en-US" w:eastAsia="zh-CN"/>
                    </w:rPr>
                  </w:pPr>
                </w:p>
              </w:tc>
              <w:tc>
                <w:tcPr>
                  <w:tcW w:w="574" w:type="pct"/>
                  <w:tcBorders>
                    <w:tl2br w:val="nil"/>
                    <w:tr2bl w:val="nil"/>
                  </w:tcBorders>
                  <w:shd w:val="clear" w:color="auto" w:fill="auto"/>
                  <w:vAlign w:val="center"/>
                </w:tcPr>
                <w:p w14:paraId="024BAA8B">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生活垃圾</w:t>
                  </w:r>
                </w:p>
              </w:tc>
              <w:tc>
                <w:tcPr>
                  <w:tcW w:w="485" w:type="pct"/>
                  <w:tcBorders>
                    <w:tl2br w:val="nil"/>
                    <w:tr2bl w:val="nil"/>
                  </w:tcBorders>
                  <w:shd w:val="clear" w:color="auto" w:fill="auto"/>
                  <w:vAlign w:val="center"/>
                </w:tcPr>
                <w:p w14:paraId="30E7956A">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19" w:type="pct"/>
                  <w:tcBorders>
                    <w:tl2br w:val="nil"/>
                    <w:tr2bl w:val="nil"/>
                  </w:tcBorders>
                  <w:shd w:val="clear" w:color="auto" w:fill="auto"/>
                  <w:vAlign w:val="center"/>
                </w:tcPr>
                <w:p w14:paraId="67EABFCD">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900-999-99</w:t>
                  </w:r>
                </w:p>
              </w:tc>
              <w:tc>
                <w:tcPr>
                  <w:tcW w:w="524" w:type="pct"/>
                  <w:tcBorders>
                    <w:tl2br w:val="nil"/>
                    <w:tr2bl w:val="nil"/>
                  </w:tcBorders>
                  <w:shd w:val="clear" w:color="auto" w:fill="auto"/>
                  <w:vAlign w:val="center"/>
                </w:tcPr>
                <w:p w14:paraId="0CD73813">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556" w:type="pct"/>
                  <w:tcBorders>
                    <w:tl2br w:val="nil"/>
                    <w:tr2bl w:val="nil"/>
                  </w:tcBorders>
                  <w:shd w:val="clear" w:color="auto" w:fill="auto"/>
                  <w:vAlign w:val="center"/>
                </w:tcPr>
                <w:p w14:paraId="39EB7AF8">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87" w:type="pct"/>
                  <w:tcBorders>
                    <w:tl2br w:val="nil"/>
                    <w:tr2bl w:val="nil"/>
                  </w:tcBorders>
                  <w:shd w:val="clear" w:color="auto" w:fill="auto"/>
                  <w:vAlign w:val="center"/>
                </w:tcPr>
                <w:p w14:paraId="65732965">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1.25</w:t>
                  </w:r>
                </w:p>
              </w:tc>
              <w:tc>
                <w:tcPr>
                  <w:tcW w:w="540" w:type="pct"/>
                  <w:tcBorders>
                    <w:tl2br w:val="nil"/>
                    <w:tr2bl w:val="nil"/>
                  </w:tcBorders>
                  <w:shd w:val="clear" w:color="auto" w:fill="auto"/>
                  <w:vAlign w:val="center"/>
                </w:tcPr>
                <w:p w14:paraId="3849B119">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每天</w:t>
                  </w:r>
                </w:p>
              </w:tc>
              <w:tc>
                <w:tcPr>
                  <w:tcW w:w="643" w:type="pct"/>
                  <w:tcBorders>
                    <w:tl2br w:val="nil"/>
                    <w:tr2bl w:val="nil"/>
                  </w:tcBorders>
                  <w:shd w:val="clear" w:color="auto" w:fill="auto"/>
                  <w:vAlign w:val="center"/>
                </w:tcPr>
                <w:p w14:paraId="0836C9C9">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环卫清运</w:t>
                  </w:r>
                </w:p>
              </w:tc>
            </w:tr>
          </w:tbl>
          <w:p w14:paraId="5F027FBC">
            <w:pPr>
              <w:adjustRightInd w:val="0"/>
              <w:spacing w:line="360" w:lineRule="auto"/>
              <w:ind w:firstLine="480" w:firstLineChars="200"/>
              <w:rPr>
                <w:rFonts w:hint="default" w:ascii="Times New Roman" w:hAnsi="Times New Roman" w:eastAsia="宋体" w:cs="Times New Roman"/>
                <w:color w:val="auto"/>
                <w:sz w:val="24"/>
                <w:highlight w:val="none"/>
                <w:vertAlign w:val="baseline"/>
                <w:lang w:val="en-US" w:eastAsia="zh-CN"/>
              </w:rPr>
            </w:pPr>
            <w:r>
              <w:rPr>
                <w:rFonts w:hint="eastAsia"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项目建设</w:t>
            </w:r>
            <w:r>
              <w:rPr>
                <w:rFonts w:hint="eastAsia" w:cs="Times New Roman"/>
                <w:color w:val="auto"/>
                <w:sz w:val="24"/>
                <w:highlight w:val="none"/>
                <w:lang w:val="en-US" w:eastAsia="zh-CN"/>
              </w:rPr>
              <w:t>一</w:t>
            </w:r>
            <w:r>
              <w:rPr>
                <w:rFonts w:hint="default" w:ascii="Times New Roman" w:hAnsi="Times New Roman" w:eastAsia="宋体" w:cs="Times New Roman"/>
                <w:color w:val="auto"/>
                <w:sz w:val="24"/>
                <w:highlight w:val="none"/>
                <w:lang w:val="en-US" w:eastAsia="zh-CN"/>
              </w:rPr>
              <w:t>间</w:t>
            </w:r>
            <w:r>
              <w:rPr>
                <w:rFonts w:hint="eastAsia" w:cs="Times New Roman"/>
                <w:color w:val="auto"/>
                <w:sz w:val="24"/>
                <w:highlight w:val="none"/>
                <w:lang w:val="en-US" w:eastAsia="zh-CN"/>
              </w:rPr>
              <w:t>4.54</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vertAlign w:val="baseline"/>
                <w:lang w:val="en-US" w:eastAsia="zh-CN"/>
              </w:rPr>
              <w:t>一般</w:t>
            </w:r>
            <w:r>
              <w:rPr>
                <w:rFonts w:hint="eastAsia" w:cs="Times New Roman"/>
                <w:color w:val="auto"/>
                <w:sz w:val="24"/>
                <w:highlight w:val="none"/>
                <w:vertAlign w:val="baseline"/>
                <w:lang w:val="en-US" w:eastAsia="zh-CN"/>
              </w:rPr>
              <w:t>工业固体废物</w:t>
            </w:r>
            <w:r>
              <w:rPr>
                <w:rFonts w:hint="default" w:ascii="Times New Roman" w:hAnsi="Times New Roman" w:eastAsia="宋体" w:cs="Times New Roman"/>
                <w:color w:val="auto"/>
                <w:sz w:val="24"/>
                <w:highlight w:val="none"/>
                <w:vertAlign w:val="baseline"/>
                <w:lang w:val="en-US" w:eastAsia="zh-CN"/>
              </w:rPr>
              <w:t>暂存间，</w:t>
            </w:r>
            <w:r>
              <w:rPr>
                <w:rFonts w:hint="default" w:ascii="Times New Roman" w:hAnsi="Times New Roman" w:eastAsia="宋体" w:cs="Times New Roman"/>
                <w:color w:val="auto"/>
                <w:sz w:val="24"/>
                <w:highlight w:val="none"/>
                <w:lang w:val="en-US" w:eastAsia="zh-CN"/>
              </w:rPr>
              <w:t>未沾染化学试剂的废包装物产生量约</w:t>
            </w:r>
            <w:r>
              <w:rPr>
                <w:rFonts w:hint="eastAsia" w:cs="Times New Roman"/>
                <w:color w:val="auto"/>
                <w:sz w:val="24"/>
                <w:highlight w:val="none"/>
                <w:lang w:val="en-US" w:eastAsia="zh-CN"/>
              </w:rPr>
              <w:t>0.5</w:t>
            </w:r>
            <w:r>
              <w:rPr>
                <w:rFonts w:hint="default" w:ascii="Times New Roman" w:hAnsi="Times New Roman" w:eastAsia="宋体" w:cs="Times New Roman"/>
                <w:color w:val="auto"/>
                <w:sz w:val="24"/>
                <w:highlight w:val="none"/>
                <w:lang w:val="en-US" w:eastAsia="zh-CN"/>
              </w:rPr>
              <w:t>t/a</w:t>
            </w:r>
            <w:r>
              <w:rPr>
                <w:rFonts w:hint="eastAsia"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废包装物</w:t>
            </w:r>
            <w:r>
              <w:rPr>
                <w:rFonts w:hint="eastAsia" w:cs="Times New Roman"/>
                <w:color w:val="auto"/>
                <w:sz w:val="24"/>
                <w:highlight w:val="none"/>
                <w:lang w:val="en-US" w:eastAsia="zh-CN"/>
              </w:rPr>
              <w:t>每周处理一次，</w:t>
            </w:r>
            <w:r>
              <w:rPr>
                <w:rFonts w:hint="default" w:ascii="Times New Roman" w:hAnsi="Times New Roman" w:eastAsia="宋体" w:cs="Times New Roman"/>
                <w:color w:val="auto"/>
                <w:sz w:val="24"/>
                <w:highlight w:val="none"/>
                <w:vertAlign w:val="baseline"/>
                <w:lang w:val="en-US" w:eastAsia="zh-CN"/>
              </w:rPr>
              <w:t>一般</w:t>
            </w:r>
            <w:r>
              <w:rPr>
                <w:rFonts w:hint="eastAsia" w:cs="Times New Roman"/>
                <w:color w:val="auto"/>
                <w:sz w:val="24"/>
                <w:highlight w:val="none"/>
                <w:vertAlign w:val="baseline"/>
                <w:lang w:val="en-US" w:eastAsia="zh-CN"/>
              </w:rPr>
              <w:t>工业固体废物</w:t>
            </w:r>
            <w:r>
              <w:rPr>
                <w:rFonts w:hint="default" w:ascii="Times New Roman" w:hAnsi="Times New Roman" w:eastAsia="宋体" w:cs="Times New Roman"/>
                <w:color w:val="auto"/>
                <w:sz w:val="24"/>
                <w:highlight w:val="none"/>
                <w:vertAlign w:val="baseline"/>
                <w:lang w:val="en-US" w:eastAsia="zh-CN"/>
              </w:rPr>
              <w:t>暂存间能满足本项目的贮存要求。</w:t>
            </w:r>
          </w:p>
          <w:p w14:paraId="314384B7">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按照《危险废物贮存污染控制标准》（GB18597-2023）要求</w:t>
            </w:r>
            <w:r>
              <w:rPr>
                <w:rFonts w:hint="default" w:ascii="Times New Roman" w:hAnsi="Times New Roman" w:eastAsia="宋体" w:cs="Times New Roman"/>
                <w:color w:val="auto"/>
                <w:sz w:val="24"/>
                <w:highlight w:val="none"/>
                <w:lang w:val="en-US" w:eastAsia="zh-CN"/>
              </w:rPr>
              <w:t>建设</w:t>
            </w:r>
            <w:r>
              <w:rPr>
                <w:rFonts w:hint="eastAsia" w:cs="Times New Roman"/>
                <w:color w:val="auto"/>
                <w:sz w:val="24"/>
                <w:highlight w:val="none"/>
                <w:lang w:val="en-US" w:eastAsia="zh-CN"/>
              </w:rPr>
              <w:t>1间2.62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lang w:val="en-US" w:eastAsia="zh-CN"/>
              </w:rPr>
              <w:t>的危险废物暂存间，危险废物暂存间</w:t>
            </w:r>
            <w:r>
              <w:rPr>
                <w:rFonts w:hint="eastAsia" w:cs="Times New Roman"/>
                <w:color w:val="auto"/>
                <w:sz w:val="24"/>
                <w:highlight w:val="none"/>
                <w:lang w:val="en-US" w:eastAsia="zh-CN"/>
              </w:rPr>
              <w:t>及其贮存</w:t>
            </w:r>
            <w:r>
              <w:rPr>
                <w:rFonts w:hint="default" w:ascii="Times New Roman" w:hAnsi="Times New Roman" w:eastAsia="宋体" w:cs="Times New Roman"/>
                <w:color w:val="auto"/>
                <w:sz w:val="24"/>
                <w:highlight w:val="none"/>
                <w:lang w:val="en-US" w:eastAsia="zh-CN"/>
              </w:rPr>
              <w:t>情况见下表。</w:t>
            </w:r>
          </w:p>
          <w:p w14:paraId="446E9471">
            <w:pPr>
              <w:numPr>
                <w:ilvl w:val="0"/>
                <w:numId w:val="26"/>
              </w:numPr>
              <w:adjustRightInd w:val="0"/>
              <w:spacing w:line="360" w:lineRule="auto"/>
              <w:ind w:left="425" w:leftChars="0" w:hanging="425" w:firstLineChars="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项目</w:t>
            </w:r>
            <w:r>
              <w:rPr>
                <w:rFonts w:hint="default" w:ascii="Times New Roman" w:hAnsi="Times New Roman" w:eastAsia="宋体" w:cs="Times New Roman"/>
                <w:b/>
                <w:color w:val="auto"/>
                <w:sz w:val="24"/>
                <w:highlight w:val="none"/>
                <w:lang w:val="en-US" w:eastAsia="zh-CN"/>
              </w:rPr>
              <w:t>危险废物暂存间</w:t>
            </w:r>
            <w:r>
              <w:rPr>
                <w:rFonts w:hint="default" w:ascii="Times New Roman" w:hAnsi="Times New Roman" w:eastAsia="宋体" w:cs="Times New Roman"/>
                <w:b/>
                <w:color w:val="auto"/>
                <w:sz w:val="24"/>
                <w:highlight w:val="none"/>
              </w:rPr>
              <w:t>情况一览表</w:t>
            </w:r>
          </w:p>
          <w:tbl>
            <w:tblPr>
              <w:tblStyle w:val="24"/>
              <w:tblW w:w="745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484"/>
              <w:gridCol w:w="1321"/>
              <w:gridCol w:w="999"/>
              <w:gridCol w:w="732"/>
              <w:gridCol w:w="768"/>
              <w:gridCol w:w="768"/>
              <w:gridCol w:w="924"/>
            </w:tblGrid>
            <w:tr w14:paraId="2F2E56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63" w:type="dxa"/>
                  <w:tcBorders>
                    <w:tl2br w:val="nil"/>
                    <w:tr2bl w:val="nil"/>
                  </w:tcBorders>
                  <w:vAlign w:val="center"/>
                </w:tcPr>
                <w:p w14:paraId="5D839C6B">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1484" w:type="dxa"/>
                  <w:tcBorders>
                    <w:tl2br w:val="nil"/>
                    <w:tr2bl w:val="nil"/>
                  </w:tcBorders>
                  <w:vAlign w:val="center"/>
                </w:tcPr>
                <w:p w14:paraId="3E7ED30A">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危险废物名称</w:t>
                  </w:r>
                </w:p>
              </w:tc>
              <w:tc>
                <w:tcPr>
                  <w:tcW w:w="1321" w:type="dxa"/>
                  <w:tcBorders>
                    <w:tl2br w:val="nil"/>
                    <w:tr2bl w:val="nil"/>
                  </w:tcBorders>
                  <w:vAlign w:val="center"/>
                </w:tcPr>
                <w:p w14:paraId="2C123496">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危险废物代码</w:t>
                  </w:r>
                </w:p>
              </w:tc>
              <w:tc>
                <w:tcPr>
                  <w:tcW w:w="999" w:type="dxa"/>
                  <w:tcBorders>
                    <w:tl2br w:val="nil"/>
                    <w:tr2bl w:val="nil"/>
                  </w:tcBorders>
                  <w:vAlign w:val="center"/>
                </w:tcPr>
                <w:p w14:paraId="27993DBB">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贮存方式</w:t>
                  </w:r>
                </w:p>
              </w:tc>
              <w:tc>
                <w:tcPr>
                  <w:tcW w:w="732" w:type="dxa"/>
                  <w:tcBorders>
                    <w:tl2br w:val="nil"/>
                    <w:tr2bl w:val="nil"/>
                  </w:tcBorders>
                  <w:vAlign w:val="center"/>
                </w:tcPr>
                <w:p w14:paraId="4589BC40">
                  <w:pPr>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年产生量</w:t>
                  </w:r>
                </w:p>
              </w:tc>
              <w:tc>
                <w:tcPr>
                  <w:tcW w:w="768" w:type="dxa"/>
                  <w:tcBorders>
                    <w:tl2br w:val="nil"/>
                    <w:tr2bl w:val="nil"/>
                  </w:tcBorders>
                  <w:vAlign w:val="center"/>
                </w:tcPr>
                <w:p w14:paraId="079598C1">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面积</w:t>
                  </w:r>
                </w:p>
                <w:p w14:paraId="1DE59271">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2</w:t>
                  </w:r>
                </w:p>
              </w:tc>
              <w:tc>
                <w:tcPr>
                  <w:tcW w:w="768" w:type="dxa"/>
                  <w:tcBorders>
                    <w:tl2br w:val="nil"/>
                    <w:tr2bl w:val="nil"/>
                  </w:tcBorders>
                  <w:vAlign w:val="center"/>
                </w:tcPr>
                <w:p w14:paraId="3CA36F29">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贮存能力</w:t>
                  </w:r>
                </w:p>
              </w:tc>
              <w:tc>
                <w:tcPr>
                  <w:tcW w:w="924" w:type="dxa"/>
                  <w:tcBorders>
                    <w:tl2br w:val="nil"/>
                    <w:tr2bl w:val="nil"/>
                  </w:tcBorders>
                  <w:vAlign w:val="center"/>
                </w:tcPr>
                <w:p w14:paraId="43BCAC61">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贮存周期</w:t>
                  </w:r>
                </w:p>
              </w:tc>
            </w:tr>
            <w:tr w14:paraId="6D87B8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6C594E3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484" w:type="dxa"/>
                  <w:tcBorders>
                    <w:tl2br w:val="nil"/>
                    <w:tr2bl w:val="nil"/>
                  </w:tcBorders>
                  <w:shd w:val="clear" w:color="auto" w:fill="auto"/>
                  <w:vAlign w:val="center"/>
                </w:tcPr>
                <w:p w14:paraId="53E1D0A1">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废离心上清液</w:t>
                  </w:r>
                </w:p>
              </w:tc>
              <w:tc>
                <w:tcPr>
                  <w:tcW w:w="1321" w:type="dxa"/>
                  <w:tcBorders>
                    <w:tl2br w:val="nil"/>
                    <w:tr2bl w:val="nil"/>
                  </w:tcBorders>
                  <w:shd w:val="clear" w:color="auto" w:fill="auto"/>
                  <w:vAlign w:val="center"/>
                </w:tcPr>
                <w:p w14:paraId="763C811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-49</w:t>
                  </w:r>
                </w:p>
              </w:tc>
              <w:tc>
                <w:tcPr>
                  <w:tcW w:w="999" w:type="dxa"/>
                  <w:tcBorders>
                    <w:tl2br w:val="nil"/>
                    <w:tr2bl w:val="nil"/>
                  </w:tcBorders>
                  <w:vAlign w:val="center"/>
                </w:tcPr>
                <w:p w14:paraId="5C641B4C">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桶装</w:t>
                  </w:r>
                </w:p>
              </w:tc>
              <w:tc>
                <w:tcPr>
                  <w:tcW w:w="732" w:type="dxa"/>
                  <w:vMerge w:val="restart"/>
                  <w:tcBorders>
                    <w:tl2br w:val="nil"/>
                    <w:tr2bl w:val="nil"/>
                  </w:tcBorders>
                  <w:vAlign w:val="center"/>
                </w:tcPr>
                <w:p w14:paraId="0B47570B">
                  <w:pPr>
                    <w:jc w:val="center"/>
                    <w:rPr>
                      <w:rFonts w:hint="default" w:cs="Times New Roman"/>
                      <w:color w:val="auto"/>
                      <w:sz w:val="21"/>
                      <w:szCs w:val="21"/>
                      <w:highlight w:val="none"/>
                      <w:lang w:val="en-US" w:eastAsia="zh-CN"/>
                    </w:rPr>
                  </w:pPr>
                  <w:r>
                    <w:rPr>
                      <w:rFonts w:hint="eastAsia" w:cs="Times New Roman"/>
                      <w:color w:val="auto"/>
                      <w:sz w:val="21"/>
                      <w:szCs w:val="21"/>
                      <w:highlight w:val="none"/>
                      <w:vertAlign w:val="baseline"/>
                      <w:lang w:val="en-US" w:eastAsia="zh-CN"/>
                    </w:rPr>
                    <w:t>1.2401</w:t>
                  </w:r>
                  <w:r>
                    <w:rPr>
                      <w:rFonts w:hint="eastAsia" w:cs="Times New Roman"/>
                      <w:color w:val="auto"/>
                      <w:sz w:val="21"/>
                      <w:szCs w:val="21"/>
                      <w:highlight w:val="none"/>
                      <w:lang w:val="en-US" w:eastAsia="zh-CN"/>
                    </w:rPr>
                    <w:t>吨</w:t>
                  </w:r>
                </w:p>
              </w:tc>
              <w:tc>
                <w:tcPr>
                  <w:tcW w:w="768" w:type="dxa"/>
                  <w:vMerge w:val="restart"/>
                  <w:tcBorders>
                    <w:tl2br w:val="nil"/>
                    <w:tr2bl w:val="nil"/>
                  </w:tcBorders>
                  <w:vAlign w:val="center"/>
                </w:tcPr>
                <w:p w14:paraId="11BAB6E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2.62</w:t>
                  </w:r>
                </w:p>
              </w:tc>
              <w:tc>
                <w:tcPr>
                  <w:tcW w:w="768" w:type="dxa"/>
                  <w:vMerge w:val="restart"/>
                  <w:tcBorders>
                    <w:tl2br w:val="nil"/>
                    <w:tr2bl w:val="nil"/>
                  </w:tcBorders>
                  <w:vAlign w:val="center"/>
                </w:tcPr>
                <w:p w14:paraId="40281055">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吨</w:t>
                  </w:r>
                </w:p>
              </w:tc>
              <w:tc>
                <w:tcPr>
                  <w:tcW w:w="924" w:type="dxa"/>
                  <w:vMerge w:val="restart"/>
                  <w:tcBorders>
                    <w:tl2br w:val="nil"/>
                    <w:tr2bl w:val="nil"/>
                  </w:tcBorders>
                  <w:vAlign w:val="center"/>
                </w:tcPr>
                <w:p w14:paraId="233ABAC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个月</w:t>
                  </w:r>
                </w:p>
              </w:tc>
            </w:tr>
            <w:tr w14:paraId="5987D9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32B32C7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484" w:type="dxa"/>
                  <w:tcBorders>
                    <w:tl2br w:val="nil"/>
                    <w:tr2bl w:val="nil"/>
                  </w:tcBorders>
                  <w:shd w:val="clear" w:color="auto" w:fill="auto"/>
                  <w:vAlign w:val="center"/>
                </w:tcPr>
                <w:p w14:paraId="4E116741">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清洗废液</w:t>
                  </w:r>
                </w:p>
              </w:tc>
              <w:tc>
                <w:tcPr>
                  <w:tcW w:w="1321" w:type="dxa"/>
                  <w:tcBorders>
                    <w:tl2br w:val="nil"/>
                    <w:tr2bl w:val="nil"/>
                  </w:tcBorders>
                  <w:shd w:val="clear" w:color="auto" w:fill="auto"/>
                  <w:vAlign w:val="center"/>
                </w:tcPr>
                <w:p w14:paraId="022F884C">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900-047-49</w:t>
                  </w:r>
                </w:p>
              </w:tc>
              <w:tc>
                <w:tcPr>
                  <w:tcW w:w="999" w:type="dxa"/>
                  <w:tcBorders>
                    <w:tl2br w:val="nil"/>
                    <w:tr2bl w:val="nil"/>
                  </w:tcBorders>
                  <w:vAlign w:val="center"/>
                </w:tcPr>
                <w:p w14:paraId="50FC90DE">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桶装</w:t>
                  </w:r>
                </w:p>
              </w:tc>
              <w:tc>
                <w:tcPr>
                  <w:tcW w:w="732" w:type="dxa"/>
                  <w:vMerge w:val="continue"/>
                  <w:tcBorders>
                    <w:tl2br w:val="nil"/>
                    <w:tr2bl w:val="nil"/>
                  </w:tcBorders>
                  <w:vAlign w:val="center"/>
                </w:tcPr>
                <w:p w14:paraId="20A47BFB">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7572F13E">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6EDF7A86">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0FA44BBB">
                  <w:pPr>
                    <w:jc w:val="center"/>
                    <w:rPr>
                      <w:rFonts w:hint="default" w:ascii="Times New Roman" w:hAnsi="Times New Roman" w:eastAsia="宋体" w:cs="Times New Roman"/>
                      <w:color w:val="auto"/>
                      <w:sz w:val="21"/>
                      <w:szCs w:val="21"/>
                      <w:highlight w:val="none"/>
                      <w:lang w:val="en-US" w:eastAsia="zh-CN"/>
                    </w:rPr>
                  </w:pPr>
                </w:p>
              </w:tc>
            </w:tr>
            <w:tr w14:paraId="4D8D75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307677A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484" w:type="dxa"/>
                  <w:tcBorders>
                    <w:tl2br w:val="nil"/>
                    <w:tr2bl w:val="nil"/>
                  </w:tcBorders>
                  <w:shd w:val="clear" w:color="auto" w:fill="auto"/>
                  <w:vAlign w:val="center"/>
                </w:tcPr>
                <w:p w14:paraId="660F2E5C">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废一次性试验耗材</w:t>
                  </w:r>
                </w:p>
              </w:tc>
              <w:tc>
                <w:tcPr>
                  <w:tcW w:w="1321" w:type="dxa"/>
                  <w:tcBorders>
                    <w:tl2br w:val="nil"/>
                    <w:tr2bl w:val="nil"/>
                  </w:tcBorders>
                  <w:shd w:val="clear" w:color="auto" w:fill="auto"/>
                  <w:vAlign w:val="center"/>
                </w:tcPr>
                <w:p w14:paraId="753D3AE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-49</w:t>
                  </w:r>
                </w:p>
              </w:tc>
              <w:tc>
                <w:tcPr>
                  <w:tcW w:w="999" w:type="dxa"/>
                  <w:tcBorders>
                    <w:tl2br w:val="nil"/>
                    <w:tr2bl w:val="nil"/>
                  </w:tcBorders>
                  <w:vAlign w:val="center"/>
                </w:tcPr>
                <w:p w14:paraId="0AA00EC0">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袋装</w:t>
                  </w:r>
                </w:p>
              </w:tc>
              <w:tc>
                <w:tcPr>
                  <w:tcW w:w="732" w:type="dxa"/>
                  <w:vMerge w:val="continue"/>
                  <w:tcBorders>
                    <w:tl2br w:val="nil"/>
                    <w:tr2bl w:val="nil"/>
                  </w:tcBorders>
                  <w:vAlign w:val="center"/>
                </w:tcPr>
                <w:p w14:paraId="73724145">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79C85DEC">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00D14378">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53BBD3B0">
                  <w:pPr>
                    <w:jc w:val="center"/>
                    <w:rPr>
                      <w:rFonts w:hint="default" w:ascii="Times New Roman" w:hAnsi="Times New Roman" w:eastAsia="宋体" w:cs="Times New Roman"/>
                      <w:color w:val="auto"/>
                      <w:sz w:val="21"/>
                      <w:szCs w:val="21"/>
                      <w:highlight w:val="none"/>
                      <w:lang w:val="en-US" w:eastAsia="zh-CN"/>
                    </w:rPr>
                  </w:pPr>
                </w:p>
              </w:tc>
            </w:tr>
            <w:tr w14:paraId="4628FF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0478F99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484" w:type="dxa"/>
                  <w:tcBorders>
                    <w:tl2br w:val="nil"/>
                    <w:tr2bl w:val="nil"/>
                  </w:tcBorders>
                  <w:shd w:val="clear" w:color="auto" w:fill="auto"/>
                  <w:vAlign w:val="center"/>
                </w:tcPr>
                <w:p w14:paraId="27336996">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废培养基</w:t>
                  </w:r>
                </w:p>
              </w:tc>
              <w:tc>
                <w:tcPr>
                  <w:tcW w:w="1321" w:type="dxa"/>
                  <w:tcBorders>
                    <w:tl2br w:val="nil"/>
                    <w:tr2bl w:val="nil"/>
                  </w:tcBorders>
                  <w:shd w:val="clear" w:color="auto" w:fill="auto"/>
                  <w:vAlign w:val="center"/>
                </w:tcPr>
                <w:p w14:paraId="15AC82C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-49</w:t>
                  </w:r>
                </w:p>
              </w:tc>
              <w:tc>
                <w:tcPr>
                  <w:tcW w:w="999" w:type="dxa"/>
                  <w:tcBorders>
                    <w:tl2br w:val="nil"/>
                    <w:tr2bl w:val="nil"/>
                  </w:tcBorders>
                  <w:vAlign w:val="center"/>
                </w:tcPr>
                <w:p w14:paraId="5C92270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桶装</w:t>
                  </w:r>
                </w:p>
              </w:tc>
              <w:tc>
                <w:tcPr>
                  <w:tcW w:w="732" w:type="dxa"/>
                  <w:vMerge w:val="continue"/>
                  <w:tcBorders>
                    <w:tl2br w:val="nil"/>
                    <w:tr2bl w:val="nil"/>
                  </w:tcBorders>
                  <w:vAlign w:val="center"/>
                </w:tcPr>
                <w:p w14:paraId="40584036">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5455F812">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41C63DC9">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2D5AB1F7">
                  <w:pPr>
                    <w:jc w:val="center"/>
                    <w:rPr>
                      <w:rFonts w:hint="default" w:ascii="Times New Roman" w:hAnsi="Times New Roman" w:eastAsia="宋体" w:cs="Times New Roman"/>
                      <w:color w:val="auto"/>
                      <w:sz w:val="21"/>
                      <w:szCs w:val="21"/>
                      <w:highlight w:val="none"/>
                      <w:lang w:val="en-US" w:eastAsia="zh-CN"/>
                    </w:rPr>
                  </w:pPr>
                </w:p>
              </w:tc>
            </w:tr>
            <w:tr w14:paraId="26D0C4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63ACB83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484" w:type="dxa"/>
                  <w:tcBorders>
                    <w:tl2br w:val="nil"/>
                    <w:tr2bl w:val="nil"/>
                  </w:tcBorders>
                  <w:shd w:val="clear" w:color="auto" w:fill="auto"/>
                  <w:vAlign w:val="center"/>
                </w:tcPr>
                <w:p w14:paraId="2FDDBC53">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检测废液</w:t>
                  </w:r>
                </w:p>
              </w:tc>
              <w:tc>
                <w:tcPr>
                  <w:tcW w:w="1321" w:type="dxa"/>
                  <w:tcBorders>
                    <w:tl2br w:val="nil"/>
                    <w:tr2bl w:val="nil"/>
                  </w:tcBorders>
                  <w:shd w:val="clear" w:color="auto" w:fill="auto"/>
                  <w:vAlign w:val="center"/>
                </w:tcPr>
                <w:p w14:paraId="0F8144E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w:t>
                  </w:r>
                  <w:r>
                    <w:rPr>
                      <w:rFonts w:hint="eastAsia"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-49</w:t>
                  </w:r>
                </w:p>
              </w:tc>
              <w:tc>
                <w:tcPr>
                  <w:tcW w:w="999" w:type="dxa"/>
                  <w:tcBorders>
                    <w:tl2br w:val="nil"/>
                    <w:tr2bl w:val="nil"/>
                  </w:tcBorders>
                  <w:vAlign w:val="center"/>
                </w:tcPr>
                <w:p w14:paraId="4496C890">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桶装</w:t>
                  </w:r>
                </w:p>
              </w:tc>
              <w:tc>
                <w:tcPr>
                  <w:tcW w:w="732" w:type="dxa"/>
                  <w:vMerge w:val="continue"/>
                  <w:tcBorders>
                    <w:tl2br w:val="nil"/>
                    <w:tr2bl w:val="nil"/>
                  </w:tcBorders>
                  <w:vAlign w:val="center"/>
                </w:tcPr>
                <w:p w14:paraId="78063627">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0C8C32DC">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2D5A0E64">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7BCBB342">
                  <w:pPr>
                    <w:jc w:val="center"/>
                    <w:rPr>
                      <w:rFonts w:hint="default" w:ascii="Times New Roman" w:hAnsi="Times New Roman" w:eastAsia="宋体" w:cs="Times New Roman"/>
                      <w:color w:val="auto"/>
                      <w:sz w:val="21"/>
                      <w:szCs w:val="21"/>
                      <w:highlight w:val="none"/>
                      <w:lang w:val="en-US" w:eastAsia="zh-CN"/>
                    </w:rPr>
                  </w:pPr>
                </w:p>
              </w:tc>
            </w:tr>
            <w:tr w14:paraId="1BBDB4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shd w:val="clear"/>
                  <w:vAlign w:val="center"/>
                </w:tcPr>
                <w:p w14:paraId="1E51D83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1484" w:type="dxa"/>
                  <w:tcBorders>
                    <w:tl2br w:val="nil"/>
                    <w:tr2bl w:val="nil"/>
                  </w:tcBorders>
                  <w:shd w:val="clear" w:color="auto" w:fill="auto"/>
                  <w:vAlign w:val="center"/>
                </w:tcPr>
                <w:p w14:paraId="58A6EEBB">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废紫外灯管</w:t>
                  </w:r>
                </w:p>
              </w:tc>
              <w:tc>
                <w:tcPr>
                  <w:tcW w:w="1321" w:type="dxa"/>
                  <w:tcBorders>
                    <w:tl2br w:val="nil"/>
                    <w:tr2bl w:val="nil"/>
                  </w:tcBorders>
                  <w:shd w:val="clear" w:color="auto" w:fill="auto"/>
                  <w:vAlign w:val="center"/>
                </w:tcPr>
                <w:p w14:paraId="1C4650DD">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lang w:val="en-US" w:eastAsia="zh-CN"/>
                    </w:rPr>
                    <w:t>00-023-29</w:t>
                  </w:r>
                </w:p>
              </w:tc>
              <w:tc>
                <w:tcPr>
                  <w:tcW w:w="999" w:type="dxa"/>
                  <w:tcBorders>
                    <w:tl2br w:val="nil"/>
                    <w:tr2bl w:val="nil"/>
                  </w:tcBorders>
                  <w:shd w:val="clear"/>
                  <w:vAlign w:val="center"/>
                </w:tcPr>
                <w:p w14:paraId="2CC12C8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袋装</w:t>
                  </w:r>
                </w:p>
              </w:tc>
              <w:tc>
                <w:tcPr>
                  <w:tcW w:w="732" w:type="dxa"/>
                  <w:vMerge w:val="continue"/>
                  <w:tcBorders>
                    <w:tl2br w:val="nil"/>
                    <w:tr2bl w:val="nil"/>
                  </w:tcBorders>
                  <w:vAlign w:val="center"/>
                </w:tcPr>
                <w:p w14:paraId="1E91B6B2">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3694DFCC">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495F75A9">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631FE520">
                  <w:pPr>
                    <w:jc w:val="center"/>
                    <w:rPr>
                      <w:rFonts w:hint="default" w:ascii="Times New Roman" w:hAnsi="Times New Roman" w:eastAsia="宋体" w:cs="Times New Roman"/>
                      <w:color w:val="auto"/>
                      <w:sz w:val="21"/>
                      <w:szCs w:val="21"/>
                      <w:highlight w:val="none"/>
                      <w:lang w:val="en-US" w:eastAsia="zh-CN"/>
                    </w:rPr>
                  </w:pPr>
                </w:p>
              </w:tc>
            </w:tr>
            <w:tr w14:paraId="4E8750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67BEEDD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484" w:type="dxa"/>
                  <w:tcBorders>
                    <w:tl2br w:val="nil"/>
                    <w:tr2bl w:val="nil"/>
                  </w:tcBorders>
                  <w:shd w:val="clear" w:color="auto" w:fill="auto"/>
                  <w:vAlign w:val="center"/>
                </w:tcPr>
                <w:p w14:paraId="1EFC2787">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废样品</w:t>
                  </w:r>
                </w:p>
              </w:tc>
              <w:tc>
                <w:tcPr>
                  <w:tcW w:w="1321" w:type="dxa"/>
                  <w:tcBorders>
                    <w:tl2br w:val="nil"/>
                    <w:tr2bl w:val="nil"/>
                  </w:tcBorders>
                  <w:shd w:val="clear" w:color="auto" w:fill="auto"/>
                  <w:vAlign w:val="center"/>
                </w:tcPr>
                <w:p w14:paraId="2E93DD62">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900-04</w:t>
                  </w:r>
                  <w:r>
                    <w:rPr>
                      <w:rFonts w:hint="eastAsia"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-49</w:t>
                  </w:r>
                </w:p>
              </w:tc>
              <w:tc>
                <w:tcPr>
                  <w:tcW w:w="999" w:type="dxa"/>
                  <w:tcBorders>
                    <w:tl2br w:val="nil"/>
                    <w:tr2bl w:val="nil"/>
                  </w:tcBorders>
                  <w:shd w:val="clear"/>
                  <w:vAlign w:val="center"/>
                </w:tcPr>
                <w:p w14:paraId="7F480639">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桶装</w:t>
                  </w:r>
                </w:p>
              </w:tc>
              <w:tc>
                <w:tcPr>
                  <w:tcW w:w="732" w:type="dxa"/>
                  <w:vMerge w:val="continue"/>
                  <w:tcBorders>
                    <w:tl2br w:val="nil"/>
                    <w:tr2bl w:val="nil"/>
                  </w:tcBorders>
                  <w:vAlign w:val="center"/>
                </w:tcPr>
                <w:p w14:paraId="398A35BD">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74DE2401">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5CB858AE">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68E6CAB0">
                  <w:pPr>
                    <w:jc w:val="center"/>
                    <w:rPr>
                      <w:rFonts w:hint="default" w:ascii="Times New Roman" w:hAnsi="Times New Roman" w:eastAsia="宋体" w:cs="Times New Roman"/>
                      <w:color w:val="auto"/>
                      <w:sz w:val="21"/>
                      <w:szCs w:val="21"/>
                      <w:highlight w:val="none"/>
                      <w:lang w:val="en-US" w:eastAsia="zh-CN"/>
                    </w:rPr>
                  </w:pPr>
                </w:p>
              </w:tc>
            </w:tr>
          </w:tbl>
          <w:p w14:paraId="4E3B48BB">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本</w:t>
            </w:r>
            <w:r>
              <w:rPr>
                <w:rFonts w:hint="eastAsia" w:ascii="Times New Roman" w:hAnsi="Times New Roman" w:eastAsia="宋体" w:cs="Times New Roman"/>
                <w:color w:val="auto"/>
                <w:sz w:val="24"/>
                <w:highlight w:val="none"/>
                <w:lang w:val="en-US" w:eastAsia="zh-CN"/>
              </w:rPr>
              <w:t>项目危险废物的</w:t>
            </w:r>
            <w:r>
              <w:rPr>
                <w:rFonts w:hint="default" w:ascii="Times New Roman" w:hAnsi="Times New Roman" w:eastAsia="宋体" w:cs="Times New Roman"/>
                <w:color w:val="auto"/>
                <w:sz w:val="24"/>
                <w:highlight w:val="none"/>
                <w:lang w:val="en-US" w:eastAsia="zh-CN"/>
              </w:rPr>
              <w:t>产生量</w:t>
            </w:r>
            <w:r>
              <w:rPr>
                <w:rFonts w:hint="eastAsia" w:cs="Times New Roman"/>
                <w:color w:val="auto"/>
                <w:sz w:val="24"/>
                <w:highlight w:val="none"/>
                <w:lang w:val="en-US" w:eastAsia="zh-CN"/>
              </w:rPr>
              <w:t>1.2401</w:t>
            </w:r>
            <w:r>
              <w:rPr>
                <w:rFonts w:hint="default" w:ascii="Times New Roman" w:hAnsi="Times New Roman" w:eastAsia="宋体" w:cs="Times New Roman"/>
                <w:color w:val="auto"/>
                <w:sz w:val="24"/>
                <w:highlight w:val="none"/>
                <w:lang w:val="en-US" w:eastAsia="zh-CN"/>
              </w:rPr>
              <w:t>t/a，危险废物暂存间面积为</w:t>
            </w:r>
            <w:r>
              <w:rPr>
                <w:rFonts w:hint="eastAsia" w:cs="Times New Roman"/>
                <w:color w:val="auto"/>
                <w:sz w:val="24"/>
                <w:highlight w:val="none"/>
                <w:lang w:val="en-US" w:eastAsia="zh-CN"/>
              </w:rPr>
              <w:t>2.62</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，贮存周期</w:t>
            </w:r>
            <w:r>
              <w:rPr>
                <w:rFonts w:hint="default"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个月，贮存量</w:t>
            </w:r>
            <w:r>
              <w:rPr>
                <w:rFonts w:hint="eastAsia" w:cs="Times New Roman"/>
                <w:color w:val="auto"/>
                <w:sz w:val="24"/>
                <w:highlight w:val="none"/>
                <w:lang w:val="en-US" w:eastAsia="zh-CN"/>
              </w:rPr>
              <w:t>0.62005</w:t>
            </w:r>
            <w:r>
              <w:rPr>
                <w:rFonts w:hint="default" w:ascii="Times New Roman" w:hAnsi="Times New Roman" w:eastAsia="宋体" w:cs="Times New Roman"/>
                <w:color w:val="auto"/>
                <w:sz w:val="24"/>
                <w:highlight w:val="none"/>
                <w:lang w:val="en-US" w:eastAsia="zh-CN"/>
              </w:rPr>
              <w:t>t，</w:t>
            </w:r>
            <w:r>
              <w:rPr>
                <w:rFonts w:hint="default" w:ascii="Times New Roman" w:hAnsi="Times New Roman" w:cs="Times New Roman"/>
                <w:color w:val="auto"/>
                <w:sz w:val="24"/>
                <w:highlight w:val="none"/>
                <w:lang w:val="en-US" w:eastAsia="zh-CN"/>
              </w:rPr>
              <w:t>危险废</w:t>
            </w:r>
            <w:r>
              <w:rPr>
                <w:rFonts w:hint="eastAsia" w:cs="Times New Roman"/>
                <w:color w:val="auto"/>
                <w:sz w:val="24"/>
                <w:highlight w:val="none"/>
                <w:lang w:val="en-US" w:eastAsia="zh-CN"/>
              </w:rPr>
              <w:t>物暂存间</w:t>
            </w:r>
            <w:r>
              <w:rPr>
                <w:rFonts w:hint="default" w:ascii="Times New Roman" w:hAnsi="Times New Roman" w:eastAsia="宋体" w:cs="Times New Roman"/>
                <w:color w:val="auto"/>
                <w:sz w:val="24"/>
                <w:highlight w:val="none"/>
                <w:lang w:val="en-US" w:eastAsia="zh-CN"/>
              </w:rPr>
              <w:t>贮存能力</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t</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可以满足本项目产生危险废物的暂存</w:t>
            </w:r>
            <w:r>
              <w:rPr>
                <w:rFonts w:hint="default" w:ascii="Times New Roman" w:hAnsi="Times New Roman" w:eastAsia="宋体" w:cs="Times New Roman"/>
                <w:color w:val="auto"/>
                <w:sz w:val="24"/>
                <w:highlight w:val="none"/>
              </w:rPr>
              <w:t>。</w:t>
            </w:r>
          </w:p>
          <w:p w14:paraId="376ACD31">
            <w:pPr>
              <w:numPr>
                <w:ilvl w:val="0"/>
                <w:numId w:val="0"/>
              </w:numPr>
              <w:adjustRightInd w:val="0"/>
              <w:snapToGrid w:val="0"/>
              <w:spacing w:line="360" w:lineRule="auto"/>
              <w:ind w:leftChars="0"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lang w:val="en-US" w:eastAsia="zh-CN"/>
              </w:rPr>
              <w:t>（2）</w:t>
            </w:r>
            <w:r>
              <w:rPr>
                <w:rFonts w:hint="default" w:ascii="Times New Roman" w:hAnsi="Times New Roman" w:eastAsia="宋体" w:cs="Times New Roman"/>
                <w:b w:val="0"/>
                <w:bCs/>
                <w:color w:val="auto"/>
                <w:sz w:val="24"/>
                <w:highlight w:val="none"/>
              </w:rPr>
              <w:t>环境管理要求</w:t>
            </w:r>
          </w:p>
          <w:p w14:paraId="37AEBD55">
            <w:pPr>
              <w:numPr>
                <w:ilvl w:val="0"/>
                <w:numId w:val="0"/>
              </w:numPr>
              <w:adjustRightInd w:val="0"/>
              <w:spacing w:line="360" w:lineRule="auto"/>
              <w:ind w:leftChars="200"/>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rPr>
              <w:t>生活垃圾环境管理要求</w:t>
            </w:r>
          </w:p>
          <w:p w14:paraId="1A6E0412">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本项目产生的生活垃圾应按照《中华人民共和国固体废物污染环境防治法》（2020年9月1日起施行）及《北京市生活垃圾管理条例》（2020年5月1日施行）的相关规定，进行</w:t>
            </w:r>
            <w:r>
              <w:rPr>
                <w:rFonts w:hint="eastAsia" w:cs="Times New Roman"/>
                <w:color w:val="auto"/>
                <w:sz w:val="24"/>
                <w:highlight w:val="none"/>
                <w:lang w:val="en-US" w:eastAsia="zh-CN"/>
              </w:rPr>
              <w:t>分类</w:t>
            </w:r>
            <w:r>
              <w:rPr>
                <w:rFonts w:hint="default" w:ascii="Times New Roman" w:hAnsi="Times New Roman" w:eastAsia="宋体" w:cs="Times New Roman"/>
                <w:color w:val="auto"/>
                <w:sz w:val="24"/>
                <w:highlight w:val="none"/>
              </w:rPr>
              <w:t>收集、管理、运输及处置：</w:t>
            </w:r>
          </w:p>
          <w:p w14:paraId="707554BD">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应当使用经市环境保护行政主管部门认证登记，并符合市容环境行政主管部门规定的规格、厚度、颜色等要求的可降解专用垃圾袋盛装、分类收集生活垃圾，并由环卫部门及时清运；</w:t>
            </w:r>
          </w:p>
          <w:p w14:paraId="5186005A">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生活垃圾袋应当扎紧袋口，不能混入危险废物，存放到指定地点；</w:t>
            </w:r>
          </w:p>
          <w:p w14:paraId="5CF1AF22">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不能使用破损袋盛装生活垃圾。对有可能造成垃圾袋破损的物品应单独存放；</w:t>
            </w:r>
          </w:p>
          <w:p w14:paraId="3C7AD46D">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产生生活废弃物的单位不得随意倾倒、抛撒和堆放生活废弃物。</w:t>
            </w:r>
          </w:p>
          <w:p w14:paraId="4CA5271F">
            <w:pPr>
              <w:numPr>
                <w:ilvl w:val="0"/>
                <w:numId w:val="0"/>
              </w:numPr>
              <w:adjustRightInd w:val="0"/>
              <w:spacing w:line="360" w:lineRule="auto"/>
              <w:ind w:leftChars="200"/>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rPr>
              <w:t>一般工业固体废物环境管理要求</w:t>
            </w:r>
          </w:p>
          <w:p w14:paraId="0111C643">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按照《中华人民共和国固体废物污染环境防治法》（2020年9月1日起施行）、《一般工业固体废物贮存和填埋污染控制标准》（GB18599-2020）及北京市相关规定，</w:t>
            </w:r>
            <w:r>
              <w:rPr>
                <w:rFonts w:hint="default" w:ascii="Times New Roman" w:hAnsi="Times New Roman" w:eastAsia="宋体" w:cs="Times New Roman"/>
                <w:color w:val="auto"/>
                <w:sz w:val="24"/>
                <w:highlight w:val="none"/>
                <w:lang w:val="en-US" w:eastAsia="zh-CN"/>
              </w:rPr>
              <w:t>建设一般固废暂存间</w:t>
            </w:r>
            <w:r>
              <w:rPr>
                <w:rFonts w:hint="default" w:ascii="Times New Roman" w:hAnsi="Times New Roman" w:eastAsia="宋体" w:cs="Times New Roman"/>
                <w:color w:val="auto"/>
                <w:sz w:val="24"/>
                <w:highlight w:val="none"/>
              </w:rPr>
              <w:t>，做到防雨淋、防流失、防渗漏，避免产生二次污染。</w:t>
            </w:r>
          </w:p>
          <w:p w14:paraId="5EF0B726">
            <w:pPr>
              <w:numPr>
                <w:ilvl w:val="0"/>
                <w:numId w:val="0"/>
              </w:numPr>
              <w:adjustRightInd w:val="0"/>
              <w:spacing w:line="360" w:lineRule="auto"/>
              <w:ind w:leftChars="200"/>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3）</w:t>
            </w:r>
            <w:r>
              <w:rPr>
                <w:rFonts w:hint="default" w:ascii="Times New Roman" w:hAnsi="Times New Roman" w:eastAsia="宋体" w:cs="Times New Roman"/>
                <w:b w:val="0"/>
                <w:bCs w:val="0"/>
                <w:color w:val="auto"/>
                <w:sz w:val="24"/>
                <w:highlight w:val="none"/>
              </w:rPr>
              <w:t>危险废物管理要求</w:t>
            </w:r>
          </w:p>
          <w:p w14:paraId="0BFBCECF">
            <w:pPr>
              <w:numPr>
                <w:ilvl w:val="0"/>
                <w:numId w:val="30"/>
              </w:numPr>
              <w:adjustRightInd w:val="0"/>
              <w:spacing w:line="360" w:lineRule="auto"/>
              <w:ind w:left="0" w:leftChars="0"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贮存和管理要求</w:t>
            </w:r>
          </w:p>
          <w:p w14:paraId="7C44C076">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按照</w:t>
            </w:r>
            <w:r>
              <w:rPr>
                <w:rFonts w:hint="default" w:ascii="Times New Roman" w:hAnsi="Times New Roman" w:eastAsia="宋体" w:cs="Times New Roman"/>
                <w:color w:val="auto"/>
                <w:sz w:val="24"/>
                <w:highlight w:val="none"/>
              </w:rPr>
              <w:t>《危险废物贮存污染控制标准》（GB18597-2023）</w:t>
            </w:r>
            <w:r>
              <w:rPr>
                <w:rFonts w:hint="default" w:ascii="Times New Roman" w:hAnsi="Times New Roman" w:eastAsia="宋体" w:cs="Times New Roman"/>
                <w:color w:val="auto"/>
                <w:sz w:val="24"/>
                <w:highlight w:val="none"/>
                <w:lang w:val="en-US" w:eastAsia="zh-CN"/>
              </w:rPr>
              <w:t>要求建设危险废物暂存间</w:t>
            </w:r>
            <w:r>
              <w:rPr>
                <w:rFonts w:hint="default" w:ascii="Times New Roman" w:hAnsi="Times New Roman" w:eastAsia="宋体" w:cs="Times New Roman"/>
                <w:color w:val="auto"/>
                <w:sz w:val="24"/>
                <w:highlight w:val="none"/>
              </w:rPr>
              <w:t>，地面及储存间裙角采用防渗处理，防渗系数小于1×10</w:t>
            </w:r>
            <w:r>
              <w:rPr>
                <w:rFonts w:hint="default" w:ascii="Times New Roman" w:hAnsi="Times New Roman" w:eastAsia="宋体" w:cs="Times New Roman"/>
                <w:color w:val="auto"/>
                <w:sz w:val="24"/>
                <w:highlight w:val="none"/>
                <w:vertAlign w:val="superscript"/>
              </w:rPr>
              <w:t>-1</w:t>
            </w:r>
            <w:r>
              <w:rPr>
                <w:rFonts w:hint="eastAsia" w:cs="Times New Roman"/>
                <w:color w:val="auto"/>
                <w:sz w:val="24"/>
                <w:highlight w:val="none"/>
                <w:vertAlign w:val="superscript"/>
                <w:lang w:val="en-US" w:eastAsia="zh-CN"/>
              </w:rPr>
              <w:t>0</w:t>
            </w:r>
            <w:r>
              <w:rPr>
                <w:rFonts w:hint="default" w:ascii="Times New Roman" w:hAnsi="Times New Roman" w:eastAsia="宋体" w:cs="Times New Roman"/>
                <w:color w:val="auto"/>
                <w:sz w:val="24"/>
                <w:highlight w:val="none"/>
              </w:rPr>
              <w:t>cm/s</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危险废物暂存</w:t>
            </w:r>
            <w:r>
              <w:rPr>
                <w:rFonts w:hint="default" w:ascii="Times New Roman" w:hAnsi="Times New Roman" w:eastAsia="宋体" w:cs="Times New Roman"/>
                <w:color w:val="auto"/>
                <w:sz w:val="24"/>
                <w:highlight w:val="none"/>
              </w:rPr>
              <w:t>间按</w:t>
            </w:r>
            <w:r>
              <w:rPr>
                <w:rFonts w:hint="default" w:ascii="Times New Roman" w:hAnsi="Times New Roman" w:eastAsia="宋体" w:cs="Times New Roman"/>
                <w:color w:val="auto"/>
                <w:sz w:val="24"/>
                <w:highlight w:val="none"/>
                <w:lang w:val="en-US" w:eastAsia="zh-CN"/>
              </w:rPr>
              <w:t>危险废物性质</w:t>
            </w:r>
            <w:r>
              <w:rPr>
                <w:rFonts w:hint="default" w:ascii="Times New Roman" w:hAnsi="Times New Roman" w:eastAsia="宋体" w:cs="Times New Roman"/>
                <w:color w:val="auto"/>
                <w:sz w:val="24"/>
                <w:highlight w:val="none"/>
              </w:rPr>
              <w:t>分区</w:t>
            </w:r>
            <w:r>
              <w:rPr>
                <w:rFonts w:hint="default" w:ascii="Times New Roman" w:hAnsi="Times New Roman" w:eastAsia="宋体" w:cs="Times New Roman"/>
                <w:color w:val="auto"/>
                <w:sz w:val="24"/>
                <w:highlight w:val="none"/>
                <w:lang w:val="en-US" w:eastAsia="zh-CN"/>
              </w:rPr>
              <w:t>存放</w:t>
            </w:r>
            <w:r>
              <w:rPr>
                <w:rFonts w:hint="default" w:ascii="Times New Roman" w:hAnsi="Times New Roman" w:eastAsia="宋体" w:cs="Times New Roman"/>
                <w:color w:val="auto"/>
                <w:sz w:val="24"/>
                <w:highlight w:val="none"/>
              </w:rPr>
              <w:t>，不同危废之间设有隔断，并粘贴危险废物</w:t>
            </w:r>
            <w:r>
              <w:rPr>
                <w:rFonts w:hint="default" w:ascii="Times New Roman" w:hAnsi="Times New Roman" w:eastAsia="宋体" w:cs="Times New Roman"/>
                <w:color w:val="auto"/>
                <w:sz w:val="24"/>
                <w:highlight w:val="none"/>
                <w:lang w:val="en-US" w:eastAsia="zh-CN"/>
              </w:rPr>
              <w:t>标志</w:t>
            </w:r>
            <w:r>
              <w:rPr>
                <w:rFonts w:hint="default" w:ascii="Times New Roman" w:hAnsi="Times New Roman" w:eastAsia="宋体" w:cs="Times New Roman"/>
                <w:color w:val="auto"/>
                <w:sz w:val="24"/>
                <w:highlight w:val="none"/>
              </w:rPr>
              <w:t>。</w:t>
            </w:r>
          </w:p>
          <w:p w14:paraId="4EA7F34B">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危险废物暂存间应</w:t>
            </w:r>
            <w:r>
              <w:rPr>
                <w:rFonts w:hint="default" w:ascii="Times New Roman" w:hAnsi="Times New Roman" w:eastAsia="宋体" w:cs="Times New Roman"/>
                <w:color w:val="auto"/>
                <w:sz w:val="24"/>
                <w:highlight w:val="none"/>
              </w:rPr>
              <w:t>配备</w:t>
            </w:r>
            <w:r>
              <w:rPr>
                <w:rFonts w:hint="default" w:ascii="Times New Roman" w:hAnsi="Times New Roman" w:eastAsia="宋体" w:cs="Times New Roman"/>
                <w:color w:val="auto"/>
                <w:sz w:val="24"/>
                <w:highlight w:val="none"/>
                <w:lang w:val="en-US" w:eastAsia="zh-CN"/>
              </w:rPr>
              <w:t>安全</w:t>
            </w:r>
            <w:r>
              <w:rPr>
                <w:rFonts w:hint="default" w:ascii="Times New Roman" w:hAnsi="Times New Roman" w:eastAsia="宋体" w:cs="Times New Roman"/>
                <w:color w:val="auto"/>
                <w:sz w:val="24"/>
                <w:highlight w:val="none"/>
              </w:rPr>
              <w:t>照明设施、安全防护服装</w:t>
            </w:r>
            <w:r>
              <w:rPr>
                <w:rFonts w:hint="default" w:ascii="Times New Roman" w:hAnsi="Times New Roman" w:eastAsia="宋体" w:cs="Times New Roman"/>
                <w:color w:val="auto"/>
                <w:sz w:val="24"/>
                <w:highlight w:val="none"/>
                <w:lang w:val="en-US" w:eastAsia="zh-CN"/>
              </w:rPr>
              <w:t>及</w:t>
            </w:r>
            <w:r>
              <w:rPr>
                <w:rFonts w:hint="default" w:ascii="Times New Roman" w:hAnsi="Times New Roman" w:eastAsia="宋体" w:cs="Times New Roman"/>
                <w:color w:val="auto"/>
                <w:sz w:val="24"/>
                <w:highlight w:val="none"/>
              </w:rPr>
              <w:t>应急防护设施，地面与裙脚所围建的容积不低于最大容器的最大储量或总储量的五分之一，并设置警示标志。</w:t>
            </w:r>
          </w:p>
          <w:p w14:paraId="27687EE2">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贮存设施应根据危险废物的类别、数量、形态、物理化学性质和污染防治等要求设置必要的贮存分区，避免不相容的危险废物接触、混合。</w:t>
            </w:r>
          </w:p>
          <w:p w14:paraId="39136A60">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危险废物</w:t>
            </w:r>
            <w:r>
              <w:rPr>
                <w:rFonts w:hint="default" w:ascii="Times New Roman" w:hAnsi="Times New Roman" w:eastAsia="宋体" w:cs="Times New Roman"/>
                <w:color w:val="auto"/>
                <w:sz w:val="24"/>
                <w:highlight w:val="none"/>
              </w:rPr>
              <w:t>由专人进行管理，做好危险废物</w:t>
            </w:r>
            <w:r>
              <w:rPr>
                <w:rFonts w:hint="default" w:ascii="Times New Roman" w:hAnsi="Times New Roman" w:eastAsia="宋体" w:cs="Times New Roman"/>
                <w:color w:val="auto"/>
                <w:sz w:val="24"/>
                <w:highlight w:val="none"/>
                <w:lang w:val="en-US" w:eastAsia="zh-CN"/>
              </w:rPr>
              <w:t>贮存</w:t>
            </w:r>
            <w:r>
              <w:rPr>
                <w:rFonts w:hint="default" w:ascii="Times New Roman" w:hAnsi="Times New Roman" w:eastAsia="宋体" w:cs="Times New Roman"/>
                <w:color w:val="auto"/>
                <w:sz w:val="24"/>
                <w:highlight w:val="none"/>
              </w:rPr>
              <w:t>量</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转移</w:t>
            </w:r>
            <w:r>
              <w:rPr>
                <w:rFonts w:hint="default" w:ascii="Times New Roman" w:hAnsi="Times New Roman" w:eastAsia="宋体" w:cs="Times New Roman"/>
                <w:color w:val="auto"/>
                <w:sz w:val="24"/>
                <w:highlight w:val="none"/>
              </w:rPr>
              <w:t>及处置记录，建立危废台账并在危险废物转移管理过程中严格执行《危险废物转移联单管理办法》，委</w:t>
            </w:r>
            <w:r>
              <w:rPr>
                <w:rFonts w:hint="default" w:ascii="Times New Roman" w:hAnsi="Times New Roman" w:eastAsia="宋体" w:cs="Times New Roman"/>
                <w:color w:val="auto"/>
                <w:sz w:val="24"/>
                <w:highlight w:val="none"/>
                <w:lang w:val="en-US" w:eastAsia="zh-CN"/>
              </w:rPr>
              <w:t>托</w:t>
            </w:r>
            <w:r>
              <w:rPr>
                <w:rFonts w:hint="eastAsia" w:ascii="Times New Roman" w:hAnsi="Times New Roman" w:eastAsia="宋体" w:cs="Times New Roman"/>
                <w:color w:val="auto"/>
                <w:sz w:val="24"/>
                <w:highlight w:val="none"/>
                <w:lang w:val="en-US" w:eastAsia="zh-CN"/>
              </w:rPr>
              <w:t>北京鑫兴众成环境科技有限责任公司</w:t>
            </w:r>
            <w:r>
              <w:rPr>
                <w:rFonts w:hint="default" w:ascii="Times New Roman" w:hAnsi="Times New Roman" w:eastAsia="宋体" w:cs="Times New Roman"/>
                <w:color w:val="auto"/>
                <w:sz w:val="24"/>
                <w:highlight w:val="none"/>
                <w:lang w:val="en-US" w:eastAsia="zh-CN"/>
              </w:rPr>
              <w:t>处理，</w:t>
            </w:r>
            <w:r>
              <w:rPr>
                <w:rFonts w:hint="default" w:ascii="Times New Roman" w:hAnsi="Times New Roman" w:eastAsia="宋体" w:cs="Times New Roman"/>
                <w:color w:val="auto"/>
                <w:sz w:val="24"/>
                <w:highlight w:val="none"/>
              </w:rPr>
              <w:t>不得随意倾倒或非法转移危险固废。</w:t>
            </w:r>
          </w:p>
          <w:p w14:paraId="61A834A7">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装载危险废物的容器及材质要满足相应的强度要求，</w:t>
            </w:r>
            <w:r>
              <w:rPr>
                <w:rFonts w:hint="eastAsia" w:ascii="Times New Roman" w:hAnsi="Times New Roman" w:eastAsia="宋体" w:cs="Times New Roman"/>
                <w:color w:val="auto"/>
                <w:sz w:val="24"/>
                <w:highlight w:val="none"/>
                <w:lang w:val="en-US" w:eastAsia="zh-CN"/>
              </w:rPr>
              <w:t>容器和包装物材质、内衬应与盛装的危险废物相容，</w:t>
            </w:r>
            <w:r>
              <w:rPr>
                <w:rFonts w:hint="default" w:ascii="Times New Roman" w:hAnsi="Times New Roman" w:eastAsia="宋体" w:cs="Times New Roman"/>
                <w:color w:val="auto"/>
                <w:sz w:val="24"/>
                <w:highlight w:val="none"/>
              </w:rPr>
              <w:t>装载危险废物的容器必须完好无损。</w:t>
            </w:r>
          </w:p>
          <w:p w14:paraId="338A67C1">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做好危险废物情况的记录，记录上须注明危险废物的名称、来源、数量、特性和包装容器的类别、入库日期、存放库位、废物出库日期及接收单位名称。危险废物的记录和货单在危险废物回取后应继续保留五年。</w:t>
            </w:r>
          </w:p>
          <w:p w14:paraId="4E37207B">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定期对所贮存的危险废物包装容器及贮存设施进行检查，发现破损，应及时采取措施。</w:t>
            </w:r>
          </w:p>
          <w:p w14:paraId="37EBF569">
            <w:pPr>
              <w:adjustRightIn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按照《危险废物贮存污染控制标准》（GB18597-2023）相关规定要求，危废</w:t>
            </w:r>
            <w:r>
              <w:rPr>
                <w:rFonts w:hint="default" w:ascii="Times New Roman" w:hAnsi="Times New Roman" w:eastAsia="宋体" w:cs="Times New Roman"/>
                <w:color w:val="auto"/>
                <w:sz w:val="24"/>
                <w:highlight w:val="none"/>
                <w:lang w:val="en-US" w:eastAsia="zh-CN"/>
              </w:rPr>
              <w:t>暂存</w:t>
            </w:r>
            <w:r>
              <w:rPr>
                <w:rFonts w:hint="default" w:ascii="Times New Roman" w:hAnsi="Times New Roman" w:eastAsia="宋体" w:cs="Times New Roman"/>
                <w:color w:val="auto"/>
                <w:sz w:val="24"/>
                <w:highlight w:val="none"/>
              </w:rPr>
              <w:t>间及危险废物储存容器上需要张贴标签</w:t>
            </w:r>
            <w:r>
              <w:rPr>
                <w:rFonts w:hint="eastAsia" w:cs="Times New Roman"/>
                <w:color w:val="auto"/>
                <w:sz w:val="24"/>
                <w:highlight w:val="none"/>
                <w:lang w:eastAsia="zh-CN"/>
              </w:rPr>
              <w:t>。</w:t>
            </w:r>
          </w:p>
          <w:p w14:paraId="02975DE9">
            <w:pPr>
              <w:numPr>
                <w:ilvl w:val="0"/>
                <w:numId w:val="30"/>
              </w:numPr>
              <w:adjustRightInd w:val="0"/>
              <w:spacing w:line="360" w:lineRule="auto"/>
              <w:ind w:left="0" w:leftChars="0"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转移及运输过程的环境影响分析及污染防治措施</w:t>
            </w:r>
          </w:p>
          <w:p w14:paraId="2A0F0AE7">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本项目危险废物及时转运，按照确定的内部危险废物运送时间、路线，将危险废物收集、运送至危险废物暂存间，再定期由</w:t>
            </w:r>
            <w:r>
              <w:rPr>
                <w:rFonts w:hint="eastAsia" w:ascii="Times New Roman" w:hAnsi="Times New Roman" w:eastAsia="宋体" w:cs="Times New Roman"/>
                <w:color w:val="auto"/>
                <w:sz w:val="24"/>
                <w:highlight w:val="none"/>
                <w:lang w:val="en-US" w:eastAsia="zh-CN"/>
              </w:rPr>
              <w:t>北京鑫兴众成环境科技有限责任公司</w:t>
            </w:r>
            <w:r>
              <w:rPr>
                <w:rFonts w:hint="default" w:ascii="Times New Roman" w:hAnsi="Times New Roman" w:eastAsia="宋体" w:cs="Times New Roman"/>
                <w:color w:val="auto"/>
                <w:sz w:val="24"/>
                <w:highlight w:val="none"/>
              </w:rPr>
              <w:t>处理，做好转运记录，填写危废转移联单，转运危险废物的车辆便于装卸、防止外溢，加盖便于密闭转运，转运车辆每日清洗与消毒，转运及运输过程执行《危险废物转移管理办法》（2022年1月1日起施行）相关要求。</w:t>
            </w:r>
          </w:p>
          <w:p w14:paraId="449BD0BB">
            <w:pPr>
              <w:numPr>
                <w:ilvl w:val="0"/>
                <w:numId w:val="0"/>
              </w:numPr>
              <w:adjustRightInd w:val="0"/>
              <w:snapToGrid w:val="0"/>
              <w:spacing w:line="360" w:lineRule="auto"/>
              <w:ind w:leftChars="0"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（3）固体废物环境影响结论</w:t>
            </w:r>
          </w:p>
          <w:p w14:paraId="02C9843A">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项目运营期间产生的固体废物的处置符合《中华人民共和国固体废物污染环境防治法》（2020年版）</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北京市生活垃圾管理条例》（2020年5月1日起施行，2020年9月25日第二次修正）、《一般工业固体废物贮存和填埋污染控制标准》（GB18599-2020）、《北京市危险废物污染环境防治条例》、（2020年9月1日实施）、《危险废物收集贮存运输技术规范》（HJ2025-2012）、《危险废物贮存污染控制标准》（GB18597-2023）、《危险废物污染防治技术政策》（环发[2021]199号）</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《危险废物转移管理办法》（2022年1月1日起施行）、《实验室危险废物污染防治技术规范》（DB11/T1368—2016）等相关规定，固体废物去向明确，处置措施合理，本项目固体废物</w:t>
            </w:r>
            <w:r>
              <w:rPr>
                <w:rFonts w:hint="eastAsia" w:cs="Times New Roman"/>
                <w:color w:val="auto"/>
                <w:sz w:val="24"/>
                <w:highlight w:val="none"/>
                <w:lang w:val="en-US" w:eastAsia="zh-CN"/>
              </w:rPr>
              <w:t>对</w:t>
            </w:r>
            <w:r>
              <w:rPr>
                <w:rFonts w:hint="default" w:ascii="Times New Roman" w:hAnsi="Times New Roman" w:eastAsia="宋体" w:cs="Times New Roman"/>
                <w:color w:val="auto"/>
                <w:sz w:val="24"/>
                <w:highlight w:val="none"/>
              </w:rPr>
              <w:t>环境</w:t>
            </w:r>
            <w:r>
              <w:rPr>
                <w:rFonts w:hint="eastAsia" w:cs="Times New Roman"/>
                <w:color w:val="auto"/>
                <w:sz w:val="24"/>
                <w:highlight w:val="none"/>
                <w:lang w:val="en-US" w:eastAsia="zh-CN"/>
              </w:rPr>
              <w:t>的</w:t>
            </w:r>
            <w:r>
              <w:rPr>
                <w:rFonts w:hint="default" w:ascii="Times New Roman" w:hAnsi="Times New Roman" w:eastAsia="宋体" w:cs="Times New Roman"/>
                <w:color w:val="auto"/>
                <w:sz w:val="24"/>
                <w:highlight w:val="none"/>
              </w:rPr>
              <w:t>影响可以接受。</w:t>
            </w:r>
          </w:p>
          <w:p w14:paraId="047C58AB">
            <w:pPr>
              <w:numPr>
                <w:ilvl w:val="0"/>
                <w:numId w:val="24"/>
              </w:numPr>
              <w:adjustRightInd w:val="0"/>
              <w:snapToGri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地下水、土壤</w:t>
            </w:r>
          </w:p>
          <w:p w14:paraId="1F27F2D0">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eastAsia" w:cs="Times New Roman"/>
                <w:color w:val="auto"/>
                <w:sz w:val="24"/>
                <w:highlight w:val="none"/>
                <w:lang w:val="en-US" w:eastAsia="zh-CN"/>
              </w:rPr>
              <w:t>位于所在建</w:t>
            </w:r>
            <w:r>
              <w:rPr>
                <w:rFonts w:hint="eastAsia" w:ascii="Times New Roman" w:hAnsi="Times New Roman" w:eastAsia="宋体" w:cs="Times New Roman"/>
                <w:color w:val="auto"/>
                <w:sz w:val="24"/>
                <w:highlight w:val="none"/>
                <w:lang w:val="en-US" w:eastAsia="zh-CN"/>
              </w:rPr>
              <w:t>筑</w:t>
            </w: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层，与地下水和土壤存在空间阻隔，危险废物暂存间</w:t>
            </w:r>
            <w:r>
              <w:rPr>
                <w:rFonts w:hint="eastAsia" w:cs="Times New Roman"/>
                <w:color w:val="auto"/>
                <w:sz w:val="24"/>
                <w:highlight w:val="none"/>
                <w:lang w:val="en-US" w:eastAsia="zh-CN"/>
              </w:rPr>
              <w:t>按照标准要求建设，暂存间内放置塑料托盘，所有危险废物放于托盘内。</w:t>
            </w:r>
            <w:r>
              <w:rPr>
                <w:rFonts w:hint="eastAsia" w:ascii="Times New Roman" w:hAnsi="Times New Roman" w:eastAsia="宋体" w:cs="Times New Roman"/>
                <w:color w:val="auto"/>
                <w:sz w:val="24"/>
                <w:highlight w:val="none"/>
                <w:lang w:val="en-US" w:eastAsia="zh-CN"/>
              </w:rPr>
              <w:t>室内</w:t>
            </w:r>
            <w:r>
              <w:rPr>
                <w:rFonts w:hint="default" w:ascii="Times New Roman" w:hAnsi="Times New Roman" w:eastAsia="宋体" w:cs="Times New Roman"/>
                <w:color w:val="auto"/>
                <w:sz w:val="24"/>
                <w:highlight w:val="none"/>
                <w:lang w:val="en-US" w:eastAsia="zh-CN"/>
              </w:rPr>
              <w:t>地面硬化，</w:t>
            </w:r>
            <w:r>
              <w:rPr>
                <w:rFonts w:hint="eastAsia" w:ascii="Times New Roman" w:hAnsi="Times New Roman" w:eastAsia="宋体" w:cs="Times New Roman"/>
                <w:color w:val="auto"/>
                <w:sz w:val="24"/>
                <w:highlight w:val="none"/>
                <w:lang w:val="en-US" w:eastAsia="zh-CN"/>
              </w:rPr>
              <w:t>不同分区按要求做好防渗</w:t>
            </w:r>
            <w:r>
              <w:rPr>
                <w:rFonts w:hint="default" w:ascii="Times New Roman" w:hAnsi="Times New Roman" w:eastAsia="宋体" w:cs="Times New Roman"/>
                <w:color w:val="auto"/>
                <w:sz w:val="24"/>
                <w:highlight w:val="none"/>
              </w:rPr>
              <w:t>。本项目</w:t>
            </w:r>
            <w:r>
              <w:rPr>
                <w:rFonts w:hint="eastAsia" w:cs="Times New Roman"/>
                <w:color w:val="auto"/>
                <w:sz w:val="24"/>
                <w:highlight w:val="none"/>
                <w:lang w:val="en-US" w:eastAsia="zh-CN"/>
              </w:rPr>
              <w:t>外排污水排入园区化粪池</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最后经</w:t>
            </w:r>
            <w:r>
              <w:rPr>
                <w:rFonts w:hint="default" w:ascii="Times New Roman" w:hAnsi="Times New Roman" w:eastAsia="宋体" w:cs="Times New Roman"/>
                <w:color w:val="auto"/>
                <w:sz w:val="24"/>
                <w:highlight w:val="none"/>
              </w:rPr>
              <w:t>市政污水管网</w:t>
            </w:r>
            <w:r>
              <w:rPr>
                <w:rFonts w:hint="eastAsia" w:cs="Times New Roman"/>
                <w:color w:val="auto"/>
                <w:sz w:val="24"/>
                <w:highlight w:val="none"/>
                <w:lang w:val="en-US" w:eastAsia="zh-CN"/>
              </w:rPr>
              <w:t>进入公共污水处理厂。</w:t>
            </w:r>
            <w:r>
              <w:rPr>
                <w:rFonts w:hint="default" w:ascii="Times New Roman" w:hAnsi="Times New Roman" w:eastAsia="宋体" w:cs="Times New Roman"/>
                <w:color w:val="auto"/>
                <w:sz w:val="24"/>
                <w:highlight w:val="none"/>
              </w:rPr>
              <w:t>正常排放情况下不会进入</w:t>
            </w:r>
            <w:r>
              <w:rPr>
                <w:rFonts w:hint="eastAsia" w:cs="Times New Roman"/>
                <w:color w:val="auto"/>
                <w:sz w:val="24"/>
                <w:highlight w:val="none"/>
                <w:lang w:val="en-US" w:eastAsia="zh-CN"/>
              </w:rPr>
              <w:t>土壤和</w:t>
            </w:r>
            <w:r>
              <w:rPr>
                <w:rFonts w:hint="default" w:ascii="Times New Roman" w:hAnsi="Times New Roman" w:eastAsia="宋体" w:cs="Times New Roman"/>
                <w:color w:val="auto"/>
                <w:sz w:val="24"/>
                <w:highlight w:val="none"/>
              </w:rPr>
              <w:t>地下水。根据本项目实际情况，为防止非正常状况下污染土壤和地下水的环境风险，将本项目区域划分为重点防渗区、一般防渗区</w:t>
            </w:r>
            <w:r>
              <w:rPr>
                <w:rFonts w:hint="default" w:ascii="Times New Roman" w:hAnsi="Times New Roman" w:eastAsia="宋体" w:cs="Times New Roman"/>
                <w:color w:val="auto"/>
                <w:sz w:val="24"/>
                <w:highlight w:val="none"/>
                <w:lang w:val="en-US" w:eastAsia="zh-CN"/>
              </w:rPr>
              <w:t>和简单防渗区</w:t>
            </w:r>
            <w:r>
              <w:rPr>
                <w:rFonts w:hint="default" w:ascii="Times New Roman" w:hAnsi="Times New Roman" w:eastAsia="宋体" w:cs="Times New Roman"/>
                <w:color w:val="auto"/>
                <w:sz w:val="24"/>
                <w:highlight w:val="none"/>
              </w:rPr>
              <w:t>。</w:t>
            </w:r>
          </w:p>
          <w:p w14:paraId="6E8711EF">
            <w:pPr>
              <w:numPr>
                <w:ilvl w:val="0"/>
                <w:numId w:val="26"/>
              </w:numPr>
              <w:adjustRightInd w:val="0"/>
              <w:spacing w:line="360" w:lineRule="auto"/>
              <w:ind w:left="425" w:leftChars="0" w:hanging="425" w:firstLineChars="0"/>
              <w:jc w:val="center"/>
              <w:rPr>
                <w:rFonts w:hint="default" w:ascii="Times New Roman" w:hAnsi="Times New Roman" w:eastAsia="宋体" w:cs="Times New Roman"/>
                <w:b/>
                <w:bCs/>
                <w:color w:val="auto"/>
                <w:spacing w:val="6"/>
                <w:sz w:val="24"/>
                <w:highlight w:val="none"/>
              </w:rPr>
            </w:pPr>
            <w:r>
              <w:rPr>
                <w:rFonts w:hint="default" w:ascii="Times New Roman" w:hAnsi="Times New Roman" w:eastAsia="宋体" w:cs="Times New Roman"/>
                <w:b/>
                <w:bCs/>
                <w:color w:val="auto"/>
                <w:spacing w:val="6"/>
                <w:sz w:val="24"/>
                <w:highlight w:val="none"/>
              </w:rPr>
              <w:t>项目相关区域防渗划分表</w:t>
            </w:r>
          </w:p>
          <w:tbl>
            <w:tblPr>
              <w:tblStyle w:val="24"/>
              <w:tblW w:w="49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9"/>
              <w:gridCol w:w="2797"/>
              <w:gridCol w:w="2567"/>
              <w:gridCol w:w="1104"/>
            </w:tblGrid>
            <w:tr w14:paraId="46AC4B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2" w:type="dxa"/>
                  <w:tcBorders>
                    <w:tl2br w:val="nil"/>
                    <w:tr2bl w:val="nil"/>
                  </w:tcBorders>
                  <w:vAlign w:val="center"/>
                </w:tcPr>
                <w:p w14:paraId="0EC2B776">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工程单元</w:t>
                  </w:r>
                </w:p>
              </w:tc>
              <w:tc>
                <w:tcPr>
                  <w:tcW w:w="2541" w:type="dxa"/>
                  <w:tcBorders>
                    <w:tl2br w:val="nil"/>
                    <w:tr2bl w:val="nil"/>
                  </w:tcBorders>
                  <w:vAlign w:val="center"/>
                </w:tcPr>
                <w:p w14:paraId="527300A3">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防渗技术要求</w:t>
                  </w:r>
                </w:p>
              </w:tc>
              <w:tc>
                <w:tcPr>
                  <w:tcW w:w="2332" w:type="dxa"/>
                  <w:tcBorders>
                    <w:tl2br w:val="nil"/>
                    <w:tr2bl w:val="nil"/>
                  </w:tcBorders>
                  <w:vAlign w:val="center"/>
                </w:tcPr>
                <w:p w14:paraId="2E0DA629">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标准</w:t>
                  </w:r>
                </w:p>
              </w:tc>
              <w:tc>
                <w:tcPr>
                  <w:tcW w:w="1002" w:type="dxa"/>
                  <w:tcBorders>
                    <w:tl2br w:val="nil"/>
                    <w:tr2bl w:val="nil"/>
                  </w:tcBorders>
                  <w:vAlign w:val="center"/>
                </w:tcPr>
                <w:p w14:paraId="59A11FE5">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防渗分区</w:t>
                  </w:r>
                </w:p>
              </w:tc>
            </w:tr>
            <w:tr w14:paraId="158E27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2" w:type="dxa"/>
                  <w:tcBorders>
                    <w:tl2br w:val="nil"/>
                    <w:tr2bl w:val="nil"/>
                  </w:tcBorders>
                  <w:vAlign w:val="center"/>
                </w:tcPr>
                <w:p w14:paraId="70E4850F">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危险废物暂存间</w:t>
                  </w:r>
                </w:p>
              </w:tc>
              <w:tc>
                <w:tcPr>
                  <w:tcW w:w="2541" w:type="dxa"/>
                  <w:tcBorders>
                    <w:tl2br w:val="nil"/>
                    <w:tr2bl w:val="nil"/>
                  </w:tcBorders>
                  <w:vAlign w:val="center"/>
                </w:tcPr>
                <w:p w14:paraId="77B60065">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采用2mm厚高密度聚乙烯或防渗效果等的其他防渗材料进行防渗，渗透系数≤10</w:t>
                  </w:r>
                  <w:r>
                    <w:rPr>
                      <w:rFonts w:hint="default" w:ascii="Times New Roman" w:hAnsi="Times New Roman" w:eastAsia="宋体" w:cs="Times New Roman"/>
                      <w:color w:val="auto"/>
                      <w:sz w:val="21"/>
                      <w:szCs w:val="21"/>
                      <w:highlight w:val="none"/>
                      <w:vertAlign w:val="superscript"/>
                    </w:rPr>
                    <w:t>-1</w:t>
                  </w:r>
                  <w:r>
                    <w:rPr>
                      <w:rFonts w:hint="eastAsia" w:cs="Times New Roman"/>
                      <w:color w:val="auto"/>
                      <w:sz w:val="21"/>
                      <w:szCs w:val="21"/>
                      <w:highlight w:val="none"/>
                      <w:vertAlign w:val="superscript"/>
                      <w:lang w:val="en-US" w:eastAsia="zh-CN"/>
                    </w:rPr>
                    <w:t>0</w:t>
                  </w:r>
                  <w:r>
                    <w:rPr>
                      <w:rFonts w:hint="default" w:ascii="Times New Roman" w:hAnsi="Times New Roman" w:eastAsia="宋体" w:cs="Times New Roman"/>
                      <w:color w:val="auto"/>
                      <w:sz w:val="21"/>
                      <w:szCs w:val="21"/>
                      <w:highlight w:val="none"/>
                      <w:vertAlign w:val="baseline"/>
                    </w:rPr>
                    <w:t>cm/s</w:t>
                  </w:r>
                </w:p>
              </w:tc>
              <w:tc>
                <w:tcPr>
                  <w:tcW w:w="2332" w:type="dxa"/>
                  <w:tcBorders>
                    <w:tl2br w:val="nil"/>
                    <w:tr2bl w:val="nil"/>
                  </w:tcBorders>
                  <w:vAlign w:val="center"/>
                </w:tcPr>
                <w:p w14:paraId="38F75DA7">
                  <w:pPr>
                    <w:numPr>
                      <w:ilvl w:val="0"/>
                      <w:numId w:val="0"/>
                    </w:numPr>
                    <w:autoSpaceDE w:val="0"/>
                    <w:autoSpaceDN w:val="0"/>
                    <w:adjustRightInd w:val="0"/>
                    <w:snapToGrid w:val="0"/>
                    <w:spacing w:line="240" w:lineRule="auto"/>
                    <w:jc w:val="both"/>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满足《危险废物贮存污染控制标准》(GB18597-2023）的相关防渗要求</w:t>
                  </w:r>
                </w:p>
              </w:tc>
              <w:tc>
                <w:tcPr>
                  <w:tcW w:w="1002" w:type="dxa"/>
                  <w:tcBorders>
                    <w:tl2br w:val="nil"/>
                    <w:tr2bl w:val="nil"/>
                  </w:tcBorders>
                  <w:vAlign w:val="center"/>
                </w:tcPr>
                <w:p w14:paraId="14AF6C5A">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重点防渗区</w:t>
                  </w:r>
                </w:p>
              </w:tc>
            </w:tr>
            <w:tr w14:paraId="0177A1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62" w:type="dxa"/>
                  <w:tcBorders>
                    <w:tl2br w:val="nil"/>
                    <w:tr2bl w:val="nil"/>
                  </w:tcBorders>
                  <w:vAlign w:val="center"/>
                </w:tcPr>
                <w:p w14:paraId="0E633B36">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试剂间、研发生产区</w:t>
                  </w:r>
                </w:p>
              </w:tc>
              <w:tc>
                <w:tcPr>
                  <w:tcW w:w="2541" w:type="dxa"/>
                  <w:tcBorders>
                    <w:tl2br w:val="nil"/>
                    <w:tr2bl w:val="nil"/>
                  </w:tcBorders>
                  <w:shd w:val="clear" w:color="auto" w:fill="auto"/>
                  <w:vAlign w:val="center"/>
                </w:tcPr>
                <w:p w14:paraId="2064797E">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等效黏土防渗层Mb</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rPr>
                    <w:t>6.0m，K≤1x10</w:t>
                  </w:r>
                  <w:r>
                    <w:rPr>
                      <w:rFonts w:hint="default" w:ascii="Times New Roman" w:hAnsi="Times New Roman" w:eastAsia="宋体" w:cs="Times New Roman"/>
                      <w:color w:val="auto"/>
                      <w:sz w:val="21"/>
                      <w:szCs w:val="21"/>
                      <w:highlight w:val="none"/>
                      <w:vertAlign w:val="superscript"/>
                    </w:rPr>
                    <w:t>-</w:t>
                  </w:r>
                  <w:r>
                    <w:rPr>
                      <w:rFonts w:hint="eastAsia"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vertAlign w:val="baseline"/>
                    </w:rPr>
                    <w:t>cm/s</w:t>
                  </w:r>
                  <w:r>
                    <w:rPr>
                      <w:rFonts w:hint="eastAsia"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vertAlign w:val="baseline"/>
                    </w:rPr>
                    <w:t>或参照GB18598执行</w:t>
                  </w:r>
                </w:p>
              </w:tc>
              <w:tc>
                <w:tcPr>
                  <w:tcW w:w="2332" w:type="dxa"/>
                  <w:tcBorders>
                    <w:tl2br w:val="nil"/>
                    <w:tr2bl w:val="nil"/>
                  </w:tcBorders>
                  <w:shd w:val="clear" w:color="auto" w:fill="auto"/>
                  <w:vAlign w:val="center"/>
                </w:tcPr>
                <w:p w14:paraId="6F73362C">
                  <w:pPr>
                    <w:numPr>
                      <w:ilvl w:val="0"/>
                      <w:numId w:val="0"/>
                    </w:numPr>
                    <w:autoSpaceDE w:val="0"/>
                    <w:autoSpaceDN w:val="0"/>
                    <w:adjustRightInd w:val="0"/>
                    <w:snapToGrid w:val="0"/>
                    <w:spacing w:line="240" w:lineRule="auto"/>
                    <w:ind w:left="0" w:leftChars="0" w:firstLine="0" w:firstLineChars="0"/>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满足《环境影响评价技术导则 地下水环境》（HJ610-2016）中规定的防渗标准要求</w:t>
                  </w:r>
                </w:p>
              </w:tc>
              <w:tc>
                <w:tcPr>
                  <w:tcW w:w="1002" w:type="dxa"/>
                  <w:tcBorders>
                    <w:tl2br w:val="nil"/>
                    <w:tr2bl w:val="nil"/>
                  </w:tcBorders>
                  <w:shd w:val="clear" w:color="auto" w:fill="auto"/>
                  <w:vAlign w:val="center"/>
                </w:tcPr>
                <w:p w14:paraId="59FFAF13">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重点防渗区</w:t>
                  </w:r>
                </w:p>
              </w:tc>
            </w:tr>
            <w:tr w14:paraId="060B08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2" w:type="dxa"/>
                  <w:tcBorders>
                    <w:tl2br w:val="nil"/>
                    <w:tr2bl w:val="nil"/>
                  </w:tcBorders>
                  <w:vAlign w:val="center"/>
                </w:tcPr>
                <w:p w14:paraId="4493657A">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库房</w:t>
                  </w:r>
                </w:p>
              </w:tc>
              <w:tc>
                <w:tcPr>
                  <w:tcW w:w="2541" w:type="dxa"/>
                  <w:tcBorders>
                    <w:tl2br w:val="nil"/>
                    <w:tr2bl w:val="nil"/>
                  </w:tcBorders>
                  <w:shd w:val="clear" w:color="auto" w:fill="auto"/>
                  <w:vAlign w:val="center"/>
                </w:tcPr>
                <w:p w14:paraId="588CD391">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等效黏土防渗层Mb</w:t>
                  </w:r>
                  <w:r>
                    <w:rPr>
                      <w:rFonts w:hint="eastAsia" w:ascii="Times New Roman" w:hAnsi="Times New Roman" w:eastAsia="宋体" w:cs="Times New Roman"/>
                      <w:color w:val="auto"/>
                      <w:sz w:val="21"/>
                      <w:szCs w:val="21"/>
                      <w:highlight w:val="none"/>
                      <w:vertAlign w:val="baseline"/>
                      <w:lang w:val="en-US" w:eastAsia="zh-CN"/>
                    </w:rPr>
                    <w:t>≥1.5</w:t>
                  </w:r>
                  <w:r>
                    <w:rPr>
                      <w:rFonts w:hint="default" w:ascii="Times New Roman" w:hAnsi="Times New Roman" w:eastAsia="宋体" w:cs="Times New Roman"/>
                      <w:color w:val="auto"/>
                      <w:sz w:val="21"/>
                      <w:szCs w:val="21"/>
                      <w:highlight w:val="none"/>
                      <w:vertAlign w:val="baseline"/>
                    </w:rPr>
                    <w:t>m，K≤1x10</w:t>
                  </w:r>
                  <w:r>
                    <w:rPr>
                      <w:rFonts w:hint="default" w:ascii="Times New Roman" w:hAnsi="Times New Roman" w:eastAsia="宋体" w:cs="Times New Roman"/>
                      <w:color w:val="auto"/>
                      <w:sz w:val="21"/>
                      <w:szCs w:val="21"/>
                      <w:highlight w:val="none"/>
                      <w:vertAlign w:val="superscript"/>
                    </w:rPr>
                    <w:t>-</w:t>
                  </w:r>
                  <w:r>
                    <w:rPr>
                      <w:rFonts w:hint="eastAsia"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vertAlign w:val="baseline"/>
                    </w:rPr>
                    <w:t>cm/s</w:t>
                  </w:r>
                </w:p>
              </w:tc>
              <w:tc>
                <w:tcPr>
                  <w:tcW w:w="2332" w:type="dxa"/>
                  <w:tcBorders>
                    <w:tl2br w:val="nil"/>
                    <w:tr2bl w:val="nil"/>
                  </w:tcBorders>
                  <w:shd w:val="clear" w:color="auto" w:fill="auto"/>
                  <w:vAlign w:val="center"/>
                </w:tcPr>
                <w:p w14:paraId="26ECCE37">
                  <w:pPr>
                    <w:numPr>
                      <w:ilvl w:val="0"/>
                      <w:numId w:val="0"/>
                    </w:numPr>
                    <w:autoSpaceDE w:val="0"/>
                    <w:autoSpaceDN w:val="0"/>
                    <w:adjustRightInd w:val="0"/>
                    <w:snapToGrid w:val="0"/>
                    <w:spacing w:line="240" w:lineRule="auto"/>
                    <w:ind w:left="0" w:leftChars="0" w:firstLine="0" w:firstLineChars="0"/>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满足《环境影响评价技术导则 地下水环境》（HJ610-2016）中规定的防渗标准要求</w:t>
                  </w:r>
                </w:p>
              </w:tc>
              <w:tc>
                <w:tcPr>
                  <w:tcW w:w="1002" w:type="dxa"/>
                  <w:tcBorders>
                    <w:tl2br w:val="nil"/>
                    <w:tr2bl w:val="nil"/>
                  </w:tcBorders>
                  <w:shd w:val="clear" w:color="auto" w:fill="auto"/>
                  <w:vAlign w:val="center"/>
                </w:tcPr>
                <w:p w14:paraId="4D001281">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4"/>
                      <w:highlight w:val="none"/>
                    </w:rPr>
                    <w:t>一般防渗区</w:t>
                  </w:r>
                </w:p>
              </w:tc>
            </w:tr>
            <w:tr w14:paraId="0C5336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2" w:type="dxa"/>
                  <w:tcBorders>
                    <w:tl2br w:val="nil"/>
                    <w:tr2bl w:val="nil"/>
                  </w:tcBorders>
                  <w:vAlign w:val="center"/>
                </w:tcPr>
                <w:p w14:paraId="6B248A27">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eastAsia" w:cs="Times New Roman"/>
                      <w:color w:val="auto"/>
                      <w:sz w:val="21"/>
                      <w:szCs w:val="21"/>
                      <w:highlight w:val="none"/>
                      <w:vertAlign w:val="baseline"/>
                      <w:lang w:val="en-US" w:eastAsia="zh-CN"/>
                    </w:rPr>
                    <w:t>办公区</w:t>
                  </w:r>
                </w:p>
              </w:tc>
              <w:tc>
                <w:tcPr>
                  <w:tcW w:w="2541" w:type="dxa"/>
                  <w:tcBorders>
                    <w:tl2br w:val="nil"/>
                    <w:tr2bl w:val="nil"/>
                  </w:tcBorders>
                  <w:vAlign w:val="center"/>
                </w:tcPr>
                <w:p w14:paraId="65F153A1">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eastAsia="宋体" w:cs="Times New Roman"/>
                      <w:color w:val="auto"/>
                      <w:sz w:val="21"/>
                      <w:szCs w:val="21"/>
                      <w:highlight w:val="none"/>
                      <w:vertAlign w:val="baseline"/>
                      <w:lang w:val="en-US" w:eastAsia="zh-CN"/>
                    </w:rPr>
                    <w:t>一般地面硬化</w:t>
                  </w:r>
                </w:p>
              </w:tc>
              <w:tc>
                <w:tcPr>
                  <w:tcW w:w="2332" w:type="dxa"/>
                  <w:tcBorders>
                    <w:tl2br w:val="nil"/>
                    <w:tr2bl w:val="nil"/>
                  </w:tcBorders>
                  <w:vAlign w:val="center"/>
                </w:tcPr>
                <w:p w14:paraId="2A404996">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满足《环境影响评价技术导则 地下水环境》（HJ610-2016）中规定的防渗标准要求</w:t>
                  </w:r>
                </w:p>
              </w:tc>
              <w:tc>
                <w:tcPr>
                  <w:tcW w:w="1002" w:type="dxa"/>
                  <w:tcBorders>
                    <w:tl2br w:val="nil"/>
                    <w:tr2bl w:val="nil"/>
                  </w:tcBorders>
                  <w:vAlign w:val="center"/>
                </w:tcPr>
                <w:p w14:paraId="6AF7FF43">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4"/>
                      <w:highlight w:val="none"/>
                      <w:lang w:val="en-US" w:eastAsia="zh-CN"/>
                    </w:rPr>
                    <w:t>简单防渗区</w:t>
                  </w:r>
                </w:p>
              </w:tc>
            </w:tr>
          </w:tbl>
          <w:p w14:paraId="6C60C9D6">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采取上述防渗措施后，可有效的防止污染项目所在区域的地下水环境和土壤环境的污染。</w:t>
            </w:r>
          </w:p>
          <w:p w14:paraId="062DBE29">
            <w:pPr>
              <w:numPr>
                <w:ilvl w:val="0"/>
                <w:numId w:val="24"/>
              </w:numPr>
              <w:adjustRightInd w:val="0"/>
              <w:snapToGrid w:val="0"/>
              <w:spacing w:line="360" w:lineRule="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生态影响分析</w:t>
            </w:r>
          </w:p>
          <w:p w14:paraId="55890C1B">
            <w:pPr>
              <w:numPr>
                <w:ilvl w:val="0"/>
                <w:numId w:val="0"/>
              </w:num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本项目位于</w:t>
            </w:r>
            <w:r>
              <w:rPr>
                <w:rFonts w:hint="eastAsia" w:cs="Times New Roman"/>
                <w:color w:val="auto"/>
                <w:sz w:val="24"/>
                <w:highlight w:val="none"/>
                <w:lang w:val="en-US" w:eastAsia="zh-CN"/>
              </w:rPr>
              <w:t>北京经济技术开发区(通州)景盛南二街10号院10号楼3层301</w:t>
            </w:r>
            <w:r>
              <w:rPr>
                <w:rFonts w:hint="default" w:ascii="Times New Roman" w:hAnsi="Times New Roman" w:eastAsia="宋体" w:cs="Times New Roman"/>
                <w:color w:val="auto"/>
                <w:sz w:val="24"/>
                <w:highlight w:val="none"/>
                <w:lang w:val="en-US" w:eastAsia="zh-CN"/>
              </w:rPr>
              <w:t>，租用现有建筑物进行</w:t>
            </w:r>
            <w:r>
              <w:rPr>
                <w:rFonts w:hint="eastAsia" w:cs="Times New Roman"/>
                <w:color w:val="auto"/>
                <w:sz w:val="24"/>
                <w:highlight w:val="none"/>
                <w:lang w:val="en-US" w:eastAsia="zh-CN"/>
              </w:rPr>
              <w:t>研发生产活动</w:t>
            </w:r>
            <w:r>
              <w:rPr>
                <w:rFonts w:hint="default" w:ascii="Times New Roman" w:hAnsi="Times New Roman" w:eastAsia="宋体" w:cs="Times New Roman"/>
                <w:color w:val="auto"/>
                <w:sz w:val="24"/>
                <w:highlight w:val="none"/>
                <w:lang w:val="en-US" w:eastAsia="zh-CN"/>
              </w:rPr>
              <w:t>，不属于产业园区外建设项目新增用地项目，且项目用地范围内无生态环境敏感目标，因此，本项目对生态环境影响较小。</w:t>
            </w:r>
          </w:p>
          <w:p w14:paraId="253F0596">
            <w:pPr>
              <w:numPr>
                <w:ilvl w:val="0"/>
                <w:numId w:val="24"/>
              </w:numPr>
              <w:adjustRightInd w:val="0"/>
              <w:snapToGri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环境风险</w:t>
            </w:r>
          </w:p>
          <w:p w14:paraId="652E95ED">
            <w:pPr>
              <w:adjustRightInd w:val="0"/>
              <w:spacing w:line="360" w:lineRule="auto"/>
              <w:ind w:firstLine="465"/>
              <w:rPr>
                <w:rFonts w:hint="default" w:ascii="Times New Roman" w:hAnsi="Times New Roman" w:eastAsia="宋体" w:cs="Times New Roman"/>
                <w:b w:val="0"/>
                <w:bCs w:val="0"/>
                <w:color w:val="auto"/>
                <w:spacing w:val="-2"/>
                <w:sz w:val="24"/>
                <w:szCs w:val="32"/>
                <w:highlight w:val="none"/>
              </w:rPr>
            </w:pPr>
            <w:r>
              <w:rPr>
                <w:rFonts w:hint="default" w:ascii="Times New Roman" w:hAnsi="Times New Roman" w:eastAsia="宋体" w:cs="Times New Roman"/>
                <w:b w:val="0"/>
                <w:bCs w:val="0"/>
                <w:color w:val="auto"/>
                <w:spacing w:val="-2"/>
                <w:sz w:val="24"/>
                <w:szCs w:val="32"/>
                <w:highlight w:val="none"/>
              </w:rPr>
              <w:t>（1）风险源</w:t>
            </w:r>
          </w:p>
          <w:p w14:paraId="377CDF5C">
            <w:pPr>
              <w:adjustRightInd w:val="0"/>
              <w:spacing w:line="360" w:lineRule="auto"/>
              <w:ind w:firstLine="465"/>
              <w:rPr>
                <w:rFonts w:hint="default" w:ascii="Times New Roman" w:hAnsi="Times New Roman" w:eastAsia="宋体" w:cs="Times New Roman"/>
                <w:bCs/>
                <w:snapToGrid w:val="0"/>
                <w:color w:val="auto"/>
                <w:kern w:val="0"/>
                <w:sz w:val="24"/>
                <w:highlight w:val="none"/>
              </w:rPr>
            </w:pPr>
            <w:r>
              <w:rPr>
                <w:rFonts w:hint="eastAsia" w:cs="Times New Roman"/>
                <w:bCs/>
                <w:snapToGrid w:val="0"/>
                <w:color w:val="auto"/>
                <w:kern w:val="0"/>
                <w:sz w:val="24"/>
                <w:highlight w:val="none"/>
                <w:lang w:val="en-US" w:eastAsia="zh-CN"/>
              </w:rPr>
              <w:t>本项目涉及的风险源包括试剂间、危险废物暂存间。</w:t>
            </w:r>
            <w:r>
              <w:rPr>
                <w:rFonts w:hint="default" w:ascii="Times New Roman" w:hAnsi="Times New Roman" w:eastAsia="宋体" w:cs="Times New Roman"/>
                <w:bCs/>
                <w:snapToGrid w:val="0"/>
                <w:color w:val="auto"/>
                <w:kern w:val="0"/>
                <w:sz w:val="24"/>
                <w:highlight w:val="none"/>
              </w:rPr>
              <w:t>根据《建设项目风险评价技术导则》（HJ169-2018）附录B和《危险化学品重大危险源辨识》（GB18218-2018）中危险品临界量的有关规定，本项目涉及的环境风险物质主要为</w:t>
            </w:r>
            <w:r>
              <w:rPr>
                <w:rFonts w:hint="default" w:ascii="Times New Roman" w:hAnsi="Times New Roman" w:eastAsia="宋体" w:cs="Times New Roman"/>
                <w:color w:val="auto"/>
                <w:sz w:val="24"/>
                <w:highlight w:val="none"/>
                <w:lang w:val="en-US" w:eastAsia="zh-CN"/>
              </w:rPr>
              <w:t>实验过程中的化学物质、</w:t>
            </w:r>
            <w:r>
              <w:rPr>
                <w:rFonts w:hint="default" w:ascii="Times New Roman" w:hAnsi="Times New Roman" w:eastAsia="宋体" w:cs="Times New Roman"/>
                <w:color w:val="auto"/>
                <w:sz w:val="24"/>
                <w:highlight w:val="none"/>
              </w:rPr>
              <w:t>COD</w:t>
            </w:r>
            <w:r>
              <w:rPr>
                <w:rFonts w:hint="default" w:ascii="Times New Roman" w:hAnsi="Times New Roman" w:eastAsia="宋体" w:cs="Times New Roman"/>
                <w:color w:val="auto"/>
                <w:sz w:val="24"/>
                <w:highlight w:val="none"/>
                <w:vertAlign w:val="subscript"/>
              </w:rPr>
              <w:t>Cr</w:t>
            </w:r>
            <w:r>
              <w:rPr>
                <w:rFonts w:hint="default" w:ascii="Times New Roman" w:hAnsi="Times New Roman" w:eastAsia="宋体" w:cs="Times New Roman"/>
                <w:color w:val="auto"/>
                <w:sz w:val="24"/>
                <w:highlight w:val="none"/>
              </w:rPr>
              <w:t>大于10000mg/L的废液</w:t>
            </w:r>
            <w:r>
              <w:rPr>
                <w:rFonts w:hint="default" w:ascii="Times New Roman" w:hAnsi="Times New Roman" w:eastAsia="宋体" w:cs="Times New Roman"/>
                <w:color w:val="auto"/>
                <w:sz w:val="24"/>
                <w:highlight w:val="none"/>
                <w:lang w:val="en-US" w:eastAsia="zh-CN"/>
              </w:rPr>
              <w:t>等</w:t>
            </w:r>
            <w:r>
              <w:rPr>
                <w:rFonts w:hint="default" w:ascii="Times New Roman" w:hAnsi="Times New Roman" w:eastAsia="宋体" w:cs="Times New Roman"/>
                <w:color w:val="auto"/>
                <w:sz w:val="24"/>
                <w:highlight w:val="none"/>
              </w:rPr>
              <w:t>。计算</w:t>
            </w:r>
            <w:r>
              <w:rPr>
                <w:rFonts w:hint="eastAsia" w:cs="Times New Roman"/>
                <w:color w:val="auto"/>
                <w:sz w:val="24"/>
                <w:highlight w:val="none"/>
                <w:lang w:val="en-US" w:eastAsia="zh-CN"/>
              </w:rPr>
              <w:t>本项目完成后全公司</w:t>
            </w:r>
            <w:r>
              <w:rPr>
                <w:rFonts w:hint="default" w:ascii="Times New Roman" w:hAnsi="Times New Roman" w:eastAsia="宋体" w:cs="Times New Roman"/>
                <w:color w:val="auto"/>
                <w:sz w:val="24"/>
                <w:highlight w:val="none"/>
              </w:rPr>
              <w:t>涉及的危险物质</w:t>
            </w:r>
            <w:r>
              <w:rPr>
                <w:rFonts w:hint="eastAsia" w:cs="Times New Roman"/>
                <w:color w:val="auto"/>
                <w:sz w:val="24"/>
                <w:highlight w:val="none"/>
                <w:lang w:val="en-US" w:eastAsia="zh-CN"/>
              </w:rPr>
              <w:t>的总量</w:t>
            </w:r>
            <w:r>
              <w:rPr>
                <w:rFonts w:hint="default" w:ascii="Times New Roman" w:hAnsi="Times New Roman" w:eastAsia="宋体" w:cs="Times New Roman"/>
                <w:color w:val="auto"/>
                <w:sz w:val="24"/>
                <w:highlight w:val="none"/>
              </w:rPr>
              <w:t>在厂界内的最大存储量与其对应的临界量的比值Q见下表。</w:t>
            </w:r>
          </w:p>
          <w:p w14:paraId="2F818F89">
            <w:pPr>
              <w:numPr>
                <w:ilvl w:val="0"/>
                <w:numId w:val="26"/>
              </w:numPr>
              <w:adjustRightInd w:val="0"/>
              <w:spacing w:line="360" w:lineRule="auto"/>
              <w:ind w:left="425" w:leftChars="0" w:hanging="425" w:firstLineChars="0"/>
              <w:jc w:val="center"/>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snapToGrid w:val="0"/>
                <w:color w:val="auto"/>
                <w:kern w:val="0"/>
                <w:sz w:val="24"/>
                <w:highlight w:val="none"/>
              </w:rPr>
              <w:t>环境</w:t>
            </w:r>
            <w:r>
              <w:rPr>
                <w:rFonts w:hint="default" w:ascii="Times New Roman" w:hAnsi="Times New Roman" w:eastAsia="宋体" w:cs="Times New Roman"/>
                <w:b/>
                <w:color w:val="auto"/>
                <w:sz w:val="24"/>
                <w:highlight w:val="none"/>
              </w:rPr>
              <w:t>风险</w:t>
            </w:r>
            <w:r>
              <w:rPr>
                <w:rFonts w:hint="default" w:ascii="Times New Roman" w:hAnsi="Times New Roman" w:eastAsia="宋体" w:cs="Times New Roman"/>
                <w:b/>
                <w:snapToGrid w:val="0"/>
                <w:color w:val="auto"/>
                <w:kern w:val="0"/>
                <w:sz w:val="24"/>
                <w:highlight w:val="none"/>
              </w:rPr>
              <w:t>物质数量与临界量比值</w:t>
            </w:r>
          </w:p>
          <w:tbl>
            <w:tblPr>
              <w:tblStyle w:val="24"/>
              <w:tblW w:w="49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18"/>
              <w:gridCol w:w="864"/>
              <w:gridCol w:w="1278"/>
              <w:gridCol w:w="996"/>
              <w:gridCol w:w="987"/>
              <w:gridCol w:w="987"/>
              <w:gridCol w:w="987"/>
            </w:tblGrid>
            <w:tr w14:paraId="704299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1318" w:type="dxa"/>
                  <w:tcBorders>
                    <w:tl2br w:val="nil"/>
                    <w:tr2bl w:val="nil"/>
                  </w:tcBorders>
                  <w:vAlign w:val="center"/>
                </w:tcPr>
                <w:p w14:paraId="628DB217">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危险品名称</w:t>
                  </w:r>
                </w:p>
              </w:tc>
              <w:tc>
                <w:tcPr>
                  <w:tcW w:w="864" w:type="dxa"/>
                  <w:tcBorders>
                    <w:tl2br w:val="nil"/>
                    <w:tr2bl w:val="nil"/>
                  </w:tcBorders>
                  <w:vAlign w:val="center"/>
                </w:tcPr>
                <w:p w14:paraId="55532EBA">
                  <w:pPr>
                    <w:jc w:val="center"/>
                    <w:rPr>
                      <w:rFonts w:hint="default" w:ascii="Times New Roman" w:hAnsi="Times New Roman" w:eastAsia="宋体" w:cs="Times New Roman"/>
                      <w:b/>
                      <w:color w:val="auto"/>
                      <w:szCs w:val="21"/>
                      <w:highlight w:val="none"/>
                      <w:lang w:eastAsia="zh-CN"/>
                    </w:rPr>
                  </w:pPr>
                  <w:r>
                    <w:rPr>
                      <w:rFonts w:hint="default" w:ascii="Times New Roman" w:hAnsi="Times New Roman" w:eastAsia="宋体" w:cs="Times New Roman"/>
                      <w:b/>
                      <w:color w:val="auto"/>
                      <w:szCs w:val="21"/>
                      <w:highlight w:val="none"/>
                      <w:lang w:eastAsia="zh-CN"/>
                    </w:rPr>
                    <w:t>存放位置</w:t>
                  </w:r>
                </w:p>
              </w:tc>
              <w:tc>
                <w:tcPr>
                  <w:tcW w:w="1278" w:type="dxa"/>
                  <w:tcBorders>
                    <w:tl2br w:val="nil"/>
                    <w:tr2bl w:val="nil"/>
                  </w:tcBorders>
                  <w:vAlign w:val="center"/>
                </w:tcPr>
                <w:p w14:paraId="43D57743">
                  <w:pPr>
                    <w:jc w:val="center"/>
                    <w:rPr>
                      <w:rFonts w:hint="default" w:ascii="Times New Roman" w:hAnsi="Times New Roman" w:eastAsia="宋体" w:cs="Times New Roman"/>
                      <w:b/>
                      <w:color w:val="auto"/>
                      <w:szCs w:val="21"/>
                      <w:highlight w:val="none"/>
                      <w:lang w:val="en-US" w:eastAsia="zh-CN"/>
                    </w:rPr>
                  </w:pPr>
                  <w:r>
                    <w:rPr>
                      <w:rFonts w:hint="eastAsia" w:cs="Times New Roman"/>
                      <w:b/>
                      <w:color w:val="auto"/>
                      <w:szCs w:val="21"/>
                      <w:highlight w:val="none"/>
                      <w:lang w:val="en-US" w:eastAsia="zh-CN"/>
                    </w:rPr>
                    <w:t>密度，g/cm</w:t>
                  </w:r>
                  <w:r>
                    <w:rPr>
                      <w:rFonts w:hint="eastAsia" w:cs="Times New Roman"/>
                      <w:b/>
                      <w:color w:val="auto"/>
                      <w:szCs w:val="21"/>
                      <w:highlight w:val="none"/>
                      <w:vertAlign w:val="superscript"/>
                      <w:lang w:val="en-US" w:eastAsia="zh-CN"/>
                    </w:rPr>
                    <w:t>3</w:t>
                  </w:r>
                </w:p>
              </w:tc>
              <w:tc>
                <w:tcPr>
                  <w:tcW w:w="996" w:type="dxa"/>
                  <w:tcBorders>
                    <w:tl2br w:val="nil"/>
                    <w:tr2bl w:val="nil"/>
                  </w:tcBorders>
                  <w:vAlign w:val="center"/>
                </w:tcPr>
                <w:p w14:paraId="446907F8">
                  <w:pPr>
                    <w:jc w:val="center"/>
                    <w:rPr>
                      <w:rFonts w:hint="default" w:ascii="Times New Roman" w:hAnsi="Times New Roman" w:eastAsia="宋体" w:cs="Times New Roman"/>
                      <w:b/>
                      <w:color w:val="auto"/>
                      <w:szCs w:val="21"/>
                      <w:highlight w:val="none"/>
                      <w:lang w:val="en-US" w:eastAsia="zh-CN"/>
                    </w:rPr>
                  </w:pPr>
                  <w:r>
                    <w:rPr>
                      <w:rFonts w:hint="eastAsia" w:cs="Times New Roman"/>
                      <w:b/>
                      <w:color w:val="auto"/>
                      <w:szCs w:val="21"/>
                      <w:highlight w:val="none"/>
                      <w:lang w:val="en-US" w:eastAsia="zh-CN"/>
                    </w:rPr>
                    <w:t>最大贮存量，L</w:t>
                  </w:r>
                </w:p>
              </w:tc>
              <w:tc>
                <w:tcPr>
                  <w:tcW w:w="987" w:type="dxa"/>
                  <w:tcBorders>
                    <w:tl2br w:val="nil"/>
                    <w:tr2bl w:val="nil"/>
                  </w:tcBorders>
                  <w:vAlign w:val="center"/>
                </w:tcPr>
                <w:p w14:paraId="6F32A632">
                  <w:pPr>
                    <w:jc w:val="center"/>
                    <w:rPr>
                      <w:rFonts w:hint="default" w:ascii="Times New Roman" w:hAnsi="Times New Roman" w:eastAsia="宋体" w:cs="Times New Roman"/>
                      <w:b/>
                      <w:color w:val="auto"/>
                      <w:szCs w:val="21"/>
                      <w:highlight w:val="none"/>
                      <w:lang w:val="en-US" w:eastAsia="zh-CN"/>
                    </w:rPr>
                  </w:pPr>
                  <w:r>
                    <w:rPr>
                      <w:rFonts w:hint="eastAsia" w:cs="Times New Roman"/>
                      <w:b/>
                      <w:color w:val="auto"/>
                      <w:szCs w:val="21"/>
                      <w:highlight w:val="none"/>
                      <w:lang w:val="en-US" w:eastAsia="zh-CN"/>
                    </w:rPr>
                    <w:t>最大贮存质量，t</w:t>
                  </w:r>
                </w:p>
              </w:tc>
              <w:tc>
                <w:tcPr>
                  <w:tcW w:w="987" w:type="dxa"/>
                  <w:tcBorders>
                    <w:tl2br w:val="nil"/>
                    <w:tr2bl w:val="nil"/>
                  </w:tcBorders>
                  <w:shd w:val="clear" w:color="auto" w:fill="auto"/>
                  <w:vAlign w:val="center"/>
                </w:tcPr>
                <w:p w14:paraId="03AA7743">
                  <w:pPr>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szCs w:val="21"/>
                      <w:highlight w:val="none"/>
                    </w:rPr>
                    <w:t>临界值（t）</w:t>
                  </w:r>
                </w:p>
              </w:tc>
              <w:tc>
                <w:tcPr>
                  <w:tcW w:w="987" w:type="dxa"/>
                  <w:tcBorders>
                    <w:tl2br w:val="nil"/>
                    <w:tr2bl w:val="nil"/>
                  </w:tcBorders>
                  <w:shd w:val="clear" w:color="auto" w:fill="auto"/>
                  <w:vAlign w:val="center"/>
                </w:tcPr>
                <w:p w14:paraId="1B7AA1DE">
                  <w:pPr>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szCs w:val="21"/>
                      <w:highlight w:val="none"/>
                    </w:rPr>
                    <w:t>Q值</w:t>
                  </w:r>
                </w:p>
              </w:tc>
            </w:tr>
            <w:tr w14:paraId="5B5E4D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18" w:type="dxa"/>
                  <w:tcBorders>
                    <w:tl2br w:val="nil"/>
                    <w:tr2bl w:val="nil"/>
                  </w:tcBorders>
                  <w:shd w:val="clear" w:color="auto" w:fill="auto"/>
                  <w:vAlign w:val="center"/>
                </w:tcPr>
                <w:p w14:paraId="3A9B902C">
                  <w:pPr>
                    <w:widowControl/>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酒精</w:t>
                  </w:r>
                </w:p>
              </w:tc>
              <w:tc>
                <w:tcPr>
                  <w:tcW w:w="864" w:type="dxa"/>
                  <w:tcBorders>
                    <w:tl2br w:val="nil"/>
                    <w:tr2bl w:val="nil"/>
                  </w:tcBorders>
                  <w:shd w:val="clear" w:color="auto" w:fill="auto"/>
                  <w:vAlign w:val="center"/>
                </w:tcPr>
                <w:p w14:paraId="19097E56">
                  <w:pPr>
                    <w:widowControl/>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试剂间</w:t>
                  </w:r>
                </w:p>
              </w:tc>
              <w:tc>
                <w:tcPr>
                  <w:tcW w:w="1278" w:type="dxa"/>
                  <w:tcBorders>
                    <w:tl2br w:val="nil"/>
                    <w:tr2bl w:val="nil"/>
                  </w:tcBorders>
                  <w:shd w:val="clear" w:color="auto" w:fill="auto"/>
                  <w:vAlign w:val="center"/>
                </w:tcPr>
                <w:p w14:paraId="450B7811">
                  <w:pPr>
                    <w:widowControl/>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0.86</w:t>
                  </w:r>
                </w:p>
              </w:tc>
              <w:tc>
                <w:tcPr>
                  <w:tcW w:w="996" w:type="dxa"/>
                  <w:tcBorders>
                    <w:tl2br w:val="nil"/>
                    <w:tr2bl w:val="nil"/>
                  </w:tcBorders>
                  <w:shd w:val="clear" w:color="auto" w:fill="auto"/>
                  <w:vAlign w:val="center"/>
                </w:tcPr>
                <w:p w14:paraId="30367E51">
                  <w:pPr>
                    <w:widowControl/>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2.5</w:t>
                  </w:r>
                </w:p>
              </w:tc>
              <w:tc>
                <w:tcPr>
                  <w:tcW w:w="987" w:type="dxa"/>
                  <w:tcBorders>
                    <w:tl2br w:val="nil"/>
                    <w:tr2bl w:val="nil"/>
                  </w:tcBorders>
                  <w:vAlign w:val="center"/>
                </w:tcPr>
                <w:p w14:paraId="76F82D42">
                  <w:pPr>
                    <w:widowControl/>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0.0016</w:t>
                  </w:r>
                </w:p>
              </w:tc>
              <w:tc>
                <w:tcPr>
                  <w:tcW w:w="987" w:type="dxa"/>
                  <w:tcBorders>
                    <w:tl2br w:val="nil"/>
                    <w:tr2bl w:val="nil"/>
                  </w:tcBorders>
                  <w:shd w:val="clear" w:color="auto" w:fill="auto"/>
                  <w:vAlign w:val="center"/>
                </w:tcPr>
                <w:p w14:paraId="0BB7B3BC">
                  <w:pPr>
                    <w:widowControl/>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500</w:t>
                  </w:r>
                </w:p>
              </w:tc>
              <w:tc>
                <w:tcPr>
                  <w:tcW w:w="987" w:type="dxa"/>
                  <w:tcBorders>
                    <w:tl2br w:val="nil"/>
                    <w:tr2bl w:val="nil"/>
                  </w:tcBorders>
                  <w:shd w:val="clear" w:color="auto" w:fill="auto"/>
                  <w:vAlign w:val="center"/>
                </w:tcPr>
                <w:p w14:paraId="706924D5">
                  <w:pPr>
                    <w:widowControl/>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0.000003</w:t>
                  </w:r>
                </w:p>
              </w:tc>
            </w:tr>
            <w:tr w14:paraId="40FC7F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18" w:type="dxa"/>
                  <w:tcBorders>
                    <w:tl2br w:val="nil"/>
                    <w:tr2bl w:val="nil"/>
                  </w:tcBorders>
                  <w:shd w:val="clear" w:color="auto" w:fill="auto"/>
                  <w:vAlign w:val="center"/>
                </w:tcPr>
                <w:p w14:paraId="3F0D7CAB">
                  <w:pPr>
                    <w:widowControl/>
                    <w:jc w:val="center"/>
                    <w:rPr>
                      <w:rFonts w:hint="default"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bidi="ar-SA"/>
                    </w:rPr>
                    <w:t>CODCr大于10000mg/L的废液</w:t>
                  </w:r>
                </w:p>
              </w:tc>
              <w:tc>
                <w:tcPr>
                  <w:tcW w:w="864" w:type="dxa"/>
                  <w:tcBorders>
                    <w:tl2br w:val="nil"/>
                    <w:tr2bl w:val="nil"/>
                  </w:tcBorders>
                  <w:shd w:val="clear" w:color="auto" w:fill="auto"/>
                  <w:vAlign w:val="center"/>
                </w:tcPr>
                <w:p w14:paraId="27A826B4">
                  <w:pPr>
                    <w:widowControl/>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危险废物暂存间</w:t>
                  </w:r>
                </w:p>
              </w:tc>
              <w:tc>
                <w:tcPr>
                  <w:tcW w:w="1278" w:type="dxa"/>
                  <w:tcBorders>
                    <w:tl2br w:val="nil"/>
                    <w:tr2bl w:val="nil"/>
                  </w:tcBorders>
                  <w:shd w:val="clear" w:color="auto" w:fill="auto"/>
                  <w:vAlign w:val="center"/>
                </w:tcPr>
                <w:p w14:paraId="12CAEF0C">
                  <w:pPr>
                    <w:widowControl/>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996" w:type="dxa"/>
                  <w:tcBorders>
                    <w:tl2br w:val="nil"/>
                    <w:tr2bl w:val="nil"/>
                  </w:tcBorders>
                  <w:shd w:val="clear" w:color="auto" w:fill="auto"/>
                  <w:vAlign w:val="center"/>
                </w:tcPr>
                <w:p w14:paraId="3ADAAEF7">
                  <w:pPr>
                    <w:widowControl/>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987" w:type="dxa"/>
                  <w:tcBorders>
                    <w:tl2br w:val="nil"/>
                    <w:tr2bl w:val="nil"/>
                  </w:tcBorders>
                  <w:shd w:val="clear" w:color="auto" w:fill="auto"/>
                  <w:vAlign w:val="center"/>
                </w:tcPr>
                <w:p w14:paraId="46020E78">
                  <w:pPr>
                    <w:widowControl/>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1.17</w:t>
                  </w:r>
                </w:p>
              </w:tc>
              <w:tc>
                <w:tcPr>
                  <w:tcW w:w="987" w:type="dxa"/>
                  <w:tcBorders>
                    <w:tl2br w:val="nil"/>
                    <w:tr2bl w:val="nil"/>
                  </w:tcBorders>
                  <w:shd w:val="clear" w:color="auto" w:fill="auto"/>
                  <w:vAlign w:val="center"/>
                </w:tcPr>
                <w:p w14:paraId="15353C24">
                  <w:pPr>
                    <w:widowControl/>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987" w:type="dxa"/>
                  <w:tcBorders>
                    <w:tl2br w:val="nil"/>
                    <w:tr2bl w:val="nil"/>
                  </w:tcBorders>
                  <w:shd w:val="clear" w:color="auto" w:fill="auto"/>
                  <w:vAlign w:val="center"/>
                </w:tcPr>
                <w:p w14:paraId="253E5A55">
                  <w:pPr>
                    <w:widowControl/>
                    <w:jc w:val="center"/>
                    <w:rPr>
                      <w:rFonts w:hint="eastAsia"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bidi="ar-SA"/>
                    </w:rPr>
                    <w:t>0.</w:t>
                  </w:r>
                  <w:r>
                    <w:rPr>
                      <w:rFonts w:hint="eastAsia" w:cs="Times New Roman"/>
                      <w:color w:val="auto"/>
                      <w:kern w:val="0"/>
                      <w:sz w:val="21"/>
                      <w:szCs w:val="21"/>
                      <w:highlight w:val="none"/>
                      <w:lang w:val="en-US" w:eastAsia="zh-CN" w:bidi="ar-SA"/>
                    </w:rPr>
                    <w:t>0117</w:t>
                  </w:r>
                  <w:r>
                    <w:rPr>
                      <w:rFonts w:hint="default" w:cs="Times New Roman"/>
                      <w:color w:val="auto"/>
                      <w:kern w:val="0"/>
                      <w:sz w:val="21"/>
                      <w:szCs w:val="21"/>
                      <w:highlight w:val="none"/>
                      <w:lang w:val="en-US" w:eastAsia="zh-CN" w:bidi="ar-SA"/>
                    </w:rPr>
                    <w:t xml:space="preserve"> </w:t>
                  </w:r>
                </w:p>
              </w:tc>
            </w:tr>
            <w:tr w14:paraId="1B1104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4456" w:type="dxa"/>
                  <w:gridSpan w:val="4"/>
                  <w:tcBorders>
                    <w:tl2br w:val="nil"/>
                    <w:tr2bl w:val="nil"/>
                  </w:tcBorders>
                  <w:shd w:val="clear" w:color="auto" w:fill="auto"/>
                  <w:vAlign w:val="center"/>
                </w:tcPr>
                <w:p w14:paraId="08CBA4A2">
                  <w:pPr>
                    <w:widowControl/>
                    <w:jc w:val="center"/>
                    <w:rPr>
                      <w:rFonts w:hint="default"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bidi="ar-SA"/>
                    </w:rPr>
                    <w:t>合计</w:t>
                  </w:r>
                </w:p>
              </w:tc>
              <w:tc>
                <w:tcPr>
                  <w:tcW w:w="987" w:type="dxa"/>
                  <w:tcBorders>
                    <w:tl2br w:val="nil"/>
                    <w:tr2bl w:val="nil"/>
                  </w:tcBorders>
                  <w:shd w:val="clear" w:color="auto" w:fill="auto"/>
                  <w:vAlign w:val="center"/>
                </w:tcPr>
                <w:p w14:paraId="32A06A25">
                  <w:pPr>
                    <w:widowControl/>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1.1716</w:t>
                  </w:r>
                </w:p>
              </w:tc>
              <w:tc>
                <w:tcPr>
                  <w:tcW w:w="987" w:type="dxa"/>
                  <w:tcBorders>
                    <w:tl2br w:val="nil"/>
                    <w:tr2bl w:val="nil"/>
                  </w:tcBorders>
                  <w:shd w:val="clear" w:color="auto" w:fill="auto"/>
                  <w:vAlign w:val="center"/>
                </w:tcPr>
                <w:p w14:paraId="0EF8D089">
                  <w:pPr>
                    <w:widowControl/>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987" w:type="dxa"/>
                  <w:tcBorders>
                    <w:tl2br w:val="nil"/>
                    <w:tr2bl w:val="nil"/>
                  </w:tcBorders>
                  <w:shd w:val="clear" w:color="auto" w:fill="auto"/>
                  <w:vAlign w:val="center"/>
                </w:tcPr>
                <w:p w14:paraId="3DBB9EC4">
                  <w:pPr>
                    <w:widowControl/>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0.011703</w:t>
                  </w:r>
                </w:p>
              </w:tc>
            </w:tr>
            <w:tr w14:paraId="4E5192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7417" w:type="dxa"/>
                  <w:gridSpan w:val="7"/>
                  <w:tcBorders>
                    <w:tl2br w:val="nil"/>
                    <w:tr2bl w:val="nil"/>
                  </w:tcBorders>
                  <w:shd w:val="clear" w:color="auto" w:fill="auto"/>
                  <w:vAlign w:val="center"/>
                </w:tcPr>
                <w:p w14:paraId="1ABF652C">
                  <w:pPr>
                    <w:keepNext w:val="0"/>
                    <w:keepLines w:val="0"/>
                    <w:widowControl/>
                    <w:suppressLineNumbers w:val="0"/>
                    <w:jc w:val="both"/>
                    <w:textAlignment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注：</w:t>
                  </w:r>
                  <w:r>
                    <w:rPr>
                      <w:rFonts w:hint="default" w:ascii="Times New Roman" w:hAnsi="Times New Roman" w:eastAsia="宋体" w:cs="Times New Roman"/>
                      <w:color w:val="auto"/>
                      <w:sz w:val="21"/>
                      <w:szCs w:val="21"/>
                      <w:highlight w:val="none"/>
                      <w:vertAlign w:val="baseline"/>
                    </w:rPr>
                    <w:t>COD</w:t>
                  </w:r>
                  <w:r>
                    <w:rPr>
                      <w:rFonts w:hint="default" w:ascii="Times New Roman" w:hAnsi="Times New Roman" w:eastAsia="宋体" w:cs="Times New Roman"/>
                      <w:color w:val="auto"/>
                      <w:sz w:val="21"/>
                      <w:szCs w:val="21"/>
                      <w:highlight w:val="none"/>
                      <w:vertAlign w:val="subscript"/>
                    </w:rPr>
                    <w:t>Cr</w:t>
                  </w:r>
                  <w:r>
                    <w:rPr>
                      <w:rFonts w:hint="default" w:ascii="Times New Roman" w:hAnsi="Times New Roman" w:eastAsia="宋体" w:cs="Times New Roman"/>
                      <w:color w:val="auto"/>
                      <w:sz w:val="21"/>
                      <w:szCs w:val="21"/>
                      <w:highlight w:val="none"/>
                      <w:vertAlign w:val="baseline"/>
                    </w:rPr>
                    <w:t>大于10000mg/L的废液</w:t>
                  </w:r>
                  <w:r>
                    <w:rPr>
                      <w:rFonts w:hint="eastAsia" w:ascii="Times New Roman" w:hAnsi="Times New Roman" w:eastAsia="宋体" w:cs="Times New Roman"/>
                      <w:color w:val="auto"/>
                      <w:sz w:val="21"/>
                      <w:szCs w:val="21"/>
                      <w:highlight w:val="none"/>
                      <w:vertAlign w:val="baseline"/>
                      <w:lang w:val="en-US" w:eastAsia="zh-CN"/>
                    </w:rPr>
                    <w:t>是项目产生的检测废液、清洗废液、废</w:t>
                  </w:r>
                  <w:r>
                    <w:rPr>
                      <w:rFonts w:hint="eastAsia" w:cs="Times New Roman"/>
                      <w:color w:val="auto"/>
                      <w:sz w:val="21"/>
                      <w:szCs w:val="21"/>
                      <w:highlight w:val="none"/>
                      <w:vertAlign w:val="baseline"/>
                      <w:lang w:val="en-US" w:eastAsia="zh-CN"/>
                    </w:rPr>
                    <w:t>离心上清液</w:t>
                  </w:r>
                  <w:r>
                    <w:rPr>
                      <w:rFonts w:hint="eastAsia" w:ascii="Times New Roman" w:hAnsi="Times New Roman" w:eastAsia="宋体" w:cs="Times New Roman"/>
                      <w:color w:val="auto"/>
                      <w:sz w:val="21"/>
                      <w:szCs w:val="21"/>
                      <w:highlight w:val="none"/>
                      <w:vertAlign w:val="baseline"/>
                      <w:lang w:val="en-US" w:eastAsia="zh-CN"/>
                    </w:rPr>
                    <w:t>等液态危险废物。</w:t>
                  </w:r>
                </w:p>
              </w:tc>
            </w:tr>
          </w:tbl>
          <w:p w14:paraId="50390C7C">
            <w:pPr>
              <w:adjustRightInd w:val="0"/>
              <w:spacing w:line="360" w:lineRule="auto"/>
              <w:ind w:firstLine="465"/>
              <w:rPr>
                <w:rFonts w:hint="eastAsia" w:ascii="Times New Roman" w:hAnsi="Times New Roman" w:eastAsia="宋体" w:cs="Times New Roman"/>
                <w:bCs/>
                <w:snapToGrid w:val="0"/>
                <w:color w:val="auto"/>
                <w:kern w:val="0"/>
                <w:sz w:val="24"/>
                <w:highlight w:val="none"/>
                <w:lang w:eastAsia="zh-CN"/>
              </w:rPr>
            </w:pPr>
            <w:r>
              <w:rPr>
                <w:rFonts w:hint="default" w:ascii="Times New Roman" w:hAnsi="Times New Roman" w:eastAsia="宋体" w:cs="Times New Roman"/>
                <w:bCs/>
                <w:snapToGrid w:val="0"/>
                <w:color w:val="auto"/>
                <w:kern w:val="0"/>
                <w:sz w:val="24"/>
                <w:highlight w:val="none"/>
              </w:rPr>
              <w:t>根据《建设项目环境风险评价技术导则》（HJ169-2018）附录C，当存在多种危险物质时，应按式（C.1）计算物质总量与其临界量的比值（Q）</w:t>
            </w:r>
            <w:r>
              <w:rPr>
                <w:rFonts w:hint="eastAsia" w:cs="Times New Roman"/>
                <w:bCs/>
                <w:snapToGrid w:val="0"/>
                <w:color w:val="auto"/>
                <w:kern w:val="0"/>
                <w:sz w:val="24"/>
                <w:highlight w:val="none"/>
                <w:lang w:eastAsia="zh-CN"/>
              </w:rPr>
              <w:t>：</w:t>
            </w:r>
          </w:p>
          <w:p w14:paraId="05C9D666">
            <w:pPr>
              <w:adjustRightInd w:val="0"/>
              <w:spacing w:line="360" w:lineRule="auto"/>
              <w:ind w:firstLine="465"/>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fldChar w:fldCharType="begin"/>
            </w:r>
            <w:r>
              <w:rPr>
                <w:rFonts w:hint="default" w:ascii="Times New Roman" w:hAnsi="Times New Roman" w:eastAsia="宋体" w:cs="Times New Roman"/>
                <w:bCs/>
                <w:snapToGrid w:val="0"/>
                <w:color w:val="auto"/>
                <w:kern w:val="0"/>
                <w:sz w:val="24"/>
                <w:highlight w:val="none"/>
              </w:rPr>
              <w:instrText xml:space="preserve"> INCLUDEPICTURE  "C:\\Users\\Administrator\\AppData\\Roaming\\Tencent\\Users\\106562794\\QQ\\WinTemp\\RichOle\\3[HA_)5@93(CJOQJQ(ZBZ59.png" \* MERGEFORMATINET </w:instrText>
            </w:r>
            <w:r>
              <w:rPr>
                <w:rFonts w:hint="default" w:ascii="Times New Roman" w:hAnsi="Times New Roman" w:eastAsia="宋体" w:cs="Times New Roman"/>
                <w:bCs/>
                <w:snapToGrid w:val="0"/>
                <w:color w:val="auto"/>
                <w:kern w:val="0"/>
                <w:sz w:val="24"/>
                <w:highlight w:val="none"/>
              </w:rPr>
              <w:fldChar w:fldCharType="separate"/>
            </w:r>
            <w:r>
              <w:rPr>
                <w:rFonts w:hint="default" w:ascii="Times New Roman" w:hAnsi="Times New Roman" w:eastAsia="宋体" w:cs="Times New Roman"/>
                <w:bCs/>
                <w:snapToGrid w:val="0"/>
                <w:color w:val="auto"/>
                <w:kern w:val="0"/>
                <w:sz w:val="24"/>
                <w:highlight w:val="none"/>
              </w:rPr>
              <w:fldChar w:fldCharType="begin"/>
            </w:r>
            <w:r>
              <w:rPr>
                <w:rFonts w:hint="default" w:ascii="Times New Roman" w:hAnsi="Times New Roman" w:eastAsia="宋体" w:cs="Times New Roman"/>
                <w:bCs/>
                <w:snapToGrid w:val="0"/>
                <w:color w:val="auto"/>
                <w:kern w:val="0"/>
                <w:sz w:val="24"/>
                <w:highlight w:val="none"/>
              </w:rPr>
              <w:instrText xml:space="preserve"> INCLUDEPICTURE  "C:\\Users\\Administrator\\AppData\\Roaming\\Tencent\\Users\\106562794\\QQ\\WinTemp\\RichOle\\3[HA_)5@93(CJOQJQ(ZBZ59.png" \* MERGEFORMATINET </w:instrText>
            </w:r>
            <w:r>
              <w:rPr>
                <w:rFonts w:hint="default" w:ascii="Times New Roman" w:hAnsi="Times New Roman" w:eastAsia="宋体" w:cs="Times New Roman"/>
                <w:bCs/>
                <w:snapToGrid w:val="0"/>
                <w:color w:val="auto"/>
                <w:kern w:val="0"/>
                <w:sz w:val="24"/>
                <w:highlight w:val="none"/>
              </w:rPr>
              <w:fldChar w:fldCharType="separate"/>
            </w:r>
            <w:r>
              <w:rPr>
                <w:rFonts w:hint="default" w:ascii="Times New Roman" w:hAnsi="Times New Roman" w:eastAsia="宋体" w:cs="Times New Roman"/>
                <w:bCs/>
                <w:snapToGrid w:val="0"/>
                <w:color w:val="auto"/>
                <w:kern w:val="0"/>
                <w:sz w:val="24"/>
                <w:highlight w:val="none"/>
              </w:rPr>
              <w:drawing>
                <wp:inline distT="0" distB="0" distL="114300" distR="114300">
                  <wp:extent cx="4343400" cy="1211580"/>
                  <wp:effectExtent l="0" t="0" r="0" b="7620"/>
                  <wp:docPr id="1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
                          <pic:cNvPicPr>
                            <a:picLocks noChangeAspect="1"/>
                          </pic:cNvPicPr>
                        </pic:nvPicPr>
                        <pic:blipFill>
                          <a:blip r:embed="rId32" r:link="rId33"/>
                          <a:stretch>
                            <a:fillRect/>
                          </a:stretch>
                        </pic:blipFill>
                        <pic:spPr>
                          <a:xfrm>
                            <a:off x="0" y="0"/>
                            <a:ext cx="4343400" cy="1211580"/>
                          </a:xfrm>
                          <a:prstGeom prst="rect">
                            <a:avLst/>
                          </a:prstGeom>
                          <a:noFill/>
                          <a:ln>
                            <a:noFill/>
                          </a:ln>
                        </pic:spPr>
                      </pic:pic>
                    </a:graphicData>
                  </a:graphic>
                </wp:inline>
              </w:drawing>
            </w:r>
            <w:r>
              <w:rPr>
                <w:rFonts w:hint="default" w:ascii="Times New Roman" w:hAnsi="Times New Roman" w:eastAsia="宋体" w:cs="Times New Roman"/>
                <w:bCs/>
                <w:snapToGrid w:val="0"/>
                <w:color w:val="auto"/>
                <w:kern w:val="0"/>
                <w:sz w:val="24"/>
                <w:highlight w:val="none"/>
              </w:rPr>
              <w:fldChar w:fldCharType="end"/>
            </w:r>
            <w:r>
              <w:rPr>
                <w:rFonts w:hint="default" w:ascii="Times New Roman" w:hAnsi="Times New Roman" w:eastAsia="宋体" w:cs="Times New Roman"/>
                <w:bCs/>
                <w:snapToGrid w:val="0"/>
                <w:color w:val="auto"/>
                <w:kern w:val="0"/>
                <w:sz w:val="24"/>
                <w:highlight w:val="none"/>
              </w:rPr>
              <w:fldChar w:fldCharType="end"/>
            </w:r>
          </w:p>
          <w:p w14:paraId="77417A87">
            <w:pPr>
              <w:adjustRightInd w:val="0"/>
              <w:spacing w:line="360" w:lineRule="auto"/>
              <w:ind w:firstLine="465"/>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通过计算，本项目危险物质总量与其临界量的比值Q=0.</w:t>
            </w:r>
            <w:r>
              <w:rPr>
                <w:rFonts w:hint="eastAsia" w:cs="Times New Roman"/>
                <w:bCs/>
                <w:snapToGrid w:val="0"/>
                <w:color w:val="auto"/>
                <w:kern w:val="0"/>
                <w:sz w:val="24"/>
                <w:highlight w:val="none"/>
                <w:lang w:val="en-US" w:eastAsia="zh-CN"/>
              </w:rPr>
              <w:t>011703</w:t>
            </w:r>
            <w:r>
              <w:rPr>
                <w:rFonts w:hint="default" w:ascii="Times New Roman" w:hAnsi="Times New Roman" w:eastAsia="宋体" w:cs="Times New Roman"/>
                <w:bCs/>
                <w:snapToGrid w:val="0"/>
                <w:color w:val="auto"/>
                <w:kern w:val="0"/>
                <w:sz w:val="24"/>
                <w:highlight w:val="none"/>
              </w:rPr>
              <w:t>＜1，因此不需要设置风险专项。</w:t>
            </w:r>
          </w:p>
          <w:p w14:paraId="4F429960">
            <w:pPr>
              <w:adjustRightInd w:val="0"/>
              <w:spacing w:line="360" w:lineRule="auto"/>
              <w:ind w:firstLine="465"/>
              <w:rPr>
                <w:rFonts w:hint="default" w:ascii="Times New Roman" w:hAnsi="Times New Roman" w:eastAsia="宋体" w:cs="Times New Roman"/>
                <w:b w:val="0"/>
                <w:bCs w:val="0"/>
                <w:color w:val="auto"/>
                <w:spacing w:val="-4"/>
                <w:kern w:val="0"/>
                <w:sz w:val="24"/>
                <w:highlight w:val="none"/>
              </w:rPr>
            </w:pPr>
            <w:r>
              <w:rPr>
                <w:rFonts w:hint="default" w:ascii="Times New Roman" w:hAnsi="Times New Roman" w:eastAsia="宋体" w:cs="Times New Roman"/>
                <w:b w:val="0"/>
                <w:bCs w:val="0"/>
                <w:color w:val="auto"/>
                <w:spacing w:val="-4"/>
                <w:kern w:val="0"/>
                <w:sz w:val="24"/>
                <w:highlight w:val="none"/>
              </w:rPr>
              <w:t>（2）环境风险</w:t>
            </w:r>
            <w:r>
              <w:rPr>
                <w:rFonts w:hint="default" w:ascii="Times New Roman" w:hAnsi="Times New Roman" w:eastAsia="宋体" w:cs="Times New Roman"/>
                <w:b w:val="0"/>
                <w:bCs w:val="0"/>
                <w:color w:val="auto"/>
                <w:spacing w:val="-4"/>
                <w:kern w:val="0"/>
                <w:sz w:val="24"/>
                <w:highlight w:val="none"/>
                <w:lang w:val="en-US" w:eastAsia="zh-CN"/>
              </w:rPr>
              <w:t>源分布情况及</w:t>
            </w:r>
            <w:r>
              <w:rPr>
                <w:rFonts w:hint="default" w:ascii="Times New Roman" w:hAnsi="Times New Roman" w:eastAsia="宋体" w:cs="Times New Roman"/>
                <w:b w:val="0"/>
                <w:bCs w:val="0"/>
                <w:color w:val="auto"/>
                <w:spacing w:val="-4"/>
                <w:kern w:val="0"/>
                <w:sz w:val="24"/>
                <w:highlight w:val="none"/>
              </w:rPr>
              <w:t>影响途径</w:t>
            </w:r>
          </w:p>
          <w:p w14:paraId="0ED028E3">
            <w:pPr>
              <w:adjustRightInd w:val="0"/>
              <w:spacing w:line="360" w:lineRule="auto"/>
              <w:ind w:firstLine="465"/>
              <w:rPr>
                <w:rFonts w:hint="default" w:ascii="Times New Roman" w:hAnsi="Times New Roman" w:eastAsia="宋体" w:cs="Times New Roman"/>
                <w:bCs/>
                <w:snapToGrid w:val="0"/>
                <w:color w:val="auto"/>
                <w:kern w:val="0"/>
                <w:sz w:val="24"/>
                <w:highlight w:val="none"/>
                <w:lang w:val="en-US" w:eastAsia="zh-CN"/>
              </w:rPr>
            </w:pPr>
            <w:r>
              <w:rPr>
                <w:rFonts w:hint="default" w:ascii="Times New Roman" w:hAnsi="Times New Roman" w:eastAsia="宋体" w:cs="Times New Roman"/>
                <w:bCs/>
                <w:snapToGrid w:val="0"/>
                <w:color w:val="auto"/>
                <w:kern w:val="0"/>
                <w:sz w:val="24"/>
                <w:highlight w:val="none"/>
                <w:lang w:val="en-US" w:eastAsia="zh-CN"/>
              </w:rPr>
              <w:t>本项目风险物质主要包括</w:t>
            </w:r>
            <w:r>
              <w:rPr>
                <w:rFonts w:hint="eastAsia" w:cs="Times New Roman"/>
                <w:bCs/>
                <w:snapToGrid w:val="0"/>
                <w:color w:val="auto"/>
                <w:kern w:val="0"/>
                <w:sz w:val="24"/>
                <w:highlight w:val="none"/>
                <w:lang w:val="en-US" w:eastAsia="zh-CN"/>
              </w:rPr>
              <w:t>贮存</w:t>
            </w:r>
            <w:r>
              <w:rPr>
                <w:rFonts w:hint="default" w:ascii="Times New Roman" w:hAnsi="Times New Roman" w:eastAsia="宋体" w:cs="Times New Roman"/>
                <w:bCs/>
                <w:snapToGrid w:val="0"/>
                <w:color w:val="auto"/>
                <w:kern w:val="0"/>
                <w:sz w:val="24"/>
                <w:highlight w:val="none"/>
                <w:lang w:val="en-US" w:eastAsia="zh-CN"/>
              </w:rPr>
              <w:t>的化学</w:t>
            </w:r>
            <w:r>
              <w:rPr>
                <w:rFonts w:hint="eastAsia" w:cs="Times New Roman"/>
                <w:bCs/>
                <w:snapToGrid w:val="0"/>
                <w:color w:val="auto"/>
                <w:kern w:val="0"/>
                <w:sz w:val="24"/>
                <w:highlight w:val="none"/>
                <w:lang w:val="en-US" w:eastAsia="zh-CN"/>
              </w:rPr>
              <w:t>物品</w:t>
            </w:r>
            <w:r>
              <w:rPr>
                <w:rFonts w:hint="default" w:ascii="Times New Roman" w:hAnsi="Times New Roman" w:eastAsia="宋体" w:cs="Times New Roman"/>
                <w:bCs/>
                <w:snapToGrid w:val="0"/>
                <w:color w:val="auto"/>
                <w:kern w:val="0"/>
                <w:sz w:val="24"/>
                <w:highlight w:val="none"/>
                <w:lang w:val="en-US" w:eastAsia="zh-CN"/>
              </w:rPr>
              <w:t>和实验室产生的危险废物。风险物质在</w:t>
            </w:r>
            <w:r>
              <w:rPr>
                <w:rFonts w:hint="eastAsia" w:cs="Times New Roman"/>
                <w:bCs/>
                <w:snapToGrid w:val="0"/>
                <w:color w:val="auto"/>
                <w:kern w:val="0"/>
                <w:sz w:val="24"/>
                <w:highlight w:val="none"/>
                <w:lang w:val="en-US" w:eastAsia="zh-CN"/>
              </w:rPr>
              <w:t>使用、贮存</w:t>
            </w:r>
            <w:r>
              <w:rPr>
                <w:rFonts w:hint="default" w:ascii="Times New Roman" w:hAnsi="Times New Roman" w:eastAsia="宋体" w:cs="Times New Roman"/>
                <w:bCs/>
                <w:snapToGrid w:val="0"/>
                <w:color w:val="auto"/>
                <w:kern w:val="0"/>
                <w:sz w:val="24"/>
                <w:highlight w:val="none"/>
                <w:lang w:val="en-US" w:eastAsia="zh-CN"/>
              </w:rPr>
              <w:t>、转运过程中存在的风险，若</w:t>
            </w:r>
            <w:r>
              <w:rPr>
                <w:rFonts w:hint="eastAsia" w:cs="Times New Roman"/>
                <w:bCs/>
                <w:snapToGrid w:val="0"/>
                <w:color w:val="auto"/>
                <w:kern w:val="0"/>
                <w:sz w:val="24"/>
                <w:highlight w:val="none"/>
                <w:lang w:val="en-US" w:eastAsia="zh-CN"/>
              </w:rPr>
              <w:t>操作不当、</w:t>
            </w:r>
            <w:r>
              <w:rPr>
                <w:rFonts w:hint="default" w:ascii="Times New Roman" w:hAnsi="Times New Roman" w:eastAsia="宋体" w:cs="Times New Roman"/>
                <w:bCs/>
                <w:snapToGrid w:val="0"/>
                <w:color w:val="auto"/>
                <w:kern w:val="0"/>
                <w:sz w:val="24"/>
                <w:highlight w:val="none"/>
                <w:lang w:val="en-US" w:eastAsia="zh-CN"/>
              </w:rPr>
              <w:t>未采取相应措施，可能会影响</w:t>
            </w:r>
            <w:r>
              <w:rPr>
                <w:rFonts w:hint="eastAsia" w:cs="Times New Roman"/>
                <w:bCs/>
                <w:snapToGrid w:val="0"/>
                <w:color w:val="auto"/>
                <w:kern w:val="0"/>
                <w:sz w:val="24"/>
                <w:highlight w:val="none"/>
                <w:lang w:val="en-US" w:eastAsia="zh-CN"/>
              </w:rPr>
              <w:t>周边</w:t>
            </w:r>
            <w:r>
              <w:rPr>
                <w:rFonts w:hint="default" w:ascii="Times New Roman" w:hAnsi="Times New Roman" w:eastAsia="宋体" w:cs="Times New Roman"/>
                <w:bCs/>
                <w:snapToGrid w:val="0"/>
                <w:color w:val="auto"/>
                <w:kern w:val="0"/>
                <w:sz w:val="24"/>
                <w:highlight w:val="none"/>
                <w:lang w:val="en-US" w:eastAsia="zh-CN"/>
              </w:rPr>
              <w:t>环境、人群健康等。本项目风险源分布情况及可能影响环境的途径见下表。</w:t>
            </w:r>
          </w:p>
          <w:p w14:paraId="75C60260">
            <w:pPr>
              <w:numPr>
                <w:ilvl w:val="0"/>
                <w:numId w:val="26"/>
              </w:numPr>
              <w:adjustRightInd w:val="0"/>
              <w:spacing w:line="360" w:lineRule="auto"/>
              <w:ind w:left="425" w:leftChars="0" w:hanging="425" w:firstLineChars="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4"/>
                <w:szCs w:val="24"/>
                <w:lang w:val="en-US" w:eastAsia="zh-CN" w:bidi="ar"/>
              </w:rPr>
              <w:t>风险源分布及危险性分析一览表</w:t>
            </w:r>
          </w:p>
          <w:tbl>
            <w:tblPr>
              <w:tblStyle w:val="24"/>
              <w:tblW w:w="756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1516"/>
              <w:gridCol w:w="1495"/>
              <w:gridCol w:w="3110"/>
            </w:tblGrid>
            <w:tr w14:paraId="44648A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7" w:type="dxa"/>
                  <w:tcBorders>
                    <w:tl2br w:val="nil"/>
                    <w:tr2bl w:val="nil"/>
                  </w:tcBorders>
                  <w:vAlign w:val="center"/>
                </w:tcPr>
                <w:p w14:paraId="32E5DFBE">
                  <w:pPr>
                    <w:keepNext w:val="0"/>
                    <w:keepLines w:val="0"/>
                    <w:widowControl/>
                    <w:suppressLineNumbers w:val="0"/>
                    <w:ind w:firstLine="211" w:firstLineChars="100"/>
                    <w:jc w:val="center"/>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lang w:val="en-US" w:eastAsia="zh-CN" w:bidi="ar"/>
                    </w:rPr>
                    <w:t>风险物质</w:t>
                  </w:r>
                </w:p>
              </w:tc>
              <w:tc>
                <w:tcPr>
                  <w:tcW w:w="1516" w:type="dxa"/>
                  <w:tcBorders>
                    <w:tl2br w:val="nil"/>
                    <w:tr2bl w:val="nil"/>
                  </w:tcBorders>
                  <w:vAlign w:val="center"/>
                </w:tcPr>
                <w:p w14:paraId="522DB61A">
                  <w:pPr>
                    <w:keepNext w:val="0"/>
                    <w:keepLines w:val="0"/>
                    <w:widowControl/>
                    <w:suppressLineNumbers w:val="0"/>
                    <w:ind w:firstLine="211" w:firstLineChars="100"/>
                    <w:jc w:val="center"/>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lang w:val="en-US" w:eastAsia="zh-CN" w:bidi="ar"/>
                    </w:rPr>
                    <w:t>分布情况</w:t>
                  </w:r>
                </w:p>
              </w:tc>
              <w:tc>
                <w:tcPr>
                  <w:tcW w:w="1495" w:type="dxa"/>
                  <w:tcBorders>
                    <w:tl2br w:val="nil"/>
                    <w:tr2bl w:val="nil"/>
                  </w:tcBorders>
                  <w:vAlign w:val="center"/>
                </w:tcPr>
                <w:p w14:paraId="57D5DA54">
                  <w:pPr>
                    <w:numPr>
                      <w:ilvl w:val="0"/>
                      <w:numId w:val="0"/>
                    </w:numPr>
                    <w:adjustRightInd w:val="0"/>
                    <w:spacing w:line="360" w:lineRule="auto"/>
                    <w:jc w:val="center"/>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lang w:val="en-US" w:eastAsia="zh-CN" w:bidi="ar"/>
                    </w:rPr>
                    <w:t>产生事故模式</w:t>
                  </w:r>
                </w:p>
              </w:tc>
              <w:tc>
                <w:tcPr>
                  <w:tcW w:w="3110" w:type="dxa"/>
                  <w:tcBorders>
                    <w:tl2br w:val="nil"/>
                    <w:tr2bl w:val="nil"/>
                  </w:tcBorders>
                  <w:vAlign w:val="center"/>
                </w:tcPr>
                <w:p w14:paraId="757750E4">
                  <w:pPr>
                    <w:keepNext w:val="0"/>
                    <w:keepLines w:val="0"/>
                    <w:widowControl/>
                    <w:suppressLineNumbers w:val="0"/>
                    <w:ind w:firstLine="632" w:firstLineChars="300"/>
                    <w:jc w:val="center"/>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lang w:val="en-US" w:eastAsia="zh-CN" w:bidi="ar"/>
                    </w:rPr>
                    <w:t>影响环境的</w:t>
                  </w:r>
                  <w:r>
                    <w:rPr>
                      <w:rFonts w:hint="eastAsia" w:ascii="Times New Roman" w:hAnsi="Times New Roman" w:eastAsia="宋体" w:cs="Times New Roman"/>
                      <w:b/>
                      <w:bCs/>
                      <w:color w:val="auto"/>
                      <w:kern w:val="0"/>
                      <w:sz w:val="21"/>
                      <w:szCs w:val="21"/>
                      <w:lang w:val="en-US" w:eastAsia="zh-CN" w:bidi="ar"/>
                    </w:rPr>
                    <w:t>途径</w:t>
                  </w:r>
                </w:p>
              </w:tc>
            </w:tr>
            <w:tr w14:paraId="20F4C4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7" w:type="dxa"/>
                  <w:vMerge w:val="restart"/>
                  <w:tcBorders>
                    <w:tl2br w:val="nil"/>
                    <w:tr2bl w:val="nil"/>
                  </w:tcBorders>
                  <w:vAlign w:val="center"/>
                </w:tcPr>
                <w:p w14:paraId="0F7B0194">
                  <w:pPr>
                    <w:keepNext w:val="0"/>
                    <w:keepLines w:val="0"/>
                    <w:widowControl/>
                    <w:suppressLineNumbers w:val="0"/>
                    <w:ind w:firstLine="210" w:firstLineChars="100"/>
                    <w:jc w:val="center"/>
                    <w:rPr>
                      <w:rFonts w:hint="default" w:ascii="Times New Roman" w:hAnsi="Times New Roman" w:eastAsia="宋体" w:cs="Times New Roman"/>
                      <w:color w:val="auto"/>
                    </w:rPr>
                  </w:pPr>
                  <w:r>
                    <w:rPr>
                      <w:rFonts w:hint="eastAsia" w:cs="Times New Roman"/>
                      <w:color w:val="auto"/>
                      <w:kern w:val="0"/>
                      <w:sz w:val="21"/>
                      <w:szCs w:val="21"/>
                      <w:lang w:val="en-US" w:eastAsia="zh-CN" w:bidi="ar"/>
                    </w:rPr>
                    <w:t>化学物品、</w:t>
                  </w:r>
                  <w:r>
                    <w:rPr>
                      <w:rFonts w:hint="default" w:ascii="Times New Roman" w:hAnsi="Times New Roman" w:eastAsia="宋体" w:cs="Times New Roman"/>
                      <w:color w:val="auto"/>
                      <w:kern w:val="0"/>
                      <w:sz w:val="21"/>
                      <w:szCs w:val="21"/>
                      <w:lang w:val="en-US" w:eastAsia="zh-CN" w:bidi="ar"/>
                    </w:rPr>
                    <w:t>危险废物</w:t>
                  </w:r>
                </w:p>
                <w:p w14:paraId="106727B8">
                  <w:pPr>
                    <w:numPr>
                      <w:ilvl w:val="0"/>
                      <w:numId w:val="0"/>
                    </w:numPr>
                    <w:adjustRightInd w:val="0"/>
                    <w:spacing w:line="360" w:lineRule="auto"/>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p>
              </w:tc>
              <w:tc>
                <w:tcPr>
                  <w:tcW w:w="1516" w:type="dxa"/>
                  <w:vMerge w:val="restart"/>
                  <w:tcBorders>
                    <w:tl2br w:val="nil"/>
                    <w:tr2bl w:val="nil"/>
                  </w:tcBorders>
                  <w:vAlign w:val="center"/>
                </w:tcPr>
                <w:p w14:paraId="3299E9B8">
                  <w:pPr>
                    <w:keepNext w:val="0"/>
                    <w:keepLines w:val="0"/>
                    <w:widowControl/>
                    <w:suppressLineNumbers w:val="0"/>
                    <w:jc w:val="left"/>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eastAsia" w:cs="Times New Roman"/>
                      <w:color w:val="auto"/>
                      <w:kern w:val="0"/>
                      <w:sz w:val="21"/>
                      <w:szCs w:val="21"/>
                      <w:lang w:val="en-US" w:eastAsia="zh-CN" w:bidi="ar"/>
                    </w:rPr>
                    <w:t>试剂间、危险废物暂存间</w:t>
                  </w:r>
                </w:p>
              </w:tc>
              <w:tc>
                <w:tcPr>
                  <w:tcW w:w="1495" w:type="dxa"/>
                  <w:tcBorders>
                    <w:tl2br w:val="nil"/>
                    <w:tr2bl w:val="nil"/>
                  </w:tcBorders>
                  <w:vAlign w:val="center"/>
                </w:tcPr>
                <w:p w14:paraId="78028846">
                  <w:pPr>
                    <w:numPr>
                      <w:ilvl w:val="0"/>
                      <w:numId w:val="0"/>
                    </w:numPr>
                    <w:adjustRightInd w:val="0"/>
                    <w:spacing w:line="360" w:lineRule="auto"/>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泄露</w:t>
                  </w:r>
                </w:p>
              </w:tc>
              <w:tc>
                <w:tcPr>
                  <w:tcW w:w="3110" w:type="dxa"/>
                  <w:tcBorders>
                    <w:tl2br w:val="nil"/>
                    <w:tr2bl w:val="nil"/>
                  </w:tcBorders>
                  <w:vAlign w:val="center"/>
                </w:tcPr>
                <w:p w14:paraId="77275E3C">
                  <w:pPr>
                    <w:keepNext w:val="0"/>
                    <w:keepLines w:val="0"/>
                    <w:widowControl/>
                    <w:suppressLineNumbers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bidi="ar"/>
                    </w:rPr>
                    <w:t>①化学品、危险废物泄漏，挥发性化学物质污染大气环境。</w:t>
                  </w:r>
                </w:p>
                <w:p w14:paraId="6196AAB1">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②化学品、危险废物泄漏，</w:t>
                  </w:r>
                  <w:r>
                    <w:rPr>
                      <w:rFonts w:hint="eastAsia" w:cs="Times New Roman"/>
                      <w:color w:val="auto"/>
                      <w:kern w:val="0"/>
                      <w:sz w:val="21"/>
                      <w:szCs w:val="21"/>
                      <w:lang w:val="en-US" w:eastAsia="zh-CN" w:bidi="ar"/>
                    </w:rPr>
                    <w:t>风险物质进入</w:t>
                  </w:r>
                  <w:r>
                    <w:rPr>
                      <w:rFonts w:hint="default" w:ascii="Times New Roman" w:hAnsi="Times New Roman" w:eastAsia="宋体" w:cs="Times New Roman"/>
                      <w:color w:val="auto"/>
                      <w:kern w:val="0"/>
                      <w:sz w:val="21"/>
                      <w:szCs w:val="21"/>
                      <w:lang w:val="en-US" w:eastAsia="zh-CN" w:bidi="ar"/>
                    </w:rPr>
                    <w:t>地表水、地下水、土壤环境。</w:t>
                  </w:r>
                </w:p>
              </w:tc>
            </w:tr>
            <w:tr w14:paraId="146BD3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7" w:type="dxa"/>
                  <w:vMerge w:val="continue"/>
                  <w:tcBorders>
                    <w:tl2br w:val="nil"/>
                    <w:tr2bl w:val="nil"/>
                  </w:tcBorders>
                  <w:vAlign w:val="center"/>
                </w:tcPr>
                <w:p w14:paraId="77507C33">
                  <w:pPr>
                    <w:numPr>
                      <w:ilvl w:val="0"/>
                      <w:numId w:val="0"/>
                    </w:numPr>
                    <w:adjustRightInd w:val="0"/>
                    <w:spacing w:line="360" w:lineRule="auto"/>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p>
              </w:tc>
              <w:tc>
                <w:tcPr>
                  <w:tcW w:w="1516" w:type="dxa"/>
                  <w:vMerge w:val="continue"/>
                  <w:tcBorders>
                    <w:tl2br w:val="nil"/>
                    <w:tr2bl w:val="nil"/>
                  </w:tcBorders>
                  <w:vAlign w:val="center"/>
                </w:tcPr>
                <w:p w14:paraId="6771FBA7">
                  <w:pPr>
                    <w:numPr>
                      <w:ilvl w:val="0"/>
                      <w:numId w:val="0"/>
                    </w:numPr>
                    <w:adjustRightInd w:val="0"/>
                    <w:spacing w:line="360" w:lineRule="auto"/>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p>
              </w:tc>
              <w:tc>
                <w:tcPr>
                  <w:tcW w:w="1495" w:type="dxa"/>
                  <w:tcBorders>
                    <w:tl2br w:val="nil"/>
                    <w:tr2bl w:val="nil"/>
                  </w:tcBorders>
                  <w:vAlign w:val="center"/>
                </w:tcPr>
                <w:p w14:paraId="11C31DBB">
                  <w:pPr>
                    <w:numPr>
                      <w:ilvl w:val="0"/>
                      <w:numId w:val="0"/>
                    </w:numPr>
                    <w:adjustRightInd w:val="0"/>
                    <w:spacing w:line="360" w:lineRule="auto"/>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火灾</w:t>
                  </w:r>
                  <w:r>
                    <w:rPr>
                      <w:rFonts w:hint="eastAsia" w:cs="Times New Roman"/>
                      <w:b w:val="0"/>
                      <w:bCs w:val="0"/>
                      <w:snapToGrid w:val="0"/>
                      <w:color w:val="auto"/>
                      <w:kern w:val="0"/>
                      <w:sz w:val="21"/>
                      <w:szCs w:val="21"/>
                      <w:highlight w:val="none"/>
                      <w:vertAlign w:val="baseline"/>
                      <w:lang w:val="en-US" w:eastAsia="zh-CN"/>
                    </w:rPr>
                    <w:t>、</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爆炸</w:t>
                  </w:r>
                </w:p>
              </w:tc>
              <w:tc>
                <w:tcPr>
                  <w:tcW w:w="3110" w:type="dxa"/>
                  <w:tcBorders>
                    <w:tl2br w:val="nil"/>
                    <w:tr2bl w:val="nil"/>
                  </w:tcBorders>
                  <w:vAlign w:val="center"/>
                </w:tcPr>
                <w:p w14:paraId="1369EDD2">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化学品泄漏，遇明火，引起火灾、爆炸事故，火灾、爆炸时伴生烟雾进入大气环境</w:t>
                  </w:r>
                  <w:r>
                    <w:rPr>
                      <w:rFonts w:hint="eastAsia" w:cs="Times New Roman"/>
                      <w:color w:val="auto"/>
                      <w:kern w:val="0"/>
                      <w:sz w:val="21"/>
                      <w:szCs w:val="21"/>
                      <w:lang w:val="en-US" w:eastAsia="zh-CN" w:bidi="ar"/>
                    </w:rPr>
                    <w:t>污染大气</w:t>
                  </w:r>
                  <w:r>
                    <w:rPr>
                      <w:rFonts w:hint="default" w:ascii="Times New Roman" w:hAnsi="Times New Roman" w:eastAsia="宋体" w:cs="Times New Roman"/>
                      <w:color w:val="auto"/>
                      <w:kern w:val="0"/>
                      <w:sz w:val="21"/>
                      <w:szCs w:val="21"/>
                      <w:lang w:val="en-US" w:eastAsia="zh-CN" w:bidi="ar"/>
                    </w:rPr>
                    <w:t>，次生的消防废水进入</w:t>
                  </w:r>
                  <w:r>
                    <w:rPr>
                      <w:rFonts w:hint="eastAsia" w:cs="Times New Roman"/>
                      <w:color w:val="auto"/>
                      <w:kern w:val="0"/>
                      <w:sz w:val="21"/>
                      <w:szCs w:val="21"/>
                      <w:lang w:val="en-US" w:eastAsia="zh-CN" w:bidi="ar"/>
                    </w:rPr>
                    <w:t>水体污染</w:t>
                  </w:r>
                  <w:r>
                    <w:rPr>
                      <w:rFonts w:hint="default" w:ascii="Times New Roman" w:hAnsi="Times New Roman" w:eastAsia="宋体" w:cs="Times New Roman"/>
                      <w:color w:val="auto"/>
                      <w:kern w:val="0"/>
                      <w:sz w:val="21"/>
                      <w:szCs w:val="21"/>
                      <w:lang w:val="en-US" w:eastAsia="zh-CN" w:bidi="ar"/>
                    </w:rPr>
                    <w:t>水环境</w:t>
                  </w:r>
                  <w:r>
                    <w:rPr>
                      <w:rFonts w:hint="eastAsia" w:cs="Times New Roman"/>
                      <w:color w:val="auto"/>
                      <w:kern w:val="0"/>
                      <w:sz w:val="21"/>
                      <w:szCs w:val="21"/>
                      <w:lang w:val="en-US" w:eastAsia="zh-CN" w:bidi="ar"/>
                    </w:rPr>
                    <w:t>、进入土壤或渗入地下污染地下水或土壤</w:t>
                  </w:r>
                  <w:r>
                    <w:rPr>
                      <w:rFonts w:hint="default" w:ascii="Times New Roman" w:hAnsi="Times New Roman" w:eastAsia="宋体" w:cs="Times New Roman"/>
                      <w:color w:val="auto"/>
                      <w:kern w:val="0"/>
                      <w:sz w:val="21"/>
                      <w:szCs w:val="21"/>
                      <w:lang w:val="en-US" w:eastAsia="zh-CN" w:bidi="ar"/>
                    </w:rPr>
                    <w:t>等。</w:t>
                  </w:r>
                </w:p>
              </w:tc>
            </w:tr>
          </w:tbl>
          <w:p w14:paraId="395E8242">
            <w:pPr>
              <w:adjustRightInd w:val="0"/>
              <w:spacing w:line="360" w:lineRule="auto"/>
              <w:ind w:firstLine="465"/>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本项目环境风险可能影响的途径如下：</w:t>
            </w:r>
          </w:p>
          <w:p w14:paraId="618F8CE6">
            <w:pPr>
              <w:numPr>
                <w:ilvl w:val="0"/>
                <w:numId w:val="31"/>
              </w:num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泄漏</w:t>
            </w:r>
            <w:r>
              <w:rPr>
                <w:rFonts w:hint="default" w:ascii="Times New Roman" w:hAnsi="Times New Roman" w:eastAsia="宋体" w:cs="Times New Roman"/>
                <w:b w:val="0"/>
                <w:bCs/>
                <w:snapToGrid w:val="0"/>
                <w:color w:val="auto"/>
                <w:kern w:val="0"/>
                <w:sz w:val="24"/>
                <w:highlight w:val="none"/>
              </w:rPr>
              <w:t>：</w:t>
            </w:r>
            <w:r>
              <w:rPr>
                <w:rFonts w:hint="eastAsia" w:cs="Times New Roman"/>
                <w:b w:val="0"/>
                <w:bCs/>
                <w:snapToGrid w:val="0"/>
                <w:color w:val="auto"/>
                <w:kern w:val="0"/>
                <w:sz w:val="24"/>
                <w:highlight w:val="none"/>
                <w:lang w:val="en-US" w:eastAsia="zh-CN"/>
              </w:rPr>
              <w:t>试剂室间贮存的危险化学品、危险废物暂存间贮存的危险废物在操作不当或遇其他事故时发生泄露，如果收集、拦截、吸附不及时，泄露液体进入周边环境污染土壤、地</w:t>
            </w:r>
            <w:r>
              <w:rPr>
                <w:rFonts w:hint="eastAsia" w:cs="Times New Roman"/>
                <w:bCs/>
                <w:snapToGrid w:val="0"/>
                <w:color w:val="auto"/>
                <w:kern w:val="0"/>
                <w:sz w:val="24"/>
                <w:highlight w:val="none"/>
                <w:lang w:val="en-US" w:eastAsia="zh-CN"/>
              </w:rPr>
              <w:t>表水、地下水，挥发性物质挥发污染大气环境，同时对周边人员健康造成不良影响</w:t>
            </w:r>
            <w:r>
              <w:rPr>
                <w:rFonts w:hint="default" w:ascii="Times New Roman" w:hAnsi="Times New Roman" w:eastAsia="宋体" w:cs="Times New Roman"/>
                <w:bCs/>
                <w:snapToGrid w:val="0"/>
                <w:color w:val="auto"/>
                <w:kern w:val="0"/>
                <w:sz w:val="24"/>
                <w:highlight w:val="none"/>
              </w:rPr>
              <w:t>。</w:t>
            </w:r>
          </w:p>
          <w:p w14:paraId="34240ED3">
            <w:pPr>
              <w:numPr>
                <w:ilvl w:val="0"/>
                <w:numId w:val="31"/>
              </w:num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火灾</w:t>
            </w:r>
            <w:r>
              <w:rPr>
                <w:rFonts w:hint="eastAsia" w:cs="Times New Roman"/>
                <w:bCs/>
                <w:snapToGrid w:val="0"/>
                <w:color w:val="auto"/>
                <w:kern w:val="0"/>
                <w:sz w:val="24"/>
                <w:highlight w:val="none"/>
                <w:lang w:eastAsia="zh-CN"/>
              </w:rPr>
              <w:t>、</w:t>
            </w:r>
            <w:r>
              <w:rPr>
                <w:rFonts w:hint="eastAsia" w:cs="Times New Roman"/>
                <w:bCs/>
                <w:snapToGrid w:val="0"/>
                <w:color w:val="auto"/>
                <w:kern w:val="0"/>
                <w:sz w:val="24"/>
                <w:highlight w:val="none"/>
                <w:lang w:val="en-US" w:eastAsia="zh-CN"/>
              </w:rPr>
              <w:t>爆炸</w:t>
            </w:r>
            <w:r>
              <w:rPr>
                <w:rFonts w:hint="default" w:ascii="Times New Roman" w:hAnsi="Times New Roman" w:eastAsia="宋体" w:cs="Times New Roman"/>
                <w:bCs/>
                <w:snapToGrid w:val="0"/>
                <w:color w:val="auto"/>
                <w:kern w:val="0"/>
                <w:sz w:val="24"/>
                <w:highlight w:val="none"/>
              </w:rPr>
              <w:t>：本项目</w:t>
            </w:r>
            <w:r>
              <w:rPr>
                <w:rFonts w:hint="eastAsia" w:cs="Times New Roman"/>
                <w:bCs/>
                <w:snapToGrid w:val="0"/>
                <w:color w:val="auto"/>
                <w:kern w:val="0"/>
                <w:sz w:val="24"/>
                <w:highlight w:val="none"/>
                <w:lang w:val="en-US" w:eastAsia="zh-CN"/>
              </w:rPr>
              <w:t>贮存的酒精及其他易燃物质</w:t>
            </w:r>
            <w:r>
              <w:rPr>
                <w:rFonts w:hint="default" w:ascii="Times New Roman" w:hAnsi="Times New Roman" w:eastAsia="宋体" w:cs="Times New Roman"/>
                <w:bCs/>
                <w:snapToGrid w:val="0"/>
                <w:color w:val="auto"/>
                <w:kern w:val="0"/>
                <w:sz w:val="24"/>
                <w:highlight w:val="none"/>
              </w:rPr>
              <w:t>遇高温、高热、明火易引起燃烧而引发火灾</w:t>
            </w:r>
            <w:r>
              <w:rPr>
                <w:rFonts w:hint="eastAsia" w:cs="Times New Roman"/>
                <w:bCs/>
                <w:snapToGrid w:val="0"/>
                <w:color w:val="auto"/>
                <w:kern w:val="0"/>
                <w:sz w:val="24"/>
                <w:highlight w:val="none"/>
                <w:lang w:val="en-US" w:eastAsia="zh-CN"/>
              </w:rPr>
              <w:t>或爆炸</w:t>
            </w:r>
            <w:r>
              <w:rPr>
                <w:rFonts w:hint="default" w:ascii="Times New Roman" w:hAnsi="Times New Roman" w:eastAsia="宋体" w:cs="Times New Roman"/>
                <w:bCs/>
                <w:snapToGrid w:val="0"/>
                <w:color w:val="auto"/>
                <w:kern w:val="0"/>
                <w:sz w:val="24"/>
                <w:highlight w:val="none"/>
              </w:rPr>
              <w:t>，</w:t>
            </w:r>
            <w:r>
              <w:rPr>
                <w:rFonts w:hint="eastAsia" w:cs="Times New Roman"/>
                <w:bCs/>
                <w:snapToGrid w:val="0"/>
                <w:color w:val="auto"/>
                <w:kern w:val="0"/>
                <w:sz w:val="24"/>
                <w:highlight w:val="none"/>
                <w:lang w:val="en-US" w:eastAsia="zh-CN"/>
              </w:rPr>
              <w:t>部分设备在操作不当引发事故可能</w:t>
            </w:r>
            <w:r>
              <w:rPr>
                <w:rFonts w:hint="default" w:ascii="Times New Roman" w:hAnsi="Times New Roman" w:eastAsia="宋体" w:cs="Times New Roman"/>
                <w:bCs/>
                <w:snapToGrid w:val="0"/>
                <w:color w:val="auto"/>
                <w:kern w:val="0"/>
                <w:sz w:val="24"/>
                <w:highlight w:val="none"/>
              </w:rPr>
              <w:t>引发火灾，</w:t>
            </w:r>
            <w:r>
              <w:rPr>
                <w:rFonts w:hint="eastAsia" w:cs="Times New Roman"/>
                <w:bCs/>
                <w:snapToGrid w:val="0"/>
                <w:color w:val="auto"/>
                <w:kern w:val="0"/>
                <w:sz w:val="24"/>
                <w:highlight w:val="none"/>
                <w:lang w:val="en-US" w:eastAsia="zh-CN"/>
              </w:rPr>
              <w:t>火灾</w:t>
            </w:r>
            <w:r>
              <w:rPr>
                <w:rFonts w:hint="default" w:ascii="Times New Roman" w:hAnsi="Times New Roman" w:eastAsia="宋体" w:cs="Times New Roman"/>
                <w:bCs/>
                <w:snapToGrid w:val="0"/>
                <w:color w:val="auto"/>
                <w:kern w:val="0"/>
                <w:sz w:val="24"/>
                <w:highlight w:val="none"/>
              </w:rPr>
              <w:t>次生污染物主要为CO、烟尘，会对环境空气带来污染。CO、烟尘等扩散到</w:t>
            </w:r>
            <w:r>
              <w:rPr>
                <w:rFonts w:hint="eastAsia" w:cs="Times New Roman"/>
                <w:bCs/>
                <w:snapToGrid w:val="0"/>
                <w:color w:val="auto"/>
                <w:kern w:val="0"/>
                <w:sz w:val="24"/>
                <w:highlight w:val="none"/>
                <w:lang w:val="en-US" w:eastAsia="zh-CN"/>
              </w:rPr>
              <w:t>厂</w:t>
            </w:r>
            <w:r>
              <w:rPr>
                <w:rFonts w:hint="default" w:ascii="Times New Roman" w:hAnsi="Times New Roman" w:eastAsia="宋体" w:cs="Times New Roman"/>
                <w:bCs/>
                <w:snapToGrid w:val="0"/>
                <w:color w:val="auto"/>
                <w:kern w:val="0"/>
                <w:sz w:val="24"/>
                <w:highlight w:val="none"/>
              </w:rPr>
              <w:t>外，会对厂区周边一定区域内的居民身体健康造成影响。</w:t>
            </w:r>
          </w:p>
          <w:p w14:paraId="23C82985">
            <w:pPr>
              <w:numPr>
                <w:ilvl w:val="0"/>
                <w:numId w:val="31"/>
              </w:num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eastAsia" w:cs="Times New Roman"/>
                <w:bCs/>
                <w:snapToGrid w:val="0"/>
                <w:color w:val="auto"/>
                <w:kern w:val="0"/>
                <w:sz w:val="24"/>
                <w:highlight w:val="none"/>
                <w:lang w:val="en-US" w:eastAsia="zh-CN"/>
              </w:rPr>
              <w:t>操作事故：本项目危险废物类别较多，如果操作不当，不相容危险废物在一起可能发生放热、释放气体或其他事故等。</w:t>
            </w:r>
          </w:p>
          <w:p w14:paraId="263C562B">
            <w:pPr>
              <w:numPr>
                <w:ilvl w:val="0"/>
                <w:numId w:val="31"/>
              </w:numPr>
              <w:adjustRightInd w:val="0"/>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bCs/>
                <w:snapToGrid w:val="0"/>
                <w:color w:val="auto"/>
                <w:kern w:val="0"/>
                <w:sz w:val="24"/>
                <w:highlight w:val="none"/>
              </w:rPr>
              <w:t>火灾</w:t>
            </w:r>
            <w:r>
              <w:rPr>
                <w:rFonts w:hint="eastAsia" w:cs="Times New Roman"/>
                <w:bCs/>
                <w:snapToGrid w:val="0"/>
                <w:color w:val="auto"/>
                <w:kern w:val="0"/>
                <w:sz w:val="24"/>
                <w:highlight w:val="none"/>
                <w:lang w:eastAsia="zh-CN"/>
              </w:rPr>
              <w:t>、</w:t>
            </w:r>
            <w:r>
              <w:rPr>
                <w:rFonts w:hint="eastAsia" w:cs="Times New Roman"/>
                <w:bCs/>
                <w:snapToGrid w:val="0"/>
                <w:color w:val="auto"/>
                <w:kern w:val="0"/>
                <w:sz w:val="24"/>
                <w:highlight w:val="none"/>
                <w:lang w:val="en-US" w:eastAsia="zh-CN"/>
              </w:rPr>
              <w:t>爆炸等</w:t>
            </w:r>
            <w:r>
              <w:rPr>
                <w:rFonts w:hint="default" w:ascii="Times New Roman" w:hAnsi="Times New Roman" w:eastAsia="宋体" w:cs="Times New Roman"/>
                <w:bCs/>
                <w:snapToGrid w:val="0"/>
                <w:color w:val="auto"/>
                <w:kern w:val="0"/>
                <w:sz w:val="24"/>
                <w:highlight w:val="none"/>
              </w:rPr>
              <w:t>事故次生含水环境风险物质的消防废水，可能会经雨水排放</w:t>
            </w:r>
            <w:r>
              <w:rPr>
                <w:rFonts w:hint="eastAsia" w:cs="Times New Roman"/>
                <w:bCs/>
                <w:snapToGrid w:val="0"/>
                <w:color w:val="auto"/>
                <w:kern w:val="0"/>
                <w:sz w:val="24"/>
                <w:highlight w:val="none"/>
                <w:lang w:val="en-US" w:eastAsia="zh-CN"/>
              </w:rPr>
              <w:t>系统</w:t>
            </w:r>
            <w:r>
              <w:rPr>
                <w:rFonts w:hint="default" w:ascii="Times New Roman" w:hAnsi="Times New Roman" w:eastAsia="宋体" w:cs="Times New Roman"/>
                <w:bCs/>
                <w:snapToGrid w:val="0"/>
                <w:color w:val="auto"/>
                <w:kern w:val="0"/>
                <w:sz w:val="24"/>
                <w:highlight w:val="none"/>
              </w:rPr>
              <w:t>进入</w:t>
            </w:r>
            <w:r>
              <w:rPr>
                <w:rFonts w:hint="eastAsia" w:cs="Times New Roman"/>
                <w:bCs/>
                <w:snapToGrid w:val="0"/>
                <w:color w:val="auto"/>
                <w:kern w:val="0"/>
                <w:sz w:val="24"/>
                <w:highlight w:val="none"/>
                <w:lang w:val="en-US" w:eastAsia="zh-CN"/>
              </w:rPr>
              <w:t>地表水环境污染地表水、进入土壤或渗入地下污染土壤或地下水</w:t>
            </w:r>
            <w:r>
              <w:rPr>
                <w:rFonts w:hint="default" w:ascii="Times New Roman" w:hAnsi="Times New Roman" w:eastAsia="宋体" w:cs="Times New Roman"/>
                <w:bCs/>
                <w:snapToGrid w:val="0"/>
                <w:color w:val="auto"/>
                <w:kern w:val="0"/>
                <w:sz w:val="24"/>
                <w:highlight w:val="none"/>
              </w:rPr>
              <w:t>。</w:t>
            </w:r>
          </w:p>
          <w:p w14:paraId="3C832BA9">
            <w:pPr>
              <w:adjustRightInd w:val="0"/>
              <w:spacing w:line="360" w:lineRule="auto"/>
              <w:ind w:firstLine="465"/>
              <w:rPr>
                <w:rFonts w:hint="default" w:ascii="Times New Roman" w:hAnsi="Times New Roman" w:eastAsia="宋体" w:cs="Times New Roman"/>
                <w:b w:val="0"/>
                <w:bCs/>
                <w:color w:val="auto"/>
                <w:spacing w:val="-2"/>
                <w:sz w:val="24"/>
                <w:szCs w:val="32"/>
                <w:highlight w:val="none"/>
              </w:rPr>
            </w:pPr>
            <w:r>
              <w:rPr>
                <w:rFonts w:hint="default" w:ascii="Times New Roman" w:hAnsi="Times New Roman" w:eastAsia="宋体" w:cs="Times New Roman"/>
                <w:b w:val="0"/>
                <w:bCs/>
                <w:snapToGrid w:val="0"/>
                <w:color w:val="auto"/>
                <w:kern w:val="0"/>
                <w:sz w:val="24"/>
                <w:highlight w:val="none"/>
              </w:rPr>
              <w:t>（3）</w:t>
            </w:r>
            <w:r>
              <w:rPr>
                <w:rFonts w:hint="default" w:ascii="Times New Roman" w:hAnsi="Times New Roman" w:eastAsia="宋体" w:cs="Times New Roman"/>
                <w:b w:val="0"/>
                <w:bCs/>
                <w:color w:val="auto"/>
                <w:spacing w:val="-2"/>
                <w:sz w:val="24"/>
                <w:szCs w:val="32"/>
                <w:highlight w:val="none"/>
              </w:rPr>
              <w:t>环境风险防范措施</w:t>
            </w:r>
          </w:p>
          <w:p w14:paraId="09A19D79">
            <w:pPr>
              <w:widowControl/>
              <w:numPr>
                <w:ilvl w:val="0"/>
                <w:numId w:val="32"/>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建设单位应制定突发环境事件应急预案</w:t>
            </w:r>
            <w:r>
              <w:rPr>
                <w:rFonts w:hint="eastAsia" w:cs="Times New Roman"/>
                <w:color w:val="auto"/>
                <w:kern w:val="0"/>
                <w:sz w:val="24"/>
                <w:highlight w:val="none"/>
                <w:lang w:val="en-US" w:eastAsia="zh-CN"/>
              </w:rPr>
              <w:t>，包括预案适用范围、环境事件分类与分级、组织机构与职责、监控和预警、应急响应、应急保障、善后处置、预案管理与演练等内容。应急预案要明确企业、园区、地方主管部门环境风险应急体系。突发环境事件应急预案应体现分级响应、区域联动的原则，与地方主管部门突发环境事件应急预案相衔接，明确分级响应程序。</w:t>
            </w:r>
          </w:p>
          <w:p w14:paraId="6F5C1928">
            <w:pPr>
              <w:widowControl/>
              <w:numPr>
                <w:ilvl w:val="0"/>
                <w:numId w:val="32"/>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定期检查危险化学品和</w:t>
            </w:r>
            <w:r>
              <w:rPr>
                <w:rFonts w:hint="eastAsia" w:cs="Times New Roman"/>
                <w:color w:val="auto"/>
                <w:kern w:val="0"/>
                <w:sz w:val="24"/>
                <w:highlight w:val="none"/>
                <w:lang w:val="en-US" w:eastAsia="zh-CN"/>
              </w:rPr>
              <w:t>危险废物贮存</w:t>
            </w:r>
            <w:r>
              <w:rPr>
                <w:rFonts w:hint="default" w:ascii="Times New Roman" w:hAnsi="Times New Roman" w:eastAsia="宋体" w:cs="Times New Roman"/>
                <w:color w:val="auto"/>
                <w:kern w:val="0"/>
                <w:sz w:val="24"/>
                <w:highlight w:val="none"/>
              </w:rPr>
              <w:t>状态，禁止跑、冒、滴、漏。</w:t>
            </w:r>
          </w:p>
          <w:p w14:paraId="2BA269BB">
            <w:pPr>
              <w:widowControl/>
              <w:numPr>
                <w:ilvl w:val="0"/>
                <w:numId w:val="32"/>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在风险源场所设置消防栓、灭火器</w:t>
            </w:r>
            <w:r>
              <w:rPr>
                <w:rFonts w:hint="eastAsia" w:cs="Times New Roman"/>
                <w:color w:val="auto"/>
                <w:kern w:val="0"/>
                <w:sz w:val="24"/>
                <w:highlight w:val="none"/>
                <w:lang w:val="en-US" w:eastAsia="zh-CN"/>
              </w:rPr>
              <w:t>等灭火设施</w:t>
            </w:r>
            <w:r>
              <w:rPr>
                <w:rFonts w:hint="default" w:ascii="Times New Roman" w:hAnsi="Times New Roman" w:eastAsia="宋体" w:cs="Times New Roman"/>
                <w:color w:val="auto"/>
                <w:kern w:val="0"/>
                <w:sz w:val="24"/>
                <w:highlight w:val="none"/>
              </w:rPr>
              <w:t>，配备一定数量的自给式呼吸器、消防防护服、消防沙等，并设置明显的</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危险</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警示标识和</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禁止吸烟</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的警示标识。</w:t>
            </w:r>
          </w:p>
          <w:p w14:paraId="75F5F184">
            <w:pPr>
              <w:widowControl/>
              <w:numPr>
                <w:ilvl w:val="0"/>
                <w:numId w:val="32"/>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eastAsia" w:cs="Times New Roman"/>
                <w:color w:val="auto"/>
                <w:kern w:val="0"/>
                <w:sz w:val="24"/>
                <w:highlight w:val="none"/>
                <w:lang w:val="en-US" w:eastAsia="zh-CN"/>
              </w:rPr>
              <w:t>加强教育和培训，严禁将危险废物随便倾倒，严格按照危险废物的类别分类收集，做好危险废物识别标志和台账。</w:t>
            </w:r>
          </w:p>
          <w:p w14:paraId="1A1BFCAD">
            <w:pPr>
              <w:widowControl/>
              <w:numPr>
                <w:ilvl w:val="0"/>
                <w:numId w:val="32"/>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制定操作规程，</w:t>
            </w:r>
            <w:r>
              <w:rPr>
                <w:rFonts w:hint="eastAsia" w:cs="Times New Roman"/>
                <w:color w:val="auto"/>
                <w:kern w:val="0"/>
                <w:sz w:val="24"/>
                <w:highlight w:val="none"/>
                <w:lang w:val="en-US" w:eastAsia="zh-CN"/>
              </w:rPr>
              <w:t>严格按照规程进行各项实验操作，密切关注研发生产过程，工作期间不得擅自离岗，发现问题及时处理。</w:t>
            </w:r>
            <w:r>
              <w:rPr>
                <w:rFonts w:hint="default" w:ascii="Times New Roman" w:hAnsi="Times New Roman" w:eastAsia="宋体" w:cs="Times New Roman"/>
                <w:color w:val="auto"/>
                <w:kern w:val="0"/>
                <w:sz w:val="24"/>
                <w:highlight w:val="none"/>
              </w:rPr>
              <w:t>定期进行消防安全知识培训，重点培训岗位防火技术、灭火器的使用办法、疏散逃生知识等，加强员工防火意识，确保每位员工都掌握安全防火技能，一旦发生事故能采取正确的应急措施。</w:t>
            </w:r>
          </w:p>
          <w:p w14:paraId="2E5D4DB6">
            <w:pPr>
              <w:widowControl/>
              <w:numPr>
                <w:ilvl w:val="0"/>
                <w:numId w:val="32"/>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建立安全管理制度，制定岗位责任制度，定期对设备</w:t>
            </w:r>
            <w:r>
              <w:rPr>
                <w:rFonts w:hint="eastAsia" w:cs="Times New Roman"/>
                <w:color w:val="auto"/>
                <w:kern w:val="0"/>
                <w:sz w:val="24"/>
                <w:highlight w:val="none"/>
                <w:lang w:val="en-US" w:eastAsia="zh-CN"/>
              </w:rPr>
              <w:t>设施检查维护</w:t>
            </w:r>
            <w:r>
              <w:rPr>
                <w:rFonts w:hint="default" w:ascii="Times New Roman" w:hAnsi="Times New Roman" w:eastAsia="宋体" w:cs="Times New Roman"/>
                <w:color w:val="auto"/>
                <w:kern w:val="0"/>
                <w:sz w:val="24"/>
                <w:highlight w:val="none"/>
              </w:rPr>
              <w:t>，发现</w:t>
            </w:r>
            <w:r>
              <w:rPr>
                <w:rFonts w:hint="eastAsia" w:cs="Times New Roman"/>
                <w:color w:val="auto"/>
                <w:kern w:val="0"/>
                <w:sz w:val="24"/>
                <w:highlight w:val="none"/>
                <w:lang w:val="en-US" w:eastAsia="zh-CN"/>
              </w:rPr>
              <w:t>问题及时处理</w:t>
            </w:r>
            <w:r>
              <w:rPr>
                <w:rFonts w:hint="default" w:ascii="Times New Roman" w:hAnsi="Times New Roman" w:eastAsia="宋体" w:cs="Times New Roman"/>
                <w:color w:val="auto"/>
                <w:kern w:val="0"/>
                <w:sz w:val="24"/>
                <w:highlight w:val="none"/>
              </w:rPr>
              <w:t>。</w:t>
            </w:r>
          </w:p>
          <w:p w14:paraId="0A4D7FCB">
            <w:pPr>
              <w:widowControl/>
              <w:numPr>
                <w:ilvl w:val="0"/>
                <w:numId w:val="32"/>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eastAsia" w:cs="Times New Roman"/>
                <w:color w:val="auto"/>
                <w:kern w:val="0"/>
                <w:sz w:val="24"/>
                <w:highlight w:val="none"/>
                <w:lang w:val="en-US" w:eastAsia="zh-CN"/>
              </w:rPr>
              <w:t>定期做好安全风险辨识评估和隐患排查，明确隐患排查的责任人，做好排查记录</w:t>
            </w:r>
            <w:r>
              <w:rPr>
                <w:rFonts w:hint="default" w:ascii="Times New Roman" w:hAnsi="Times New Roman" w:eastAsia="宋体" w:cs="Times New Roman"/>
                <w:color w:val="auto"/>
                <w:kern w:val="0"/>
                <w:sz w:val="24"/>
                <w:highlight w:val="none"/>
              </w:rPr>
              <w:t>。</w:t>
            </w:r>
          </w:p>
          <w:p w14:paraId="12F3DFC1">
            <w:pPr>
              <w:adjustRightInd w:val="0"/>
              <w:spacing w:line="360" w:lineRule="auto"/>
              <w:ind w:firstLine="465"/>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若发生火灾事故，火灾对水体的污染主要体现在灭火过程中，一般在火灾的扑救过程中会使用大量的水来冷却可燃物或扑灭火，控制不当，进入周边地表水体可能导致次生水环境风险事故，应在日常营运中注意避免火灾的发生，便可避免消防废水等对水体的污染。园区雨水排放口末端设置紧急切断闸门，一旦发生火灾、水体污染事故，需</w:t>
            </w:r>
            <w:r>
              <w:rPr>
                <w:rFonts w:hint="default" w:ascii="Times New Roman" w:hAnsi="Times New Roman" w:eastAsia="宋体" w:cs="Times New Roman"/>
                <w:color w:val="auto"/>
                <w:kern w:val="0"/>
                <w:sz w:val="24"/>
                <w:highlight w:val="none"/>
                <w:lang w:val="en-US" w:eastAsia="zh-CN"/>
              </w:rPr>
              <w:t>与园区物理联系，</w:t>
            </w:r>
            <w:r>
              <w:rPr>
                <w:rFonts w:hint="default" w:ascii="Times New Roman" w:hAnsi="Times New Roman" w:eastAsia="宋体" w:cs="Times New Roman"/>
                <w:color w:val="auto"/>
                <w:kern w:val="0"/>
                <w:sz w:val="24"/>
                <w:highlight w:val="none"/>
              </w:rPr>
              <w:t>关闭雨水总排口，将事故控制在厂界内，</w:t>
            </w:r>
            <w:r>
              <w:rPr>
                <w:rFonts w:hint="eastAsia" w:ascii="Times New Roman" w:hAnsi="Times New Roman" w:eastAsia="宋体" w:cs="Times New Roman"/>
                <w:color w:val="auto"/>
                <w:kern w:val="0"/>
                <w:sz w:val="24"/>
                <w:highlight w:val="none"/>
                <w:lang w:val="en-US" w:eastAsia="zh-CN"/>
              </w:rPr>
              <w:t>防止消防废水经雨污水管网排入外环境，污染地表水。灭火后残留的有机废液、废吸附剂和消防废水应及时分类收集，有机废液、废吸附剂作危险废物收集处置，消防废水委托有能力的检测单位进行检测，符合排放标准要求时排入管网，不符合排放标准按要求进行处理至符合排放标准后排入管网，严禁私自进入污水管道或进入园区雨水管网。</w:t>
            </w:r>
          </w:p>
          <w:p w14:paraId="5CF5A97B">
            <w:pPr>
              <w:adjustRightInd w:val="0"/>
              <w:spacing w:line="360" w:lineRule="auto"/>
              <w:ind w:firstLine="465"/>
              <w:rPr>
                <w:rFonts w:hint="default" w:ascii="Times New Roman" w:hAnsi="Times New Roman" w:eastAsia="宋体" w:cs="Times New Roman"/>
                <w:b w:val="0"/>
                <w:bCs w:val="0"/>
                <w:color w:val="auto"/>
                <w:spacing w:val="-2"/>
                <w:sz w:val="24"/>
                <w:szCs w:val="32"/>
                <w:highlight w:val="none"/>
              </w:rPr>
            </w:pPr>
            <w:r>
              <w:rPr>
                <w:rFonts w:hint="default" w:ascii="Times New Roman" w:hAnsi="Times New Roman" w:eastAsia="宋体" w:cs="Times New Roman"/>
                <w:b w:val="0"/>
                <w:bCs w:val="0"/>
                <w:color w:val="auto"/>
                <w:spacing w:val="-2"/>
                <w:sz w:val="24"/>
                <w:szCs w:val="32"/>
                <w:highlight w:val="none"/>
              </w:rPr>
              <w:t>（</w:t>
            </w:r>
            <w:r>
              <w:rPr>
                <w:rFonts w:hint="default" w:ascii="Times New Roman" w:hAnsi="Times New Roman" w:eastAsia="宋体" w:cs="Times New Roman"/>
                <w:b w:val="0"/>
                <w:bCs w:val="0"/>
                <w:color w:val="auto"/>
                <w:spacing w:val="-2"/>
                <w:sz w:val="24"/>
                <w:szCs w:val="32"/>
                <w:highlight w:val="none"/>
                <w:lang w:val="en-US" w:eastAsia="zh-CN"/>
              </w:rPr>
              <w:t>4</w:t>
            </w:r>
            <w:r>
              <w:rPr>
                <w:rFonts w:hint="default" w:ascii="Times New Roman" w:hAnsi="Times New Roman" w:eastAsia="宋体" w:cs="Times New Roman"/>
                <w:b w:val="0"/>
                <w:bCs w:val="0"/>
                <w:color w:val="auto"/>
                <w:spacing w:val="-2"/>
                <w:sz w:val="24"/>
                <w:szCs w:val="32"/>
                <w:highlight w:val="none"/>
              </w:rPr>
              <w:t>）环境风险评价结论</w:t>
            </w:r>
          </w:p>
          <w:p w14:paraId="38F7328F">
            <w:pPr>
              <w:adjustRightInd w:val="0"/>
              <w:spacing w:line="360" w:lineRule="auto"/>
              <w:ind w:firstLine="465"/>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综上分析，本项目环境风险潜势为I级，风险评价等级为简单分析，存在泄漏、火灾</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爆炸</w:t>
            </w:r>
            <w:r>
              <w:rPr>
                <w:rFonts w:hint="default" w:ascii="Times New Roman" w:hAnsi="Times New Roman" w:eastAsia="宋体" w:cs="Times New Roman"/>
                <w:color w:val="auto"/>
                <w:kern w:val="0"/>
                <w:sz w:val="24"/>
                <w:highlight w:val="none"/>
              </w:rPr>
              <w:t>事故类型，本</w:t>
            </w:r>
            <w:r>
              <w:rPr>
                <w:rFonts w:hint="eastAsia" w:cs="Times New Roman"/>
                <w:color w:val="auto"/>
                <w:kern w:val="0"/>
                <w:sz w:val="24"/>
                <w:highlight w:val="none"/>
                <w:lang w:val="en-US" w:eastAsia="zh-CN"/>
              </w:rPr>
              <w:t>项目定期开展安全风险辨识评估，制定操作规程并加强培训，定期开展隐患排查</w:t>
            </w:r>
            <w:r>
              <w:rPr>
                <w:rFonts w:hint="default" w:ascii="Times New Roman" w:hAnsi="Times New Roman" w:eastAsia="宋体" w:cs="Times New Roman"/>
                <w:color w:val="auto"/>
                <w:kern w:val="0"/>
                <w:sz w:val="24"/>
                <w:highlight w:val="none"/>
              </w:rPr>
              <w:t>，确保</w:t>
            </w:r>
            <w:r>
              <w:rPr>
                <w:rFonts w:hint="eastAsia" w:cs="Times New Roman"/>
                <w:color w:val="auto"/>
                <w:kern w:val="0"/>
                <w:sz w:val="24"/>
                <w:highlight w:val="none"/>
                <w:lang w:val="en-US" w:eastAsia="zh-CN"/>
              </w:rPr>
              <w:t>项目</w:t>
            </w:r>
            <w:r>
              <w:rPr>
                <w:rFonts w:hint="default" w:ascii="Times New Roman" w:hAnsi="Times New Roman" w:eastAsia="宋体" w:cs="Times New Roman"/>
                <w:color w:val="auto"/>
                <w:kern w:val="0"/>
                <w:sz w:val="24"/>
                <w:highlight w:val="none"/>
              </w:rPr>
              <w:t>运行的安全性；同时在严格执行国家相关法律、法规</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规范</w:t>
            </w:r>
            <w:r>
              <w:rPr>
                <w:rFonts w:hint="eastAsia" w:cs="Times New Roman"/>
                <w:color w:val="auto"/>
                <w:kern w:val="0"/>
                <w:sz w:val="24"/>
                <w:highlight w:val="none"/>
                <w:lang w:val="en-US" w:eastAsia="zh-CN"/>
              </w:rPr>
              <w:t>和标准</w:t>
            </w:r>
            <w:r>
              <w:rPr>
                <w:rFonts w:hint="default"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严格</w:t>
            </w:r>
            <w:r>
              <w:rPr>
                <w:rFonts w:hint="default" w:ascii="Times New Roman" w:hAnsi="Times New Roman" w:eastAsia="宋体" w:cs="Times New Roman"/>
                <w:color w:val="auto"/>
                <w:kern w:val="0"/>
                <w:sz w:val="24"/>
                <w:highlight w:val="none"/>
              </w:rPr>
              <w:t>按相关操作规章操作的前提下，通过采用相应的控制措施后，本项目环境风险可控。本项目环境风险简单分析内容表见下表。</w:t>
            </w:r>
          </w:p>
          <w:p w14:paraId="108E83FA">
            <w:pPr>
              <w:numPr>
                <w:ilvl w:val="0"/>
                <w:numId w:val="26"/>
              </w:numPr>
              <w:adjustRightInd w:val="0"/>
              <w:spacing w:line="360" w:lineRule="auto"/>
              <w:ind w:left="425" w:leftChars="0" w:hanging="425" w:firstLineChars="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color w:val="auto"/>
                <w:sz w:val="24"/>
                <w:highlight w:val="none"/>
              </w:rPr>
              <w:t>建设</w:t>
            </w:r>
            <w:r>
              <w:rPr>
                <w:rFonts w:hint="default" w:ascii="Times New Roman" w:hAnsi="Times New Roman" w:eastAsia="宋体" w:cs="Times New Roman"/>
                <w:b/>
                <w:bCs/>
                <w:color w:val="auto"/>
                <w:kern w:val="0"/>
                <w:sz w:val="24"/>
                <w:highlight w:val="none"/>
              </w:rPr>
              <w:t>项目环境风险简单分析内容表</w:t>
            </w:r>
          </w:p>
          <w:tbl>
            <w:tblPr>
              <w:tblStyle w:val="50"/>
              <w:tblW w:w="7599"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2117"/>
              <w:gridCol w:w="666"/>
              <w:gridCol w:w="2089"/>
              <w:gridCol w:w="564"/>
              <w:gridCol w:w="2163"/>
            </w:tblGrid>
            <w:tr w14:paraId="7FFB0CD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37" w:hRule="atLeast"/>
                <w:jc w:val="center"/>
              </w:trPr>
              <w:tc>
                <w:tcPr>
                  <w:tcW w:w="2117" w:type="dxa"/>
                  <w:tcBorders>
                    <w:tl2br w:val="nil"/>
                    <w:tr2bl w:val="nil"/>
                  </w:tcBorders>
                  <w:vAlign w:val="center"/>
                </w:tcPr>
                <w:p w14:paraId="6C1B6770">
                  <w:pPr>
                    <w:snapToGrid w:val="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建设项目名称</w:t>
                  </w:r>
                </w:p>
              </w:tc>
              <w:tc>
                <w:tcPr>
                  <w:tcW w:w="5482" w:type="dxa"/>
                  <w:gridSpan w:val="4"/>
                  <w:tcBorders>
                    <w:tl2br w:val="nil"/>
                    <w:tr2bl w:val="nil"/>
                  </w:tcBorders>
                  <w:vAlign w:val="center"/>
                </w:tcPr>
                <w:p w14:paraId="71E16A55">
                  <w:pPr>
                    <w:snapToGrid w:val="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盖德思消毒器械研发生产项目</w:t>
                  </w:r>
                </w:p>
              </w:tc>
            </w:tr>
            <w:tr w14:paraId="48FC6AC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2117" w:type="dxa"/>
                  <w:tcBorders>
                    <w:tl2br w:val="nil"/>
                    <w:tr2bl w:val="nil"/>
                  </w:tcBorders>
                  <w:vAlign w:val="center"/>
                </w:tcPr>
                <w:p w14:paraId="5DCE80A3">
                  <w:pPr>
                    <w:snapToGrid w:val="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建设地点</w:t>
                  </w:r>
                </w:p>
              </w:tc>
              <w:tc>
                <w:tcPr>
                  <w:tcW w:w="5482" w:type="dxa"/>
                  <w:gridSpan w:val="4"/>
                  <w:tcBorders>
                    <w:tl2br w:val="nil"/>
                    <w:tr2bl w:val="nil"/>
                  </w:tcBorders>
                  <w:vAlign w:val="center"/>
                </w:tcPr>
                <w:p w14:paraId="3D39ED7A">
                  <w:pPr>
                    <w:snapToGrid w:val="0"/>
                    <w:jc w:val="center"/>
                    <w:rPr>
                      <w:rFonts w:hint="default" w:ascii="Times New Roman" w:hAnsi="Times New Roman" w:eastAsia="宋体" w:cs="Times New Roman"/>
                      <w:color w:val="auto"/>
                      <w:szCs w:val="21"/>
                      <w:highlight w:val="none"/>
                      <w:lang w:val="en-US"/>
                    </w:rPr>
                  </w:pPr>
                  <w:r>
                    <w:rPr>
                      <w:rFonts w:hint="eastAsia" w:cs="Times New Roman"/>
                      <w:color w:val="auto"/>
                      <w:szCs w:val="21"/>
                      <w:highlight w:val="none"/>
                      <w:lang w:val="en-US" w:eastAsia="zh-CN"/>
                    </w:rPr>
                    <w:t>北京经济技术开发区(通州)景盛南二街10号院10号楼3层301</w:t>
                  </w:r>
                </w:p>
              </w:tc>
            </w:tr>
            <w:tr w14:paraId="33E81BF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29" w:hRule="atLeast"/>
                <w:jc w:val="center"/>
              </w:trPr>
              <w:tc>
                <w:tcPr>
                  <w:tcW w:w="2117" w:type="dxa"/>
                  <w:tcBorders>
                    <w:tl2br w:val="nil"/>
                    <w:tr2bl w:val="nil"/>
                  </w:tcBorders>
                  <w:vAlign w:val="center"/>
                </w:tcPr>
                <w:p w14:paraId="0510BA63">
                  <w:pPr>
                    <w:snapToGrid w:val="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地理坐标</w:t>
                  </w:r>
                </w:p>
              </w:tc>
              <w:tc>
                <w:tcPr>
                  <w:tcW w:w="666" w:type="dxa"/>
                  <w:tcBorders>
                    <w:tl2br w:val="nil"/>
                    <w:tr2bl w:val="nil"/>
                  </w:tcBorders>
                  <w:vAlign w:val="center"/>
                </w:tcPr>
                <w:p w14:paraId="6B0882C0">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经度</w:t>
                  </w:r>
                </w:p>
              </w:tc>
              <w:tc>
                <w:tcPr>
                  <w:tcW w:w="2089" w:type="dxa"/>
                  <w:tcBorders>
                    <w:tl2br w:val="nil"/>
                    <w:tr2bl w:val="nil"/>
                  </w:tcBorders>
                  <w:vAlign w:val="center"/>
                </w:tcPr>
                <w:p w14:paraId="5CF0CBFA">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东经</w:t>
                  </w:r>
                  <w:r>
                    <w:rPr>
                      <w:rFonts w:hint="eastAsia" w:cs="Times New Roman"/>
                      <w:color w:val="auto"/>
                      <w:szCs w:val="21"/>
                      <w:highlight w:val="none"/>
                      <w:lang w:val="en-US" w:eastAsia="zh-CN"/>
                    </w:rPr>
                    <w:t>116.547638</w:t>
                  </w:r>
                  <w:r>
                    <w:rPr>
                      <w:rFonts w:hint="eastAsia" w:cs="Times New Roman"/>
                      <w:color w:val="auto"/>
                      <w:sz w:val="28"/>
                      <w:szCs w:val="28"/>
                      <w:highlight w:val="none"/>
                      <w:vertAlign w:val="superscript"/>
                      <w:lang w:val="en-US" w:eastAsia="zh-CN"/>
                    </w:rPr>
                    <w:t>。</w:t>
                  </w:r>
                </w:p>
              </w:tc>
              <w:tc>
                <w:tcPr>
                  <w:tcW w:w="564" w:type="dxa"/>
                  <w:tcBorders>
                    <w:tl2br w:val="nil"/>
                    <w:tr2bl w:val="nil"/>
                  </w:tcBorders>
                  <w:vAlign w:val="center"/>
                </w:tcPr>
                <w:p w14:paraId="74EF9973">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纬度</w:t>
                  </w:r>
                </w:p>
              </w:tc>
              <w:tc>
                <w:tcPr>
                  <w:tcW w:w="2163" w:type="dxa"/>
                  <w:tcBorders>
                    <w:tl2br w:val="nil"/>
                    <w:tr2bl w:val="nil"/>
                  </w:tcBorders>
                  <w:vAlign w:val="center"/>
                </w:tcPr>
                <w:p w14:paraId="2E6D3D63">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北纬39</w:t>
                  </w:r>
                  <w:r>
                    <w:rPr>
                      <w:rFonts w:hint="eastAsia" w:cs="Times New Roman"/>
                      <w:color w:val="auto"/>
                      <w:szCs w:val="21"/>
                      <w:highlight w:val="none"/>
                      <w:lang w:val="en-US" w:eastAsia="zh-CN"/>
                    </w:rPr>
                    <w:t>.730555</w:t>
                  </w:r>
                  <w:r>
                    <w:rPr>
                      <w:rFonts w:hint="eastAsia" w:cs="Times New Roman"/>
                      <w:color w:val="auto"/>
                      <w:sz w:val="28"/>
                      <w:szCs w:val="28"/>
                      <w:highlight w:val="none"/>
                      <w:vertAlign w:val="superscript"/>
                      <w:lang w:val="en-US" w:eastAsia="zh-CN"/>
                    </w:rPr>
                    <w:t>。</w:t>
                  </w:r>
                </w:p>
              </w:tc>
            </w:tr>
            <w:tr w14:paraId="1EF986B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56" w:hRule="atLeast"/>
                <w:jc w:val="center"/>
              </w:trPr>
              <w:tc>
                <w:tcPr>
                  <w:tcW w:w="2117" w:type="dxa"/>
                  <w:tcBorders>
                    <w:tl2br w:val="nil"/>
                    <w:tr2bl w:val="nil"/>
                  </w:tcBorders>
                  <w:vAlign w:val="center"/>
                </w:tcPr>
                <w:p w14:paraId="79BA2A5C">
                  <w:pPr>
                    <w:snapToGrid w:val="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主要危险物质及分布</w:t>
                  </w:r>
                </w:p>
              </w:tc>
              <w:tc>
                <w:tcPr>
                  <w:tcW w:w="5482" w:type="dxa"/>
                  <w:gridSpan w:val="4"/>
                  <w:tcBorders>
                    <w:tl2br w:val="nil"/>
                    <w:tr2bl w:val="nil"/>
                  </w:tcBorders>
                  <w:vAlign w:val="center"/>
                </w:tcPr>
                <w:p w14:paraId="0591A3B5">
                  <w:pPr>
                    <w:snapToGrid w:val="0"/>
                    <w:jc w:val="left"/>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主要风险物质为危险化学品、</w:t>
                  </w:r>
                  <w:r>
                    <w:rPr>
                      <w:rFonts w:hint="default" w:ascii="Times New Roman" w:hAnsi="Times New Roman" w:eastAsia="宋体" w:cs="Times New Roman"/>
                      <w:color w:val="auto"/>
                      <w:szCs w:val="21"/>
                      <w:highlight w:val="none"/>
                      <w:lang w:val="en-US" w:eastAsia="zh-CN"/>
                    </w:rPr>
                    <w:t>危险废物</w:t>
                  </w:r>
                  <w:r>
                    <w:rPr>
                      <w:rFonts w:hint="eastAsia" w:ascii="Times New Roman" w:hAnsi="Times New Roman" w:eastAsia="宋体" w:cs="Times New Roman"/>
                      <w:color w:val="auto"/>
                      <w:szCs w:val="21"/>
                      <w:highlight w:val="none"/>
                      <w:lang w:val="en-US" w:eastAsia="zh-CN"/>
                    </w:rPr>
                    <w:t>，分别分布于</w:t>
                  </w:r>
                  <w:r>
                    <w:rPr>
                      <w:rFonts w:hint="eastAsia" w:cs="Times New Roman"/>
                      <w:color w:val="auto"/>
                      <w:szCs w:val="21"/>
                      <w:highlight w:val="none"/>
                      <w:lang w:val="en-US" w:eastAsia="zh-CN"/>
                    </w:rPr>
                    <w:t>试剂间、</w:t>
                  </w:r>
                  <w:r>
                    <w:rPr>
                      <w:rFonts w:hint="default" w:ascii="Times New Roman" w:hAnsi="Times New Roman" w:eastAsia="宋体" w:cs="Times New Roman"/>
                      <w:color w:val="auto"/>
                      <w:szCs w:val="21"/>
                      <w:highlight w:val="none"/>
                      <w:lang w:val="en-US" w:eastAsia="zh-CN"/>
                    </w:rPr>
                    <w:t>危险废物暂存间。</w:t>
                  </w:r>
                </w:p>
              </w:tc>
            </w:tr>
            <w:tr w14:paraId="3F698D0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72" w:hRule="atLeast"/>
                <w:jc w:val="center"/>
              </w:trPr>
              <w:tc>
                <w:tcPr>
                  <w:tcW w:w="2117" w:type="dxa"/>
                  <w:tcBorders>
                    <w:tl2br w:val="nil"/>
                    <w:tr2bl w:val="nil"/>
                  </w:tcBorders>
                  <w:vAlign w:val="center"/>
                </w:tcPr>
                <w:p w14:paraId="407FA49D">
                  <w:pPr>
                    <w:snapToGrid w:val="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环境影响途径及危害后果（大气、地表水、地下水）</w:t>
                  </w:r>
                </w:p>
              </w:tc>
              <w:tc>
                <w:tcPr>
                  <w:tcW w:w="5482" w:type="dxa"/>
                  <w:gridSpan w:val="4"/>
                  <w:tcBorders>
                    <w:tl2br w:val="nil"/>
                    <w:tr2bl w:val="nil"/>
                  </w:tcBorders>
                  <w:vAlign w:val="center"/>
                </w:tcPr>
                <w:p w14:paraId="2A5DA5A8">
                  <w:pPr>
                    <w:keepNext w:val="0"/>
                    <w:keepLines w:val="0"/>
                    <w:widowControl/>
                    <w:suppressLineNumbers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 w:val="21"/>
                      <w:szCs w:val="21"/>
                      <w:lang w:val="en-US" w:eastAsia="zh-CN" w:bidi="ar"/>
                    </w:rPr>
                    <w:t>风险物质泄漏，挥发性化学物质</w:t>
                  </w:r>
                  <w:r>
                    <w:rPr>
                      <w:rFonts w:hint="eastAsia" w:ascii="Times New Roman" w:hAnsi="Times New Roman" w:eastAsia="宋体" w:cs="Times New Roman"/>
                      <w:color w:val="auto"/>
                      <w:kern w:val="0"/>
                      <w:sz w:val="21"/>
                      <w:szCs w:val="21"/>
                      <w:lang w:val="en-US" w:eastAsia="zh-CN" w:bidi="ar"/>
                    </w:rPr>
                    <w:t>进入大气环境</w:t>
                  </w:r>
                  <w:r>
                    <w:rPr>
                      <w:rFonts w:hint="default" w:ascii="Times New Roman" w:hAnsi="Times New Roman" w:eastAsia="宋体" w:cs="Times New Roman"/>
                      <w:color w:val="auto"/>
                      <w:kern w:val="0"/>
                      <w:sz w:val="21"/>
                      <w:szCs w:val="21"/>
                      <w:lang w:val="en-US" w:eastAsia="zh-CN" w:bidi="ar"/>
                    </w:rPr>
                    <w:t>污染</w:t>
                  </w:r>
                  <w:r>
                    <w:rPr>
                      <w:rFonts w:hint="eastAsia" w:ascii="Times New Roman" w:hAnsi="Times New Roman" w:eastAsia="宋体" w:cs="Times New Roman"/>
                      <w:color w:val="auto"/>
                      <w:kern w:val="0"/>
                      <w:sz w:val="21"/>
                      <w:szCs w:val="21"/>
                      <w:lang w:val="en-US" w:eastAsia="zh-CN" w:bidi="ar"/>
                    </w:rPr>
                    <w:t>环境空气，进入地表水、土壤</w:t>
                  </w:r>
                  <w:r>
                    <w:rPr>
                      <w:rFonts w:hint="default" w:ascii="Times New Roman" w:hAnsi="Times New Roman" w:eastAsia="宋体" w:cs="Times New Roman"/>
                      <w:color w:val="auto"/>
                      <w:kern w:val="0"/>
                      <w:sz w:val="21"/>
                      <w:szCs w:val="21"/>
                      <w:lang w:val="en-US" w:eastAsia="zh-CN" w:bidi="ar"/>
                    </w:rPr>
                    <w:t>污染地表水、地下水、土壤环境</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风险物质泄漏，遇明火，引起火灾、爆炸事故，火灾、爆炸时伴生烟雾进入大气环境</w:t>
                  </w:r>
                  <w:r>
                    <w:rPr>
                      <w:rFonts w:hint="eastAsia" w:ascii="Times New Roman" w:hAnsi="Times New Roman" w:eastAsia="宋体" w:cs="Times New Roman"/>
                      <w:color w:val="auto"/>
                      <w:kern w:val="0"/>
                      <w:sz w:val="21"/>
                      <w:szCs w:val="21"/>
                      <w:lang w:val="en-US" w:eastAsia="zh-CN" w:bidi="ar"/>
                    </w:rPr>
                    <w:t>污染环境空气</w:t>
                  </w:r>
                  <w:r>
                    <w:rPr>
                      <w:rFonts w:hint="default" w:ascii="Times New Roman" w:hAnsi="Times New Roman" w:eastAsia="宋体" w:cs="Times New Roman"/>
                      <w:color w:val="auto"/>
                      <w:kern w:val="0"/>
                      <w:sz w:val="21"/>
                      <w:szCs w:val="21"/>
                      <w:lang w:val="en-US" w:eastAsia="zh-CN" w:bidi="ar"/>
                    </w:rPr>
                    <w:t>，次生的消防废水进入</w:t>
                  </w:r>
                  <w:r>
                    <w:rPr>
                      <w:rFonts w:hint="eastAsia" w:ascii="Times New Roman" w:hAnsi="Times New Roman" w:eastAsia="宋体" w:cs="Times New Roman"/>
                      <w:color w:val="auto"/>
                      <w:kern w:val="0"/>
                      <w:sz w:val="21"/>
                      <w:szCs w:val="21"/>
                      <w:lang w:val="en-US" w:eastAsia="zh-CN" w:bidi="ar"/>
                    </w:rPr>
                    <w:t>地表水、土壤</w:t>
                  </w:r>
                  <w:r>
                    <w:rPr>
                      <w:rFonts w:hint="default" w:ascii="Times New Roman" w:hAnsi="Times New Roman" w:eastAsia="宋体" w:cs="Times New Roman"/>
                      <w:color w:val="auto"/>
                      <w:kern w:val="0"/>
                      <w:sz w:val="21"/>
                      <w:szCs w:val="21"/>
                      <w:lang w:val="en-US" w:eastAsia="zh-CN" w:bidi="ar"/>
                    </w:rPr>
                    <w:t>污染地表水、地下水、土壤环境。</w:t>
                  </w:r>
                </w:p>
              </w:tc>
            </w:tr>
            <w:tr w14:paraId="38ECE06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860" w:hRule="atLeast"/>
                <w:jc w:val="center"/>
              </w:trPr>
              <w:tc>
                <w:tcPr>
                  <w:tcW w:w="2117" w:type="dxa"/>
                  <w:tcBorders>
                    <w:tl2br w:val="nil"/>
                    <w:tr2bl w:val="nil"/>
                  </w:tcBorders>
                  <w:shd w:val="clear" w:color="auto" w:fill="auto"/>
                  <w:vAlign w:val="center"/>
                </w:tcPr>
                <w:p w14:paraId="2220B6B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b/>
                      <w:bCs/>
                      <w:color w:val="auto"/>
                      <w:highlight w:val="none"/>
                      <w:lang w:val="en-US"/>
                    </w:rPr>
                    <w:t>风险防范措施</w:t>
                  </w:r>
                </w:p>
              </w:tc>
              <w:tc>
                <w:tcPr>
                  <w:tcW w:w="5482" w:type="dxa"/>
                  <w:gridSpan w:val="4"/>
                  <w:tcBorders>
                    <w:tl2br w:val="nil"/>
                    <w:tr2bl w:val="nil"/>
                  </w:tcBorders>
                  <w:shd w:val="clear" w:color="auto" w:fill="auto"/>
                  <w:vAlign w:val="center"/>
                </w:tcPr>
                <w:p w14:paraId="52DA4C3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left"/>
                    <w:textAlignment w:val="auto"/>
                    <w:rPr>
                      <w:rFonts w:hint="eastAsia" w:ascii="Times New Roman" w:hAnsi="Times New Roman" w:eastAsia="宋体"/>
                      <w:b w:val="0"/>
                      <w:bCs w:val="0"/>
                      <w:color w:val="auto"/>
                      <w:highlight w:val="none"/>
                      <w:lang w:val="en-US" w:eastAsia="zh-CN"/>
                    </w:rPr>
                  </w:pPr>
                  <w:r>
                    <w:rPr>
                      <w:rFonts w:hint="eastAsia"/>
                      <w:b w:val="0"/>
                      <w:bCs w:val="0"/>
                      <w:color w:val="auto"/>
                      <w:highlight w:val="none"/>
                      <w:lang w:val="en-US" w:eastAsia="zh-CN"/>
                    </w:rPr>
                    <w:t>1.</w:t>
                  </w:r>
                  <w:r>
                    <w:rPr>
                      <w:rFonts w:hint="eastAsia" w:ascii="Times New Roman" w:hAnsi="Times New Roman" w:eastAsia="宋体"/>
                      <w:b w:val="0"/>
                      <w:bCs w:val="0"/>
                      <w:color w:val="auto"/>
                      <w:highlight w:val="none"/>
                      <w:lang w:val="en-US" w:eastAsia="zh-CN"/>
                    </w:rPr>
                    <w:t>制定突发环境事故应急预案，并于园区、</w:t>
                  </w:r>
                  <w:r>
                    <w:rPr>
                      <w:rFonts w:hint="eastAsia"/>
                      <w:b w:val="0"/>
                      <w:bCs w:val="0"/>
                      <w:color w:val="auto"/>
                      <w:highlight w:val="none"/>
                      <w:lang w:val="en-US" w:eastAsia="zh-CN"/>
                    </w:rPr>
                    <w:t>地方主管部门</w:t>
                  </w:r>
                  <w:r>
                    <w:rPr>
                      <w:rFonts w:hint="eastAsia" w:ascii="Times New Roman" w:hAnsi="Times New Roman" w:eastAsia="宋体"/>
                      <w:b w:val="0"/>
                      <w:bCs w:val="0"/>
                      <w:color w:val="auto"/>
                      <w:highlight w:val="none"/>
                      <w:lang w:val="en-US" w:eastAsia="zh-CN"/>
                    </w:rPr>
                    <w:t>做好衔接。</w:t>
                  </w:r>
                </w:p>
                <w:p w14:paraId="1DE89E5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left"/>
                    <w:textAlignment w:val="auto"/>
                    <w:rPr>
                      <w:rFonts w:hint="eastAsia"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2.做好</w:t>
                  </w:r>
                  <w:r>
                    <w:rPr>
                      <w:rFonts w:hint="eastAsia"/>
                      <w:b w:val="0"/>
                      <w:bCs w:val="0"/>
                      <w:color w:val="auto"/>
                      <w:highlight w:val="none"/>
                      <w:lang w:val="en-US" w:eastAsia="zh-CN"/>
                    </w:rPr>
                    <w:t>环境安全</w:t>
                  </w:r>
                  <w:r>
                    <w:rPr>
                      <w:rFonts w:hint="eastAsia" w:ascii="Times New Roman" w:hAnsi="Times New Roman" w:eastAsia="宋体"/>
                      <w:b w:val="0"/>
                      <w:bCs w:val="0"/>
                      <w:color w:val="auto"/>
                      <w:highlight w:val="none"/>
                      <w:lang w:val="en-US" w:eastAsia="zh-CN"/>
                    </w:rPr>
                    <w:t>隐患排查，建立隐患排查档案。</w:t>
                  </w:r>
                </w:p>
                <w:p w14:paraId="19A78E69">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left"/>
                    <w:textAlignment w:val="auto"/>
                    <w:rPr>
                      <w:rFonts w:hint="eastAsia"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3.加强环境安全培训、教育，提高环境安全意识。</w:t>
                  </w:r>
                </w:p>
                <w:p w14:paraId="71A1C4E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left"/>
                    <w:textAlignment w:val="auto"/>
                    <w:rPr>
                      <w:rFonts w:hint="eastAsia"/>
                      <w:b w:val="0"/>
                      <w:bCs w:val="0"/>
                      <w:color w:val="auto"/>
                      <w:highlight w:val="none"/>
                      <w:lang w:val="en-US" w:eastAsia="zh-CN"/>
                    </w:rPr>
                  </w:pPr>
                  <w:r>
                    <w:rPr>
                      <w:rFonts w:hint="eastAsia" w:ascii="Times New Roman" w:hAnsi="Times New Roman" w:eastAsia="宋体"/>
                      <w:b w:val="0"/>
                      <w:bCs w:val="0"/>
                      <w:color w:val="auto"/>
                      <w:highlight w:val="none"/>
                      <w:lang w:val="en-US" w:eastAsia="zh-CN"/>
                    </w:rPr>
                    <w:t>4</w:t>
                  </w:r>
                  <w:r>
                    <w:rPr>
                      <w:rFonts w:hint="eastAsia"/>
                      <w:b w:val="0"/>
                      <w:bCs w:val="0"/>
                      <w:color w:val="auto"/>
                      <w:highlight w:val="none"/>
                      <w:lang w:val="en-US" w:eastAsia="zh-CN"/>
                    </w:rPr>
                    <w:t>.</w:t>
                  </w:r>
                  <w:r>
                    <w:rPr>
                      <w:rFonts w:hint="eastAsia" w:ascii="Times New Roman" w:hAnsi="Times New Roman" w:eastAsia="宋体"/>
                      <w:b w:val="0"/>
                      <w:bCs w:val="0"/>
                      <w:color w:val="auto"/>
                      <w:highlight w:val="none"/>
                      <w:lang w:val="en-US" w:eastAsia="zh-CN"/>
                    </w:rPr>
                    <w:t>健全</w:t>
                  </w:r>
                  <w:r>
                    <w:rPr>
                      <w:rFonts w:hint="default" w:ascii="Times New Roman" w:hAnsi="Times New Roman" w:eastAsia="宋体"/>
                      <w:b w:val="0"/>
                      <w:bCs w:val="0"/>
                      <w:color w:val="auto"/>
                      <w:highlight w:val="none"/>
                      <w:lang w:val="en-US" w:eastAsia="zh-CN"/>
                    </w:rPr>
                    <w:t>安全管理制度</w:t>
                  </w:r>
                  <w:r>
                    <w:rPr>
                      <w:rFonts w:hint="eastAsia" w:ascii="Times New Roman" w:hAnsi="Times New Roman" w:eastAsia="宋体"/>
                      <w:b w:val="0"/>
                      <w:bCs w:val="0"/>
                      <w:color w:val="auto"/>
                      <w:highlight w:val="none"/>
                      <w:lang w:val="en-US" w:eastAsia="zh-CN"/>
                    </w:rPr>
                    <w:t>、</w:t>
                  </w:r>
                  <w:r>
                    <w:rPr>
                      <w:rFonts w:hint="default" w:ascii="Times New Roman" w:hAnsi="Times New Roman" w:eastAsia="宋体"/>
                      <w:b w:val="0"/>
                      <w:bCs w:val="0"/>
                      <w:color w:val="auto"/>
                      <w:highlight w:val="none"/>
                      <w:lang w:val="en-US" w:eastAsia="zh-CN"/>
                    </w:rPr>
                    <w:t>岗位责任制度</w:t>
                  </w:r>
                  <w:r>
                    <w:rPr>
                      <w:rFonts w:hint="eastAsia"/>
                      <w:b w:val="0"/>
                      <w:bCs w:val="0"/>
                      <w:color w:val="auto"/>
                      <w:highlight w:val="none"/>
                      <w:lang w:val="en-US" w:eastAsia="zh-CN"/>
                    </w:rPr>
                    <w:t>，明确各类人员的安全环境执照。</w:t>
                  </w:r>
                </w:p>
                <w:p w14:paraId="17FAAC9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4"/>
                      <w:lang w:val="en-US" w:eastAsia="zh-CN" w:bidi="ar-SA"/>
                    </w:rPr>
                  </w:pPr>
                  <w:r>
                    <w:rPr>
                      <w:rFonts w:hint="eastAsia"/>
                      <w:b w:val="0"/>
                      <w:bCs w:val="0"/>
                      <w:color w:val="auto"/>
                      <w:highlight w:val="none"/>
                      <w:lang w:val="en-US" w:eastAsia="zh-CN"/>
                    </w:rPr>
                    <w:t>5、建立</w:t>
                  </w:r>
                  <w:r>
                    <w:rPr>
                      <w:rFonts w:hint="eastAsia" w:ascii="Times New Roman" w:hAnsi="Times New Roman" w:eastAsia="宋体"/>
                      <w:b w:val="0"/>
                      <w:bCs w:val="0"/>
                      <w:color w:val="auto"/>
                      <w:highlight w:val="none"/>
                      <w:lang w:val="en-US" w:eastAsia="zh-CN"/>
                    </w:rPr>
                    <w:t>操作规程，</w:t>
                  </w:r>
                  <w:r>
                    <w:rPr>
                      <w:rFonts w:hint="eastAsia"/>
                      <w:b w:val="0"/>
                      <w:bCs w:val="0"/>
                      <w:color w:val="auto"/>
                      <w:highlight w:val="none"/>
                      <w:lang w:val="en-US" w:eastAsia="zh-CN"/>
                    </w:rPr>
                    <w:t>严格按照规程操作，避免操作事故的发生。</w:t>
                  </w:r>
                </w:p>
              </w:tc>
            </w:tr>
          </w:tbl>
          <w:p w14:paraId="02F0AD83">
            <w:pPr>
              <w:numPr>
                <w:ilvl w:val="0"/>
                <w:numId w:val="24"/>
              </w:numPr>
              <w:adjustRightInd w:val="0"/>
              <w:snapToGrid w:val="0"/>
              <w:spacing w:line="360" w:lineRule="auto"/>
              <w:rPr>
                <w:rFonts w:hint="default" w:ascii="Times New Roman" w:hAnsi="Times New Roman" w:eastAsia="宋体" w:cs="Times New Roman"/>
                <w:b/>
                <w:color w:val="auto"/>
                <w:spacing w:val="-4"/>
                <w:kern w:val="0"/>
                <w:sz w:val="24"/>
                <w:highlight w:val="none"/>
              </w:rPr>
            </w:pPr>
            <w:r>
              <w:rPr>
                <w:rFonts w:hint="default" w:ascii="Times New Roman" w:hAnsi="Times New Roman" w:eastAsia="宋体" w:cs="Times New Roman"/>
                <w:b/>
                <w:color w:val="auto"/>
                <w:spacing w:val="-4"/>
                <w:kern w:val="0"/>
                <w:sz w:val="24"/>
                <w:highlight w:val="none"/>
              </w:rPr>
              <w:t>环保投资</w:t>
            </w:r>
          </w:p>
          <w:p w14:paraId="6B949421">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本项目总投资</w:t>
            </w:r>
            <w:r>
              <w:rPr>
                <w:rFonts w:hint="eastAsia" w:cs="Times New Roman"/>
                <w:color w:val="auto"/>
                <w:sz w:val="24"/>
                <w:highlight w:val="none"/>
                <w:lang w:val="en-US" w:eastAsia="zh-CN"/>
              </w:rPr>
              <w:t>510</w:t>
            </w:r>
            <w:r>
              <w:rPr>
                <w:rFonts w:hint="default" w:ascii="Times New Roman" w:hAnsi="Times New Roman" w:eastAsia="宋体" w:cs="Times New Roman"/>
                <w:color w:val="auto"/>
                <w:sz w:val="24"/>
                <w:highlight w:val="none"/>
              </w:rPr>
              <w:t>万元，其中环保投资</w:t>
            </w:r>
            <w:r>
              <w:rPr>
                <w:rFonts w:hint="eastAsia" w:cs="Times New Roman"/>
                <w:color w:val="auto"/>
                <w:sz w:val="24"/>
                <w:highlight w:val="none"/>
                <w:lang w:val="en-US" w:eastAsia="zh-CN"/>
              </w:rPr>
              <w:t>20</w:t>
            </w:r>
            <w:r>
              <w:rPr>
                <w:rFonts w:hint="default" w:ascii="Times New Roman" w:hAnsi="Times New Roman" w:eastAsia="宋体" w:cs="Times New Roman"/>
                <w:color w:val="auto"/>
                <w:sz w:val="24"/>
                <w:highlight w:val="none"/>
              </w:rPr>
              <w:t>万元，占总投资</w:t>
            </w:r>
            <w:r>
              <w:rPr>
                <w:rFonts w:hint="eastAsia" w:cs="Times New Roman"/>
                <w:color w:val="auto"/>
                <w:sz w:val="24"/>
                <w:highlight w:val="none"/>
                <w:lang w:val="en-US" w:eastAsia="zh-CN"/>
              </w:rPr>
              <w:t>的3.9</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。环保投资清单见下表。</w:t>
            </w:r>
          </w:p>
          <w:p w14:paraId="1B3E36B8">
            <w:pPr>
              <w:numPr>
                <w:ilvl w:val="0"/>
                <w:numId w:val="26"/>
              </w:numPr>
              <w:adjustRightInd w:val="0"/>
              <w:spacing w:line="360" w:lineRule="auto"/>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sz w:val="24"/>
                <w:highlight w:val="none"/>
              </w:rPr>
              <w:t>环保</w:t>
            </w:r>
            <w:r>
              <w:rPr>
                <w:rFonts w:hint="default" w:ascii="Times New Roman" w:hAnsi="Times New Roman" w:eastAsia="宋体" w:cs="Times New Roman"/>
                <w:b/>
                <w:bCs/>
                <w:color w:val="auto"/>
                <w:sz w:val="24"/>
                <w:highlight w:val="none"/>
              </w:rPr>
              <w:t>设施及投资清单</w:t>
            </w:r>
          </w:p>
          <w:tbl>
            <w:tblPr>
              <w:tblStyle w:val="23"/>
              <w:tblW w:w="7618"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969"/>
              <w:gridCol w:w="2639"/>
              <w:gridCol w:w="2288"/>
            </w:tblGrid>
            <w:tr w14:paraId="57F228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722" w:type="dxa"/>
                  <w:tcBorders>
                    <w:tl2br w:val="nil"/>
                    <w:tr2bl w:val="nil"/>
                  </w:tcBorders>
                  <w:vAlign w:val="center"/>
                </w:tcPr>
                <w:p w14:paraId="133759A1">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序号</w:t>
                  </w:r>
                </w:p>
              </w:tc>
              <w:tc>
                <w:tcPr>
                  <w:tcW w:w="1969" w:type="dxa"/>
                  <w:tcBorders>
                    <w:tl2br w:val="nil"/>
                    <w:tr2bl w:val="nil"/>
                  </w:tcBorders>
                  <w:vAlign w:val="center"/>
                </w:tcPr>
                <w:p w14:paraId="43753253">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2639" w:type="dxa"/>
                  <w:tcBorders>
                    <w:tl2br w:val="nil"/>
                    <w:tr2bl w:val="nil"/>
                  </w:tcBorders>
                  <w:vAlign w:val="center"/>
                </w:tcPr>
                <w:p w14:paraId="51605AC8">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治理措施</w:t>
                  </w:r>
                </w:p>
              </w:tc>
              <w:tc>
                <w:tcPr>
                  <w:tcW w:w="2288" w:type="dxa"/>
                  <w:tcBorders>
                    <w:tl2br w:val="nil"/>
                    <w:tr2bl w:val="nil"/>
                  </w:tcBorders>
                  <w:vAlign w:val="center"/>
                </w:tcPr>
                <w:p w14:paraId="78EBE64E">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投资金额（万元）</w:t>
                  </w:r>
                </w:p>
              </w:tc>
            </w:tr>
            <w:tr w14:paraId="18AC4C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22" w:type="dxa"/>
                  <w:tcBorders>
                    <w:tl2br w:val="nil"/>
                    <w:tr2bl w:val="nil"/>
                  </w:tcBorders>
                  <w:vAlign w:val="center"/>
                </w:tcPr>
                <w:p w14:paraId="4EE5C003">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969" w:type="dxa"/>
                  <w:tcBorders>
                    <w:tl2br w:val="nil"/>
                    <w:tr2bl w:val="nil"/>
                  </w:tcBorders>
                  <w:vAlign w:val="center"/>
                </w:tcPr>
                <w:p w14:paraId="3DB1883F">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噪声污染防治</w:t>
                  </w:r>
                </w:p>
              </w:tc>
              <w:tc>
                <w:tcPr>
                  <w:tcW w:w="2639" w:type="dxa"/>
                  <w:tcBorders>
                    <w:tl2br w:val="nil"/>
                    <w:tr2bl w:val="nil"/>
                  </w:tcBorders>
                  <w:vAlign w:val="center"/>
                </w:tcPr>
                <w:p w14:paraId="4429FEBA">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基础减振</w:t>
                  </w:r>
                </w:p>
              </w:tc>
              <w:tc>
                <w:tcPr>
                  <w:tcW w:w="2288" w:type="dxa"/>
                  <w:tcBorders>
                    <w:tl2br w:val="nil"/>
                    <w:tr2bl w:val="nil"/>
                  </w:tcBorders>
                  <w:vAlign w:val="center"/>
                </w:tcPr>
                <w:p w14:paraId="78E081A2">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p>
              </w:tc>
            </w:tr>
            <w:tr w14:paraId="131276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722" w:type="dxa"/>
                  <w:tcBorders>
                    <w:tl2br w:val="nil"/>
                    <w:tr2bl w:val="nil"/>
                  </w:tcBorders>
                  <w:shd w:val="clear" w:color="auto" w:fill="auto"/>
                  <w:vAlign w:val="center"/>
                </w:tcPr>
                <w:p w14:paraId="279B81A3">
                  <w:pPr>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2</w:t>
                  </w:r>
                </w:p>
              </w:tc>
              <w:tc>
                <w:tcPr>
                  <w:tcW w:w="1969" w:type="dxa"/>
                  <w:tcBorders>
                    <w:tl2br w:val="nil"/>
                    <w:tr2bl w:val="nil"/>
                  </w:tcBorders>
                  <w:shd w:val="clear" w:color="auto" w:fill="auto"/>
                  <w:vAlign w:val="center"/>
                </w:tcPr>
                <w:p w14:paraId="54644B84">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固体废物防治</w:t>
                  </w:r>
                </w:p>
              </w:tc>
              <w:tc>
                <w:tcPr>
                  <w:tcW w:w="2639" w:type="dxa"/>
                  <w:tcBorders>
                    <w:tl2br w:val="nil"/>
                    <w:tr2bl w:val="nil"/>
                  </w:tcBorders>
                  <w:shd w:val="clear" w:color="auto" w:fill="auto"/>
                  <w:vAlign w:val="center"/>
                </w:tcPr>
                <w:p w14:paraId="696C10D3">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规范的危险废物暂存间、一般固废间</w:t>
                  </w:r>
                </w:p>
              </w:tc>
              <w:tc>
                <w:tcPr>
                  <w:tcW w:w="2288" w:type="dxa"/>
                  <w:tcBorders>
                    <w:tl2br w:val="nil"/>
                    <w:tr2bl w:val="nil"/>
                  </w:tcBorders>
                  <w:shd w:val="clear" w:color="auto" w:fill="auto"/>
                  <w:vAlign w:val="center"/>
                </w:tcPr>
                <w:p w14:paraId="20853AD4">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w:t>
                  </w:r>
                </w:p>
              </w:tc>
            </w:tr>
            <w:tr w14:paraId="2E1EDC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722" w:type="dxa"/>
                  <w:tcBorders>
                    <w:tl2br w:val="nil"/>
                    <w:tr2bl w:val="nil"/>
                  </w:tcBorders>
                  <w:shd w:val="clear" w:color="auto" w:fill="auto"/>
                  <w:vAlign w:val="center"/>
                </w:tcPr>
                <w:p w14:paraId="578660B2">
                  <w:pPr>
                    <w:snapToGrid w:val="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3</w:t>
                  </w:r>
                </w:p>
              </w:tc>
              <w:tc>
                <w:tcPr>
                  <w:tcW w:w="1969" w:type="dxa"/>
                  <w:tcBorders>
                    <w:tl2br w:val="nil"/>
                    <w:tr2bl w:val="nil"/>
                  </w:tcBorders>
                  <w:shd w:val="clear" w:color="auto" w:fill="auto"/>
                  <w:vAlign w:val="center"/>
                </w:tcPr>
                <w:p w14:paraId="0C19CC80">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环境应急防范</w:t>
                  </w:r>
                </w:p>
              </w:tc>
              <w:tc>
                <w:tcPr>
                  <w:tcW w:w="2639" w:type="dxa"/>
                  <w:tcBorders>
                    <w:tl2br w:val="nil"/>
                    <w:tr2bl w:val="nil"/>
                  </w:tcBorders>
                  <w:shd w:val="clear" w:color="auto" w:fill="auto"/>
                  <w:vAlign w:val="center"/>
                </w:tcPr>
                <w:p w14:paraId="2D1762CA">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应急预案、应急物资</w:t>
                  </w:r>
                </w:p>
              </w:tc>
              <w:tc>
                <w:tcPr>
                  <w:tcW w:w="2288" w:type="dxa"/>
                  <w:tcBorders>
                    <w:tl2br w:val="nil"/>
                    <w:tr2bl w:val="nil"/>
                  </w:tcBorders>
                  <w:shd w:val="clear" w:color="auto" w:fill="auto"/>
                  <w:vAlign w:val="center"/>
                </w:tcPr>
                <w:p w14:paraId="772933B0">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r>
            <w:tr w14:paraId="0050DC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691" w:type="dxa"/>
                  <w:gridSpan w:val="2"/>
                  <w:tcBorders>
                    <w:tl2br w:val="nil"/>
                    <w:tr2bl w:val="nil"/>
                  </w:tcBorders>
                  <w:vAlign w:val="center"/>
                </w:tcPr>
                <w:p w14:paraId="5D8BF5F0">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总计</w:t>
                  </w:r>
                </w:p>
              </w:tc>
              <w:tc>
                <w:tcPr>
                  <w:tcW w:w="2639" w:type="dxa"/>
                  <w:tcBorders>
                    <w:tl2br w:val="nil"/>
                    <w:tr2bl w:val="nil"/>
                  </w:tcBorders>
                  <w:vAlign w:val="center"/>
                </w:tcPr>
                <w:p w14:paraId="7BFA1528">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288" w:type="dxa"/>
                  <w:tcBorders>
                    <w:tl2br w:val="nil"/>
                    <w:tr2bl w:val="nil"/>
                  </w:tcBorders>
                  <w:vAlign w:val="center"/>
                </w:tcPr>
                <w:p w14:paraId="59C2BD0D">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20</w:t>
                  </w:r>
                </w:p>
              </w:tc>
            </w:tr>
          </w:tbl>
          <w:p w14:paraId="1DA00567">
            <w:pPr>
              <w:widowControl/>
              <w:numPr>
                <w:ilvl w:val="0"/>
                <w:numId w:val="0"/>
              </w:numPr>
              <w:spacing w:line="360" w:lineRule="auto"/>
              <w:ind w:firstLine="480" w:firstLineChars="200"/>
              <w:jc w:val="left"/>
              <w:rPr>
                <w:rFonts w:hint="default" w:ascii="Times New Roman" w:hAnsi="Times New Roman" w:eastAsia="宋体" w:cs="Times New Roman"/>
                <w:color w:val="auto"/>
                <w:sz w:val="24"/>
                <w:highlight w:val="none"/>
                <w:lang w:val="en-US" w:eastAsia="zh-CN"/>
              </w:rPr>
            </w:pPr>
          </w:p>
        </w:tc>
      </w:tr>
    </w:tbl>
    <w:p w14:paraId="4AFAE51A">
      <w:pPr>
        <w:widowControl/>
        <w:jc w:val="left"/>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br w:type="page"/>
      </w:r>
    </w:p>
    <w:p w14:paraId="1633F30F">
      <w:pPr>
        <w:pStyle w:val="2"/>
        <w:jc w:val="center"/>
        <w:rPr>
          <w:rFonts w:hint="default" w:ascii="Times New Roman" w:hAnsi="Times New Roman" w:eastAsia="宋体" w:cs="Times New Roman"/>
          <w:b w:val="0"/>
          <w:bCs w:val="0"/>
          <w:color w:val="auto"/>
          <w:sz w:val="36"/>
          <w:szCs w:val="36"/>
          <w:highlight w:val="none"/>
        </w:rPr>
      </w:pPr>
      <w:r>
        <w:rPr>
          <w:rFonts w:hint="default" w:ascii="Times New Roman" w:hAnsi="Times New Roman" w:eastAsia="宋体" w:cs="Times New Roman"/>
          <w:b w:val="0"/>
          <w:bCs w:val="0"/>
          <w:color w:val="auto"/>
          <w:sz w:val="36"/>
          <w:szCs w:val="36"/>
          <w:highlight w:val="none"/>
        </w:rPr>
        <w:t>五、</w:t>
      </w:r>
      <w:bookmarkStart w:id="1" w:name="_Hlk54167917"/>
      <w:r>
        <w:rPr>
          <w:rFonts w:hint="default" w:ascii="Times New Roman" w:hAnsi="Times New Roman" w:eastAsia="宋体" w:cs="Times New Roman"/>
          <w:b w:val="0"/>
          <w:bCs w:val="0"/>
          <w:color w:val="auto"/>
          <w:sz w:val="36"/>
          <w:szCs w:val="36"/>
          <w:highlight w:val="none"/>
        </w:rPr>
        <w:t>环境保护措施监督检查清单</w:t>
      </w:r>
      <w:bookmarkEnd w:id="1"/>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229"/>
        <w:gridCol w:w="1419"/>
        <w:gridCol w:w="2080"/>
        <w:gridCol w:w="2310"/>
        <w:gridCol w:w="1762"/>
      </w:tblGrid>
      <w:tr w14:paraId="1D40B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3" w:hRule="atLeast"/>
          <w:jc w:val="center"/>
        </w:trPr>
        <w:tc>
          <w:tcPr>
            <w:tcW w:w="1229" w:type="dxa"/>
            <w:tcBorders>
              <w:tl2br w:val="single" w:color="auto" w:sz="4" w:space="0"/>
            </w:tcBorders>
          </w:tcPr>
          <w:p w14:paraId="40A66925">
            <w:pPr>
              <w:adjustRightInd w:val="0"/>
              <w:snapToGrid w:val="0"/>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内容</w:t>
            </w:r>
          </w:p>
          <w:p w14:paraId="18C88CF6">
            <w:pPr>
              <w:adjustRightInd w:val="0"/>
              <w:snapToGrid w:val="0"/>
              <w:rPr>
                <w:rFonts w:hint="default" w:ascii="Times New Roman" w:hAnsi="Times New Roman" w:eastAsia="宋体" w:cs="Times New Roman"/>
                <w:b/>
                <w:color w:val="auto"/>
                <w:sz w:val="24"/>
                <w:highlight w:val="none"/>
              </w:rPr>
            </w:pPr>
          </w:p>
          <w:p w14:paraId="4B1C8C87">
            <w:pPr>
              <w:adjustRightInd w:val="0"/>
              <w:snapToGrid w:val="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要素</w:t>
            </w:r>
          </w:p>
        </w:tc>
        <w:tc>
          <w:tcPr>
            <w:tcW w:w="1419" w:type="dxa"/>
            <w:vAlign w:val="center"/>
          </w:tcPr>
          <w:p w14:paraId="2147F9F3">
            <w:pPr>
              <w:adjustRightInd w:val="0"/>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排放口(编号、名称)/污染源</w:t>
            </w:r>
          </w:p>
        </w:tc>
        <w:tc>
          <w:tcPr>
            <w:tcW w:w="2080" w:type="dxa"/>
            <w:vAlign w:val="center"/>
          </w:tcPr>
          <w:p w14:paraId="614CB020">
            <w:pPr>
              <w:adjustRightInd w:val="0"/>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污染物项目</w:t>
            </w:r>
          </w:p>
        </w:tc>
        <w:tc>
          <w:tcPr>
            <w:tcW w:w="2310" w:type="dxa"/>
            <w:vAlign w:val="center"/>
          </w:tcPr>
          <w:p w14:paraId="560D9517">
            <w:pPr>
              <w:adjustRightInd w:val="0"/>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环境保护措施</w:t>
            </w:r>
          </w:p>
        </w:tc>
        <w:tc>
          <w:tcPr>
            <w:tcW w:w="1762" w:type="dxa"/>
            <w:vAlign w:val="center"/>
          </w:tcPr>
          <w:p w14:paraId="621D688C">
            <w:pPr>
              <w:adjustRightInd w:val="0"/>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执行标准</w:t>
            </w:r>
          </w:p>
        </w:tc>
      </w:tr>
      <w:tr w14:paraId="52E974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229" w:type="dxa"/>
            <w:vAlign w:val="center"/>
          </w:tcPr>
          <w:p w14:paraId="421C7C61">
            <w:pPr>
              <w:adjustRightInd w:val="0"/>
              <w:snapToGrid w:val="0"/>
              <w:jc w:val="center"/>
              <w:rPr>
                <w:rFonts w:hint="default" w:eastAsia="宋体" w:cs="Times New Roman"/>
                <w:color w:val="auto"/>
                <w:szCs w:val="21"/>
                <w:highlight w:val="none"/>
                <w:lang w:val="en-US" w:eastAsia="zh-CN"/>
              </w:rPr>
            </w:pPr>
            <w:r>
              <w:rPr>
                <w:rFonts w:hint="default" w:eastAsia="宋体" w:cs="Times New Roman"/>
                <w:color w:val="auto"/>
                <w:szCs w:val="21"/>
                <w:highlight w:val="none"/>
                <w:lang w:val="en-US" w:eastAsia="zh-CN"/>
              </w:rPr>
              <w:t>大气环境</w:t>
            </w:r>
          </w:p>
        </w:tc>
        <w:tc>
          <w:tcPr>
            <w:tcW w:w="1419" w:type="dxa"/>
            <w:vAlign w:val="center"/>
          </w:tcPr>
          <w:p w14:paraId="78D7A159">
            <w:pPr>
              <w:adjustRightInd w:val="0"/>
              <w:snapToGrid w:val="0"/>
              <w:jc w:val="center"/>
              <w:rPr>
                <w:rFonts w:hint="default" w:eastAsia="宋体" w:cs="Times New Roman"/>
                <w:color w:val="auto"/>
                <w:szCs w:val="21"/>
                <w:highlight w:val="none"/>
                <w:lang w:val="en-US" w:eastAsia="zh-CN"/>
              </w:rPr>
            </w:pPr>
            <w:r>
              <w:rPr>
                <w:rFonts w:hint="eastAsia" w:eastAsia="宋体" w:cs="Times New Roman"/>
                <w:color w:val="auto"/>
                <w:szCs w:val="21"/>
                <w:highlight w:val="none"/>
                <w:lang w:val="en-US" w:eastAsia="zh-CN"/>
              </w:rPr>
              <w:t>无组织</w:t>
            </w:r>
          </w:p>
        </w:tc>
        <w:tc>
          <w:tcPr>
            <w:tcW w:w="2080" w:type="dxa"/>
            <w:shd w:val="clear" w:color="auto" w:fill="auto"/>
            <w:vAlign w:val="center"/>
          </w:tcPr>
          <w:p w14:paraId="0DB54B20">
            <w:pPr>
              <w:adjustRightInd w:val="0"/>
              <w:snapToGrid w:val="0"/>
              <w:jc w:val="center"/>
              <w:rPr>
                <w:rFonts w:hint="default" w:eastAsia="宋体" w:cs="Times New Roman"/>
                <w:color w:val="auto"/>
                <w:szCs w:val="21"/>
                <w:highlight w:val="none"/>
                <w:lang w:val="en-US" w:eastAsia="zh-CN"/>
              </w:rPr>
            </w:pPr>
            <w:r>
              <w:rPr>
                <w:rFonts w:hint="eastAsia" w:eastAsia="宋体" w:cs="Times New Roman"/>
                <w:color w:val="auto"/>
                <w:szCs w:val="21"/>
                <w:highlight w:val="none"/>
                <w:lang w:val="en-US" w:eastAsia="zh-CN"/>
              </w:rPr>
              <w:t>非甲烷总烃</w:t>
            </w:r>
          </w:p>
        </w:tc>
        <w:tc>
          <w:tcPr>
            <w:tcW w:w="2310" w:type="dxa"/>
            <w:vAlign w:val="center"/>
          </w:tcPr>
          <w:p w14:paraId="30EF6325">
            <w:pPr>
              <w:adjustRightInd w:val="0"/>
              <w:snapToGrid w:val="0"/>
              <w:jc w:val="center"/>
              <w:rPr>
                <w:rFonts w:hint="default" w:eastAsia="宋体" w:cs="Times New Roman"/>
                <w:color w:val="auto"/>
                <w:szCs w:val="21"/>
                <w:highlight w:val="none"/>
                <w:lang w:val="en-US" w:eastAsia="zh-CN"/>
              </w:rPr>
            </w:pPr>
            <w:r>
              <w:rPr>
                <w:rFonts w:hint="eastAsia" w:eastAsia="宋体" w:cs="Times New Roman"/>
                <w:color w:val="auto"/>
                <w:szCs w:val="21"/>
                <w:highlight w:val="none"/>
                <w:lang w:val="en-US" w:eastAsia="zh-CN"/>
              </w:rPr>
              <w:t>减少酒精用量、房间密闭</w:t>
            </w:r>
          </w:p>
        </w:tc>
        <w:tc>
          <w:tcPr>
            <w:tcW w:w="1762" w:type="dxa"/>
            <w:vAlign w:val="center"/>
          </w:tcPr>
          <w:p w14:paraId="19DD1E8B">
            <w:pPr>
              <w:adjustRightInd w:val="0"/>
              <w:snapToGrid w:val="0"/>
              <w:jc w:val="center"/>
              <w:rPr>
                <w:rFonts w:hint="default" w:eastAsia="宋体" w:cs="Times New Roman"/>
                <w:color w:val="auto"/>
                <w:szCs w:val="21"/>
                <w:highlight w:val="none"/>
                <w:lang w:val="en-US" w:eastAsia="zh-CN"/>
              </w:rPr>
            </w:pPr>
            <w:r>
              <w:rPr>
                <w:rFonts w:hint="eastAsia" w:eastAsia="宋体" w:cs="Times New Roman"/>
                <w:color w:val="auto"/>
                <w:szCs w:val="21"/>
                <w:highlight w:val="none"/>
                <w:lang w:val="en-US" w:eastAsia="zh-CN"/>
              </w:rPr>
              <w:t>《大气污染物综合排放标准》DB11/501-2017中“表3生产工艺废气及其他废气大气污染物排放限值-单位周界无组织排放监控点浓度限值”</w:t>
            </w:r>
          </w:p>
        </w:tc>
      </w:tr>
      <w:tr w14:paraId="799105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982" w:hRule="atLeast"/>
          <w:jc w:val="center"/>
        </w:trPr>
        <w:tc>
          <w:tcPr>
            <w:tcW w:w="1229" w:type="dxa"/>
            <w:shd w:val="clear" w:color="auto" w:fill="auto"/>
            <w:vAlign w:val="center"/>
          </w:tcPr>
          <w:p w14:paraId="6DA8E225">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地表水</w:t>
            </w:r>
          </w:p>
          <w:p w14:paraId="7F6E6DBA">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highlight w:val="none"/>
              </w:rPr>
              <w:t>环境</w:t>
            </w:r>
          </w:p>
        </w:tc>
        <w:tc>
          <w:tcPr>
            <w:tcW w:w="1419" w:type="dxa"/>
            <w:shd w:val="clear" w:color="auto" w:fill="auto"/>
            <w:vAlign w:val="center"/>
          </w:tcPr>
          <w:p w14:paraId="24275F7D">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DW001</w:t>
            </w:r>
          </w:p>
        </w:tc>
        <w:tc>
          <w:tcPr>
            <w:tcW w:w="2080" w:type="dxa"/>
            <w:shd w:val="clear" w:color="auto" w:fill="auto"/>
            <w:vAlign w:val="center"/>
          </w:tcPr>
          <w:p w14:paraId="476680AD">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pH</w:t>
            </w:r>
            <w:r>
              <w:rPr>
                <w:rFonts w:hint="default" w:ascii="Times New Roman" w:hAnsi="Times New Roman" w:eastAsia="宋体" w:cs="Times New Roman"/>
                <w:color w:val="auto"/>
                <w:szCs w:val="21"/>
                <w:highlight w:val="none"/>
              </w:rPr>
              <w:t>、COD</w:t>
            </w:r>
            <w:r>
              <w:rPr>
                <w:rFonts w:hint="default" w:ascii="Times New Roman" w:hAnsi="Times New Roman" w:eastAsia="宋体" w:cs="Times New Roman"/>
                <w:color w:val="auto"/>
                <w:szCs w:val="21"/>
                <w:highlight w:val="none"/>
                <w:vertAlign w:val="subscript"/>
              </w:rPr>
              <w:t>Cr</w:t>
            </w:r>
            <w:r>
              <w:rPr>
                <w:rFonts w:hint="default" w:ascii="Times New Roman" w:hAnsi="Times New Roman" w:eastAsia="宋体" w:cs="Times New Roman"/>
                <w:color w:val="auto"/>
                <w:szCs w:val="21"/>
                <w:highlight w:val="none"/>
              </w:rPr>
              <w:t>、</w:t>
            </w:r>
          </w:p>
          <w:p w14:paraId="451953AF">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BOD</w:t>
            </w:r>
            <w:r>
              <w:rPr>
                <w:rFonts w:hint="default" w:ascii="Times New Roman" w:hAnsi="Times New Roman" w:eastAsia="宋体" w:cs="Times New Roman"/>
                <w:color w:val="auto"/>
                <w:szCs w:val="21"/>
                <w:highlight w:val="none"/>
                <w:vertAlign w:val="subscript"/>
              </w:rPr>
              <w:t>5</w:t>
            </w:r>
            <w:r>
              <w:rPr>
                <w:rFonts w:hint="default" w:ascii="Times New Roman" w:hAnsi="Times New Roman" w:eastAsia="宋体" w:cs="Times New Roman"/>
                <w:color w:val="auto"/>
                <w:szCs w:val="21"/>
                <w:highlight w:val="none"/>
              </w:rPr>
              <w:t>、SS、氨氮</w:t>
            </w:r>
            <w:r>
              <w:rPr>
                <w:rFonts w:hint="eastAsia" w:cs="Times New Roman"/>
                <w:color w:val="auto"/>
                <w:szCs w:val="21"/>
                <w:highlight w:val="none"/>
                <w:lang w:eastAsia="zh-CN"/>
              </w:rPr>
              <w:t>、</w:t>
            </w:r>
            <w:r>
              <w:rPr>
                <w:rFonts w:hint="eastAsia" w:cs="Times New Roman"/>
                <w:color w:val="auto"/>
                <w:szCs w:val="21"/>
                <w:highlight w:val="none"/>
                <w:lang w:val="en-US" w:eastAsia="zh-CN"/>
              </w:rPr>
              <w:t>可溶性固体总量</w:t>
            </w:r>
          </w:p>
        </w:tc>
        <w:tc>
          <w:tcPr>
            <w:tcW w:w="2310" w:type="dxa"/>
            <w:shd w:val="clear" w:color="auto" w:fill="auto"/>
            <w:vAlign w:val="center"/>
          </w:tcPr>
          <w:p w14:paraId="31FCBA6A">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容器第三遍及以后清洗废水</w:t>
            </w:r>
            <w:r>
              <w:rPr>
                <w:rFonts w:hint="eastAsia"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生活污水</w:t>
            </w:r>
            <w:r>
              <w:rPr>
                <w:rFonts w:hint="eastAsia" w:eastAsia="宋体" w:cs="Times New Roman"/>
                <w:color w:val="auto"/>
                <w:szCs w:val="21"/>
                <w:highlight w:val="none"/>
                <w:lang w:val="en-US" w:eastAsia="zh-CN"/>
              </w:rPr>
              <w:t>、</w:t>
            </w:r>
            <w:r>
              <w:rPr>
                <w:rFonts w:hint="eastAsia" w:cs="Times New Roman"/>
                <w:color w:val="auto"/>
                <w:szCs w:val="21"/>
                <w:highlight w:val="none"/>
                <w:lang w:val="en-US" w:eastAsia="zh-CN"/>
              </w:rPr>
              <w:t>高压蒸汽灭菌废水、纯水制备废水</w:t>
            </w:r>
            <w:r>
              <w:rPr>
                <w:rFonts w:hint="eastAsia" w:ascii="Times New Roman" w:hAnsi="Times New Roman" w:eastAsia="宋体" w:cs="Times New Roman"/>
                <w:color w:val="auto"/>
                <w:szCs w:val="21"/>
                <w:highlight w:val="none"/>
                <w:lang w:val="en-US" w:eastAsia="zh-CN"/>
              </w:rPr>
              <w:t>一起进园区化粪池，最后经市政管网排入</w:t>
            </w:r>
            <w:r>
              <w:rPr>
                <w:rFonts w:hint="eastAsia" w:cs="Times New Roman"/>
                <w:color w:val="auto"/>
                <w:szCs w:val="21"/>
                <w:highlight w:val="none"/>
                <w:lang w:eastAsia="zh-CN"/>
              </w:rPr>
              <w:t>金桥基地第一污水处理厂</w:t>
            </w:r>
            <w:r>
              <w:rPr>
                <w:rFonts w:hint="eastAsia" w:ascii="Times New Roman" w:hAnsi="Times New Roman" w:eastAsia="宋体" w:cs="Times New Roman"/>
                <w:color w:val="auto"/>
                <w:szCs w:val="21"/>
                <w:highlight w:val="none"/>
                <w:lang w:eastAsia="zh-CN"/>
              </w:rPr>
              <w:t>。</w:t>
            </w:r>
          </w:p>
        </w:tc>
        <w:tc>
          <w:tcPr>
            <w:tcW w:w="1762" w:type="dxa"/>
            <w:shd w:val="clear" w:color="auto" w:fill="auto"/>
            <w:vAlign w:val="center"/>
          </w:tcPr>
          <w:p w14:paraId="7DFF8898">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北京市《水污染物综合排放标准》（DB11/307-2013）</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表3排入公共污水处理系统的水污染物排放限值</w:t>
            </w:r>
            <w:r>
              <w:rPr>
                <w:rFonts w:hint="eastAsia" w:cs="Times New Roman"/>
                <w:color w:val="auto"/>
                <w:szCs w:val="21"/>
                <w:highlight w:val="none"/>
                <w:lang w:eastAsia="zh-CN"/>
              </w:rPr>
              <w:t>”</w:t>
            </w:r>
          </w:p>
        </w:tc>
      </w:tr>
      <w:tr w14:paraId="4B7823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229" w:type="dxa"/>
            <w:vAlign w:val="center"/>
          </w:tcPr>
          <w:p w14:paraId="6129AFBF">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声环境</w:t>
            </w:r>
          </w:p>
        </w:tc>
        <w:tc>
          <w:tcPr>
            <w:tcW w:w="1419" w:type="dxa"/>
            <w:vAlign w:val="center"/>
          </w:tcPr>
          <w:p w14:paraId="53D9FAB2">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厂界噪声</w:t>
            </w:r>
          </w:p>
        </w:tc>
        <w:tc>
          <w:tcPr>
            <w:tcW w:w="2080" w:type="dxa"/>
            <w:vAlign w:val="center"/>
          </w:tcPr>
          <w:p w14:paraId="451D7B4F">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等效连续A声级</w:t>
            </w:r>
          </w:p>
        </w:tc>
        <w:tc>
          <w:tcPr>
            <w:tcW w:w="2310" w:type="dxa"/>
            <w:vAlign w:val="center"/>
          </w:tcPr>
          <w:p w14:paraId="17104E75">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低噪声设备</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基础减震、</w:t>
            </w:r>
            <w:r>
              <w:rPr>
                <w:rFonts w:hint="default" w:ascii="Times New Roman" w:hAnsi="Times New Roman" w:eastAsia="宋体" w:cs="Times New Roman"/>
                <w:color w:val="auto"/>
                <w:szCs w:val="21"/>
                <w:highlight w:val="none"/>
              </w:rPr>
              <w:t>墙体隔音</w:t>
            </w:r>
            <w:r>
              <w:rPr>
                <w:rFonts w:hint="default" w:ascii="Times New Roman" w:hAnsi="Times New Roman" w:eastAsia="宋体" w:cs="Times New Roman"/>
                <w:color w:val="auto"/>
                <w:szCs w:val="21"/>
                <w:highlight w:val="none"/>
                <w:lang w:eastAsia="zh-CN"/>
              </w:rPr>
              <w:t>。</w:t>
            </w:r>
          </w:p>
        </w:tc>
        <w:tc>
          <w:tcPr>
            <w:tcW w:w="1762" w:type="dxa"/>
            <w:vAlign w:val="center"/>
          </w:tcPr>
          <w:p w14:paraId="679EA04A">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《工业企业厂界环境噪声排放标准》（GB12348-2008）3</w:t>
            </w:r>
            <w:r>
              <w:rPr>
                <w:rFonts w:hint="default" w:ascii="Times New Roman" w:hAnsi="Times New Roman" w:eastAsia="宋体" w:cs="Times New Roman"/>
                <w:color w:val="auto"/>
                <w:szCs w:val="21"/>
                <w:highlight w:val="none"/>
                <w:lang w:val="en-US" w:eastAsia="zh-CN"/>
              </w:rPr>
              <w:t>类</w:t>
            </w:r>
            <w:r>
              <w:rPr>
                <w:rFonts w:hint="default" w:ascii="Times New Roman" w:hAnsi="Times New Roman" w:eastAsia="宋体" w:cs="Times New Roman"/>
                <w:color w:val="auto"/>
                <w:szCs w:val="21"/>
                <w:highlight w:val="none"/>
              </w:rPr>
              <w:t>标准</w:t>
            </w:r>
          </w:p>
        </w:tc>
      </w:tr>
      <w:tr w14:paraId="7A30A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19" w:hRule="atLeast"/>
          <w:jc w:val="center"/>
        </w:trPr>
        <w:tc>
          <w:tcPr>
            <w:tcW w:w="1229" w:type="dxa"/>
            <w:vAlign w:val="center"/>
          </w:tcPr>
          <w:p w14:paraId="5AE97B10">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电磁辐射</w:t>
            </w:r>
          </w:p>
        </w:tc>
        <w:tc>
          <w:tcPr>
            <w:tcW w:w="1419" w:type="dxa"/>
            <w:vAlign w:val="center"/>
          </w:tcPr>
          <w:p w14:paraId="4A23043B">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080" w:type="dxa"/>
            <w:vAlign w:val="center"/>
          </w:tcPr>
          <w:p w14:paraId="3C662918">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310" w:type="dxa"/>
            <w:vAlign w:val="center"/>
          </w:tcPr>
          <w:p w14:paraId="36435982">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762" w:type="dxa"/>
            <w:vAlign w:val="center"/>
          </w:tcPr>
          <w:p w14:paraId="50CD9742">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14:paraId="28AD82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229" w:type="dxa"/>
            <w:vAlign w:val="center"/>
          </w:tcPr>
          <w:p w14:paraId="3682CEAA">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固体废物</w:t>
            </w:r>
          </w:p>
        </w:tc>
        <w:tc>
          <w:tcPr>
            <w:tcW w:w="7571" w:type="dxa"/>
            <w:gridSpan w:val="4"/>
            <w:vAlign w:val="center"/>
          </w:tcPr>
          <w:p w14:paraId="3E11427F">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项目产生的一般工业固体废物统一收集后交由物资</w:t>
            </w:r>
            <w:r>
              <w:rPr>
                <w:rFonts w:hint="eastAsia" w:cs="Times New Roman"/>
                <w:color w:val="auto"/>
                <w:sz w:val="24"/>
                <w:highlight w:val="none"/>
                <w:lang w:val="en-US" w:eastAsia="zh-CN"/>
              </w:rPr>
              <w:t>回收</w:t>
            </w:r>
            <w:r>
              <w:rPr>
                <w:rFonts w:hint="default" w:ascii="Times New Roman" w:hAnsi="Times New Roman" w:eastAsia="宋体" w:cs="Times New Roman"/>
                <w:color w:val="auto"/>
                <w:sz w:val="24"/>
                <w:highlight w:val="none"/>
                <w:lang w:val="en-US" w:eastAsia="zh-CN"/>
              </w:rPr>
              <w:t>部门回收再利用；危险废物统一收集后暂存于危险废物暂存间，定期交由</w:t>
            </w:r>
            <w:r>
              <w:rPr>
                <w:rFonts w:hint="eastAsia" w:cs="Times New Roman"/>
                <w:color w:val="auto"/>
                <w:sz w:val="24"/>
                <w:highlight w:val="none"/>
                <w:lang w:val="en-US" w:eastAsia="zh-CN"/>
              </w:rPr>
              <w:t>资质单位</w:t>
            </w:r>
            <w:r>
              <w:rPr>
                <w:rFonts w:hint="default" w:ascii="Times New Roman" w:hAnsi="Times New Roman" w:eastAsia="宋体" w:cs="Times New Roman"/>
                <w:color w:val="auto"/>
                <w:sz w:val="24"/>
                <w:highlight w:val="none"/>
                <w:lang w:val="en-US" w:eastAsia="zh-CN"/>
              </w:rPr>
              <w:t>处置</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生活垃圾统一收集后交环卫部门定期清运。</w:t>
            </w:r>
          </w:p>
          <w:p w14:paraId="3A9B93B3">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生活垃圾处理执行《中华人民共和国固体废物污染环境防治法》（2020年版）及《北京市生活垃圾管理条例》（2020年5月1日起施行，2020年9月25日第二次修正）中的有关规定。</w:t>
            </w:r>
          </w:p>
          <w:p w14:paraId="7D7E1D01">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一般工业固体废物处置执行《中华人民共和国固体废物污染环境防治法》（2020年9月1日起施行）、《一般工业固体废物贮存和填埋污染控制标准》（GB18599-2020）中的有关规定。</w:t>
            </w:r>
          </w:p>
          <w:p w14:paraId="6A2BAD8A">
            <w:pPr>
              <w:snapToGrid w:val="0"/>
              <w:spacing w:line="360" w:lineRule="auto"/>
              <w:ind w:firstLine="48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4"/>
                <w:highlight w:val="none"/>
              </w:rPr>
              <w:t>危险废物收集、储存、转运执行《北京市危险废物污染环境防治条例》、（2020年9月1日实施）、《危险废物收集贮存运输技术规范》（HJ2025-2012）、《危险废物贮存污染控制标准》（GB18597-2023）、《危险废物污染防治技术政策》（环发[2021]199号）和《危险废物转移管理办法》（2022年1月1日起施行）中的有关规定。</w:t>
            </w:r>
          </w:p>
        </w:tc>
      </w:tr>
      <w:tr w14:paraId="014B44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229" w:type="dxa"/>
            <w:vAlign w:val="center"/>
          </w:tcPr>
          <w:p w14:paraId="238147AD">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土壤及地下水污染防治措施</w:t>
            </w:r>
          </w:p>
        </w:tc>
        <w:tc>
          <w:tcPr>
            <w:tcW w:w="7571" w:type="dxa"/>
            <w:gridSpan w:val="4"/>
            <w:vAlign w:val="center"/>
          </w:tcPr>
          <w:p w14:paraId="31A77BF5">
            <w:pPr>
              <w:snapToGrid w:val="0"/>
              <w:spacing w:line="360" w:lineRule="auto"/>
              <w:ind w:firstLine="48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4"/>
                <w:highlight w:val="none"/>
                <w:lang w:val="en-US" w:eastAsia="zh-CN"/>
              </w:rPr>
              <w:t>本项目防渗分区划分为重点防渗区、一般防渗区和简单防渗区。</w:t>
            </w:r>
            <w:r>
              <w:rPr>
                <w:rFonts w:hint="default" w:ascii="Times New Roman" w:hAnsi="Times New Roman" w:eastAsia="宋体" w:cs="Times New Roman"/>
                <w:color w:val="auto"/>
                <w:sz w:val="24"/>
                <w:highlight w:val="red"/>
                <w:lang w:val="en-US" w:eastAsia="zh-CN"/>
              </w:rPr>
              <w:t>危险废物暂存间、</w:t>
            </w:r>
            <w:r>
              <w:rPr>
                <w:rFonts w:hint="eastAsia" w:ascii="Times New Roman" w:hAnsi="Times New Roman" w:eastAsia="宋体" w:cs="Times New Roman"/>
                <w:color w:val="auto"/>
                <w:sz w:val="24"/>
                <w:highlight w:val="red"/>
                <w:lang w:val="en-US" w:eastAsia="zh-CN"/>
              </w:rPr>
              <w:t>试剂</w:t>
            </w:r>
            <w:r>
              <w:rPr>
                <w:rFonts w:hint="eastAsia" w:cs="Times New Roman"/>
                <w:color w:val="auto"/>
                <w:sz w:val="24"/>
                <w:highlight w:val="red"/>
                <w:lang w:val="en-US" w:eastAsia="zh-CN"/>
              </w:rPr>
              <w:t>间</w:t>
            </w:r>
            <w:r>
              <w:rPr>
                <w:rFonts w:hint="eastAsia" w:ascii="Times New Roman" w:hAnsi="Times New Roman" w:eastAsia="宋体" w:cs="Times New Roman"/>
                <w:color w:val="auto"/>
                <w:sz w:val="24"/>
                <w:highlight w:val="red"/>
                <w:lang w:val="en-US" w:eastAsia="zh-CN"/>
              </w:rPr>
              <w:t>、</w:t>
            </w:r>
            <w:r>
              <w:rPr>
                <w:rFonts w:hint="eastAsia" w:cs="Times New Roman"/>
                <w:color w:val="auto"/>
                <w:sz w:val="24"/>
                <w:highlight w:val="red"/>
                <w:lang w:val="en-US" w:eastAsia="zh-CN"/>
              </w:rPr>
              <w:t>研发生产区</w:t>
            </w:r>
            <w:r>
              <w:rPr>
                <w:rFonts w:hint="default" w:ascii="Times New Roman" w:hAnsi="Times New Roman" w:eastAsia="宋体" w:cs="Times New Roman"/>
                <w:color w:val="auto"/>
                <w:sz w:val="24"/>
                <w:highlight w:val="red"/>
                <w:lang w:val="en-US" w:eastAsia="zh-CN"/>
              </w:rPr>
              <w:t>为重点防渗区，危险废物暂存</w:t>
            </w:r>
            <w:r>
              <w:rPr>
                <w:rFonts w:hint="default" w:ascii="Times New Roman" w:hAnsi="Times New Roman" w:eastAsia="宋体" w:cs="Times New Roman"/>
                <w:color w:val="auto"/>
                <w:sz w:val="24"/>
                <w:highlight w:val="none"/>
                <w:lang w:val="en-US" w:eastAsia="zh-CN"/>
              </w:rPr>
              <w:t>间地面与裙脚采取表面防渗措施，使用2mm厚高密度聚乙烯膜或其他防渗材料（渗透系数不大于10</w:t>
            </w:r>
            <w:r>
              <w:rPr>
                <w:rFonts w:hint="default" w:ascii="Times New Roman" w:hAnsi="Times New Roman" w:eastAsia="宋体" w:cs="Times New Roman"/>
                <w:color w:val="auto"/>
                <w:sz w:val="24"/>
                <w:highlight w:val="none"/>
                <w:vertAlign w:val="superscript"/>
                <w:lang w:val="en-US" w:eastAsia="zh-CN"/>
              </w:rPr>
              <w:t>-10</w:t>
            </w:r>
            <w:r>
              <w:rPr>
                <w:rFonts w:hint="default" w:ascii="Times New Roman" w:hAnsi="Times New Roman" w:eastAsia="宋体" w:cs="Times New Roman"/>
                <w:color w:val="auto"/>
                <w:sz w:val="24"/>
                <w:highlight w:val="none"/>
                <w:lang w:val="en-US" w:eastAsia="zh-CN"/>
              </w:rPr>
              <w:t>cm/s）；</w:t>
            </w:r>
            <w:r>
              <w:rPr>
                <w:rFonts w:hint="eastAsia" w:cs="Times New Roman"/>
                <w:color w:val="auto"/>
                <w:sz w:val="24"/>
                <w:highlight w:val="none"/>
                <w:lang w:val="en-US" w:eastAsia="zh-CN"/>
              </w:rPr>
              <w:t>库房</w:t>
            </w:r>
            <w:r>
              <w:rPr>
                <w:rFonts w:hint="default" w:ascii="Times New Roman" w:hAnsi="Times New Roman" w:eastAsia="宋体" w:cs="Times New Roman"/>
                <w:color w:val="auto"/>
                <w:sz w:val="24"/>
                <w:highlight w:val="none"/>
                <w:lang w:val="en-US" w:eastAsia="zh-CN"/>
              </w:rPr>
              <w:t>为一般防渗区，采取等效黏土防渗层Mb≥1.5m，K≤1.0×10</w:t>
            </w:r>
            <w:r>
              <w:rPr>
                <w:rFonts w:hint="default" w:ascii="Times New Roman" w:hAnsi="Times New Roman" w:eastAsia="宋体" w:cs="Times New Roman"/>
                <w:color w:val="auto"/>
                <w:sz w:val="24"/>
                <w:highlight w:val="none"/>
                <w:vertAlign w:val="superscript"/>
                <w:lang w:val="en-US" w:eastAsia="zh-CN"/>
              </w:rPr>
              <w:t>-7</w:t>
            </w:r>
            <w:r>
              <w:rPr>
                <w:rFonts w:hint="default" w:ascii="Times New Roman" w:hAnsi="Times New Roman" w:eastAsia="宋体" w:cs="Times New Roman"/>
                <w:color w:val="auto"/>
                <w:sz w:val="24"/>
                <w:highlight w:val="none"/>
                <w:lang w:val="en-US" w:eastAsia="zh-CN"/>
              </w:rPr>
              <w:t>cm/s</w:t>
            </w:r>
            <w:r>
              <w:rPr>
                <w:rFonts w:hint="eastAsia" w:cs="Times New Roman"/>
                <w:color w:val="auto"/>
                <w:sz w:val="24"/>
                <w:highlight w:val="none"/>
                <w:lang w:val="en-US" w:eastAsia="zh-CN"/>
              </w:rPr>
              <w:t>进行防渗</w:t>
            </w:r>
            <w:r>
              <w:rPr>
                <w:rFonts w:hint="default" w:ascii="Times New Roman" w:hAnsi="Times New Roman" w:eastAsia="宋体" w:cs="Times New Roman"/>
                <w:color w:val="auto"/>
                <w:sz w:val="24"/>
                <w:highlight w:val="none"/>
                <w:lang w:val="en-US" w:eastAsia="zh-CN"/>
              </w:rPr>
              <w:t>；办公区域为简单防渗区，防渗要求为一般地面硬化。</w:t>
            </w:r>
          </w:p>
        </w:tc>
      </w:tr>
      <w:tr w14:paraId="218C2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1229" w:type="dxa"/>
            <w:vAlign w:val="center"/>
          </w:tcPr>
          <w:p w14:paraId="3F80EBC5">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生态保护措施</w:t>
            </w:r>
          </w:p>
        </w:tc>
        <w:tc>
          <w:tcPr>
            <w:tcW w:w="7571" w:type="dxa"/>
            <w:gridSpan w:val="4"/>
            <w:vAlign w:val="center"/>
          </w:tcPr>
          <w:p w14:paraId="4FE1B93C">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p>
        </w:tc>
      </w:tr>
      <w:tr w14:paraId="0279A2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229" w:type="dxa"/>
            <w:vAlign w:val="center"/>
          </w:tcPr>
          <w:p w14:paraId="17FB164A">
            <w:pPr>
              <w:adjustRightInd w:val="0"/>
              <w:snapToGrid w:val="0"/>
              <w:jc w:val="center"/>
              <w:rPr>
                <w:rFonts w:hint="default" w:ascii="Times New Roman" w:hAnsi="Times New Roman" w:eastAsia="宋体" w:cs="Times New Roman"/>
                <w:color w:val="auto"/>
                <w:spacing w:val="-8"/>
                <w:sz w:val="24"/>
                <w:highlight w:val="none"/>
              </w:rPr>
            </w:pPr>
            <w:r>
              <w:rPr>
                <w:rFonts w:hint="default" w:ascii="Times New Roman" w:hAnsi="Times New Roman" w:eastAsia="宋体" w:cs="Times New Roman"/>
                <w:color w:val="auto"/>
                <w:spacing w:val="-8"/>
                <w:sz w:val="24"/>
                <w:highlight w:val="none"/>
              </w:rPr>
              <w:t>环境风险防范措施</w:t>
            </w:r>
          </w:p>
        </w:tc>
        <w:tc>
          <w:tcPr>
            <w:tcW w:w="7571" w:type="dxa"/>
            <w:gridSpan w:val="4"/>
            <w:vAlign w:val="center"/>
          </w:tcPr>
          <w:p w14:paraId="0705DBD5">
            <w:pPr>
              <w:snapToGrid w:val="0"/>
              <w:spacing w:line="360" w:lineRule="auto"/>
              <w:ind w:left="0" w:leftChars="0" w:firstLine="0" w:firstLineChars="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1.制定突发环境事故应急预案，并</w:t>
            </w:r>
            <w:r>
              <w:rPr>
                <w:rFonts w:hint="eastAsia" w:cs="Times New Roman"/>
                <w:color w:val="auto"/>
                <w:sz w:val="24"/>
                <w:highlight w:val="none"/>
                <w:lang w:val="en-US" w:eastAsia="zh-CN"/>
              </w:rPr>
              <w:t>与</w:t>
            </w:r>
            <w:r>
              <w:rPr>
                <w:rFonts w:hint="eastAsia" w:ascii="Times New Roman" w:hAnsi="Times New Roman" w:eastAsia="宋体" w:cs="Times New Roman"/>
                <w:color w:val="auto"/>
                <w:sz w:val="24"/>
                <w:highlight w:val="none"/>
                <w:lang w:val="en-US" w:eastAsia="zh-CN"/>
              </w:rPr>
              <w:t>园区、</w:t>
            </w:r>
            <w:r>
              <w:rPr>
                <w:rFonts w:hint="eastAsia" w:cs="Times New Roman"/>
                <w:color w:val="auto"/>
                <w:sz w:val="24"/>
                <w:highlight w:val="none"/>
                <w:lang w:val="en-US" w:eastAsia="zh-CN"/>
              </w:rPr>
              <w:t>地方主管部门</w:t>
            </w:r>
            <w:r>
              <w:rPr>
                <w:rFonts w:hint="eastAsia" w:ascii="Times New Roman" w:hAnsi="Times New Roman" w:eastAsia="宋体" w:cs="Times New Roman"/>
                <w:color w:val="auto"/>
                <w:sz w:val="24"/>
                <w:highlight w:val="none"/>
                <w:lang w:val="en-US" w:eastAsia="zh-CN"/>
              </w:rPr>
              <w:t>做好衔接。</w:t>
            </w:r>
          </w:p>
          <w:p w14:paraId="79A8EB0D">
            <w:pPr>
              <w:snapToGrid w:val="0"/>
              <w:spacing w:line="360" w:lineRule="auto"/>
              <w:ind w:left="0" w:leftChars="0" w:firstLine="0" w:firstLineChars="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2.做好环境安全隐患排查，建立隐患排查档案。</w:t>
            </w:r>
          </w:p>
          <w:p w14:paraId="56902D69">
            <w:pPr>
              <w:snapToGrid w:val="0"/>
              <w:spacing w:line="360" w:lineRule="auto"/>
              <w:ind w:left="0" w:leftChars="0" w:firstLine="0" w:firstLineChars="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3.加强环境安全培训、教育，提高环境安全意识。</w:t>
            </w:r>
          </w:p>
          <w:p w14:paraId="117C8D50">
            <w:pPr>
              <w:snapToGrid w:val="0"/>
              <w:spacing w:line="360" w:lineRule="auto"/>
              <w:ind w:left="0" w:leftChars="0" w:firstLine="0" w:firstLineChars="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建立</w:t>
            </w:r>
            <w:r>
              <w:rPr>
                <w:rFonts w:hint="default" w:ascii="Times New Roman" w:hAnsi="Times New Roman" w:eastAsia="宋体" w:cs="Times New Roman"/>
                <w:color w:val="auto"/>
                <w:sz w:val="24"/>
                <w:highlight w:val="none"/>
                <w:lang w:val="en-US" w:eastAsia="zh-CN"/>
              </w:rPr>
              <w:t>安全管理制度</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岗位责任制度</w:t>
            </w:r>
            <w:r>
              <w:rPr>
                <w:rFonts w:hint="eastAsia" w:ascii="Times New Roman" w:hAnsi="Times New Roman" w:eastAsia="宋体" w:cs="Times New Roman"/>
                <w:color w:val="auto"/>
                <w:sz w:val="24"/>
                <w:highlight w:val="none"/>
                <w:lang w:val="en-US" w:eastAsia="zh-CN"/>
              </w:rPr>
              <w:t>，明确各类人员的安全环境</w:t>
            </w:r>
            <w:r>
              <w:rPr>
                <w:rFonts w:hint="eastAsia" w:cs="Times New Roman"/>
                <w:color w:val="auto"/>
                <w:sz w:val="24"/>
                <w:highlight w:val="none"/>
                <w:lang w:val="en-US" w:eastAsia="zh-CN"/>
              </w:rPr>
              <w:t>职责</w:t>
            </w:r>
            <w:r>
              <w:rPr>
                <w:rFonts w:hint="eastAsia" w:ascii="Times New Roman" w:hAnsi="Times New Roman" w:eastAsia="宋体" w:cs="Times New Roman"/>
                <w:color w:val="auto"/>
                <w:sz w:val="24"/>
                <w:highlight w:val="none"/>
                <w:lang w:val="en-US" w:eastAsia="zh-CN"/>
              </w:rPr>
              <w:t>。</w:t>
            </w:r>
          </w:p>
          <w:p w14:paraId="459EA6A9">
            <w:pPr>
              <w:snapToGrid w:val="0"/>
              <w:spacing w:line="360" w:lineRule="auto"/>
              <w:ind w:left="0" w:leftChars="0" w:firstLine="0" w:firstLineChars="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5</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建立操作规程，严格按照规程操作，工作人员</w:t>
            </w:r>
            <w:r>
              <w:rPr>
                <w:rFonts w:hint="eastAsia" w:cs="Times New Roman"/>
                <w:color w:val="auto"/>
                <w:sz w:val="24"/>
                <w:highlight w:val="none"/>
                <w:lang w:val="en-US" w:eastAsia="zh-CN"/>
              </w:rPr>
              <w:t>研发生产</w:t>
            </w:r>
            <w:r>
              <w:rPr>
                <w:rFonts w:hint="eastAsia" w:ascii="Times New Roman" w:hAnsi="Times New Roman" w:eastAsia="宋体" w:cs="Times New Roman"/>
                <w:color w:val="auto"/>
                <w:sz w:val="24"/>
                <w:highlight w:val="none"/>
                <w:lang w:val="en-US" w:eastAsia="zh-CN"/>
              </w:rPr>
              <w:t>操作期间密切关注</w:t>
            </w:r>
            <w:r>
              <w:rPr>
                <w:rFonts w:hint="eastAsia" w:cs="Times New Roman"/>
                <w:color w:val="auto"/>
                <w:sz w:val="24"/>
                <w:highlight w:val="none"/>
                <w:lang w:val="en-US" w:eastAsia="zh-CN"/>
              </w:rPr>
              <w:t>工作</w:t>
            </w:r>
            <w:r>
              <w:rPr>
                <w:rFonts w:hint="eastAsia" w:ascii="Times New Roman" w:hAnsi="Times New Roman" w:eastAsia="宋体" w:cs="Times New Roman"/>
                <w:color w:val="auto"/>
                <w:sz w:val="24"/>
                <w:highlight w:val="none"/>
                <w:lang w:val="en-US" w:eastAsia="zh-CN"/>
              </w:rPr>
              <w:t>过程，不可擅自离岗，</w:t>
            </w:r>
            <w:r>
              <w:rPr>
                <w:rFonts w:hint="default" w:ascii="Times New Roman" w:hAnsi="Times New Roman" w:eastAsia="宋体" w:cs="Times New Roman"/>
                <w:color w:val="auto"/>
                <w:sz w:val="24"/>
                <w:highlight w:val="none"/>
              </w:rPr>
              <w:t>在危险物质储存场所内设置灭火器，并配备一定数量的自给式呼吸器、消防防护服等</w:t>
            </w:r>
            <w:r>
              <w:rPr>
                <w:rFonts w:hint="eastAsia" w:cs="Times New Roman"/>
                <w:color w:val="auto"/>
                <w:sz w:val="24"/>
                <w:highlight w:val="none"/>
                <w:lang w:eastAsia="zh-CN"/>
              </w:rPr>
              <w:t>。</w:t>
            </w:r>
          </w:p>
          <w:p w14:paraId="6C210DDE">
            <w:pPr>
              <w:snapToGrid w:val="0"/>
              <w:spacing w:line="360" w:lineRule="auto"/>
              <w:ind w:left="0" w:leftChars="0" w:firstLine="0" w:firstLineChars="0"/>
              <w:rPr>
                <w:rFonts w:hint="eastAsia" w:ascii="Times New Roman" w:hAnsi="Times New Roman" w:eastAsia="宋体" w:cs="Times New Roman"/>
                <w:color w:val="auto"/>
                <w:sz w:val="24"/>
                <w:highlight w:val="none"/>
                <w:lang w:eastAsia="zh-CN"/>
              </w:rPr>
            </w:pP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rPr>
              <w:t>加强火源的管理，</w:t>
            </w:r>
            <w:r>
              <w:rPr>
                <w:rFonts w:hint="eastAsia" w:ascii="Times New Roman" w:hAnsi="Times New Roman" w:eastAsia="宋体" w:cs="Times New Roman"/>
                <w:color w:val="auto"/>
                <w:sz w:val="24"/>
                <w:highlight w:val="none"/>
                <w:lang w:val="en-US" w:eastAsia="zh-CN"/>
              </w:rPr>
              <w:t>建设火灾报警装置并定期校验，确保使用效能，</w:t>
            </w:r>
            <w:r>
              <w:rPr>
                <w:rFonts w:hint="default" w:ascii="Times New Roman" w:hAnsi="Times New Roman" w:eastAsia="宋体" w:cs="Times New Roman"/>
                <w:color w:val="auto"/>
                <w:sz w:val="24"/>
                <w:highlight w:val="none"/>
              </w:rPr>
              <w:t>严禁烟火带入，危险物质储存场所应设有明显的禁止烟火安全标志</w:t>
            </w:r>
            <w:r>
              <w:rPr>
                <w:rFonts w:hint="eastAsia" w:ascii="Times New Roman" w:hAnsi="Times New Roman" w:eastAsia="宋体" w:cs="Times New Roman"/>
                <w:color w:val="auto"/>
                <w:sz w:val="24"/>
                <w:highlight w:val="none"/>
                <w:lang w:eastAsia="zh-CN"/>
              </w:rPr>
              <w:t>。</w:t>
            </w:r>
          </w:p>
          <w:p w14:paraId="3E520990">
            <w:pPr>
              <w:snapToGrid w:val="0"/>
              <w:spacing w:line="360" w:lineRule="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lang w:val="en-US" w:eastAsia="zh-CN"/>
              </w:rPr>
              <w:t>定期开展安全风险辨识评估，</w:t>
            </w:r>
            <w:r>
              <w:rPr>
                <w:rFonts w:hint="eastAsia" w:cs="Times New Roman"/>
                <w:color w:val="auto"/>
                <w:sz w:val="24"/>
                <w:highlight w:val="none"/>
                <w:lang w:val="en-US" w:eastAsia="zh-CN"/>
              </w:rPr>
              <w:t>完善安全防范设施</w:t>
            </w:r>
            <w:r>
              <w:rPr>
                <w:rFonts w:hint="default" w:ascii="Times New Roman" w:hAnsi="Times New Roman" w:eastAsia="宋体" w:cs="Times New Roman"/>
                <w:color w:val="auto"/>
                <w:sz w:val="24"/>
                <w:highlight w:val="none"/>
                <w:lang w:val="en-US" w:eastAsia="zh-CN"/>
              </w:rPr>
              <w:t>。</w:t>
            </w:r>
          </w:p>
        </w:tc>
      </w:tr>
      <w:tr w14:paraId="757CA5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229" w:type="dxa"/>
            <w:vAlign w:val="center"/>
          </w:tcPr>
          <w:p w14:paraId="24AA0946">
            <w:pPr>
              <w:adjustRightInd w:val="0"/>
              <w:snapToGrid w:val="0"/>
              <w:jc w:val="center"/>
              <w:rPr>
                <w:rFonts w:hint="default" w:ascii="Times New Roman" w:hAnsi="Times New Roman" w:eastAsia="宋体" w:cs="Times New Roman"/>
                <w:color w:val="auto"/>
                <w:spacing w:val="-8"/>
                <w:sz w:val="24"/>
                <w:highlight w:val="none"/>
              </w:rPr>
            </w:pPr>
            <w:r>
              <w:rPr>
                <w:rFonts w:hint="default" w:ascii="Times New Roman" w:hAnsi="Times New Roman" w:eastAsia="宋体" w:cs="Times New Roman"/>
                <w:color w:val="auto"/>
                <w:spacing w:val="-8"/>
                <w:sz w:val="24"/>
                <w:highlight w:val="none"/>
              </w:rPr>
              <w:t>其他环境管理要求</w:t>
            </w:r>
          </w:p>
        </w:tc>
        <w:tc>
          <w:tcPr>
            <w:tcW w:w="7571" w:type="dxa"/>
            <w:gridSpan w:val="4"/>
            <w:vAlign w:val="center"/>
          </w:tcPr>
          <w:p w14:paraId="794D7C00">
            <w:pPr>
              <w:snapToGrid w:val="0"/>
              <w:spacing w:line="360" w:lineRule="auto"/>
              <w:ind w:firstLine="482" w:firstLineChars="200"/>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与排污许可制衔接要求</w:t>
            </w:r>
          </w:p>
          <w:p w14:paraId="016375BD">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根据《国民经济行业分类》（GB/T4754-2017），本项目属于</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医疗实验室及医用消毒设备和器具制造</w:t>
            </w:r>
            <w:r>
              <w:rPr>
                <w:rFonts w:hint="eastAsia" w:ascii="Times New Roman" w:hAnsi="Times New Roman" w:eastAsia="宋体" w:cs="Times New Roman"/>
                <w:color w:val="auto"/>
                <w:sz w:val="24"/>
                <w:highlight w:val="none"/>
                <w:lang w:val="en-US" w:eastAsia="zh-CN"/>
              </w:rPr>
              <w:t>C3583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。对照《固定污染源排污许可分类管理名录》（2019版），本项目</w:t>
            </w:r>
            <w:r>
              <w:rPr>
                <w:rFonts w:hint="eastAsia" w:cs="Times New Roman"/>
                <w:color w:val="auto"/>
                <w:sz w:val="24"/>
                <w:highlight w:val="none"/>
                <w:lang w:val="en-US" w:eastAsia="zh-CN"/>
              </w:rPr>
              <w:t>属于排污许可登记管理</w:t>
            </w:r>
            <w:r>
              <w:rPr>
                <w:rFonts w:hint="default" w:ascii="Times New Roman" w:hAnsi="Times New Roman" w:eastAsia="宋体" w:cs="Times New Roman"/>
                <w:color w:val="auto"/>
                <w:sz w:val="24"/>
                <w:highlight w:val="none"/>
              </w:rPr>
              <w:t>。</w:t>
            </w:r>
          </w:p>
          <w:p w14:paraId="685561DD">
            <w:pPr>
              <w:snapToGrid w:val="0"/>
              <w:spacing w:before="120" w:beforeLines="50" w:line="360" w:lineRule="auto"/>
              <w:ind w:firstLine="482" w:firstLineChars="200"/>
              <w:rPr>
                <w:rFonts w:hint="default" w:ascii="Times New Roman" w:hAnsi="Times New Roman" w:eastAsia="宋体" w:cs="Times New Roman"/>
                <w:b/>
                <w:bCs w:val="0"/>
                <w:color w:val="auto"/>
                <w:sz w:val="24"/>
                <w:highlight w:val="none"/>
              </w:rPr>
            </w:pPr>
            <w:r>
              <w:rPr>
                <w:rFonts w:hint="eastAsia" w:cs="Times New Roman"/>
                <w:b/>
                <w:bCs w:val="0"/>
                <w:color w:val="auto"/>
                <w:sz w:val="24"/>
                <w:highlight w:val="none"/>
                <w:lang w:val="en-US" w:eastAsia="zh-CN"/>
              </w:rPr>
              <w:t>2、</w:t>
            </w:r>
            <w:r>
              <w:rPr>
                <w:rFonts w:hint="eastAsia" w:cs="Times New Roman"/>
                <w:b/>
                <w:bCs/>
                <w:color w:val="auto"/>
                <w:sz w:val="24"/>
                <w:highlight w:val="none"/>
                <w:lang w:val="en-US" w:eastAsia="zh-CN"/>
              </w:rPr>
              <w:t>排污口</w:t>
            </w:r>
            <w:r>
              <w:rPr>
                <w:rFonts w:hint="default" w:ascii="Times New Roman" w:hAnsi="Times New Roman" w:eastAsia="宋体" w:cs="Times New Roman"/>
                <w:b/>
                <w:bCs/>
                <w:color w:val="auto"/>
                <w:sz w:val="24"/>
                <w:highlight w:val="none"/>
                <w:lang w:val="en-US" w:eastAsia="zh-CN"/>
              </w:rPr>
              <w:t>标志牌设置</w:t>
            </w:r>
          </w:p>
          <w:p w14:paraId="423C3FE1">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排污口设置应符合《环境保护图形标志》（</w:t>
            </w:r>
            <w:r>
              <w:rPr>
                <w:rFonts w:hint="default" w:ascii="Times New Roman" w:hAnsi="Times New Roman" w:eastAsia="宋体" w:cs="Times New Roman"/>
                <w:color w:val="auto"/>
                <w:sz w:val="24"/>
                <w:highlight w:val="none"/>
                <w:lang w:val="en-US" w:eastAsia="zh-CN"/>
              </w:rPr>
              <w:t>GB15562.1-1995</w:t>
            </w:r>
            <w:r>
              <w:rPr>
                <w:rFonts w:hint="eastAsia" w:ascii="Times New Roman" w:hAnsi="Times New Roman" w:eastAsia="宋体" w:cs="Times New Roman"/>
                <w:color w:val="auto"/>
                <w:sz w:val="24"/>
                <w:highlight w:val="none"/>
                <w:lang w:val="en-US" w:eastAsia="zh-CN"/>
              </w:rPr>
              <w:t>）、《环境保护图形标志》（</w:t>
            </w:r>
            <w:r>
              <w:rPr>
                <w:rFonts w:hint="default" w:ascii="Times New Roman" w:hAnsi="Times New Roman" w:eastAsia="宋体" w:cs="Times New Roman"/>
                <w:color w:val="auto"/>
                <w:sz w:val="24"/>
                <w:highlight w:val="none"/>
                <w:lang w:val="en-US" w:eastAsia="zh-CN"/>
              </w:rPr>
              <w:t>GB15562.2-1995</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《环境保护图形标志</w:t>
            </w:r>
            <w:r>
              <w:rPr>
                <w:rFonts w:hint="eastAsia" w:cs="Times New Roman"/>
                <w:color w:val="auto"/>
                <w:sz w:val="24"/>
                <w:highlight w:val="none"/>
                <w:lang w:val="en-US" w:eastAsia="zh-CN"/>
              </w:rPr>
              <w:t>—固体废物贮存（处置）场</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GB15562.2-1995</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修改单（2023年2月3日发布）、</w:t>
            </w:r>
            <w:r>
              <w:rPr>
                <w:rFonts w:hint="eastAsia" w:ascii="Times New Roman" w:hAnsi="Times New Roman" w:eastAsia="宋体" w:cs="Times New Roman"/>
                <w:color w:val="auto"/>
                <w:sz w:val="24"/>
                <w:highlight w:val="none"/>
                <w:lang w:val="en-US" w:eastAsia="zh-CN"/>
              </w:rPr>
              <w:t>《危险废物识别标志设置技术规范》（</w:t>
            </w:r>
            <w:r>
              <w:rPr>
                <w:rFonts w:hint="default" w:ascii="Times New Roman" w:hAnsi="Times New Roman" w:eastAsia="宋体" w:cs="Times New Roman"/>
                <w:color w:val="auto"/>
                <w:sz w:val="24"/>
                <w:highlight w:val="none"/>
                <w:lang w:val="en-US" w:eastAsia="zh-CN"/>
              </w:rPr>
              <w:t>HJ1276-2022</w:t>
            </w:r>
            <w:r>
              <w:rPr>
                <w:rFonts w:hint="eastAsia" w:ascii="Times New Roman" w:hAnsi="Times New Roman" w:eastAsia="宋体" w:cs="Times New Roman"/>
                <w:color w:val="auto"/>
                <w:sz w:val="24"/>
                <w:highlight w:val="none"/>
                <w:lang w:val="en-US" w:eastAsia="zh-CN"/>
              </w:rPr>
              <w:t>）的规定。</w:t>
            </w:r>
          </w:p>
          <w:p w14:paraId="56A26EA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本项目排污口为污水总排口1个（</w:t>
            </w:r>
            <w:r>
              <w:rPr>
                <w:rFonts w:hint="eastAsia" w:cs="Times New Roman"/>
                <w:color w:val="auto"/>
                <w:sz w:val="24"/>
                <w:highlight w:val="none"/>
                <w:lang w:val="en-US" w:eastAsia="zh-CN"/>
              </w:rPr>
              <w:t>本幢楼东</w:t>
            </w:r>
            <w:r>
              <w:rPr>
                <w:rFonts w:hint="default" w:ascii="Times New Roman" w:hAnsi="Times New Roman" w:eastAsia="宋体" w:cs="Times New Roman"/>
                <w:color w:val="auto"/>
                <w:sz w:val="24"/>
                <w:highlight w:val="none"/>
              </w:rPr>
              <w:t>侧）。建设项目设置排污口应符合</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一明显、二合理、三便于</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的要求，即环保标志明显；排污口设置合理，排污去向合理；便于采集样品、便于监测计算、便于公众参与监督管理。</w:t>
            </w:r>
            <w:r>
              <w:rPr>
                <w:rFonts w:hint="default" w:ascii="Times New Roman" w:hAnsi="Times New Roman" w:eastAsia="宋体" w:cs="Times New Roman"/>
                <w:color w:val="auto"/>
                <w:sz w:val="24"/>
                <w:highlight w:val="none"/>
                <w:lang w:val="en-US" w:eastAsia="zh-CN"/>
              </w:rPr>
              <w:t>具体标志牌示意图详见下表。</w:t>
            </w:r>
          </w:p>
          <w:p w14:paraId="40B2F56B">
            <w:pPr>
              <w:numPr>
                <w:ilvl w:val="0"/>
                <w:numId w:val="33"/>
              </w:numPr>
              <w:adjustRightInd w:val="0"/>
              <w:spacing w:line="360" w:lineRule="auto"/>
              <w:ind w:left="425" w:leftChars="0" w:hanging="425" w:firstLineChars="0"/>
              <w:jc w:val="center"/>
              <w:rPr>
                <w:rFonts w:hint="default" w:ascii="Times New Roman" w:hAnsi="Times New Roman" w:eastAsia="宋体" w:cs="Times New Roman"/>
                <w:b/>
                <w:color w:val="auto"/>
                <w:spacing w:val="-4"/>
                <w:kern w:val="0"/>
                <w:sz w:val="24"/>
                <w:highlight w:val="none"/>
              </w:rPr>
            </w:pPr>
            <w:r>
              <w:rPr>
                <w:rFonts w:hint="default" w:ascii="Times New Roman" w:hAnsi="Times New Roman" w:eastAsia="宋体" w:cs="Times New Roman"/>
                <w:b/>
                <w:color w:val="auto"/>
                <w:spacing w:val="-4"/>
                <w:kern w:val="0"/>
                <w:sz w:val="24"/>
                <w:highlight w:val="none"/>
              </w:rPr>
              <w:t>环境</w:t>
            </w:r>
            <w:r>
              <w:rPr>
                <w:rFonts w:hint="default" w:ascii="Times New Roman" w:hAnsi="Times New Roman" w:eastAsia="宋体" w:cs="Times New Roman"/>
                <w:b/>
                <w:color w:val="auto"/>
                <w:sz w:val="24"/>
                <w:highlight w:val="none"/>
              </w:rPr>
              <w:t>保护</w:t>
            </w:r>
            <w:r>
              <w:rPr>
                <w:rFonts w:hint="default" w:ascii="Times New Roman" w:hAnsi="Times New Roman" w:eastAsia="宋体" w:cs="Times New Roman"/>
                <w:b/>
                <w:color w:val="auto"/>
                <w:spacing w:val="-4"/>
                <w:kern w:val="0"/>
                <w:sz w:val="24"/>
                <w:highlight w:val="none"/>
              </w:rPr>
              <w:t>图形符号一览表</w:t>
            </w:r>
          </w:p>
          <w:tbl>
            <w:tblPr>
              <w:tblStyle w:val="23"/>
              <w:tblW w:w="4900" w:type="pct"/>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11"/>
              <w:gridCol w:w="1663"/>
              <w:gridCol w:w="1655"/>
              <w:gridCol w:w="1603"/>
              <w:gridCol w:w="1576"/>
            </w:tblGrid>
            <w:tr w14:paraId="47B3145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02" w:type="dxa"/>
                  <w:tcBorders>
                    <w:tl2br w:val="nil"/>
                    <w:tr2bl w:val="nil"/>
                  </w:tcBorders>
                  <w:vAlign w:val="center"/>
                </w:tcPr>
                <w:p w14:paraId="43A40C60">
                  <w:pPr>
                    <w:pStyle w:val="20"/>
                    <w:widowControl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438" w:type="dxa"/>
                  <w:tcBorders>
                    <w:tl2br w:val="nil"/>
                    <w:tr2bl w:val="nil"/>
                  </w:tcBorders>
                  <w:vAlign w:val="center"/>
                </w:tcPr>
                <w:p w14:paraId="532B7674">
                  <w:pPr>
                    <w:pStyle w:val="20"/>
                    <w:widowControl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废水排放口</w:t>
                  </w:r>
                </w:p>
              </w:tc>
              <w:tc>
                <w:tcPr>
                  <w:tcW w:w="1431" w:type="dxa"/>
                  <w:tcBorders>
                    <w:tl2br w:val="nil"/>
                    <w:tr2bl w:val="nil"/>
                  </w:tcBorders>
                  <w:vAlign w:val="center"/>
                </w:tcPr>
                <w:p w14:paraId="26CD41E6">
                  <w:pPr>
                    <w:pStyle w:val="20"/>
                    <w:widowControl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噪声排放源</w:t>
                  </w:r>
                </w:p>
              </w:tc>
              <w:tc>
                <w:tcPr>
                  <w:tcW w:w="1386" w:type="dxa"/>
                  <w:tcBorders>
                    <w:tl2br w:val="nil"/>
                    <w:tr2bl w:val="nil"/>
                  </w:tcBorders>
                  <w:vAlign w:val="center"/>
                </w:tcPr>
                <w:p w14:paraId="3D291DAC">
                  <w:pPr>
                    <w:pStyle w:val="20"/>
                    <w:widowControl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一般工业固体废物</w:t>
                  </w:r>
                </w:p>
              </w:tc>
              <w:tc>
                <w:tcPr>
                  <w:tcW w:w="1363" w:type="dxa"/>
                  <w:tcBorders>
                    <w:tl2br w:val="nil"/>
                    <w:tr2bl w:val="nil"/>
                  </w:tcBorders>
                  <w:vAlign w:val="center"/>
                </w:tcPr>
                <w:p w14:paraId="21A1DB0B">
                  <w:pPr>
                    <w:pStyle w:val="20"/>
                    <w:widowControl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w:t>
                  </w:r>
                </w:p>
              </w:tc>
            </w:tr>
            <w:tr w14:paraId="6A54C75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55" w:hRule="atLeast"/>
              </w:trPr>
              <w:tc>
                <w:tcPr>
                  <w:tcW w:w="702" w:type="dxa"/>
                  <w:tcBorders>
                    <w:tl2br w:val="nil"/>
                    <w:tr2bl w:val="nil"/>
                  </w:tcBorders>
                  <w:vAlign w:val="center"/>
                </w:tcPr>
                <w:p w14:paraId="6BB27A29">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提示图形符号</w:t>
                  </w:r>
                </w:p>
              </w:tc>
              <w:tc>
                <w:tcPr>
                  <w:tcW w:w="1438" w:type="dxa"/>
                  <w:tcBorders>
                    <w:tl2br w:val="nil"/>
                    <w:tr2bl w:val="nil"/>
                  </w:tcBorders>
                  <w:vAlign w:val="center"/>
                </w:tcPr>
                <w:p w14:paraId="43E3FA41">
                  <w:pPr>
                    <w:pStyle w:val="20"/>
                    <w:widowControl w:val="0"/>
                    <w:snapToGri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737870" cy="709295"/>
                        <wp:effectExtent l="0" t="0" r="8890" b="6985"/>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noChangeArrowheads="1"/>
                                </pic:cNvPicPr>
                              </pic:nvPicPr>
                              <pic:blipFill>
                                <a:blip r:embed="rId34"/>
                                <a:srcRect/>
                                <a:stretch>
                                  <a:fillRect/>
                                </a:stretch>
                              </pic:blipFill>
                              <pic:spPr>
                                <a:xfrm>
                                  <a:off x="0" y="0"/>
                                  <a:ext cx="740105" cy="711911"/>
                                </a:xfrm>
                                <a:prstGeom prst="rect">
                                  <a:avLst/>
                                </a:prstGeom>
                                <a:noFill/>
                                <a:ln w="9525">
                                  <a:noFill/>
                                  <a:miter lim="800000"/>
                                  <a:headEnd/>
                                  <a:tailEnd/>
                                </a:ln>
                              </pic:spPr>
                            </pic:pic>
                          </a:graphicData>
                        </a:graphic>
                      </wp:inline>
                    </w:drawing>
                  </w:r>
                </w:p>
              </w:tc>
              <w:tc>
                <w:tcPr>
                  <w:tcW w:w="1431" w:type="dxa"/>
                  <w:tcBorders>
                    <w:tl2br w:val="nil"/>
                    <w:tr2bl w:val="nil"/>
                  </w:tcBorders>
                  <w:vAlign w:val="center"/>
                </w:tcPr>
                <w:p w14:paraId="6CAA688D">
                  <w:pPr>
                    <w:pStyle w:val="20"/>
                    <w:widowControl w:val="0"/>
                    <w:snapToGri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753745" cy="746125"/>
                        <wp:effectExtent l="0" t="0" r="8255" b="635"/>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noChangeArrowheads="1"/>
                                </pic:cNvPicPr>
                              </pic:nvPicPr>
                              <pic:blipFill>
                                <a:blip r:embed="rId35"/>
                                <a:srcRect/>
                                <a:stretch>
                                  <a:fillRect/>
                                </a:stretch>
                              </pic:blipFill>
                              <pic:spPr>
                                <a:xfrm>
                                  <a:off x="0" y="0"/>
                                  <a:ext cx="756054" cy="748854"/>
                                </a:xfrm>
                                <a:prstGeom prst="rect">
                                  <a:avLst/>
                                </a:prstGeom>
                                <a:noFill/>
                                <a:ln w="9525">
                                  <a:noFill/>
                                  <a:miter lim="800000"/>
                                  <a:headEnd/>
                                  <a:tailEnd/>
                                </a:ln>
                              </pic:spPr>
                            </pic:pic>
                          </a:graphicData>
                        </a:graphic>
                      </wp:inline>
                    </w:drawing>
                  </w:r>
                </w:p>
              </w:tc>
              <w:tc>
                <w:tcPr>
                  <w:tcW w:w="1386" w:type="dxa"/>
                  <w:tcBorders>
                    <w:tl2br w:val="nil"/>
                    <w:tr2bl w:val="nil"/>
                  </w:tcBorders>
                  <w:vAlign w:val="center"/>
                </w:tcPr>
                <w:p w14:paraId="562C0C01">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675640" cy="716280"/>
                        <wp:effectExtent l="0" t="0" r="10160" b="0"/>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noChangeArrowheads="1"/>
                                </pic:cNvPicPr>
                              </pic:nvPicPr>
                              <pic:blipFill>
                                <a:blip r:embed="rId36"/>
                                <a:srcRect/>
                                <a:stretch>
                                  <a:fillRect/>
                                </a:stretch>
                              </pic:blipFill>
                              <pic:spPr>
                                <a:xfrm>
                                  <a:off x="0" y="0"/>
                                  <a:ext cx="678262" cy="719370"/>
                                </a:xfrm>
                                <a:prstGeom prst="rect">
                                  <a:avLst/>
                                </a:prstGeom>
                                <a:noFill/>
                                <a:ln w="9525">
                                  <a:noFill/>
                                  <a:miter lim="800000"/>
                                  <a:headEnd/>
                                  <a:tailEnd/>
                                </a:ln>
                              </pic:spPr>
                            </pic:pic>
                          </a:graphicData>
                        </a:graphic>
                      </wp:inline>
                    </w:drawing>
                  </w:r>
                </w:p>
              </w:tc>
              <w:tc>
                <w:tcPr>
                  <w:tcW w:w="1363" w:type="dxa"/>
                  <w:tcBorders>
                    <w:tl2br w:val="nil"/>
                    <w:tr2bl w:val="nil"/>
                  </w:tcBorders>
                  <w:vAlign w:val="center"/>
                </w:tcPr>
                <w:p w14:paraId="55465423">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35DD06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02" w:type="dxa"/>
                  <w:tcBorders>
                    <w:tl2br w:val="nil"/>
                    <w:tr2bl w:val="nil"/>
                  </w:tcBorders>
                  <w:vAlign w:val="center"/>
                </w:tcPr>
                <w:p w14:paraId="77290DDF">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警告图形符号</w:t>
                  </w:r>
                </w:p>
              </w:tc>
              <w:tc>
                <w:tcPr>
                  <w:tcW w:w="1438" w:type="dxa"/>
                  <w:tcBorders>
                    <w:tl2br w:val="nil"/>
                    <w:tr2bl w:val="nil"/>
                  </w:tcBorders>
                  <w:vAlign w:val="center"/>
                </w:tcPr>
                <w:p w14:paraId="2FB31A54">
                  <w:pPr>
                    <w:pStyle w:val="20"/>
                    <w:widowControl w:val="0"/>
                    <w:snapToGrid w:val="0"/>
                    <w:spacing w:before="0" w:beforeAutospacing="0" w:after="0" w:afterAutospacing="0"/>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w:t>
                  </w:r>
                </w:p>
              </w:tc>
              <w:tc>
                <w:tcPr>
                  <w:tcW w:w="1431" w:type="dxa"/>
                  <w:tcBorders>
                    <w:tl2br w:val="nil"/>
                    <w:tr2bl w:val="nil"/>
                  </w:tcBorders>
                  <w:vAlign w:val="center"/>
                </w:tcPr>
                <w:p w14:paraId="2A667E9A">
                  <w:pPr>
                    <w:pStyle w:val="20"/>
                    <w:widowControl w:val="0"/>
                    <w:snapToGrid w:val="0"/>
                    <w:spacing w:before="0" w:beforeAutospacing="0" w:after="0" w:afterAutospacing="0"/>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w:t>
                  </w:r>
                </w:p>
              </w:tc>
              <w:tc>
                <w:tcPr>
                  <w:tcW w:w="1386" w:type="dxa"/>
                  <w:tcBorders>
                    <w:tl2br w:val="nil"/>
                    <w:tr2bl w:val="nil"/>
                  </w:tcBorders>
                  <w:vAlign w:val="center"/>
                </w:tcPr>
                <w:p w14:paraId="263665A0">
                  <w:pPr>
                    <w:pStyle w:val="20"/>
                    <w:widowControl w:val="0"/>
                    <w:snapToGrid w:val="0"/>
                    <w:spacing w:before="0" w:beforeAutospacing="0" w:after="0" w:afterAutospacing="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363" w:type="dxa"/>
                  <w:tcBorders>
                    <w:tl2br w:val="nil"/>
                    <w:tr2bl w:val="nil"/>
                  </w:tcBorders>
                  <w:vAlign w:val="center"/>
                </w:tcPr>
                <w:p w14:paraId="5CDF9FF9">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32"/>
                      <w:szCs w:val="22"/>
                      <w:highlight w:val="none"/>
                    </w:rPr>
                    <w:drawing>
                      <wp:inline distT="0" distB="0" distL="114300" distR="114300">
                        <wp:extent cx="728345" cy="608330"/>
                        <wp:effectExtent l="0" t="0" r="3175" b="127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37"/>
                                <a:stretch>
                                  <a:fillRect/>
                                </a:stretch>
                              </pic:blipFill>
                              <pic:spPr>
                                <a:xfrm>
                                  <a:off x="0" y="0"/>
                                  <a:ext cx="728345" cy="608330"/>
                                </a:xfrm>
                                <a:prstGeom prst="rect">
                                  <a:avLst/>
                                </a:prstGeom>
                                <a:noFill/>
                                <a:ln>
                                  <a:noFill/>
                                </a:ln>
                              </pic:spPr>
                            </pic:pic>
                          </a:graphicData>
                        </a:graphic>
                      </wp:inline>
                    </w:drawing>
                  </w:r>
                </w:p>
              </w:tc>
            </w:tr>
            <w:tr w14:paraId="7BA4D52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02" w:type="dxa"/>
                  <w:tcBorders>
                    <w:tl2br w:val="nil"/>
                    <w:tr2bl w:val="nil"/>
                  </w:tcBorders>
                  <w:vAlign w:val="center"/>
                </w:tcPr>
                <w:p w14:paraId="2ACA6D67">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功能</w:t>
                  </w:r>
                </w:p>
              </w:tc>
              <w:tc>
                <w:tcPr>
                  <w:tcW w:w="1438" w:type="dxa"/>
                  <w:tcBorders>
                    <w:tl2br w:val="nil"/>
                    <w:tr2bl w:val="nil"/>
                  </w:tcBorders>
                  <w:vAlign w:val="center"/>
                </w:tcPr>
                <w:p w14:paraId="0EAD4B98">
                  <w:pPr>
                    <w:pStyle w:val="20"/>
                    <w:widowControl w:val="0"/>
                    <w:snapToGri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表示污水向水体排放表示</w:t>
                  </w:r>
                </w:p>
              </w:tc>
              <w:tc>
                <w:tcPr>
                  <w:tcW w:w="1431" w:type="dxa"/>
                  <w:tcBorders>
                    <w:tl2br w:val="nil"/>
                    <w:tr2bl w:val="nil"/>
                  </w:tcBorders>
                  <w:vAlign w:val="center"/>
                </w:tcPr>
                <w:p w14:paraId="6EB708F0">
                  <w:pPr>
                    <w:pStyle w:val="20"/>
                    <w:widowControl w:val="0"/>
                    <w:snapToGri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表示噪声向外环境排放</w:t>
                  </w:r>
                </w:p>
              </w:tc>
              <w:tc>
                <w:tcPr>
                  <w:tcW w:w="1386" w:type="dxa"/>
                  <w:tcBorders>
                    <w:tl2br w:val="nil"/>
                    <w:tr2bl w:val="nil"/>
                  </w:tcBorders>
                  <w:vAlign w:val="center"/>
                </w:tcPr>
                <w:p w14:paraId="7D6D6971">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表示一般工业固体废物贮存、处置场所</w:t>
                  </w:r>
                </w:p>
              </w:tc>
              <w:tc>
                <w:tcPr>
                  <w:tcW w:w="1363" w:type="dxa"/>
                  <w:tcBorders>
                    <w:tl2br w:val="nil"/>
                    <w:tr2bl w:val="nil"/>
                  </w:tcBorders>
                  <w:vAlign w:val="center"/>
                </w:tcPr>
                <w:p w14:paraId="28C58078">
                  <w:pPr>
                    <w:pStyle w:val="20"/>
                    <w:widowControl w:val="0"/>
                    <w:snapToGrid w:val="0"/>
                    <w:spacing w:before="0" w:beforeAutospacing="0" w:after="0" w:afterAutospacing="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表示危险废物贮存、处置场所</w:t>
                  </w:r>
                </w:p>
              </w:tc>
            </w:tr>
          </w:tbl>
          <w:p w14:paraId="7B78216A">
            <w:pPr>
              <w:snapToGrid w:val="0"/>
              <w:spacing w:before="120" w:beforeLines="50" w:line="360" w:lineRule="auto"/>
              <w:ind w:firstLine="472" w:firstLineChars="196"/>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en-US" w:eastAsia="zh-CN"/>
              </w:rPr>
              <w:t>监测点位</w:t>
            </w:r>
            <w:r>
              <w:rPr>
                <w:rFonts w:hint="default" w:ascii="Times New Roman" w:hAnsi="Times New Roman" w:eastAsia="宋体" w:cs="Times New Roman"/>
                <w:b/>
                <w:bCs/>
                <w:color w:val="auto"/>
                <w:sz w:val="24"/>
                <w:highlight w:val="none"/>
              </w:rPr>
              <w:t>设置</w:t>
            </w:r>
          </w:p>
          <w:p w14:paraId="0F28084B">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rPr>
              <w:t>按照《固定污染源监测点位设置技术规范》（DB11/1195-2015）要求</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本项目</w:t>
            </w:r>
            <w:r>
              <w:rPr>
                <w:rFonts w:hint="default" w:ascii="Times New Roman" w:hAnsi="Times New Roman" w:eastAsia="宋体" w:cs="Times New Roman"/>
                <w:bCs/>
                <w:color w:val="auto"/>
                <w:sz w:val="24"/>
                <w:highlight w:val="none"/>
                <w:lang w:val="en-US" w:eastAsia="zh-CN"/>
              </w:rPr>
              <w:t>设置一个废水排放口（DW001）。</w:t>
            </w:r>
          </w:p>
          <w:p w14:paraId="5866ADE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在排放口设立监测点位标志牌，建立排放口监测点位档案，档案内容应包含监测点位二维码涵盖的信息，以及对监测点位的管理记录，包括对标志牌的标识是否清晰完整，工作平台、梯架是否能正常使用，安全防护装置是否过期失效，防护设施有无破损现象，排放口附近有无堆积物等方面的检查和维修清理</w:t>
            </w:r>
            <w:r>
              <w:rPr>
                <w:rFonts w:hint="eastAsia" w:cs="Times New Roman"/>
                <w:b w:val="0"/>
                <w:bCs w:val="0"/>
                <w:color w:val="auto"/>
                <w:sz w:val="24"/>
                <w:szCs w:val="24"/>
                <w:highlight w:val="none"/>
                <w:lang w:val="en-US" w:eastAsia="zh-CN"/>
              </w:rPr>
              <w:t>的</w:t>
            </w:r>
            <w:r>
              <w:rPr>
                <w:rFonts w:hint="default" w:ascii="Times New Roman" w:hAnsi="Times New Roman" w:eastAsia="宋体" w:cs="Times New Roman"/>
                <w:b w:val="0"/>
                <w:bCs w:val="0"/>
                <w:color w:val="auto"/>
                <w:sz w:val="24"/>
                <w:szCs w:val="24"/>
                <w:highlight w:val="none"/>
                <w:lang w:val="en-US" w:eastAsia="zh-CN"/>
              </w:rPr>
              <w:t>记录，记录周期不少于每半年一次。监测点位标志牌示例图见下图。</w:t>
            </w:r>
          </w:p>
          <w:tbl>
            <w:tblPr>
              <w:tblStyle w:val="24"/>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55"/>
            </w:tblGrid>
            <w:tr w14:paraId="574862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2" w:hRule="atLeast"/>
              </w:trPr>
              <w:tc>
                <w:tcPr>
                  <w:tcW w:w="7355" w:type="dxa"/>
                  <w:tcBorders>
                    <w:tl2br w:val="nil"/>
                    <w:tr2bl w:val="nil"/>
                  </w:tcBorders>
                  <w:vAlign w:val="center"/>
                </w:tcPr>
                <w:p w14:paraId="4A082683">
                  <w:pPr>
                    <w:spacing w:line="360" w:lineRule="auto"/>
                    <w:jc w:val="center"/>
                    <w:rPr>
                      <w:rFonts w:hint="default" w:ascii="Times New Roman" w:hAnsi="Times New Roman" w:eastAsia="宋体" w:cs="Times New Roman"/>
                      <w:b w:val="0"/>
                      <w:bCs w:val="0"/>
                      <w:color w:val="auto"/>
                      <w:sz w:val="24"/>
                      <w:szCs w:val="24"/>
                      <w:highlight w:val="none"/>
                      <w:vertAlign w:val="baseline"/>
                      <w:lang w:val="en-US" w:eastAsia="zh-CN"/>
                    </w:rPr>
                  </w:pPr>
                  <w:r>
                    <w:drawing>
                      <wp:inline distT="0" distB="0" distL="114300" distR="114300">
                        <wp:extent cx="2239645" cy="1777365"/>
                        <wp:effectExtent l="0" t="0" r="635" b="571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38"/>
                                <a:stretch>
                                  <a:fillRect/>
                                </a:stretch>
                              </pic:blipFill>
                              <pic:spPr>
                                <a:xfrm>
                                  <a:off x="0" y="0"/>
                                  <a:ext cx="2239645" cy="1777365"/>
                                </a:xfrm>
                                <a:prstGeom prst="rect">
                                  <a:avLst/>
                                </a:prstGeom>
                                <a:noFill/>
                                <a:ln>
                                  <a:noFill/>
                                </a:ln>
                              </pic:spPr>
                            </pic:pic>
                          </a:graphicData>
                        </a:graphic>
                      </wp:inline>
                    </w:drawing>
                  </w:r>
                </w:p>
              </w:tc>
            </w:tr>
          </w:tbl>
          <w:p w14:paraId="7E683327">
            <w:pPr>
              <w:spacing w:line="360" w:lineRule="auto"/>
              <w:ind w:firstLine="2409" w:firstLineChars="10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图5-1 监测点位标志牌示意图</w:t>
            </w:r>
          </w:p>
          <w:p w14:paraId="3A6C8C8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项目竣工环境保护验收</w:t>
            </w:r>
          </w:p>
          <w:p w14:paraId="52446ABC">
            <w:pPr>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根据生态环境保护部《关于发布〈建设项目竣工环境保护验收技术指南污染影响类〉的公告》（生态环境部公告，</w:t>
            </w:r>
            <w:r>
              <w:rPr>
                <w:rFonts w:hint="default" w:ascii="Times New Roman" w:hAnsi="Times New Roman" w:eastAsia="宋体" w:cs="Times New Roman"/>
                <w:color w:val="auto"/>
                <w:sz w:val="24"/>
                <w:highlight w:val="none"/>
                <w:lang w:val="en-US" w:eastAsia="zh-CN"/>
              </w:rPr>
              <w:t>2018</w:t>
            </w:r>
            <w:r>
              <w:rPr>
                <w:rFonts w:hint="eastAsia" w:ascii="Times New Roman" w:hAnsi="Times New Roman" w:eastAsia="宋体" w:cs="Times New Roman"/>
                <w:color w:val="auto"/>
                <w:sz w:val="24"/>
                <w:highlight w:val="none"/>
                <w:lang w:val="en-US" w:eastAsia="zh-CN"/>
              </w:rPr>
              <w:t>年第</w:t>
            </w:r>
            <w:r>
              <w:rPr>
                <w:rFonts w:hint="default" w:ascii="Times New Roman" w:hAnsi="Times New Roman" w:eastAsia="宋体" w:cs="Times New Roman"/>
                <w:color w:val="auto"/>
                <w:sz w:val="24"/>
                <w:highlight w:val="none"/>
                <w:lang w:val="en-US" w:eastAsia="zh-CN"/>
              </w:rPr>
              <w:t>9</w:t>
            </w:r>
            <w:r>
              <w:rPr>
                <w:rFonts w:hint="eastAsia" w:ascii="Times New Roman" w:hAnsi="Times New Roman" w:eastAsia="宋体" w:cs="Times New Roman"/>
                <w:color w:val="auto"/>
                <w:sz w:val="24"/>
                <w:highlight w:val="none"/>
                <w:lang w:val="en-US" w:eastAsia="zh-CN"/>
              </w:rPr>
              <w:t>号）中附件《建设项目竣工环境保护验收技术指南污染影响类》，建设项目竣工后，建设单位应对其环境保护设施进行验收，自行或委托技术机构编制验收报告，公开、登记相关信息并建立档案。</w:t>
            </w:r>
          </w:p>
          <w:p w14:paraId="475CFE21">
            <w:pPr>
              <w:snapToGrid w:val="0"/>
              <w:spacing w:line="360" w:lineRule="auto"/>
              <w:rPr>
                <w:rFonts w:hint="default" w:ascii="Times New Roman" w:hAnsi="Times New Roman" w:eastAsia="宋体" w:cs="Times New Roman"/>
                <w:color w:val="auto"/>
                <w:sz w:val="24"/>
                <w:highlight w:val="none"/>
                <w:lang w:val="en-US" w:eastAsia="zh-CN"/>
              </w:rPr>
            </w:pPr>
          </w:p>
          <w:p w14:paraId="7FCF359F">
            <w:pPr>
              <w:snapToGrid w:val="0"/>
              <w:spacing w:line="360" w:lineRule="auto"/>
              <w:rPr>
                <w:rFonts w:hint="default" w:ascii="Times New Roman" w:hAnsi="Times New Roman" w:eastAsia="宋体" w:cs="Times New Roman"/>
                <w:color w:val="auto"/>
                <w:sz w:val="24"/>
                <w:highlight w:val="none"/>
                <w:lang w:val="en-US" w:eastAsia="zh-CN"/>
              </w:rPr>
            </w:pPr>
          </w:p>
          <w:p w14:paraId="5363412D">
            <w:pPr>
              <w:snapToGrid w:val="0"/>
              <w:spacing w:line="360" w:lineRule="auto"/>
              <w:rPr>
                <w:rFonts w:hint="default" w:ascii="Times New Roman" w:hAnsi="Times New Roman" w:eastAsia="宋体" w:cs="Times New Roman"/>
                <w:color w:val="auto"/>
                <w:sz w:val="24"/>
                <w:highlight w:val="none"/>
                <w:lang w:val="en-US" w:eastAsia="zh-CN"/>
              </w:rPr>
            </w:pPr>
          </w:p>
          <w:p w14:paraId="6625DE60">
            <w:pPr>
              <w:snapToGrid w:val="0"/>
              <w:spacing w:line="360" w:lineRule="auto"/>
              <w:rPr>
                <w:rFonts w:hint="default" w:ascii="Times New Roman" w:hAnsi="Times New Roman" w:eastAsia="宋体" w:cs="Times New Roman"/>
                <w:color w:val="auto"/>
                <w:sz w:val="24"/>
                <w:highlight w:val="none"/>
                <w:lang w:val="en-US" w:eastAsia="zh-CN"/>
              </w:rPr>
            </w:pPr>
          </w:p>
          <w:p w14:paraId="5FFF5B2D">
            <w:pPr>
              <w:snapToGrid w:val="0"/>
              <w:spacing w:line="360" w:lineRule="auto"/>
              <w:rPr>
                <w:rFonts w:hint="default" w:ascii="Times New Roman" w:hAnsi="Times New Roman" w:eastAsia="宋体" w:cs="Times New Roman"/>
                <w:color w:val="auto"/>
                <w:sz w:val="24"/>
                <w:highlight w:val="none"/>
                <w:lang w:val="en-US" w:eastAsia="zh-CN"/>
              </w:rPr>
            </w:pPr>
          </w:p>
          <w:p w14:paraId="3EBACA22">
            <w:pPr>
              <w:snapToGrid w:val="0"/>
              <w:spacing w:line="360" w:lineRule="auto"/>
              <w:rPr>
                <w:rFonts w:hint="default" w:ascii="Times New Roman" w:hAnsi="Times New Roman" w:eastAsia="宋体" w:cs="Times New Roman"/>
                <w:color w:val="auto"/>
                <w:sz w:val="24"/>
                <w:highlight w:val="none"/>
                <w:lang w:val="en-US" w:eastAsia="zh-CN"/>
              </w:rPr>
            </w:pPr>
          </w:p>
          <w:p w14:paraId="66F184AD">
            <w:pPr>
              <w:snapToGrid w:val="0"/>
              <w:spacing w:line="360" w:lineRule="auto"/>
              <w:rPr>
                <w:rFonts w:hint="default" w:ascii="Times New Roman" w:hAnsi="Times New Roman" w:eastAsia="宋体" w:cs="Times New Roman"/>
                <w:color w:val="auto"/>
                <w:sz w:val="24"/>
                <w:highlight w:val="none"/>
                <w:lang w:val="en-US" w:eastAsia="zh-CN"/>
              </w:rPr>
            </w:pPr>
          </w:p>
          <w:p w14:paraId="314174CF">
            <w:pPr>
              <w:snapToGrid w:val="0"/>
              <w:spacing w:line="360" w:lineRule="auto"/>
              <w:rPr>
                <w:rFonts w:hint="default" w:ascii="Times New Roman" w:hAnsi="Times New Roman" w:eastAsia="宋体" w:cs="Times New Roman"/>
                <w:color w:val="auto"/>
                <w:sz w:val="24"/>
                <w:highlight w:val="none"/>
                <w:lang w:val="en-US" w:eastAsia="zh-CN"/>
              </w:rPr>
            </w:pPr>
          </w:p>
          <w:p w14:paraId="5400BC54">
            <w:pPr>
              <w:snapToGrid w:val="0"/>
              <w:spacing w:line="360" w:lineRule="auto"/>
              <w:rPr>
                <w:rFonts w:hint="default" w:ascii="Times New Roman" w:hAnsi="Times New Roman" w:eastAsia="宋体" w:cs="Times New Roman"/>
                <w:color w:val="auto"/>
                <w:sz w:val="24"/>
                <w:highlight w:val="none"/>
                <w:lang w:val="en-US" w:eastAsia="zh-CN"/>
              </w:rPr>
            </w:pPr>
          </w:p>
          <w:p w14:paraId="5227EC2D">
            <w:pPr>
              <w:snapToGrid w:val="0"/>
              <w:spacing w:line="360" w:lineRule="auto"/>
              <w:rPr>
                <w:rFonts w:hint="default" w:ascii="Times New Roman" w:hAnsi="Times New Roman" w:eastAsia="宋体" w:cs="Times New Roman"/>
                <w:color w:val="auto"/>
                <w:sz w:val="24"/>
                <w:highlight w:val="none"/>
                <w:lang w:val="en-US" w:eastAsia="zh-CN"/>
              </w:rPr>
            </w:pPr>
          </w:p>
          <w:p w14:paraId="2CE8615E">
            <w:pPr>
              <w:snapToGrid w:val="0"/>
              <w:spacing w:line="360" w:lineRule="auto"/>
              <w:rPr>
                <w:rFonts w:hint="default" w:ascii="Times New Roman" w:hAnsi="Times New Roman" w:eastAsia="宋体" w:cs="Times New Roman"/>
                <w:color w:val="auto"/>
                <w:sz w:val="24"/>
                <w:highlight w:val="none"/>
                <w:lang w:val="en-US" w:eastAsia="zh-CN"/>
              </w:rPr>
            </w:pPr>
          </w:p>
          <w:p w14:paraId="4C40E5CB">
            <w:pPr>
              <w:snapToGrid w:val="0"/>
              <w:spacing w:line="360" w:lineRule="auto"/>
              <w:rPr>
                <w:rFonts w:hint="default" w:ascii="Times New Roman" w:hAnsi="Times New Roman" w:eastAsia="宋体" w:cs="Times New Roman"/>
                <w:color w:val="auto"/>
                <w:sz w:val="24"/>
                <w:highlight w:val="none"/>
                <w:lang w:val="en-US" w:eastAsia="zh-CN"/>
              </w:rPr>
            </w:pPr>
          </w:p>
          <w:p w14:paraId="6BA39729">
            <w:pPr>
              <w:snapToGrid w:val="0"/>
              <w:spacing w:line="360" w:lineRule="auto"/>
              <w:rPr>
                <w:rFonts w:hint="default" w:ascii="Times New Roman" w:hAnsi="Times New Roman" w:eastAsia="宋体" w:cs="Times New Roman"/>
                <w:color w:val="auto"/>
                <w:sz w:val="24"/>
                <w:highlight w:val="none"/>
                <w:lang w:val="en-US" w:eastAsia="zh-CN"/>
              </w:rPr>
            </w:pPr>
          </w:p>
        </w:tc>
      </w:tr>
    </w:tbl>
    <w:p w14:paraId="225E5BA3">
      <w:pPr>
        <w:pStyle w:val="20"/>
        <w:jc w:val="center"/>
        <w:outlineLvl w:val="0"/>
        <w:rPr>
          <w:rFonts w:hint="default" w:ascii="Times New Roman" w:hAnsi="Times New Roman" w:eastAsia="宋体" w:cs="Times New Roman"/>
          <w:snapToGrid w:val="0"/>
          <w:color w:val="auto"/>
          <w:sz w:val="36"/>
          <w:szCs w:val="36"/>
          <w:highlight w:val="none"/>
        </w:rPr>
      </w:pPr>
      <w:r>
        <w:rPr>
          <w:rFonts w:hint="default" w:ascii="Times New Roman" w:hAnsi="Times New Roman" w:eastAsia="宋体" w:cs="Times New Roman"/>
          <w:snapToGrid w:val="0"/>
          <w:color w:val="auto"/>
          <w:sz w:val="32"/>
          <w:szCs w:val="22"/>
          <w:highlight w:val="none"/>
        </w:rPr>
        <w:br w:type="page"/>
      </w:r>
      <w:r>
        <w:rPr>
          <w:rStyle w:val="43"/>
          <w:rFonts w:hint="default" w:ascii="Times New Roman" w:hAnsi="Times New Roman" w:eastAsia="宋体" w:cs="Times New Roman"/>
          <w:b w:val="0"/>
          <w:bCs w:val="0"/>
          <w:color w:val="auto"/>
          <w:sz w:val="36"/>
          <w:szCs w:val="36"/>
          <w:highlight w:val="none"/>
        </w:rPr>
        <w:t>六、结论</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8B7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05D35D87">
            <w:pPr>
              <w:spacing w:line="360" w:lineRule="auto"/>
              <w:ind w:firstLine="480" w:firstLineChars="200"/>
              <w:rPr>
                <w:rFonts w:hint="default" w:ascii="Times New Roman" w:hAnsi="Times New Roman" w:eastAsia="宋体" w:cs="Times New Roman"/>
                <w:color w:val="auto"/>
                <w:sz w:val="32"/>
                <w:szCs w:val="32"/>
                <w:highlight w:val="none"/>
              </w:rPr>
            </w:pPr>
            <w:r>
              <w:rPr>
                <w:rFonts w:hint="default" w:ascii="Times New Roman" w:hAnsi="Times New Roman" w:eastAsia="宋体" w:cs="Times New Roman"/>
                <w:color w:val="auto"/>
                <w:sz w:val="24"/>
                <w:szCs w:val="32"/>
                <w:highlight w:val="none"/>
              </w:rPr>
              <w:t>本项目的建设符合产业政策及相关规划，符合</w:t>
            </w:r>
            <w:r>
              <w:rPr>
                <w:rFonts w:hint="eastAsia"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三线一单</w:t>
            </w:r>
            <w:r>
              <w:rPr>
                <w:rFonts w:hint="eastAsia"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管理要求，选址合理；污染防治措施切实可行；各污染物经环保设施治理后能够达标排放，对区域环境质量的影响较小；环境风险可控。建设单位在严格落实本报告表和项目设计方案提出的各项环保措施的前提下，从环境保护角度分析，本项目建设是可行的。</w:t>
            </w:r>
          </w:p>
        </w:tc>
      </w:tr>
    </w:tbl>
    <w:p w14:paraId="59FA0725">
      <w:pPr>
        <w:pStyle w:val="20"/>
        <w:adjustRightInd w:val="0"/>
        <w:snapToGrid w:val="0"/>
        <w:spacing w:before="0" w:beforeAutospacing="0" w:after="0" w:afterAutospacing="0"/>
        <w:jc w:val="both"/>
        <w:outlineLvl w:val="0"/>
        <w:rPr>
          <w:rFonts w:hint="default" w:ascii="Times New Roman" w:hAnsi="Times New Roman" w:eastAsia="宋体" w:cs="Times New Roman"/>
          <w:snapToGrid w:val="0"/>
          <w:color w:val="auto"/>
          <w:sz w:val="32"/>
          <w:szCs w:val="22"/>
          <w:highlight w:val="none"/>
        </w:rPr>
        <w:sectPr>
          <w:pgSz w:w="11906" w:h="16838"/>
          <w:pgMar w:top="1701" w:right="1531" w:bottom="1860"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7F0F393">
      <w:pPr>
        <w:jc w:val="center"/>
        <w:rPr>
          <w:rFonts w:hint="default" w:ascii="Times New Roman" w:hAnsi="Times New Roman" w:eastAsia="宋体" w:cs="Times New Roman"/>
          <w:b/>
          <w:bCs/>
          <w:color w:val="auto"/>
          <w:sz w:val="18"/>
          <w:szCs w:val="21"/>
          <w:highlight w:val="none"/>
        </w:rPr>
      </w:pPr>
      <w:r>
        <w:rPr>
          <w:rFonts w:hint="default" w:ascii="Times New Roman" w:hAnsi="Times New Roman" w:eastAsia="宋体" w:cs="Times New Roman"/>
          <w:snapToGrid w:val="0"/>
          <w:color w:val="auto"/>
          <w:sz w:val="44"/>
          <w:szCs w:val="44"/>
          <w:highlight w:val="none"/>
        </w:rPr>
        <w:t xml:space="preserve">建设项目污染物排放量汇总表 </w:t>
      </w:r>
      <w:r>
        <w:rPr>
          <w:rFonts w:hint="default" w:ascii="Times New Roman" w:hAnsi="Times New Roman" w:eastAsia="宋体" w:cs="Times New Roman"/>
          <w:b/>
          <w:bCs/>
          <w:snapToGrid w:val="0"/>
          <w:color w:val="auto"/>
          <w:sz w:val="28"/>
          <w:szCs w:val="28"/>
          <w:highlight w:val="none"/>
        </w:rPr>
        <w:t>单位：t/a</w:t>
      </w:r>
    </w:p>
    <w:tbl>
      <w:tblPr>
        <w:tblStyle w:val="23"/>
        <w:tblW w:w="13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2906"/>
        <w:gridCol w:w="1407"/>
        <w:gridCol w:w="1101"/>
        <w:gridCol w:w="1469"/>
        <w:gridCol w:w="1458"/>
        <w:gridCol w:w="1264"/>
        <w:gridCol w:w="1642"/>
        <w:gridCol w:w="1396"/>
      </w:tblGrid>
      <w:tr w14:paraId="312F09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tcBorders>
              <w:tl2br w:val="single" w:color="auto" w:sz="4" w:space="0"/>
            </w:tcBorders>
            <w:tcMar>
              <w:left w:w="28" w:type="dxa"/>
              <w:right w:w="28" w:type="dxa"/>
            </w:tcMar>
            <w:vAlign w:val="center"/>
          </w:tcPr>
          <w:p w14:paraId="21BD4624">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项目</w:t>
            </w:r>
          </w:p>
          <w:p w14:paraId="75389097">
            <w:pPr>
              <w:snapToGrid w:val="0"/>
              <w:spacing w:line="240" w:lineRule="auto"/>
              <w:rPr>
                <w:rFonts w:hint="default" w:ascii="Times New Roman" w:hAnsi="Times New Roman" w:eastAsia="宋体" w:cs="Times New Roman"/>
                <w:color w:val="auto"/>
                <w:sz w:val="22"/>
                <w:szCs w:val="22"/>
                <w:highlight w:val="none"/>
              </w:rPr>
            </w:pPr>
          </w:p>
          <w:p w14:paraId="160FF5EE">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分类</w:t>
            </w:r>
          </w:p>
        </w:tc>
        <w:tc>
          <w:tcPr>
            <w:tcW w:w="2906" w:type="dxa"/>
            <w:tcMar>
              <w:left w:w="28" w:type="dxa"/>
              <w:right w:w="28" w:type="dxa"/>
            </w:tcMar>
            <w:vAlign w:val="center"/>
          </w:tcPr>
          <w:p w14:paraId="7D5A75B6">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污染物名称</w:t>
            </w:r>
          </w:p>
        </w:tc>
        <w:tc>
          <w:tcPr>
            <w:tcW w:w="1407" w:type="dxa"/>
            <w:tcMar>
              <w:left w:w="28" w:type="dxa"/>
              <w:right w:w="28" w:type="dxa"/>
            </w:tcMar>
            <w:vAlign w:val="center"/>
          </w:tcPr>
          <w:p w14:paraId="1262C78C">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现有工程排放量（固体废物产生量）</w:t>
            </w:r>
            <w:r>
              <w:rPr>
                <w:rFonts w:hint="default" w:ascii="Times New Roman" w:hAnsi="Times New Roman" w:eastAsia="宋体" w:cs="Times New Roman"/>
                <w:b/>
                <w:bCs/>
                <w:snapToGrid w:val="0"/>
                <w:color w:val="auto"/>
                <w:spacing w:val="-6"/>
                <w:kern w:val="21"/>
                <w:sz w:val="22"/>
                <w:highlight w:val="none"/>
              </w:rPr>
              <w:fldChar w:fldCharType="begin"/>
            </w:r>
            <w:r>
              <w:rPr>
                <w:rFonts w:hint="default" w:ascii="Times New Roman" w:hAnsi="Times New Roman" w:eastAsia="宋体" w:cs="Times New Roman"/>
                <w:b/>
                <w:bCs/>
                <w:snapToGrid w:val="0"/>
                <w:color w:val="auto"/>
                <w:spacing w:val="-6"/>
                <w:kern w:val="21"/>
                <w:sz w:val="22"/>
                <w:highlight w:val="none"/>
              </w:rPr>
              <w:instrText xml:space="preserve"> = 1 \* GB3 \* MERGEFORMAT </w:instrText>
            </w:r>
            <w:r>
              <w:rPr>
                <w:rFonts w:hint="default" w:ascii="Times New Roman" w:hAnsi="Times New Roman" w:eastAsia="宋体" w:cs="Times New Roman"/>
                <w:b/>
                <w:bCs/>
                <w:snapToGrid w:val="0"/>
                <w:color w:val="auto"/>
                <w:spacing w:val="-6"/>
                <w:kern w:val="21"/>
                <w:sz w:val="22"/>
                <w:highlight w:val="none"/>
              </w:rPr>
              <w:fldChar w:fldCharType="separate"/>
            </w:r>
            <w:r>
              <w:rPr>
                <w:rFonts w:hint="default" w:ascii="Times New Roman" w:hAnsi="Times New Roman" w:eastAsia="宋体" w:cs="Times New Roman"/>
                <w:b/>
                <w:bCs/>
                <w:color w:val="auto"/>
                <w:sz w:val="22"/>
                <w:highlight w:val="none"/>
              </w:rPr>
              <w:t>①</w:t>
            </w:r>
            <w:r>
              <w:rPr>
                <w:rFonts w:hint="default" w:ascii="Times New Roman" w:hAnsi="Times New Roman" w:eastAsia="宋体" w:cs="Times New Roman"/>
                <w:b/>
                <w:bCs/>
                <w:snapToGrid w:val="0"/>
                <w:color w:val="auto"/>
                <w:spacing w:val="-6"/>
                <w:kern w:val="21"/>
                <w:sz w:val="22"/>
                <w:highlight w:val="none"/>
              </w:rPr>
              <w:fldChar w:fldCharType="end"/>
            </w:r>
          </w:p>
        </w:tc>
        <w:tc>
          <w:tcPr>
            <w:tcW w:w="1101" w:type="dxa"/>
            <w:tcMar>
              <w:left w:w="28" w:type="dxa"/>
              <w:right w:w="28" w:type="dxa"/>
            </w:tcMar>
            <w:vAlign w:val="center"/>
          </w:tcPr>
          <w:p w14:paraId="728E0638">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现有工程许可排放量</w:t>
            </w:r>
            <w:r>
              <w:rPr>
                <w:rFonts w:hint="default" w:ascii="Times New Roman" w:hAnsi="Times New Roman" w:eastAsia="宋体" w:cs="Times New Roman"/>
                <w:b/>
                <w:bCs/>
                <w:snapToGrid w:val="0"/>
                <w:color w:val="auto"/>
                <w:spacing w:val="-6"/>
                <w:kern w:val="21"/>
                <w:sz w:val="22"/>
                <w:highlight w:val="none"/>
              </w:rPr>
              <w:fldChar w:fldCharType="begin"/>
            </w:r>
            <w:r>
              <w:rPr>
                <w:rFonts w:hint="default" w:ascii="Times New Roman" w:hAnsi="Times New Roman" w:eastAsia="宋体" w:cs="Times New Roman"/>
                <w:b/>
                <w:bCs/>
                <w:snapToGrid w:val="0"/>
                <w:color w:val="auto"/>
                <w:spacing w:val="-6"/>
                <w:kern w:val="21"/>
                <w:sz w:val="22"/>
                <w:highlight w:val="none"/>
              </w:rPr>
              <w:instrText xml:space="preserve"> = 2 \* GB3 \* MERGEFORMAT </w:instrText>
            </w:r>
            <w:r>
              <w:rPr>
                <w:rFonts w:hint="default" w:ascii="Times New Roman" w:hAnsi="Times New Roman" w:eastAsia="宋体" w:cs="Times New Roman"/>
                <w:b/>
                <w:bCs/>
                <w:snapToGrid w:val="0"/>
                <w:color w:val="auto"/>
                <w:spacing w:val="-6"/>
                <w:kern w:val="21"/>
                <w:sz w:val="22"/>
                <w:highlight w:val="none"/>
              </w:rPr>
              <w:fldChar w:fldCharType="separate"/>
            </w:r>
            <w:r>
              <w:rPr>
                <w:rFonts w:hint="default" w:ascii="Times New Roman" w:hAnsi="Times New Roman" w:eastAsia="宋体" w:cs="Times New Roman"/>
                <w:b/>
                <w:bCs/>
                <w:snapToGrid w:val="0"/>
                <w:color w:val="auto"/>
                <w:spacing w:val="-6"/>
                <w:kern w:val="21"/>
                <w:sz w:val="22"/>
                <w:highlight w:val="none"/>
              </w:rPr>
              <w:t>②</w:t>
            </w:r>
            <w:r>
              <w:rPr>
                <w:rFonts w:hint="default" w:ascii="Times New Roman" w:hAnsi="Times New Roman" w:eastAsia="宋体" w:cs="Times New Roman"/>
                <w:b/>
                <w:bCs/>
                <w:snapToGrid w:val="0"/>
                <w:color w:val="auto"/>
                <w:spacing w:val="-6"/>
                <w:kern w:val="21"/>
                <w:sz w:val="22"/>
                <w:highlight w:val="none"/>
              </w:rPr>
              <w:fldChar w:fldCharType="end"/>
            </w:r>
          </w:p>
        </w:tc>
        <w:tc>
          <w:tcPr>
            <w:tcW w:w="1469" w:type="dxa"/>
            <w:tcMar>
              <w:left w:w="28" w:type="dxa"/>
              <w:right w:w="28" w:type="dxa"/>
            </w:tcMar>
            <w:vAlign w:val="center"/>
          </w:tcPr>
          <w:p w14:paraId="4D9193AB">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在建工程排放量（固体废物产生量）</w:t>
            </w:r>
            <w:r>
              <w:rPr>
                <w:rFonts w:hint="default" w:ascii="Times New Roman" w:hAnsi="Times New Roman" w:eastAsia="宋体" w:cs="Times New Roman"/>
                <w:b/>
                <w:bCs/>
                <w:snapToGrid w:val="0"/>
                <w:color w:val="auto"/>
                <w:spacing w:val="-6"/>
                <w:kern w:val="21"/>
                <w:sz w:val="22"/>
                <w:highlight w:val="none"/>
              </w:rPr>
              <w:fldChar w:fldCharType="begin"/>
            </w:r>
            <w:r>
              <w:rPr>
                <w:rFonts w:hint="default" w:ascii="Times New Roman" w:hAnsi="Times New Roman" w:eastAsia="宋体" w:cs="Times New Roman"/>
                <w:b/>
                <w:bCs/>
                <w:snapToGrid w:val="0"/>
                <w:color w:val="auto"/>
                <w:spacing w:val="-6"/>
                <w:kern w:val="21"/>
                <w:sz w:val="22"/>
                <w:highlight w:val="none"/>
              </w:rPr>
              <w:instrText xml:space="preserve"> = 3 \* GB3 \* MERGEFORMAT </w:instrText>
            </w:r>
            <w:r>
              <w:rPr>
                <w:rFonts w:hint="default" w:ascii="Times New Roman" w:hAnsi="Times New Roman" w:eastAsia="宋体" w:cs="Times New Roman"/>
                <w:b/>
                <w:bCs/>
                <w:snapToGrid w:val="0"/>
                <w:color w:val="auto"/>
                <w:spacing w:val="-6"/>
                <w:kern w:val="21"/>
                <w:sz w:val="22"/>
                <w:highlight w:val="none"/>
              </w:rPr>
              <w:fldChar w:fldCharType="separate"/>
            </w:r>
            <w:r>
              <w:rPr>
                <w:rFonts w:hint="default" w:ascii="Times New Roman" w:hAnsi="Times New Roman" w:eastAsia="宋体" w:cs="Times New Roman"/>
                <w:b/>
                <w:bCs/>
                <w:color w:val="auto"/>
                <w:sz w:val="22"/>
                <w:highlight w:val="none"/>
              </w:rPr>
              <w:t>③</w:t>
            </w:r>
            <w:r>
              <w:rPr>
                <w:rFonts w:hint="default" w:ascii="Times New Roman" w:hAnsi="Times New Roman" w:eastAsia="宋体" w:cs="Times New Roman"/>
                <w:b/>
                <w:bCs/>
                <w:snapToGrid w:val="0"/>
                <w:color w:val="auto"/>
                <w:spacing w:val="-6"/>
                <w:kern w:val="21"/>
                <w:sz w:val="22"/>
                <w:highlight w:val="none"/>
              </w:rPr>
              <w:fldChar w:fldCharType="end"/>
            </w:r>
          </w:p>
        </w:tc>
        <w:tc>
          <w:tcPr>
            <w:tcW w:w="1458" w:type="dxa"/>
            <w:tcMar>
              <w:left w:w="28" w:type="dxa"/>
              <w:right w:w="28" w:type="dxa"/>
            </w:tcMar>
            <w:vAlign w:val="center"/>
          </w:tcPr>
          <w:p w14:paraId="64DAF4BD">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本项目排放量（固体废物产生量）</w:t>
            </w:r>
            <w:r>
              <w:rPr>
                <w:rFonts w:hint="default" w:ascii="Times New Roman" w:hAnsi="Times New Roman" w:eastAsia="宋体" w:cs="Times New Roman"/>
                <w:b/>
                <w:bCs/>
                <w:snapToGrid w:val="0"/>
                <w:color w:val="auto"/>
                <w:spacing w:val="-6"/>
                <w:kern w:val="21"/>
                <w:sz w:val="22"/>
                <w:highlight w:val="none"/>
              </w:rPr>
              <w:fldChar w:fldCharType="begin"/>
            </w:r>
            <w:r>
              <w:rPr>
                <w:rFonts w:hint="default" w:ascii="Times New Roman" w:hAnsi="Times New Roman" w:eastAsia="宋体" w:cs="Times New Roman"/>
                <w:b/>
                <w:bCs/>
                <w:snapToGrid w:val="0"/>
                <w:color w:val="auto"/>
                <w:spacing w:val="-6"/>
                <w:kern w:val="21"/>
                <w:sz w:val="22"/>
                <w:highlight w:val="none"/>
              </w:rPr>
              <w:instrText xml:space="preserve"> = 4 \* GB3 \* MERGEFORMAT </w:instrText>
            </w:r>
            <w:r>
              <w:rPr>
                <w:rFonts w:hint="default" w:ascii="Times New Roman" w:hAnsi="Times New Roman" w:eastAsia="宋体" w:cs="Times New Roman"/>
                <w:b/>
                <w:bCs/>
                <w:snapToGrid w:val="0"/>
                <w:color w:val="auto"/>
                <w:spacing w:val="-6"/>
                <w:kern w:val="21"/>
                <w:sz w:val="22"/>
                <w:highlight w:val="none"/>
              </w:rPr>
              <w:fldChar w:fldCharType="separate"/>
            </w:r>
            <w:r>
              <w:rPr>
                <w:rFonts w:hint="default" w:ascii="Times New Roman" w:hAnsi="Times New Roman" w:eastAsia="宋体" w:cs="Times New Roman"/>
                <w:b/>
                <w:bCs/>
                <w:color w:val="auto"/>
                <w:sz w:val="22"/>
                <w:highlight w:val="none"/>
              </w:rPr>
              <w:t>④</w:t>
            </w:r>
            <w:r>
              <w:rPr>
                <w:rFonts w:hint="default" w:ascii="Times New Roman" w:hAnsi="Times New Roman" w:eastAsia="宋体" w:cs="Times New Roman"/>
                <w:b/>
                <w:bCs/>
                <w:snapToGrid w:val="0"/>
                <w:color w:val="auto"/>
                <w:spacing w:val="-6"/>
                <w:kern w:val="21"/>
                <w:sz w:val="22"/>
                <w:highlight w:val="none"/>
              </w:rPr>
              <w:fldChar w:fldCharType="end"/>
            </w:r>
          </w:p>
        </w:tc>
        <w:tc>
          <w:tcPr>
            <w:tcW w:w="1264" w:type="dxa"/>
            <w:tcMar>
              <w:left w:w="28" w:type="dxa"/>
              <w:right w:w="28" w:type="dxa"/>
            </w:tcMar>
            <w:vAlign w:val="center"/>
          </w:tcPr>
          <w:p w14:paraId="3EEBECE6">
            <w:pPr>
              <w:pStyle w:val="44"/>
              <w:spacing w:beforeLines="0" w:afterLines="0" w:line="240" w:lineRule="auto"/>
              <w:rPr>
                <w:rFonts w:hint="default" w:ascii="Times New Roman" w:hAnsi="Times New Roman" w:eastAsia="宋体" w:cs="Times New Roman"/>
                <w:b/>
                <w:bCs/>
                <w:snapToGrid w:val="0"/>
                <w:color w:val="auto"/>
                <w:spacing w:val="-16"/>
                <w:kern w:val="21"/>
                <w:sz w:val="22"/>
                <w:highlight w:val="none"/>
              </w:rPr>
            </w:pPr>
            <w:r>
              <w:rPr>
                <w:rFonts w:hint="default" w:ascii="Times New Roman" w:hAnsi="Times New Roman" w:eastAsia="宋体" w:cs="Times New Roman"/>
                <w:b/>
                <w:bCs/>
                <w:snapToGrid w:val="0"/>
                <w:color w:val="auto"/>
                <w:spacing w:val="-16"/>
                <w:kern w:val="21"/>
                <w:sz w:val="22"/>
                <w:highlight w:val="none"/>
              </w:rPr>
              <w:t>以新带老削减量（新建项目不填）</w:t>
            </w:r>
            <w:r>
              <w:rPr>
                <w:rFonts w:hint="default" w:ascii="Times New Roman" w:hAnsi="Times New Roman" w:eastAsia="宋体" w:cs="Times New Roman"/>
                <w:b/>
                <w:bCs/>
                <w:snapToGrid w:val="0"/>
                <w:color w:val="auto"/>
                <w:spacing w:val="-16"/>
                <w:kern w:val="21"/>
                <w:sz w:val="22"/>
                <w:highlight w:val="none"/>
              </w:rPr>
              <w:fldChar w:fldCharType="begin"/>
            </w:r>
            <w:r>
              <w:rPr>
                <w:rFonts w:hint="default" w:ascii="Times New Roman" w:hAnsi="Times New Roman" w:eastAsia="宋体" w:cs="Times New Roman"/>
                <w:b/>
                <w:bCs/>
                <w:snapToGrid w:val="0"/>
                <w:color w:val="auto"/>
                <w:spacing w:val="-16"/>
                <w:kern w:val="21"/>
                <w:sz w:val="22"/>
                <w:highlight w:val="none"/>
              </w:rPr>
              <w:instrText xml:space="preserve"> = 5 \* GB3 \* MERGEFORMAT </w:instrText>
            </w:r>
            <w:r>
              <w:rPr>
                <w:rFonts w:hint="default" w:ascii="Times New Roman" w:hAnsi="Times New Roman" w:eastAsia="宋体" w:cs="Times New Roman"/>
                <w:b/>
                <w:bCs/>
                <w:snapToGrid w:val="0"/>
                <w:color w:val="auto"/>
                <w:spacing w:val="-16"/>
                <w:kern w:val="21"/>
                <w:sz w:val="22"/>
                <w:highlight w:val="none"/>
              </w:rPr>
              <w:fldChar w:fldCharType="separate"/>
            </w:r>
            <w:r>
              <w:rPr>
                <w:rFonts w:hint="default" w:ascii="Times New Roman" w:hAnsi="Times New Roman" w:eastAsia="宋体" w:cs="Times New Roman"/>
                <w:b/>
                <w:bCs/>
                <w:color w:val="auto"/>
                <w:sz w:val="22"/>
                <w:highlight w:val="none"/>
              </w:rPr>
              <w:t>⑤</w:t>
            </w:r>
            <w:r>
              <w:rPr>
                <w:rFonts w:hint="default" w:ascii="Times New Roman" w:hAnsi="Times New Roman" w:eastAsia="宋体" w:cs="Times New Roman"/>
                <w:b/>
                <w:bCs/>
                <w:snapToGrid w:val="0"/>
                <w:color w:val="auto"/>
                <w:spacing w:val="-16"/>
                <w:kern w:val="21"/>
                <w:sz w:val="22"/>
                <w:highlight w:val="none"/>
              </w:rPr>
              <w:fldChar w:fldCharType="end"/>
            </w:r>
          </w:p>
        </w:tc>
        <w:tc>
          <w:tcPr>
            <w:tcW w:w="1642" w:type="dxa"/>
            <w:tcMar>
              <w:left w:w="28" w:type="dxa"/>
              <w:right w:w="28" w:type="dxa"/>
            </w:tcMar>
            <w:vAlign w:val="center"/>
          </w:tcPr>
          <w:p w14:paraId="7BEBFF27">
            <w:pPr>
              <w:pStyle w:val="44"/>
              <w:spacing w:beforeLines="0" w:afterLines="0" w:line="240" w:lineRule="auto"/>
              <w:rPr>
                <w:rFonts w:hint="default" w:ascii="Times New Roman" w:hAnsi="Times New Roman" w:eastAsia="宋体" w:cs="Times New Roman"/>
                <w:b/>
                <w:bCs/>
                <w:snapToGrid w:val="0"/>
                <w:color w:val="auto"/>
                <w:spacing w:val="-16"/>
                <w:kern w:val="21"/>
                <w:sz w:val="22"/>
                <w:highlight w:val="none"/>
              </w:rPr>
            </w:pPr>
            <w:r>
              <w:rPr>
                <w:rFonts w:hint="default" w:ascii="Times New Roman" w:hAnsi="Times New Roman" w:eastAsia="宋体" w:cs="Times New Roman"/>
                <w:b/>
                <w:bCs/>
                <w:snapToGrid w:val="0"/>
                <w:color w:val="auto"/>
                <w:spacing w:val="-16"/>
                <w:kern w:val="21"/>
                <w:sz w:val="22"/>
                <w:highlight w:val="none"/>
              </w:rPr>
              <w:t>本项目建成后</w:t>
            </w:r>
          </w:p>
          <w:p w14:paraId="27A885F0">
            <w:pPr>
              <w:pStyle w:val="44"/>
              <w:spacing w:beforeLines="0" w:afterLines="0" w:line="240" w:lineRule="auto"/>
              <w:rPr>
                <w:rFonts w:hint="default" w:ascii="Times New Roman" w:hAnsi="Times New Roman" w:eastAsia="宋体" w:cs="Times New Roman"/>
                <w:b/>
                <w:bCs/>
                <w:snapToGrid w:val="0"/>
                <w:color w:val="auto"/>
                <w:spacing w:val="-16"/>
                <w:kern w:val="21"/>
                <w:sz w:val="22"/>
                <w:highlight w:val="none"/>
              </w:rPr>
            </w:pPr>
            <w:r>
              <w:rPr>
                <w:rFonts w:hint="default" w:ascii="Times New Roman" w:hAnsi="Times New Roman" w:eastAsia="宋体" w:cs="Times New Roman"/>
                <w:b/>
                <w:bCs/>
                <w:snapToGrid w:val="0"/>
                <w:color w:val="auto"/>
                <w:spacing w:val="-16"/>
                <w:kern w:val="21"/>
                <w:sz w:val="22"/>
                <w:highlight w:val="none"/>
              </w:rPr>
              <w:t>全厂排放量（固体废物产生量）</w:t>
            </w:r>
            <w:r>
              <w:rPr>
                <w:rFonts w:hint="default" w:ascii="Times New Roman" w:hAnsi="Times New Roman" w:eastAsia="宋体" w:cs="Times New Roman"/>
                <w:b/>
                <w:bCs/>
                <w:snapToGrid w:val="0"/>
                <w:color w:val="auto"/>
                <w:spacing w:val="-16"/>
                <w:kern w:val="21"/>
                <w:sz w:val="22"/>
                <w:highlight w:val="none"/>
              </w:rPr>
              <w:fldChar w:fldCharType="begin"/>
            </w:r>
            <w:r>
              <w:rPr>
                <w:rFonts w:hint="default" w:ascii="Times New Roman" w:hAnsi="Times New Roman" w:eastAsia="宋体" w:cs="Times New Roman"/>
                <w:b/>
                <w:bCs/>
                <w:snapToGrid w:val="0"/>
                <w:color w:val="auto"/>
                <w:spacing w:val="-16"/>
                <w:kern w:val="21"/>
                <w:sz w:val="22"/>
                <w:highlight w:val="none"/>
              </w:rPr>
              <w:instrText xml:space="preserve"> = 6 \* GB3 \* MERGEFORMAT </w:instrText>
            </w:r>
            <w:r>
              <w:rPr>
                <w:rFonts w:hint="default" w:ascii="Times New Roman" w:hAnsi="Times New Roman" w:eastAsia="宋体" w:cs="Times New Roman"/>
                <w:b/>
                <w:bCs/>
                <w:snapToGrid w:val="0"/>
                <w:color w:val="auto"/>
                <w:spacing w:val="-16"/>
                <w:kern w:val="21"/>
                <w:sz w:val="22"/>
                <w:highlight w:val="none"/>
              </w:rPr>
              <w:fldChar w:fldCharType="separate"/>
            </w:r>
            <w:r>
              <w:rPr>
                <w:rFonts w:hint="default" w:ascii="Times New Roman" w:hAnsi="Times New Roman" w:eastAsia="宋体" w:cs="Times New Roman"/>
                <w:b/>
                <w:bCs/>
                <w:color w:val="auto"/>
                <w:sz w:val="22"/>
                <w:highlight w:val="none"/>
              </w:rPr>
              <w:t>⑥</w:t>
            </w:r>
            <w:r>
              <w:rPr>
                <w:rFonts w:hint="default" w:ascii="Times New Roman" w:hAnsi="Times New Roman" w:eastAsia="宋体" w:cs="Times New Roman"/>
                <w:b/>
                <w:bCs/>
                <w:snapToGrid w:val="0"/>
                <w:color w:val="auto"/>
                <w:spacing w:val="-16"/>
                <w:kern w:val="21"/>
                <w:sz w:val="22"/>
                <w:highlight w:val="none"/>
              </w:rPr>
              <w:fldChar w:fldCharType="end"/>
            </w:r>
          </w:p>
        </w:tc>
        <w:tc>
          <w:tcPr>
            <w:tcW w:w="1396" w:type="dxa"/>
            <w:tcMar>
              <w:left w:w="28" w:type="dxa"/>
              <w:right w:w="28" w:type="dxa"/>
            </w:tcMar>
            <w:vAlign w:val="center"/>
          </w:tcPr>
          <w:p w14:paraId="07270AF4">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变化量</w:t>
            </w:r>
          </w:p>
          <w:p w14:paraId="7FDBE00B">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fldChar w:fldCharType="begin"/>
            </w:r>
            <w:r>
              <w:rPr>
                <w:rFonts w:hint="default" w:ascii="Times New Roman" w:hAnsi="Times New Roman" w:eastAsia="宋体" w:cs="Times New Roman"/>
                <w:b/>
                <w:bCs/>
                <w:snapToGrid w:val="0"/>
                <w:color w:val="auto"/>
                <w:spacing w:val="-6"/>
                <w:kern w:val="21"/>
                <w:sz w:val="22"/>
                <w:highlight w:val="none"/>
              </w:rPr>
              <w:instrText xml:space="preserve"> = 7 \* GB3 \* MERGEFORMAT </w:instrText>
            </w:r>
            <w:r>
              <w:rPr>
                <w:rFonts w:hint="default" w:ascii="Times New Roman" w:hAnsi="Times New Roman" w:eastAsia="宋体" w:cs="Times New Roman"/>
                <w:b/>
                <w:bCs/>
                <w:snapToGrid w:val="0"/>
                <w:color w:val="auto"/>
                <w:spacing w:val="-6"/>
                <w:kern w:val="21"/>
                <w:sz w:val="22"/>
                <w:highlight w:val="none"/>
              </w:rPr>
              <w:fldChar w:fldCharType="separate"/>
            </w:r>
            <w:r>
              <w:rPr>
                <w:rFonts w:hint="default" w:ascii="Times New Roman" w:hAnsi="Times New Roman" w:eastAsia="宋体" w:cs="Times New Roman"/>
                <w:b/>
                <w:bCs/>
                <w:color w:val="auto"/>
                <w:sz w:val="22"/>
                <w:highlight w:val="none"/>
              </w:rPr>
              <w:t>⑦</w:t>
            </w:r>
            <w:r>
              <w:rPr>
                <w:rFonts w:hint="default" w:ascii="Times New Roman" w:hAnsi="Times New Roman" w:eastAsia="宋体" w:cs="Times New Roman"/>
                <w:b/>
                <w:bCs/>
                <w:snapToGrid w:val="0"/>
                <w:color w:val="auto"/>
                <w:spacing w:val="-6"/>
                <w:kern w:val="21"/>
                <w:sz w:val="22"/>
                <w:highlight w:val="none"/>
              </w:rPr>
              <w:fldChar w:fldCharType="end"/>
            </w:r>
          </w:p>
        </w:tc>
      </w:tr>
      <w:tr w14:paraId="261EBC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Align w:val="center"/>
          </w:tcPr>
          <w:p w14:paraId="5B392CA0">
            <w:pPr>
              <w:widowControl/>
              <w:adjustRightInd w:val="0"/>
              <w:snapToGrid w:val="0"/>
              <w:spacing w:line="240" w:lineRule="auto"/>
              <w:jc w:val="center"/>
              <w:rPr>
                <w:rFonts w:hint="eastAsia"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废气</w:t>
            </w:r>
          </w:p>
        </w:tc>
        <w:tc>
          <w:tcPr>
            <w:tcW w:w="2906" w:type="dxa"/>
            <w:shd w:val="clear" w:color="auto" w:fill="auto"/>
            <w:vAlign w:val="center"/>
          </w:tcPr>
          <w:p w14:paraId="5FC8537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非甲烷总烃</w:t>
            </w:r>
          </w:p>
        </w:tc>
        <w:tc>
          <w:tcPr>
            <w:tcW w:w="1407" w:type="dxa"/>
            <w:shd w:val="clear" w:color="auto" w:fill="auto"/>
            <w:vAlign w:val="center"/>
          </w:tcPr>
          <w:p w14:paraId="1DD50EF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20B1A5F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45E6C70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5A2D9FC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0.003225</w:t>
            </w:r>
          </w:p>
        </w:tc>
        <w:tc>
          <w:tcPr>
            <w:tcW w:w="1264" w:type="dxa"/>
            <w:shd w:val="clear" w:color="auto" w:fill="auto"/>
            <w:vAlign w:val="center"/>
          </w:tcPr>
          <w:p w14:paraId="034A2087">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4631C041">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0.003225</w:t>
            </w:r>
          </w:p>
        </w:tc>
        <w:tc>
          <w:tcPr>
            <w:tcW w:w="1396" w:type="dxa"/>
            <w:shd w:val="clear" w:color="auto" w:fill="auto"/>
            <w:vAlign w:val="center"/>
          </w:tcPr>
          <w:p w14:paraId="3924D601">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+0.003225</w:t>
            </w:r>
          </w:p>
        </w:tc>
      </w:tr>
      <w:tr w14:paraId="7CAE1F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restart"/>
            <w:vAlign w:val="center"/>
          </w:tcPr>
          <w:p w14:paraId="6D359DC9">
            <w:pPr>
              <w:widowControl/>
              <w:adjustRightInd w:val="0"/>
              <w:snapToGrid w:val="0"/>
              <w:spacing w:line="240" w:lineRule="auto"/>
              <w:jc w:val="center"/>
              <w:rPr>
                <w:rFonts w:hint="eastAsia"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废水</w:t>
            </w:r>
          </w:p>
        </w:tc>
        <w:tc>
          <w:tcPr>
            <w:tcW w:w="2906" w:type="dxa"/>
            <w:shd w:val="clear" w:color="auto" w:fill="auto"/>
            <w:vAlign w:val="center"/>
          </w:tcPr>
          <w:p w14:paraId="2A6735C4">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BOD</w:t>
            </w:r>
            <w:r>
              <w:rPr>
                <w:rFonts w:hint="default" w:ascii="Times New Roman" w:hAnsi="Times New Roman" w:eastAsia="宋体" w:cs="Times New Roman"/>
                <w:color w:val="auto"/>
                <w:sz w:val="22"/>
                <w:szCs w:val="22"/>
                <w:highlight w:val="none"/>
                <w:vertAlign w:val="subscript"/>
                <w:lang w:val="en-US" w:eastAsia="zh-CN"/>
              </w:rPr>
              <w:t>5</w:t>
            </w:r>
          </w:p>
        </w:tc>
        <w:tc>
          <w:tcPr>
            <w:tcW w:w="1407" w:type="dxa"/>
            <w:shd w:val="clear" w:color="auto" w:fill="auto"/>
            <w:vAlign w:val="center"/>
          </w:tcPr>
          <w:p w14:paraId="01957B1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77702A7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62100E8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vAlign w:val="center"/>
          </w:tcPr>
          <w:p w14:paraId="3211836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Cs w:val="21"/>
                <w:highlight w:val="none"/>
                <w:lang w:val="en-US" w:eastAsia="zh-CN"/>
              </w:rPr>
              <w:t>0.0243</w:t>
            </w:r>
          </w:p>
        </w:tc>
        <w:tc>
          <w:tcPr>
            <w:tcW w:w="1264" w:type="dxa"/>
            <w:shd w:val="clear" w:color="auto" w:fill="auto"/>
            <w:vAlign w:val="center"/>
          </w:tcPr>
          <w:p w14:paraId="4B603D19">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5A39EE87">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Cs w:val="21"/>
                <w:highlight w:val="none"/>
                <w:lang w:val="en-US" w:eastAsia="zh-CN"/>
              </w:rPr>
              <w:t>0.0243</w:t>
            </w:r>
          </w:p>
        </w:tc>
        <w:tc>
          <w:tcPr>
            <w:tcW w:w="1396" w:type="dxa"/>
            <w:shd w:val="clear" w:color="auto" w:fill="auto"/>
            <w:vAlign w:val="center"/>
          </w:tcPr>
          <w:p w14:paraId="24C21EF3">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0.0243</w:t>
            </w:r>
          </w:p>
        </w:tc>
      </w:tr>
      <w:tr w14:paraId="7B6737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3F8A11ED">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5155DA2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SS</w:t>
            </w:r>
          </w:p>
        </w:tc>
        <w:tc>
          <w:tcPr>
            <w:tcW w:w="1407" w:type="dxa"/>
            <w:shd w:val="clear" w:color="auto" w:fill="auto"/>
            <w:vAlign w:val="center"/>
          </w:tcPr>
          <w:p w14:paraId="2C0749E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0590BE0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0EA77E3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vAlign w:val="center"/>
          </w:tcPr>
          <w:p w14:paraId="08222F11">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Cs w:val="21"/>
                <w:highlight w:val="none"/>
                <w:lang w:val="en-US" w:eastAsia="zh-CN"/>
              </w:rPr>
              <w:t>0.0225</w:t>
            </w:r>
          </w:p>
        </w:tc>
        <w:tc>
          <w:tcPr>
            <w:tcW w:w="1264" w:type="dxa"/>
            <w:shd w:val="clear" w:color="auto" w:fill="auto"/>
            <w:vAlign w:val="center"/>
          </w:tcPr>
          <w:p w14:paraId="0E2E1A1F">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2F44678E">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Cs w:val="21"/>
                <w:highlight w:val="none"/>
                <w:lang w:val="en-US" w:eastAsia="zh-CN"/>
              </w:rPr>
              <w:t>0.0225</w:t>
            </w:r>
          </w:p>
        </w:tc>
        <w:tc>
          <w:tcPr>
            <w:tcW w:w="1396" w:type="dxa"/>
            <w:shd w:val="clear" w:color="auto" w:fill="auto"/>
            <w:vAlign w:val="center"/>
          </w:tcPr>
          <w:p w14:paraId="341AA00D">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0.0225</w:t>
            </w:r>
          </w:p>
        </w:tc>
      </w:tr>
      <w:tr w14:paraId="1D16A4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60A38E1D">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6AA3A23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氨氮</w:t>
            </w:r>
          </w:p>
        </w:tc>
        <w:tc>
          <w:tcPr>
            <w:tcW w:w="1407" w:type="dxa"/>
            <w:shd w:val="clear" w:color="auto" w:fill="auto"/>
            <w:vAlign w:val="center"/>
          </w:tcPr>
          <w:p w14:paraId="3FC8BD4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2E9776E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3C4A44D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vAlign w:val="center"/>
          </w:tcPr>
          <w:p w14:paraId="52F5A00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Cs w:val="21"/>
                <w:highlight w:val="none"/>
                <w:lang w:val="en-US" w:eastAsia="zh-CN"/>
              </w:rPr>
              <w:t>0.0042</w:t>
            </w:r>
          </w:p>
        </w:tc>
        <w:tc>
          <w:tcPr>
            <w:tcW w:w="1264" w:type="dxa"/>
            <w:shd w:val="clear" w:color="auto" w:fill="auto"/>
            <w:vAlign w:val="center"/>
          </w:tcPr>
          <w:p w14:paraId="1B399D1B">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6303B6B6">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Cs w:val="21"/>
                <w:highlight w:val="none"/>
                <w:lang w:val="en-US" w:eastAsia="zh-CN"/>
              </w:rPr>
              <w:t>0.0042</w:t>
            </w:r>
          </w:p>
        </w:tc>
        <w:tc>
          <w:tcPr>
            <w:tcW w:w="1396" w:type="dxa"/>
            <w:shd w:val="clear" w:color="auto" w:fill="auto"/>
            <w:vAlign w:val="center"/>
          </w:tcPr>
          <w:p w14:paraId="42A1BA3B">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0.0042</w:t>
            </w:r>
          </w:p>
        </w:tc>
      </w:tr>
      <w:tr w14:paraId="48107F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648484B1">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7A6C78E5">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可溶性固体总量</w:t>
            </w:r>
          </w:p>
        </w:tc>
        <w:tc>
          <w:tcPr>
            <w:tcW w:w="1407" w:type="dxa"/>
            <w:shd w:val="clear" w:color="auto" w:fill="auto"/>
            <w:vAlign w:val="center"/>
          </w:tcPr>
          <w:p w14:paraId="63EED8CD">
            <w:pPr>
              <w:widowControl/>
              <w:adjustRightInd w:val="0"/>
              <w:snapToGrid w:val="0"/>
              <w:spacing w:line="240" w:lineRule="auto"/>
              <w:jc w:val="center"/>
              <w:rPr>
                <w:rFonts w:hint="default"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21E284C6">
            <w:pPr>
              <w:widowControl/>
              <w:adjustRightInd w:val="0"/>
              <w:snapToGrid w:val="0"/>
              <w:spacing w:line="240" w:lineRule="auto"/>
              <w:jc w:val="center"/>
              <w:rPr>
                <w:rFonts w:hint="eastAsia" w:ascii="Times New Roman" w:hAnsi="Times New Roman" w:eastAsia="宋体" w:cs="Times New Roman"/>
                <w:color w:val="auto"/>
                <w:sz w:val="22"/>
                <w:szCs w:val="22"/>
                <w:highlight w:val="none"/>
                <w:lang w:val="en-US" w:eastAsia="zh-CN"/>
              </w:rPr>
            </w:pPr>
          </w:p>
        </w:tc>
        <w:tc>
          <w:tcPr>
            <w:tcW w:w="1469" w:type="dxa"/>
            <w:shd w:val="clear" w:color="auto" w:fill="auto"/>
            <w:vAlign w:val="center"/>
          </w:tcPr>
          <w:p w14:paraId="1A93C723">
            <w:pPr>
              <w:widowControl/>
              <w:adjustRightInd w:val="0"/>
              <w:snapToGrid w:val="0"/>
              <w:spacing w:line="240" w:lineRule="auto"/>
              <w:jc w:val="center"/>
              <w:rPr>
                <w:rFonts w:hint="eastAsia" w:ascii="Times New Roman" w:hAnsi="Times New Roman" w:eastAsia="宋体" w:cs="Times New Roman"/>
                <w:color w:val="auto"/>
                <w:sz w:val="22"/>
                <w:szCs w:val="22"/>
                <w:highlight w:val="none"/>
                <w:lang w:val="en-US" w:eastAsia="zh-CN"/>
              </w:rPr>
            </w:pPr>
          </w:p>
        </w:tc>
        <w:tc>
          <w:tcPr>
            <w:tcW w:w="1458" w:type="dxa"/>
            <w:vAlign w:val="center"/>
          </w:tcPr>
          <w:p w14:paraId="7F2B2870">
            <w:pPr>
              <w:widowControl/>
              <w:adjustRightInd w:val="0"/>
              <w:snapToGrid w:val="0"/>
              <w:spacing w:line="240" w:lineRule="auto"/>
              <w:jc w:val="center"/>
              <w:rPr>
                <w:rFonts w:hint="eastAsia" w:cs="Times New Roman"/>
                <w:i w:val="0"/>
                <w:iCs w:val="0"/>
                <w:color w:val="000000"/>
                <w:kern w:val="0"/>
                <w:sz w:val="21"/>
                <w:szCs w:val="21"/>
                <w:u w:val="none"/>
                <w:lang w:val="en-US" w:eastAsia="zh-CN" w:bidi="ar"/>
              </w:rPr>
            </w:pPr>
            <w:r>
              <w:rPr>
                <w:rFonts w:hint="default" w:ascii="Times New Roman" w:hAnsi="Times New Roman" w:eastAsia="宋体" w:cs="Times New Roman"/>
                <w:color w:val="auto"/>
                <w:szCs w:val="21"/>
                <w:highlight w:val="none"/>
                <w:lang w:val="en-US" w:eastAsia="zh-CN"/>
              </w:rPr>
              <w:t>0.0014</w:t>
            </w:r>
          </w:p>
        </w:tc>
        <w:tc>
          <w:tcPr>
            <w:tcW w:w="1264" w:type="dxa"/>
            <w:shd w:val="clear" w:color="auto" w:fill="auto"/>
            <w:vAlign w:val="center"/>
          </w:tcPr>
          <w:p w14:paraId="043C8F6C">
            <w:pPr>
              <w:widowControl/>
              <w:adjustRightInd w:val="0"/>
              <w:snapToGrid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4BE20182">
            <w:pPr>
              <w:widowControl/>
              <w:adjustRightInd w:val="0"/>
              <w:snapToGrid w:val="0"/>
              <w:spacing w:line="240" w:lineRule="auto"/>
              <w:jc w:val="center"/>
              <w:rPr>
                <w:rFonts w:hint="eastAsia" w:cs="Times New Roman"/>
                <w:i w:val="0"/>
                <w:iCs w:val="0"/>
                <w:color w:val="000000"/>
                <w:kern w:val="0"/>
                <w:sz w:val="21"/>
                <w:szCs w:val="21"/>
                <w:u w:val="none"/>
                <w:lang w:val="en-US" w:eastAsia="zh-CN" w:bidi="ar"/>
              </w:rPr>
            </w:pPr>
            <w:r>
              <w:rPr>
                <w:rFonts w:hint="default" w:ascii="Times New Roman" w:hAnsi="Times New Roman" w:eastAsia="宋体" w:cs="Times New Roman"/>
                <w:color w:val="auto"/>
                <w:szCs w:val="21"/>
                <w:highlight w:val="none"/>
                <w:lang w:val="en-US" w:eastAsia="zh-CN"/>
              </w:rPr>
              <w:t>0.0014</w:t>
            </w:r>
          </w:p>
        </w:tc>
        <w:tc>
          <w:tcPr>
            <w:tcW w:w="1396" w:type="dxa"/>
            <w:shd w:val="clear" w:color="auto" w:fill="auto"/>
            <w:vAlign w:val="center"/>
          </w:tcPr>
          <w:p w14:paraId="6AECD634">
            <w:pPr>
              <w:widowControl/>
              <w:adjustRightInd w:val="0"/>
              <w:snapToGrid w:val="0"/>
              <w:spacing w:line="240" w:lineRule="auto"/>
              <w:jc w:val="center"/>
              <w:rPr>
                <w:rFonts w:hint="eastAsia" w:cs="Times New Roman"/>
                <w:i w:val="0"/>
                <w:iCs w:val="0"/>
                <w:color w:val="000000"/>
                <w:kern w:val="0"/>
                <w:sz w:val="21"/>
                <w:szCs w:val="21"/>
                <w:u w:val="none"/>
                <w:lang w:val="en-US" w:eastAsia="zh-CN" w:bidi="ar"/>
              </w:rPr>
            </w:pP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0.0014</w:t>
            </w:r>
          </w:p>
        </w:tc>
      </w:tr>
      <w:tr w14:paraId="5CCD8A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Align w:val="center"/>
          </w:tcPr>
          <w:p w14:paraId="3ABD959E">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一般工业固体废物</w:t>
            </w:r>
          </w:p>
        </w:tc>
        <w:tc>
          <w:tcPr>
            <w:tcW w:w="2906" w:type="dxa"/>
            <w:shd w:val="clear" w:color="auto" w:fill="auto"/>
            <w:vAlign w:val="center"/>
          </w:tcPr>
          <w:p w14:paraId="16218F4A">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未沾染化学试剂的废包装物</w:t>
            </w:r>
          </w:p>
        </w:tc>
        <w:tc>
          <w:tcPr>
            <w:tcW w:w="1407" w:type="dxa"/>
            <w:shd w:val="clear" w:color="auto" w:fill="auto"/>
            <w:vAlign w:val="center"/>
          </w:tcPr>
          <w:p w14:paraId="2082C8E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5461F02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4C47D945">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7B670D9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0.5</w:t>
            </w:r>
          </w:p>
        </w:tc>
        <w:tc>
          <w:tcPr>
            <w:tcW w:w="1264" w:type="dxa"/>
            <w:shd w:val="clear" w:color="auto" w:fill="auto"/>
            <w:vAlign w:val="center"/>
          </w:tcPr>
          <w:p w14:paraId="3B8279A2">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178112D9">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0.5</w:t>
            </w:r>
          </w:p>
        </w:tc>
        <w:tc>
          <w:tcPr>
            <w:tcW w:w="1396" w:type="dxa"/>
            <w:shd w:val="clear" w:color="auto" w:fill="auto"/>
            <w:vAlign w:val="center"/>
          </w:tcPr>
          <w:p w14:paraId="4DBCBDE3">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+0.5</w:t>
            </w:r>
          </w:p>
        </w:tc>
      </w:tr>
      <w:tr w14:paraId="014BE4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Align w:val="center"/>
          </w:tcPr>
          <w:p w14:paraId="7993938B">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val="en-US" w:eastAsia="zh-CN"/>
              </w:rPr>
              <w:t>生活垃圾</w:t>
            </w:r>
          </w:p>
        </w:tc>
        <w:tc>
          <w:tcPr>
            <w:tcW w:w="2906" w:type="dxa"/>
            <w:shd w:val="clear" w:color="auto" w:fill="auto"/>
            <w:vAlign w:val="center"/>
          </w:tcPr>
          <w:p w14:paraId="6F07D555">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c>
          <w:tcPr>
            <w:tcW w:w="1407" w:type="dxa"/>
            <w:shd w:val="clear" w:color="auto" w:fill="auto"/>
            <w:vAlign w:val="center"/>
          </w:tcPr>
          <w:p w14:paraId="26EECFA4">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36993381">
            <w:pPr>
              <w:widowControl/>
              <w:adjustRightInd w:val="0"/>
              <w:snapToGrid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7F647B01">
            <w:pPr>
              <w:widowControl/>
              <w:adjustRightInd w:val="0"/>
              <w:snapToGrid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1676CB43">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1.25</w:t>
            </w:r>
          </w:p>
        </w:tc>
        <w:tc>
          <w:tcPr>
            <w:tcW w:w="1264" w:type="dxa"/>
            <w:shd w:val="clear" w:color="auto" w:fill="auto"/>
            <w:vAlign w:val="center"/>
          </w:tcPr>
          <w:p w14:paraId="66DF578A">
            <w:pPr>
              <w:widowControl/>
              <w:adjustRightInd w:val="0"/>
              <w:snapToGrid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2DA922EE">
            <w:pPr>
              <w:widowControl/>
              <w:adjustRightInd w:val="0"/>
              <w:snapToGrid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1.25</w:t>
            </w:r>
          </w:p>
        </w:tc>
        <w:tc>
          <w:tcPr>
            <w:tcW w:w="1396" w:type="dxa"/>
            <w:shd w:val="clear" w:color="auto" w:fill="auto"/>
            <w:vAlign w:val="center"/>
          </w:tcPr>
          <w:p w14:paraId="346DA9FF">
            <w:pPr>
              <w:widowControl/>
              <w:adjustRightInd w:val="0"/>
              <w:snapToGrid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+1.25</w:t>
            </w:r>
          </w:p>
        </w:tc>
      </w:tr>
      <w:tr w14:paraId="7A3296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restart"/>
            <w:vAlign w:val="center"/>
          </w:tcPr>
          <w:p w14:paraId="4713A51E">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危险废物</w:t>
            </w:r>
          </w:p>
        </w:tc>
        <w:tc>
          <w:tcPr>
            <w:tcW w:w="2906" w:type="dxa"/>
            <w:shd w:val="clear" w:color="auto" w:fill="auto"/>
            <w:vAlign w:val="center"/>
          </w:tcPr>
          <w:p w14:paraId="57B25414">
            <w:pPr>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1"/>
                <w:szCs w:val="21"/>
                <w:highlight w:val="none"/>
                <w:lang w:val="en-US" w:eastAsia="zh-CN"/>
              </w:rPr>
              <w:t>废离心上清液</w:t>
            </w:r>
          </w:p>
        </w:tc>
        <w:tc>
          <w:tcPr>
            <w:tcW w:w="1407" w:type="dxa"/>
            <w:shd w:val="clear" w:color="auto" w:fill="auto"/>
            <w:vAlign w:val="center"/>
          </w:tcPr>
          <w:p w14:paraId="6F50577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7839102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402E905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556485DD">
            <w:pPr>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1"/>
                <w:szCs w:val="21"/>
                <w:highlight w:val="none"/>
                <w:lang w:val="en-US" w:eastAsia="zh-CN"/>
              </w:rPr>
              <w:t>0.2</w:t>
            </w:r>
          </w:p>
        </w:tc>
        <w:tc>
          <w:tcPr>
            <w:tcW w:w="1264" w:type="dxa"/>
            <w:shd w:val="clear" w:color="auto" w:fill="auto"/>
            <w:vAlign w:val="center"/>
          </w:tcPr>
          <w:p w14:paraId="0C705FD5">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4E191B1C">
            <w:pPr>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1"/>
                <w:szCs w:val="21"/>
                <w:highlight w:val="none"/>
                <w:lang w:val="en-US" w:eastAsia="zh-CN"/>
              </w:rPr>
              <w:t>0.2</w:t>
            </w:r>
          </w:p>
        </w:tc>
        <w:tc>
          <w:tcPr>
            <w:tcW w:w="1396" w:type="dxa"/>
            <w:shd w:val="clear" w:color="auto" w:fill="auto"/>
            <w:vAlign w:val="center"/>
          </w:tcPr>
          <w:p w14:paraId="3431EBDF">
            <w:pPr>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1"/>
                <w:szCs w:val="21"/>
                <w:highlight w:val="none"/>
                <w:lang w:val="en-US" w:eastAsia="zh-CN"/>
              </w:rPr>
              <w:t>+0.2</w:t>
            </w:r>
          </w:p>
        </w:tc>
      </w:tr>
      <w:tr w14:paraId="03AF77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01CACAA2">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5BCC586E">
            <w:pPr>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1"/>
                <w:szCs w:val="21"/>
                <w:highlight w:val="none"/>
                <w:lang w:val="en-US" w:eastAsia="zh-CN"/>
              </w:rPr>
              <w:t>清洗废液</w:t>
            </w:r>
          </w:p>
        </w:tc>
        <w:tc>
          <w:tcPr>
            <w:tcW w:w="1407" w:type="dxa"/>
            <w:shd w:val="clear" w:color="auto" w:fill="auto"/>
            <w:vAlign w:val="center"/>
          </w:tcPr>
          <w:p w14:paraId="49695AEA">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69D1A38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2A7AD6F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4596B886">
            <w:pPr>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1"/>
                <w:szCs w:val="21"/>
                <w:highlight w:val="none"/>
                <w:lang w:val="en-US" w:eastAsia="zh-CN"/>
              </w:rPr>
              <w:t>0.9</w:t>
            </w:r>
          </w:p>
        </w:tc>
        <w:tc>
          <w:tcPr>
            <w:tcW w:w="1264" w:type="dxa"/>
            <w:shd w:val="clear" w:color="auto" w:fill="auto"/>
            <w:vAlign w:val="center"/>
          </w:tcPr>
          <w:p w14:paraId="4231B5E3">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081B8AB4">
            <w:pPr>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1"/>
                <w:szCs w:val="21"/>
                <w:highlight w:val="none"/>
                <w:lang w:val="en-US" w:eastAsia="zh-CN"/>
              </w:rPr>
              <w:t>0.9</w:t>
            </w:r>
          </w:p>
        </w:tc>
        <w:tc>
          <w:tcPr>
            <w:tcW w:w="1396" w:type="dxa"/>
            <w:shd w:val="clear" w:color="auto" w:fill="auto"/>
            <w:vAlign w:val="center"/>
          </w:tcPr>
          <w:p w14:paraId="23A4C893">
            <w:pPr>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1"/>
                <w:szCs w:val="21"/>
                <w:highlight w:val="none"/>
                <w:lang w:val="en-US" w:eastAsia="zh-CN"/>
              </w:rPr>
              <w:t>+0.9</w:t>
            </w:r>
          </w:p>
        </w:tc>
      </w:tr>
      <w:tr w14:paraId="65749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7D7C205C">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1DF264E8">
            <w:pPr>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1"/>
                <w:szCs w:val="21"/>
                <w:highlight w:val="none"/>
                <w:lang w:val="en-US" w:eastAsia="zh-CN"/>
              </w:rPr>
              <w:t>废一次性试验耗材</w:t>
            </w:r>
          </w:p>
        </w:tc>
        <w:tc>
          <w:tcPr>
            <w:tcW w:w="1407" w:type="dxa"/>
            <w:shd w:val="clear" w:color="auto" w:fill="auto"/>
            <w:vAlign w:val="center"/>
          </w:tcPr>
          <w:p w14:paraId="7715D8F1">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1C308C64">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0D868F1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7E2CA9D0">
            <w:pPr>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1"/>
                <w:szCs w:val="21"/>
                <w:highlight w:val="none"/>
                <w:lang w:val="en-US" w:eastAsia="zh-CN"/>
              </w:rPr>
              <w:t>0.05</w:t>
            </w:r>
          </w:p>
        </w:tc>
        <w:tc>
          <w:tcPr>
            <w:tcW w:w="1264" w:type="dxa"/>
            <w:shd w:val="clear" w:color="auto" w:fill="auto"/>
            <w:vAlign w:val="center"/>
          </w:tcPr>
          <w:p w14:paraId="127B9ACF">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2AEEAF9F">
            <w:pPr>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1"/>
                <w:szCs w:val="21"/>
                <w:highlight w:val="none"/>
                <w:lang w:val="en-US" w:eastAsia="zh-CN"/>
              </w:rPr>
              <w:t>0.05</w:t>
            </w:r>
          </w:p>
        </w:tc>
        <w:tc>
          <w:tcPr>
            <w:tcW w:w="1396" w:type="dxa"/>
            <w:shd w:val="clear" w:color="auto" w:fill="auto"/>
            <w:vAlign w:val="center"/>
          </w:tcPr>
          <w:p w14:paraId="21D437FC">
            <w:pPr>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0.05</w:t>
            </w:r>
          </w:p>
        </w:tc>
      </w:tr>
      <w:tr w14:paraId="3E749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Merge w:val="continue"/>
            <w:vAlign w:val="center"/>
          </w:tcPr>
          <w:p w14:paraId="4471665D">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4D70C74A">
            <w:pPr>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1"/>
                <w:szCs w:val="21"/>
                <w:highlight w:val="none"/>
                <w:lang w:val="en-US" w:eastAsia="zh-CN"/>
              </w:rPr>
              <w:t>废培养基</w:t>
            </w:r>
          </w:p>
        </w:tc>
        <w:tc>
          <w:tcPr>
            <w:tcW w:w="1407" w:type="dxa"/>
            <w:shd w:val="clear" w:color="auto" w:fill="auto"/>
            <w:vAlign w:val="center"/>
          </w:tcPr>
          <w:p w14:paraId="7A9A42F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0B08CD5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6BBA259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5F4131C0">
            <w:pPr>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1"/>
                <w:szCs w:val="21"/>
                <w:highlight w:val="none"/>
                <w:lang w:val="en-US" w:eastAsia="zh-CN"/>
              </w:rPr>
              <w:t>0.02</w:t>
            </w:r>
          </w:p>
        </w:tc>
        <w:tc>
          <w:tcPr>
            <w:tcW w:w="1264" w:type="dxa"/>
            <w:shd w:val="clear" w:color="auto" w:fill="auto"/>
            <w:vAlign w:val="center"/>
          </w:tcPr>
          <w:p w14:paraId="631E8490">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24D08525">
            <w:pPr>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1"/>
                <w:szCs w:val="21"/>
                <w:highlight w:val="none"/>
                <w:lang w:val="en-US" w:eastAsia="zh-CN"/>
              </w:rPr>
              <w:t>0.02</w:t>
            </w:r>
          </w:p>
        </w:tc>
        <w:tc>
          <w:tcPr>
            <w:tcW w:w="1396" w:type="dxa"/>
            <w:shd w:val="clear" w:color="auto" w:fill="auto"/>
            <w:vAlign w:val="center"/>
          </w:tcPr>
          <w:p w14:paraId="6E90A771">
            <w:pPr>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1"/>
                <w:szCs w:val="21"/>
                <w:highlight w:val="none"/>
                <w:lang w:val="en-US" w:eastAsia="zh-CN"/>
              </w:rPr>
              <w:t>+0.02</w:t>
            </w:r>
          </w:p>
        </w:tc>
      </w:tr>
      <w:tr w14:paraId="4DD23F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1948ED0E">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1DBB02DC">
            <w:pPr>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1"/>
                <w:szCs w:val="21"/>
                <w:highlight w:val="none"/>
                <w:lang w:val="en-US" w:eastAsia="zh-CN"/>
              </w:rPr>
              <w:t>检测废液</w:t>
            </w:r>
          </w:p>
        </w:tc>
        <w:tc>
          <w:tcPr>
            <w:tcW w:w="1407" w:type="dxa"/>
            <w:shd w:val="clear" w:color="auto" w:fill="auto"/>
            <w:vAlign w:val="center"/>
          </w:tcPr>
          <w:p w14:paraId="2A69846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2D09D63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6D6AB6B1">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31EF9A8A">
            <w:pPr>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1"/>
                <w:szCs w:val="21"/>
                <w:highlight w:val="none"/>
                <w:lang w:val="en-US" w:eastAsia="zh-CN"/>
              </w:rPr>
              <w:t>0.05</w:t>
            </w:r>
          </w:p>
        </w:tc>
        <w:tc>
          <w:tcPr>
            <w:tcW w:w="1264" w:type="dxa"/>
            <w:shd w:val="clear" w:color="auto" w:fill="auto"/>
            <w:vAlign w:val="center"/>
          </w:tcPr>
          <w:p w14:paraId="50086BE2">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6E1FAF71">
            <w:pPr>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1"/>
                <w:szCs w:val="21"/>
                <w:highlight w:val="none"/>
                <w:lang w:val="en-US" w:eastAsia="zh-CN"/>
              </w:rPr>
              <w:t>0.05</w:t>
            </w:r>
          </w:p>
        </w:tc>
        <w:tc>
          <w:tcPr>
            <w:tcW w:w="1396" w:type="dxa"/>
            <w:shd w:val="clear" w:color="auto" w:fill="auto"/>
            <w:vAlign w:val="center"/>
          </w:tcPr>
          <w:p w14:paraId="509A62EF">
            <w:pPr>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1"/>
                <w:szCs w:val="21"/>
                <w:highlight w:val="none"/>
                <w:lang w:val="en-US" w:eastAsia="zh-CN"/>
              </w:rPr>
              <w:t>+0.05</w:t>
            </w:r>
          </w:p>
        </w:tc>
      </w:tr>
      <w:tr w14:paraId="28EB93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5FBBDDD2">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1494A9F4">
            <w:pPr>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hint="eastAsia" w:cs="Times New Roman"/>
                <w:color w:val="auto"/>
                <w:sz w:val="21"/>
                <w:szCs w:val="21"/>
                <w:highlight w:val="none"/>
                <w:lang w:val="en-US" w:eastAsia="zh-CN"/>
              </w:rPr>
              <w:t>废紫外灯管</w:t>
            </w:r>
          </w:p>
        </w:tc>
        <w:tc>
          <w:tcPr>
            <w:tcW w:w="1407" w:type="dxa"/>
            <w:shd w:val="clear" w:color="auto" w:fill="auto"/>
            <w:vAlign w:val="center"/>
          </w:tcPr>
          <w:p w14:paraId="5D167849">
            <w:pPr>
              <w:widowControl/>
              <w:adjustRightInd w:val="0"/>
              <w:snapToGrid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0C3D3EC1">
            <w:pPr>
              <w:widowControl/>
              <w:adjustRightInd w:val="0"/>
              <w:snapToGrid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11984C09">
            <w:pPr>
              <w:widowControl/>
              <w:adjustRightInd w:val="0"/>
              <w:snapToGrid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0AB8337E">
            <w:pPr>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1"/>
                <w:szCs w:val="21"/>
                <w:highlight w:val="none"/>
                <w:lang w:val="en-US" w:eastAsia="zh-CN"/>
              </w:rPr>
              <w:t>0.0001</w:t>
            </w:r>
          </w:p>
        </w:tc>
        <w:tc>
          <w:tcPr>
            <w:tcW w:w="1264" w:type="dxa"/>
            <w:shd w:val="clear" w:color="auto" w:fill="auto"/>
            <w:vAlign w:val="center"/>
          </w:tcPr>
          <w:p w14:paraId="1BD7F7DF">
            <w:pPr>
              <w:widowControl/>
              <w:adjustRightInd w:val="0"/>
              <w:snapToGrid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10E6F487">
            <w:pPr>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1"/>
                <w:szCs w:val="21"/>
                <w:highlight w:val="none"/>
                <w:lang w:val="en-US" w:eastAsia="zh-CN"/>
              </w:rPr>
              <w:t>0.0001</w:t>
            </w:r>
          </w:p>
        </w:tc>
        <w:tc>
          <w:tcPr>
            <w:tcW w:w="1396" w:type="dxa"/>
            <w:shd w:val="clear" w:color="auto" w:fill="auto"/>
            <w:vAlign w:val="center"/>
          </w:tcPr>
          <w:p w14:paraId="12161334">
            <w:pPr>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0.0001</w:t>
            </w:r>
          </w:p>
        </w:tc>
      </w:tr>
      <w:tr w14:paraId="71F47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3C115A1B">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12330402">
            <w:pPr>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废样品</w:t>
            </w:r>
          </w:p>
        </w:tc>
        <w:tc>
          <w:tcPr>
            <w:tcW w:w="1407" w:type="dxa"/>
            <w:shd w:val="clear" w:color="auto" w:fill="auto"/>
            <w:vAlign w:val="center"/>
          </w:tcPr>
          <w:p w14:paraId="4A2D74BA">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4CE3DFA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5D0812E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19CB520A">
            <w:pPr>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0.02</w:t>
            </w:r>
          </w:p>
        </w:tc>
        <w:tc>
          <w:tcPr>
            <w:tcW w:w="1264" w:type="dxa"/>
            <w:shd w:val="clear" w:color="auto" w:fill="auto"/>
            <w:vAlign w:val="center"/>
          </w:tcPr>
          <w:p w14:paraId="2816FCBC">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14EA8D7E">
            <w:pPr>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0.02</w:t>
            </w:r>
          </w:p>
        </w:tc>
        <w:tc>
          <w:tcPr>
            <w:tcW w:w="1396" w:type="dxa"/>
            <w:shd w:val="clear" w:color="auto" w:fill="auto"/>
            <w:vAlign w:val="center"/>
          </w:tcPr>
          <w:p w14:paraId="0542E269">
            <w:pPr>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+0.02</w:t>
            </w:r>
            <w:bookmarkStart w:id="2" w:name="_GoBack"/>
            <w:bookmarkEnd w:id="2"/>
          </w:p>
        </w:tc>
      </w:tr>
    </w:tbl>
    <w:p w14:paraId="586156F7">
      <w:pPr>
        <w:pStyle w:val="44"/>
        <w:spacing w:before="192" w:beforeLines="80" w:after="24"/>
        <w:jc w:val="left"/>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kern w:val="21"/>
          <w:sz w:val="24"/>
          <w:szCs w:val="24"/>
          <w:highlight w:val="none"/>
        </w:rPr>
        <w:t>注：</w:t>
      </w:r>
      <w:r>
        <w:rPr>
          <w:rFonts w:hint="default" w:ascii="Times New Roman" w:hAnsi="Times New Roman" w:eastAsia="宋体" w:cs="Times New Roman"/>
          <w:snapToGrid w:val="0"/>
          <w:color w:val="auto"/>
          <w:spacing w:val="-16"/>
          <w:kern w:val="21"/>
          <w:sz w:val="24"/>
          <w:szCs w:val="24"/>
          <w:highlight w:val="none"/>
        </w:rPr>
        <w:fldChar w:fldCharType="begin"/>
      </w:r>
      <w:r>
        <w:rPr>
          <w:rFonts w:hint="default" w:ascii="Times New Roman" w:hAnsi="Times New Roman" w:eastAsia="宋体" w:cs="Times New Roman"/>
          <w:snapToGrid w:val="0"/>
          <w:color w:val="auto"/>
          <w:spacing w:val="-16"/>
          <w:kern w:val="21"/>
          <w:sz w:val="24"/>
          <w:szCs w:val="24"/>
          <w:highlight w:val="none"/>
        </w:rPr>
        <w:instrText xml:space="preserve"> = 6 \* GB3 \* MERGEFORMAT </w:instrText>
      </w:r>
      <w:r>
        <w:rPr>
          <w:rFonts w:hint="default" w:ascii="Times New Roman" w:hAnsi="Times New Roman" w:eastAsia="宋体" w:cs="Times New Roman"/>
          <w:snapToGrid w:val="0"/>
          <w:color w:val="auto"/>
          <w:spacing w:val="-16"/>
          <w:kern w:val="21"/>
          <w:sz w:val="24"/>
          <w:szCs w:val="24"/>
          <w:highlight w:val="none"/>
        </w:rPr>
        <w:fldChar w:fldCharType="separate"/>
      </w:r>
      <w:r>
        <w:rPr>
          <w:rFonts w:hint="default" w:ascii="Times New Roman" w:hAnsi="Times New Roman" w:eastAsia="宋体" w:cs="Times New Roman"/>
          <w:color w:val="auto"/>
          <w:sz w:val="24"/>
          <w:szCs w:val="24"/>
          <w:highlight w:val="none"/>
        </w:rPr>
        <w:t>⑥</w:t>
      </w:r>
      <w:r>
        <w:rPr>
          <w:rFonts w:hint="default" w:ascii="Times New Roman" w:hAnsi="Times New Roman" w:eastAsia="宋体" w:cs="Times New Roman"/>
          <w:snapToGrid w:val="0"/>
          <w:color w:val="auto"/>
          <w:spacing w:val="-16"/>
          <w:kern w:val="21"/>
          <w:sz w:val="24"/>
          <w:szCs w:val="24"/>
          <w:highlight w:val="none"/>
        </w:rPr>
        <w:fldChar w:fldCharType="end"/>
      </w:r>
      <w:r>
        <w:rPr>
          <w:rFonts w:hint="default" w:ascii="Times New Roman" w:hAnsi="Times New Roman" w:eastAsia="宋体" w:cs="Times New Roman"/>
          <w:snapToGrid w:val="0"/>
          <w:color w:val="auto"/>
          <w:spacing w:val="-16"/>
          <w:kern w:val="21"/>
          <w:sz w:val="24"/>
          <w:szCs w:val="24"/>
          <w:highlight w:val="none"/>
        </w:rPr>
        <w:t>=</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1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snapToGrid w:val="0"/>
          <w:color w:val="auto"/>
          <w:spacing w:val="-6"/>
          <w:kern w:val="21"/>
          <w:sz w:val="24"/>
          <w:szCs w:val="24"/>
          <w:highlight w:val="none"/>
        </w:rPr>
        <w:fldChar w:fldCharType="end"/>
      </w:r>
      <w:r>
        <w:rPr>
          <w:rFonts w:hint="default" w:ascii="Times New Roman" w:hAnsi="Times New Roman" w:eastAsia="宋体" w:cs="Times New Roman"/>
          <w:snapToGrid w:val="0"/>
          <w:color w:val="auto"/>
          <w:spacing w:val="-6"/>
          <w:kern w:val="21"/>
          <w:sz w:val="24"/>
          <w:szCs w:val="24"/>
          <w:highlight w:val="none"/>
        </w:rPr>
        <w:t>+</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3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sz w:val="24"/>
          <w:szCs w:val="24"/>
          <w:highlight w:val="none"/>
        </w:rPr>
        <w:t>③</w:t>
      </w:r>
      <w:r>
        <w:rPr>
          <w:rFonts w:hint="default" w:ascii="Times New Roman" w:hAnsi="Times New Roman" w:eastAsia="宋体" w:cs="Times New Roman"/>
          <w:snapToGrid w:val="0"/>
          <w:color w:val="auto"/>
          <w:spacing w:val="-6"/>
          <w:kern w:val="21"/>
          <w:sz w:val="24"/>
          <w:szCs w:val="24"/>
          <w:highlight w:val="none"/>
        </w:rPr>
        <w:fldChar w:fldCharType="end"/>
      </w:r>
      <w:r>
        <w:rPr>
          <w:rFonts w:hint="default" w:ascii="Times New Roman" w:hAnsi="Times New Roman" w:eastAsia="宋体" w:cs="Times New Roman"/>
          <w:snapToGrid w:val="0"/>
          <w:color w:val="auto"/>
          <w:spacing w:val="-6"/>
          <w:kern w:val="21"/>
          <w:sz w:val="24"/>
          <w:szCs w:val="24"/>
          <w:highlight w:val="none"/>
        </w:rPr>
        <w:t>+</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4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sz w:val="24"/>
          <w:szCs w:val="24"/>
          <w:highlight w:val="none"/>
        </w:rPr>
        <w:t>④</w:t>
      </w:r>
      <w:r>
        <w:rPr>
          <w:rFonts w:hint="default" w:ascii="Times New Roman" w:hAnsi="Times New Roman" w:eastAsia="宋体" w:cs="Times New Roman"/>
          <w:snapToGrid w:val="0"/>
          <w:color w:val="auto"/>
          <w:spacing w:val="-6"/>
          <w:kern w:val="21"/>
          <w:sz w:val="24"/>
          <w:szCs w:val="24"/>
          <w:highlight w:val="none"/>
        </w:rPr>
        <w:fldChar w:fldCharType="end"/>
      </w:r>
      <w:r>
        <w:rPr>
          <w:rFonts w:hint="default" w:ascii="Times New Roman" w:hAnsi="Times New Roman" w:eastAsia="宋体" w:cs="Times New Roman"/>
          <w:snapToGrid w:val="0"/>
          <w:color w:val="auto"/>
          <w:spacing w:val="-6"/>
          <w:kern w:val="21"/>
          <w:sz w:val="24"/>
          <w:szCs w:val="24"/>
          <w:highlight w:val="none"/>
        </w:rPr>
        <w:t>-</w:t>
      </w:r>
      <w:r>
        <w:rPr>
          <w:rFonts w:hint="default" w:ascii="Times New Roman" w:hAnsi="Times New Roman" w:eastAsia="宋体" w:cs="Times New Roman"/>
          <w:snapToGrid w:val="0"/>
          <w:color w:val="auto"/>
          <w:spacing w:val="-16"/>
          <w:kern w:val="21"/>
          <w:sz w:val="24"/>
          <w:szCs w:val="24"/>
          <w:highlight w:val="none"/>
        </w:rPr>
        <w:fldChar w:fldCharType="begin"/>
      </w:r>
      <w:r>
        <w:rPr>
          <w:rFonts w:hint="default" w:ascii="Times New Roman" w:hAnsi="Times New Roman" w:eastAsia="宋体" w:cs="Times New Roman"/>
          <w:snapToGrid w:val="0"/>
          <w:color w:val="auto"/>
          <w:spacing w:val="-16"/>
          <w:kern w:val="21"/>
          <w:sz w:val="24"/>
          <w:szCs w:val="24"/>
          <w:highlight w:val="none"/>
        </w:rPr>
        <w:instrText xml:space="preserve"> = 5 \* GB3 \* MERGEFORMAT </w:instrText>
      </w:r>
      <w:r>
        <w:rPr>
          <w:rFonts w:hint="default" w:ascii="Times New Roman" w:hAnsi="Times New Roman" w:eastAsia="宋体" w:cs="Times New Roman"/>
          <w:snapToGrid w:val="0"/>
          <w:color w:val="auto"/>
          <w:spacing w:val="-16"/>
          <w:kern w:val="21"/>
          <w:sz w:val="24"/>
          <w:szCs w:val="24"/>
          <w:highlight w:val="none"/>
        </w:rPr>
        <w:fldChar w:fldCharType="separate"/>
      </w:r>
      <w:r>
        <w:rPr>
          <w:rFonts w:hint="default" w:ascii="Times New Roman" w:hAnsi="Times New Roman" w:eastAsia="宋体" w:cs="Times New Roman"/>
          <w:color w:val="auto"/>
          <w:sz w:val="24"/>
          <w:szCs w:val="24"/>
          <w:highlight w:val="none"/>
        </w:rPr>
        <w:t>⑤</w:t>
      </w:r>
      <w:r>
        <w:rPr>
          <w:rFonts w:hint="default" w:ascii="Times New Roman" w:hAnsi="Times New Roman" w:eastAsia="宋体" w:cs="Times New Roman"/>
          <w:snapToGrid w:val="0"/>
          <w:color w:val="auto"/>
          <w:spacing w:val="-16"/>
          <w:kern w:val="21"/>
          <w:sz w:val="24"/>
          <w:szCs w:val="24"/>
          <w:highlight w:val="none"/>
        </w:rPr>
        <w:fldChar w:fldCharType="end"/>
      </w:r>
      <w:r>
        <w:rPr>
          <w:rFonts w:hint="default" w:ascii="Times New Roman" w:hAnsi="Times New Roman" w:eastAsia="宋体" w:cs="Times New Roman"/>
          <w:snapToGrid w:val="0"/>
          <w:color w:val="auto"/>
          <w:spacing w:val="-16"/>
          <w:kern w:val="21"/>
          <w:sz w:val="24"/>
          <w:szCs w:val="24"/>
          <w:highlight w:val="none"/>
        </w:rPr>
        <w:t>；</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7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sz w:val="24"/>
          <w:szCs w:val="24"/>
          <w:highlight w:val="none"/>
        </w:rPr>
        <w:t>⑦</w:t>
      </w:r>
      <w:r>
        <w:rPr>
          <w:rFonts w:hint="default" w:ascii="Times New Roman" w:hAnsi="Times New Roman" w:eastAsia="宋体" w:cs="Times New Roman"/>
          <w:snapToGrid w:val="0"/>
          <w:color w:val="auto"/>
          <w:spacing w:val="-6"/>
          <w:kern w:val="21"/>
          <w:sz w:val="24"/>
          <w:szCs w:val="24"/>
          <w:highlight w:val="none"/>
        </w:rPr>
        <w:fldChar w:fldCharType="end"/>
      </w:r>
      <w:r>
        <w:rPr>
          <w:rFonts w:hint="default" w:ascii="Times New Roman" w:hAnsi="Times New Roman" w:eastAsia="宋体" w:cs="Times New Roman"/>
          <w:snapToGrid w:val="0"/>
          <w:color w:val="auto"/>
          <w:spacing w:val="-6"/>
          <w:kern w:val="21"/>
          <w:sz w:val="24"/>
          <w:szCs w:val="24"/>
          <w:highlight w:val="none"/>
        </w:rPr>
        <w:t>=</w:t>
      </w:r>
      <w:r>
        <w:rPr>
          <w:rFonts w:hint="default" w:ascii="Times New Roman" w:hAnsi="Times New Roman" w:eastAsia="宋体" w:cs="Times New Roman"/>
          <w:snapToGrid w:val="0"/>
          <w:color w:val="auto"/>
          <w:spacing w:val="-16"/>
          <w:kern w:val="21"/>
          <w:sz w:val="24"/>
          <w:szCs w:val="24"/>
          <w:highlight w:val="none"/>
        </w:rPr>
        <w:fldChar w:fldCharType="begin"/>
      </w:r>
      <w:r>
        <w:rPr>
          <w:rFonts w:hint="default" w:ascii="Times New Roman" w:hAnsi="Times New Roman" w:eastAsia="宋体" w:cs="Times New Roman"/>
          <w:snapToGrid w:val="0"/>
          <w:color w:val="auto"/>
          <w:spacing w:val="-16"/>
          <w:kern w:val="21"/>
          <w:sz w:val="24"/>
          <w:szCs w:val="24"/>
          <w:highlight w:val="none"/>
        </w:rPr>
        <w:instrText xml:space="preserve"> = 6 \* GB3 \* MERGEFORMAT </w:instrText>
      </w:r>
      <w:r>
        <w:rPr>
          <w:rFonts w:hint="default" w:ascii="Times New Roman" w:hAnsi="Times New Roman" w:eastAsia="宋体" w:cs="Times New Roman"/>
          <w:snapToGrid w:val="0"/>
          <w:color w:val="auto"/>
          <w:spacing w:val="-16"/>
          <w:kern w:val="21"/>
          <w:sz w:val="24"/>
          <w:szCs w:val="24"/>
          <w:highlight w:val="none"/>
        </w:rPr>
        <w:fldChar w:fldCharType="separate"/>
      </w:r>
      <w:r>
        <w:rPr>
          <w:rFonts w:hint="default" w:ascii="Times New Roman" w:hAnsi="Times New Roman" w:eastAsia="宋体" w:cs="Times New Roman"/>
          <w:color w:val="auto"/>
          <w:sz w:val="24"/>
          <w:szCs w:val="24"/>
          <w:highlight w:val="none"/>
        </w:rPr>
        <w:t>⑥</w:t>
      </w:r>
      <w:r>
        <w:rPr>
          <w:rFonts w:hint="default" w:ascii="Times New Roman" w:hAnsi="Times New Roman" w:eastAsia="宋体" w:cs="Times New Roman"/>
          <w:snapToGrid w:val="0"/>
          <w:color w:val="auto"/>
          <w:spacing w:val="-16"/>
          <w:kern w:val="21"/>
          <w:sz w:val="24"/>
          <w:szCs w:val="24"/>
          <w:highlight w:val="none"/>
        </w:rPr>
        <w:fldChar w:fldCharType="end"/>
      </w:r>
      <w:r>
        <w:rPr>
          <w:rFonts w:hint="default" w:ascii="Times New Roman" w:hAnsi="Times New Roman" w:eastAsia="宋体" w:cs="Times New Roman"/>
          <w:snapToGrid w:val="0"/>
          <w:color w:val="auto"/>
          <w:spacing w:val="-16"/>
          <w:kern w:val="21"/>
          <w:sz w:val="24"/>
          <w:szCs w:val="24"/>
          <w:highlight w:val="none"/>
        </w:rPr>
        <w:t>-</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1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snapToGrid w:val="0"/>
          <w:color w:val="auto"/>
          <w:spacing w:val="-6"/>
          <w:kern w:val="21"/>
          <w:sz w:val="24"/>
          <w:szCs w:val="24"/>
          <w:highlight w:val="none"/>
        </w:rPr>
        <w:fldChar w:fldCharType="end"/>
      </w:r>
    </w:p>
    <w:p w14:paraId="295217E6">
      <w:pPr>
        <w:pStyle w:val="20"/>
        <w:adjustRightInd w:val="0"/>
        <w:snapToGrid w:val="0"/>
        <w:spacing w:before="0" w:beforeAutospacing="0" w:after="0" w:afterAutospacing="0"/>
        <w:jc w:val="both"/>
        <w:outlineLvl w:val="0"/>
        <w:rPr>
          <w:rFonts w:hint="default" w:ascii="Times New Roman" w:hAnsi="Times New Roman" w:eastAsia="宋体" w:cs="Times New Roman"/>
          <w:b/>
          <w:color w:val="auto"/>
          <w:sz w:val="36"/>
          <w:szCs w:val="36"/>
          <w:highlight w:val="none"/>
          <w:lang w:val="en-US" w:eastAsia="zh-CN"/>
        </w:rPr>
      </w:pPr>
    </w:p>
    <w:p w14:paraId="49D2903D">
      <w:pPr>
        <w:pStyle w:val="20"/>
        <w:adjustRightInd w:val="0"/>
        <w:snapToGrid w:val="0"/>
        <w:spacing w:before="0" w:beforeAutospacing="0" w:after="0" w:afterAutospacing="0"/>
        <w:jc w:val="both"/>
        <w:outlineLvl w:val="0"/>
        <w:rPr>
          <w:rFonts w:hint="default" w:ascii="Times New Roman" w:hAnsi="Times New Roman" w:eastAsia="宋体" w:cs="Times New Roman"/>
          <w:b/>
          <w:color w:val="auto"/>
          <w:sz w:val="36"/>
          <w:szCs w:val="36"/>
          <w:highlight w:val="none"/>
          <w:lang w:val="en-US" w:eastAsia="zh-CN"/>
        </w:rPr>
      </w:pPr>
    </w:p>
    <w:p w14:paraId="1C47F756">
      <w:pPr>
        <w:pStyle w:val="20"/>
        <w:adjustRightInd w:val="0"/>
        <w:snapToGrid w:val="0"/>
        <w:spacing w:before="0" w:beforeAutospacing="0" w:after="0" w:afterAutospacing="0"/>
        <w:jc w:val="both"/>
        <w:outlineLvl w:val="0"/>
        <w:rPr>
          <w:rFonts w:hint="default" w:ascii="Times New Roman" w:hAnsi="Times New Roman" w:eastAsia="宋体" w:cs="Times New Roman"/>
          <w:b/>
          <w:color w:val="auto"/>
          <w:sz w:val="36"/>
          <w:szCs w:val="36"/>
          <w:highlight w:val="none"/>
          <w:lang w:val="en-US" w:eastAsia="zh-CN"/>
        </w:rPr>
      </w:pPr>
    </w:p>
    <w:p w14:paraId="5A07DDD9">
      <w:pPr>
        <w:pStyle w:val="20"/>
        <w:adjustRightInd w:val="0"/>
        <w:snapToGrid w:val="0"/>
        <w:spacing w:before="0" w:beforeAutospacing="0" w:after="0" w:afterAutospacing="0"/>
        <w:jc w:val="both"/>
        <w:outlineLvl w:val="0"/>
        <w:rPr>
          <w:rFonts w:hint="default" w:ascii="Times New Roman" w:hAnsi="Times New Roman" w:eastAsia="宋体" w:cs="Times New Roman"/>
          <w:b/>
          <w:color w:val="auto"/>
          <w:sz w:val="36"/>
          <w:szCs w:val="36"/>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138158A">
      <w:pPr>
        <w:rPr>
          <w:rFonts w:hint="eastAsia"/>
          <w:color w:val="auto"/>
          <w:lang w:val="en-US" w:eastAsia="zh-CN"/>
        </w:rPr>
      </w:pPr>
      <w:r>
        <w:rPr>
          <w:rFonts w:hint="eastAsia"/>
          <w:b/>
          <w:bCs/>
          <w:color w:val="auto"/>
          <w:sz w:val="24"/>
          <w:szCs w:val="24"/>
          <w:lang w:val="en-US" w:eastAsia="zh-CN"/>
        </w:rPr>
        <w:t>附图</w:t>
      </w:r>
    </w:p>
    <w:p w14:paraId="2A840484">
      <w:pPr>
        <w:spacing w:line="360" w:lineRule="auto"/>
        <w:rPr>
          <w:rFonts w:hint="eastAsia"/>
          <w:color w:val="auto"/>
          <w:sz w:val="24"/>
          <w:szCs w:val="24"/>
          <w:lang w:val="en-US" w:eastAsia="zh-CN"/>
        </w:rPr>
      </w:pPr>
      <w:r>
        <w:rPr>
          <w:rFonts w:hint="eastAsia"/>
          <w:color w:val="auto"/>
          <w:sz w:val="24"/>
          <w:szCs w:val="24"/>
          <w:lang w:val="en-US" w:eastAsia="zh-CN"/>
        </w:rPr>
        <w:t>附图1项目地理位置示意图</w:t>
      </w:r>
    </w:p>
    <w:p w14:paraId="0E3A572B">
      <w:pPr>
        <w:spacing w:line="360" w:lineRule="auto"/>
        <w:rPr>
          <w:rFonts w:hint="eastAsia"/>
          <w:color w:val="auto"/>
          <w:sz w:val="24"/>
          <w:szCs w:val="24"/>
          <w:lang w:val="en-US" w:eastAsia="zh-CN"/>
        </w:rPr>
      </w:pPr>
      <w:r>
        <w:rPr>
          <w:rFonts w:hint="eastAsia"/>
          <w:color w:val="auto"/>
          <w:sz w:val="24"/>
          <w:szCs w:val="24"/>
          <w:lang w:val="en-US" w:eastAsia="zh-CN"/>
        </w:rPr>
        <w:t>附图2项目周边关系图</w:t>
      </w:r>
    </w:p>
    <w:p w14:paraId="48B263DD">
      <w:pPr>
        <w:spacing w:line="360" w:lineRule="auto"/>
        <w:rPr>
          <w:rFonts w:hint="default"/>
          <w:color w:val="auto"/>
          <w:sz w:val="24"/>
          <w:szCs w:val="24"/>
          <w:lang w:val="en-US" w:eastAsia="zh-CN"/>
        </w:rPr>
      </w:pPr>
      <w:r>
        <w:rPr>
          <w:rFonts w:hint="eastAsia"/>
          <w:color w:val="auto"/>
          <w:sz w:val="24"/>
          <w:szCs w:val="24"/>
          <w:lang w:val="en-US" w:eastAsia="zh-CN"/>
        </w:rPr>
        <w:t>附图3项目平面布局图</w:t>
      </w:r>
    </w:p>
    <w:p w14:paraId="49E35F7C">
      <w:pPr>
        <w:spacing w:line="360" w:lineRule="auto"/>
        <w:rPr>
          <w:rFonts w:hint="default"/>
          <w:color w:val="auto"/>
          <w:sz w:val="24"/>
          <w:szCs w:val="24"/>
          <w:lang w:val="en-US" w:eastAsia="zh-CN"/>
        </w:rPr>
      </w:pPr>
      <w:r>
        <w:rPr>
          <w:rFonts w:hint="eastAsia"/>
          <w:color w:val="auto"/>
          <w:sz w:val="24"/>
          <w:szCs w:val="24"/>
          <w:lang w:val="en-US" w:eastAsia="zh-CN"/>
        </w:rPr>
        <w:t>附图4项目周边敏感目标分布图</w:t>
      </w:r>
    </w:p>
    <w:p w14:paraId="064A03BB">
      <w:pPr>
        <w:rPr>
          <w:rFonts w:hint="eastAsia"/>
          <w:color w:val="auto"/>
          <w:lang w:val="en-US" w:eastAsia="zh-CN"/>
        </w:rPr>
      </w:pPr>
    </w:p>
    <w:p w14:paraId="036C8A3C">
      <w:pPr>
        <w:rPr>
          <w:rFonts w:hint="default"/>
          <w:b/>
          <w:bCs/>
          <w:color w:val="auto"/>
          <w:sz w:val="24"/>
          <w:szCs w:val="24"/>
          <w:lang w:val="en-US" w:eastAsia="zh-CN"/>
        </w:rPr>
      </w:pPr>
      <w:r>
        <w:rPr>
          <w:rFonts w:hint="eastAsia"/>
          <w:b/>
          <w:bCs/>
          <w:color w:val="auto"/>
          <w:sz w:val="24"/>
          <w:szCs w:val="24"/>
          <w:lang w:val="en-US" w:eastAsia="zh-CN"/>
        </w:rPr>
        <w:t>附件</w:t>
      </w:r>
    </w:p>
    <w:p w14:paraId="5CE7AC54">
      <w:pPr>
        <w:spacing w:line="360" w:lineRule="auto"/>
        <w:rPr>
          <w:rFonts w:hint="eastAsia"/>
          <w:color w:val="auto"/>
          <w:sz w:val="24"/>
          <w:szCs w:val="24"/>
          <w:lang w:val="en-US" w:eastAsia="zh-CN"/>
        </w:rPr>
      </w:pPr>
      <w:r>
        <w:rPr>
          <w:rFonts w:hint="eastAsia"/>
          <w:color w:val="auto"/>
          <w:sz w:val="24"/>
          <w:szCs w:val="24"/>
          <w:lang w:val="en-US" w:eastAsia="zh-CN"/>
        </w:rPr>
        <w:t>附件1营业执照</w:t>
      </w:r>
    </w:p>
    <w:p w14:paraId="0C9CB50C">
      <w:pPr>
        <w:spacing w:line="360" w:lineRule="auto"/>
        <w:rPr>
          <w:rFonts w:hint="eastAsia"/>
          <w:color w:val="auto"/>
          <w:sz w:val="24"/>
          <w:szCs w:val="24"/>
          <w:lang w:val="en-US" w:eastAsia="zh-CN"/>
        </w:rPr>
      </w:pPr>
      <w:r>
        <w:rPr>
          <w:rFonts w:hint="eastAsia"/>
          <w:color w:val="auto"/>
          <w:sz w:val="24"/>
          <w:szCs w:val="24"/>
          <w:lang w:val="en-US" w:eastAsia="zh-CN"/>
        </w:rPr>
        <w:t>附件2项目备案文件</w:t>
      </w:r>
    </w:p>
    <w:p w14:paraId="6D489815">
      <w:pPr>
        <w:spacing w:line="360" w:lineRule="auto"/>
        <w:rPr>
          <w:rFonts w:hint="default"/>
          <w:color w:val="auto"/>
          <w:sz w:val="24"/>
          <w:szCs w:val="24"/>
          <w:lang w:val="en-US" w:eastAsia="zh-CN"/>
        </w:rPr>
      </w:pPr>
      <w:r>
        <w:rPr>
          <w:rFonts w:hint="eastAsia"/>
          <w:color w:val="auto"/>
          <w:sz w:val="24"/>
          <w:szCs w:val="24"/>
          <w:lang w:val="en-US" w:eastAsia="zh-CN"/>
        </w:rPr>
        <w:t>附件3现有项目环评批复</w:t>
      </w:r>
    </w:p>
    <w:p w14:paraId="142887CE">
      <w:pPr>
        <w:spacing w:line="360" w:lineRule="auto"/>
        <w:rPr>
          <w:rFonts w:hint="eastAsia"/>
          <w:color w:val="auto"/>
          <w:sz w:val="24"/>
          <w:szCs w:val="24"/>
          <w:lang w:val="en-US" w:eastAsia="zh-CN"/>
        </w:rPr>
      </w:pPr>
      <w:r>
        <w:rPr>
          <w:rFonts w:hint="eastAsia"/>
          <w:color w:val="auto"/>
          <w:sz w:val="24"/>
          <w:szCs w:val="24"/>
          <w:lang w:val="en-US" w:eastAsia="zh-CN"/>
        </w:rPr>
        <w:t>附件4房产证</w:t>
      </w:r>
    </w:p>
    <w:p w14:paraId="2D48549A">
      <w:pPr>
        <w:spacing w:line="360" w:lineRule="auto"/>
        <w:rPr>
          <w:rFonts w:hint="eastAsia"/>
          <w:color w:val="auto"/>
          <w:sz w:val="24"/>
          <w:szCs w:val="24"/>
          <w:lang w:val="en-US" w:eastAsia="zh-CN"/>
        </w:rPr>
      </w:pPr>
      <w:r>
        <w:rPr>
          <w:rFonts w:hint="eastAsia"/>
          <w:color w:val="auto"/>
          <w:sz w:val="24"/>
          <w:szCs w:val="24"/>
          <w:lang w:val="en-US" w:eastAsia="zh-CN"/>
        </w:rPr>
        <w:t>附件5房屋租赁合同</w:t>
      </w:r>
    </w:p>
    <w:p w14:paraId="4835108B">
      <w:pPr>
        <w:spacing w:line="360" w:lineRule="auto"/>
        <w:rPr>
          <w:rFonts w:hint="default"/>
          <w:color w:val="auto"/>
          <w:sz w:val="24"/>
          <w:szCs w:val="24"/>
          <w:lang w:val="en-US" w:eastAsia="zh-CN"/>
        </w:rPr>
      </w:pPr>
      <w:r>
        <w:rPr>
          <w:rFonts w:hint="eastAsia"/>
          <w:color w:val="auto"/>
          <w:sz w:val="24"/>
          <w:szCs w:val="24"/>
          <w:lang w:val="en-US" w:eastAsia="zh-CN"/>
        </w:rPr>
        <w:t>附件6危废处置合同</w:t>
      </w: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roman"/>
    <w:pitch w:val="default"/>
    <w:sig w:usb0="F7FFAEFF" w:usb1="F9DFFFFF" w:usb2="0000007F" w:usb3="00000000" w:csb0="203F01FF" w:csb1="DFFF0000"/>
  </w:font>
  <w:font w:name="TimesNewRoman">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F2B62">
    <w:pPr>
      <w:pStyle w:val="14"/>
      <w:tabs>
        <w:tab w:val="center" w:pos="4422"/>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F1EB4F">
                          <w:pPr>
                            <w:pStyle w:val="14"/>
                            <w:rPr>
                              <w:sz w:val="32"/>
                              <w:szCs w:val="36"/>
                            </w:rPr>
                          </w:pPr>
                          <w:r>
                            <w:rPr>
                              <w:sz w:val="32"/>
                              <w:szCs w:val="36"/>
                            </w:rPr>
                            <w:t xml:space="preserve">— </w:t>
                          </w:r>
                          <w:r>
                            <w:rPr>
                              <w:sz w:val="32"/>
                              <w:szCs w:val="36"/>
                            </w:rPr>
                            <w:fldChar w:fldCharType="begin"/>
                          </w:r>
                          <w:r>
                            <w:rPr>
                              <w:sz w:val="32"/>
                              <w:szCs w:val="36"/>
                            </w:rPr>
                            <w:instrText xml:space="preserve"> PAGE  \* MERGEFORMAT </w:instrText>
                          </w:r>
                          <w:r>
                            <w:rPr>
                              <w:sz w:val="32"/>
                              <w:szCs w:val="36"/>
                            </w:rPr>
                            <w:fldChar w:fldCharType="separate"/>
                          </w:r>
                          <w:r>
                            <w:rPr>
                              <w:sz w:val="32"/>
                              <w:szCs w:val="36"/>
                            </w:rPr>
                            <w:t>1</w:t>
                          </w:r>
                          <w:r>
                            <w:rPr>
                              <w:sz w:val="32"/>
                              <w:szCs w:val="36"/>
                            </w:rPr>
                            <w:fldChar w:fldCharType="end"/>
                          </w:r>
                          <w:r>
                            <w:rPr>
                              <w:sz w:val="32"/>
                              <w:szCs w:val="36"/>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78F1EB4F">
                    <w:pPr>
                      <w:pStyle w:val="14"/>
                      <w:rPr>
                        <w:sz w:val="32"/>
                        <w:szCs w:val="36"/>
                      </w:rPr>
                    </w:pPr>
                    <w:r>
                      <w:rPr>
                        <w:sz w:val="32"/>
                        <w:szCs w:val="36"/>
                      </w:rPr>
                      <w:t xml:space="preserve">— </w:t>
                    </w:r>
                    <w:r>
                      <w:rPr>
                        <w:sz w:val="32"/>
                        <w:szCs w:val="36"/>
                      </w:rPr>
                      <w:fldChar w:fldCharType="begin"/>
                    </w:r>
                    <w:r>
                      <w:rPr>
                        <w:sz w:val="32"/>
                        <w:szCs w:val="36"/>
                      </w:rPr>
                      <w:instrText xml:space="preserve"> PAGE  \* MERGEFORMAT </w:instrText>
                    </w:r>
                    <w:r>
                      <w:rPr>
                        <w:sz w:val="32"/>
                        <w:szCs w:val="36"/>
                      </w:rPr>
                      <w:fldChar w:fldCharType="separate"/>
                    </w:r>
                    <w:r>
                      <w:rPr>
                        <w:sz w:val="32"/>
                        <w:szCs w:val="36"/>
                      </w:rPr>
                      <w:t>1</w:t>
                    </w:r>
                    <w:r>
                      <w:rPr>
                        <w:sz w:val="32"/>
                        <w:szCs w:val="36"/>
                      </w:rPr>
                      <w:fldChar w:fldCharType="end"/>
                    </w:r>
                    <w:r>
                      <w:rPr>
                        <w:sz w:val="32"/>
                        <w:szCs w:val="36"/>
                      </w:rPr>
                      <w:t xml:space="preserve"> —</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C5AB4">
                          <w:pPr>
                            <w:pStyle w:val="14"/>
                            <w:rPr>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78C5AB4">
                    <w:pPr>
                      <w:pStyle w:val="14"/>
                      <w:rPr>
                        <w:sz w:val="28"/>
                        <w:szCs w:val="28"/>
                      </w:rPr>
                    </w:pP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00E57">
    <w:pPr>
      <w:pStyle w:val="14"/>
      <w:ind w:firstLine="36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14397D1">
                          <w:pPr>
                            <w:pStyle w:val="1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24</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wfDAy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jB8MDICAABlBAAADgAAAAAAAAABACAAAAAfAQAAZHJzL2Uyb0RvYy54bWxQSwUG&#10;AAAAAAYABgBZAQAAwwUAAAAA&#10;">
              <v:fill on="f" focussize="0,0"/>
              <v:stroke on="f" weight="0.5pt"/>
              <v:imagedata o:title=""/>
              <o:lock v:ext="edit" aspectratio="f"/>
              <v:textbox inset="0mm,0mm,0mm,0mm" style="mso-fit-shape-to-text:t;">
                <w:txbxContent>
                  <w:p w14:paraId="214397D1">
                    <w:pPr>
                      <w:pStyle w:val="1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24</w:t>
                    </w:r>
                    <w:r>
                      <w:rPr>
                        <w:sz w:val="28"/>
                        <w:szCs w:val="28"/>
                      </w:rPr>
                      <w:fldChar w:fldCharType="end"/>
                    </w:r>
                    <w:r>
                      <w:rPr>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BAA6B">
    <w:r>
      <w:pict>
        <v:shape id="IPGWMV_P-BB50_T-3_U-94D9AAC8" o:spid="_x0000_s2049" o:spt="75" alt="IPGWMV_P-BB50_T-3_U-94D9AAC8" type="#_x0000_t75" style="position:absolute;left:0pt;margin-left:0pt;margin-top:0pt;height:840pt;width:594pt;mso-position-horizontal-relative:page;mso-position-vertical-relative:page;z-index:-251657216;mso-width-relative:page;mso-height-relative:page;" filled="f" stroked="f" coordsize="21600,21600">
          <v:path/>
          <v:fill on="f" focussize="0,0"/>
          <v:stroke on="f"/>
          <v:imagedata r:id="rId1" o:title="QK-C561E1DC-B45C7407-DE741D22-319-461.png"/>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A49F6"/>
    <w:multiLevelType w:val="singleLevel"/>
    <w:tmpl w:val="82CA49F6"/>
    <w:lvl w:ilvl="0" w:tentative="0">
      <w:start w:val="1"/>
      <w:numFmt w:val="decimal"/>
      <w:lvlText w:val="表2-%1"/>
      <w:lvlJc w:val="left"/>
      <w:pPr>
        <w:tabs>
          <w:tab w:val="left" w:pos="420"/>
        </w:tabs>
        <w:ind w:left="425" w:hanging="425"/>
      </w:pPr>
      <w:rPr>
        <w:rFonts w:hint="default"/>
        <w:b/>
        <w:bCs/>
        <w:color w:val="auto"/>
      </w:rPr>
    </w:lvl>
  </w:abstractNum>
  <w:abstractNum w:abstractNumId="1">
    <w:nsid w:val="8F6CC6E6"/>
    <w:multiLevelType w:val="singleLevel"/>
    <w:tmpl w:val="8F6CC6E6"/>
    <w:lvl w:ilvl="0" w:tentative="0">
      <w:start w:val="1"/>
      <w:numFmt w:val="chineseCounting"/>
      <w:suff w:val="nothing"/>
      <w:lvlText w:val="%1、"/>
      <w:lvlJc w:val="left"/>
      <w:rPr>
        <w:rFonts w:hint="eastAsia"/>
      </w:rPr>
    </w:lvl>
  </w:abstractNum>
  <w:abstractNum w:abstractNumId="2">
    <w:nsid w:val="95F4319A"/>
    <w:multiLevelType w:val="singleLevel"/>
    <w:tmpl w:val="95F4319A"/>
    <w:lvl w:ilvl="0" w:tentative="0">
      <w:start w:val="1"/>
      <w:numFmt w:val="decimal"/>
      <w:lvlText w:val="%1."/>
      <w:lvlJc w:val="left"/>
      <w:pPr>
        <w:tabs>
          <w:tab w:val="left" w:pos="312"/>
        </w:tabs>
      </w:pPr>
    </w:lvl>
  </w:abstractNum>
  <w:abstractNum w:abstractNumId="3">
    <w:nsid w:val="9A9116C9"/>
    <w:multiLevelType w:val="singleLevel"/>
    <w:tmpl w:val="9A9116C9"/>
    <w:lvl w:ilvl="0" w:tentative="0">
      <w:start w:val="1"/>
      <w:numFmt w:val="decimalEnclosedCircleChinese"/>
      <w:suff w:val="nothing"/>
      <w:lvlText w:val="%1　"/>
      <w:lvlJc w:val="left"/>
      <w:pPr>
        <w:ind w:left="0" w:firstLine="400"/>
      </w:pPr>
      <w:rPr>
        <w:rFonts w:hint="eastAsia"/>
      </w:rPr>
    </w:lvl>
  </w:abstractNum>
  <w:abstractNum w:abstractNumId="4">
    <w:nsid w:val="A377B6BD"/>
    <w:multiLevelType w:val="singleLevel"/>
    <w:tmpl w:val="A377B6BD"/>
    <w:lvl w:ilvl="0" w:tentative="0">
      <w:start w:val="1"/>
      <w:numFmt w:val="chineseCounting"/>
      <w:suff w:val="nothing"/>
      <w:lvlText w:val="%1、"/>
      <w:lvlJc w:val="left"/>
      <w:pPr>
        <w:ind w:left="0" w:firstLine="420"/>
      </w:pPr>
      <w:rPr>
        <w:rFonts w:hint="eastAsia"/>
      </w:rPr>
    </w:lvl>
  </w:abstractNum>
  <w:abstractNum w:abstractNumId="5">
    <w:nsid w:val="A3EB6238"/>
    <w:multiLevelType w:val="singleLevel"/>
    <w:tmpl w:val="A3EB6238"/>
    <w:lvl w:ilvl="0" w:tentative="0">
      <w:start w:val="2"/>
      <w:numFmt w:val="decimal"/>
      <w:suff w:val="nothing"/>
      <w:lvlText w:val="（%1）"/>
      <w:lvlJc w:val="left"/>
    </w:lvl>
  </w:abstractNum>
  <w:abstractNum w:abstractNumId="6">
    <w:nsid w:val="A6FB92C4"/>
    <w:multiLevelType w:val="singleLevel"/>
    <w:tmpl w:val="A6FB92C4"/>
    <w:lvl w:ilvl="0" w:tentative="0">
      <w:start w:val="1"/>
      <w:numFmt w:val="decimal"/>
      <w:lvlText w:val="%1"/>
      <w:lvlJc w:val="left"/>
      <w:pPr>
        <w:tabs>
          <w:tab w:val="left" w:pos="420"/>
        </w:tabs>
        <w:ind w:left="425" w:leftChars="0" w:hanging="425" w:firstLineChars="0"/>
      </w:pPr>
      <w:rPr>
        <w:rFonts w:hint="default"/>
      </w:rPr>
    </w:lvl>
  </w:abstractNum>
  <w:abstractNum w:abstractNumId="7">
    <w:nsid w:val="BD73F333"/>
    <w:multiLevelType w:val="singleLevel"/>
    <w:tmpl w:val="BD73F333"/>
    <w:lvl w:ilvl="0" w:tentative="0">
      <w:start w:val="1"/>
      <w:numFmt w:val="decimal"/>
      <w:lvlText w:val="图2-%1"/>
      <w:lvlJc w:val="left"/>
      <w:pPr>
        <w:tabs>
          <w:tab w:val="left" w:pos="420"/>
        </w:tabs>
        <w:ind w:left="425" w:leftChars="0" w:hanging="425" w:firstLineChars="0"/>
      </w:pPr>
      <w:rPr>
        <w:rFonts w:hint="default"/>
        <w:b/>
        <w:bCs/>
      </w:rPr>
    </w:lvl>
  </w:abstractNum>
  <w:abstractNum w:abstractNumId="8">
    <w:nsid w:val="C6484467"/>
    <w:multiLevelType w:val="singleLevel"/>
    <w:tmpl w:val="C6484467"/>
    <w:lvl w:ilvl="0" w:tentative="0">
      <w:start w:val="1"/>
      <w:numFmt w:val="decimalEnclosedCircleChinese"/>
      <w:suff w:val="nothing"/>
      <w:lvlText w:val="%1　"/>
      <w:lvlJc w:val="left"/>
      <w:pPr>
        <w:ind w:left="0" w:firstLine="400"/>
      </w:pPr>
      <w:rPr>
        <w:rFonts w:hint="eastAsia"/>
      </w:rPr>
    </w:lvl>
  </w:abstractNum>
  <w:abstractNum w:abstractNumId="9">
    <w:nsid w:val="D06A845A"/>
    <w:multiLevelType w:val="singleLevel"/>
    <w:tmpl w:val="D06A845A"/>
    <w:lvl w:ilvl="0" w:tentative="0">
      <w:start w:val="1"/>
      <w:numFmt w:val="decimal"/>
      <w:lvlText w:val="%1."/>
      <w:lvlJc w:val="left"/>
      <w:pPr>
        <w:tabs>
          <w:tab w:val="left" w:pos="312"/>
        </w:tabs>
      </w:pPr>
    </w:lvl>
  </w:abstractNum>
  <w:abstractNum w:abstractNumId="10">
    <w:nsid w:val="D2E66460"/>
    <w:multiLevelType w:val="singleLevel"/>
    <w:tmpl w:val="D2E66460"/>
    <w:lvl w:ilvl="0" w:tentative="0">
      <w:start w:val="1"/>
      <w:numFmt w:val="decimal"/>
      <w:lvlText w:val="图1-%1"/>
      <w:lvlJc w:val="left"/>
      <w:pPr>
        <w:tabs>
          <w:tab w:val="left" w:pos="420"/>
        </w:tabs>
        <w:ind w:left="425" w:leftChars="0" w:hanging="425" w:firstLineChars="0"/>
      </w:pPr>
      <w:rPr>
        <w:rFonts w:hint="default"/>
        <w:b/>
        <w:bCs/>
        <w:sz w:val="24"/>
        <w:szCs w:val="24"/>
      </w:rPr>
    </w:lvl>
  </w:abstractNum>
  <w:abstractNum w:abstractNumId="11">
    <w:nsid w:val="DDF2C8A8"/>
    <w:multiLevelType w:val="singleLevel"/>
    <w:tmpl w:val="DDF2C8A8"/>
    <w:lvl w:ilvl="0" w:tentative="0">
      <w:start w:val="1"/>
      <w:numFmt w:val="decimal"/>
      <w:lvlText w:val="%1."/>
      <w:lvlJc w:val="left"/>
      <w:pPr>
        <w:tabs>
          <w:tab w:val="left" w:pos="312"/>
        </w:tabs>
      </w:pPr>
    </w:lvl>
  </w:abstractNum>
  <w:abstractNum w:abstractNumId="12">
    <w:nsid w:val="E23D0A08"/>
    <w:multiLevelType w:val="singleLevel"/>
    <w:tmpl w:val="E23D0A08"/>
    <w:lvl w:ilvl="0" w:tentative="0">
      <w:start w:val="2"/>
      <w:numFmt w:val="decimal"/>
      <w:suff w:val="nothing"/>
      <w:lvlText w:val="%1）"/>
      <w:lvlJc w:val="left"/>
    </w:lvl>
  </w:abstractNum>
  <w:abstractNum w:abstractNumId="13">
    <w:nsid w:val="EF7F2199"/>
    <w:multiLevelType w:val="singleLevel"/>
    <w:tmpl w:val="EF7F2199"/>
    <w:lvl w:ilvl="0" w:tentative="0">
      <w:start w:val="1"/>
      <w:numFmt w:val="decimalEnclosedCircleChinese"/>
      <w:suff w:val="nothing"/>
      <w:lvlText w:val="%1　"/>
      <w:lvlJc w:val="left"/>
      <w:pPr>
        <w:ind w:left="0" w:firstLine="400"/>
      </w:pPr>
      <w:rPr>
        <w:rFonts w:hint="eastAsia"/>
      </w:rPr>
    </w:lvl>
  </w:abstractNum>
  <w:abstractNum w:abstractNumId="14">
    <w:nsid w:val="F7D767D8"/>
    <w:multiLevelType w:val="singleLevel"/>
    <w:tmpl w:val="F7D767D8"/>
    <w:lvl w:ilvl="0" w:tentative="0">
      <w:start w:val="1"/>
      <w:numFmt w:val="decimal"/>
      <w:suff w:val="nothing"/>
      <w:lvlText w:val="%1　"/>
      <w:lvlJc w:val="left"/>
      <w:pPr>
        <w:ind w:left="0" w:firstLine="0"/>
      </w:pPr>
      <w:rPr>
        <w:rFonts w:hint="default" w:ascii="Times New Roman" w:hAnsi="Times New Roman" w:cs="Times New Roman"/>
        <w:snapToGrid w:val="0"/>
        <w:color w:val="auto"/>
        <w:spacing w:val="-20"/>
        <w:sz w:val="18"/>
        <w:szCs w:val="18"/>
        <w:highlight w:val="none"/>
      </w:rPr>
    </w:lvl>
  </w:abstractNum>
  <w:abstractNum w:abstractNumId="15">
    <w:nsid w:val="FE9FABE4"/>
    <w:multiLevelType w:val="singleLevel"/>
    <w:tmpl w:val="FE9FABE4"/>
    <w:lvl w:ilvl="0" w:tentative="0">
      <w:start w:val="1"/>
      <w:numFmt w:val="decimal"/>
      <w:lvlText w:val="%1."/>
      <w:lvlJc w:val="left"/>
      <w:pPr>
        <w:tabs>
          <w:tab w:val="left" w:pos="312"/>
        </w:tabs>
      </w:pPr>
    </w:lvl>
  </w:abstractNum>
  <w:abstractNum w:abstractNumId="16">
    <w:nsid w:val="00914AB5"/>
    <w:multiLevelType w:val="singleLevel"/>
    <w:tmpl w:val="00914AB5"/>
    <w:lvl w:ilvl="0" w:tentative="0">
      <w:start w:val="1"/>
      <w:numFmt w:val="decimal"/>
      <w:lvlText w:val="%1"/>
      <w:lvlJc w:val="left"/>
      <w:pPr>
        <w:tabs>
          <w:tab w:val="left" w:pos="420"/>
        </w:tabs>
        <w:ind w:left="425" w:leftChars="0" w:hanging="425" w:firstLineChars="0"/>
      </w:pPr>
      <w:rPr>
        <w:rFonts w:hint="default"/>
      </w:rPr>
    </w:lvl>
  </w:abstractNum>
  <w:abstractNum w:abstractNumId="17">
    <w:nsid w:val="07D85CF0"/>
    <w:multiLevelType w:val="singleLevel"/>
    <w:tmpl w:val="07D85CF0"/>
    <w:lvl w:ilvl="0" w:tentative="0">
      <w:start w:val="1"/>
      <w:numFmt w:val="decimal"/>
      <w:lvlText w:val="图3-%1"/>
      <w:lvlJc w:val="left"/>
      <w:pPr>
        <w:tabs>
          <w:tab w:val="left" w:pos="420"/>
        </w:tabs>
        <w:ind w:left="425" w:leftChars="0" w:hanging="425" w:firstLineChars="0"/>
      </w:pPr>
      <w:rPr>
        <w:rFonts w:hint="default"/>
      </w:rPr>
    </w:lvl>
  </w:abstractNum>
  <w:abstractNum w:abstractNumId="18">
    <w:nsid w:val="0A37CA6C"/>
    <w:multiLevelType w:val="singleLevel"/>
    <w:tmpl w:val="0A37CA6C"/>
    <w:lvl w:ilvl="0" w:tentative="0">
      <w:start w:val="1"/>
      <w:numFmt w:val="decimal"/>
      <w:suff w:val="nothing"/>
      <w:lvlText w:val="%1、"/>
      <w:lvlJc w:val="left"/>
    </w:lvl>
  </w:abstractNum>
  <w:abstractNum w:abstractNumId="19">
    <w:nsid w:val="10CB2A01"/>
    <w:multiLevelType w:val="singleLevel"/>
    <w:tmpl w:val="10CB2A01"/>
    <w:lvl w:ilvl="0" w:tentative="0">
      <w:start w:val="1"/>
      <w:numFmt w:val="decimalEnclosedCircleChinese"/>
      <w:suff w:val="nothing"/>
      <w:lvlText w:val="%1　"/>
      <w:lvlJc w:val="left"/>
      <w:pPr>
        <w:ind w:left="0" w:firstLine="400"/>
      </w:pPr>
      <w:rPr>
        <w:rFonts w:hint="eastAsia"/>
      </w:rPr>
    </w:lvl>
  </w:abstractNum>
  <w:abstractNum w:abstractNumId="20">
    <w:nsid w:val="18CF62C4"/>
    <w:multiLevelType w:val="singleLevel"/>
    <w:tmpl w:val="18CF62C4"/>
    <w:lvl w:ilvl="0" w:tentative="0">
      <w:start w:val="1"/>
      <w:numFmt w:val="chineseCounting"/>
      <w:suff w:val="nothing"/>
      <w:lvlText w:val="%1、"/>
      <w:lvlJc w:val="left"/>
      <w:pPr>
        <w:ind w:left="-420" w:firstLine="420"/>
      </w:pPr>
      <w:rPr>
        <w:rFonts w:hint="eastAsia"/>
        <w:b/>
        <w:bCs/>
        <w:sz w:val="24"/>
        <w:szCs w:val="24"/>
      </w:rPr>
    </w:lvl>
  </w:abstractNum>
  <w:abstractNum w:abstractNumId="21">
    <w:nsid w:val="2A293518"/>
    <w:multiLevelType w:val="singleLevel"/>
    <w:tmpl w:val="2A293518"/>
    <w:lvl w:ilvl="0" w:tentative="0">
      <w:start w:val="1"/>
      <w:numFmt w:val="decimal"/>
      <w:lvlText w:val="表5-%1"/>
      <w:lvlJc w:val="left"/>
      <w:pPr>
        <w:tabs>
          <w:tab w:val="left" w:pos="420"/>
        </w:tabs>
        <w:ind w:left="425" w:leftChars="0" w:hanging="425" w:firstLineChars="0"/>
      </w:pPr>
      <w:rPr>
        <w:rFonts w:hint="default"/>
      </w:rPr>
    </w:lvl>
  </w:abstractNum>
  <w:abstractNum w:abstractNumId="22">
    <w:nsid w:val="329002CD"/>
    <w:multiLevelType w:val="singleLevel"/>
    <w:tmpl w:val="329002CD"/>
    <w:lvl w:ilvl="0" w:tentative="0">
      <w:start w:val="1"/>
      <w:numFmt w:val="decimal"/>
      <w:suff w:val="nothing"/>
      <w:lvlText w:val="%1、"/>
      <w:lvlJc w:val="left"/>
    </w:lvl>
  </w:abstractNum>
  <w:abstractNum w:abstractNumId="23">
    <w:nsid w:val="37002C56"/>
    <w:multiLevelType w:val="singleLevel"/>
    <w:tmpl w:val="37002C56"/>
    <w:lvl w:ilvl="0" w:tentative="0">
      <w:start w:val="1"/>
      <w:numFmt w:val="chineseCounting"/>
      <w:suff w:val="nothing"/>
      <w:lvlText w:val="%1、"/>
      <w:lvlJc w:val="left"/>
      <w:pPr>
        <w:ind w:left="-442" w:firstLine="420"/>
      </w:pPr>
      <w:rPr>
        <w:rFonts w:hint="eastAsia"/>
      </w:rPr>
    </w:lvl>
  </w:abstractNum>
  <w:abstractNum w:abstractNumId="24">
    <w:nsid w:val="390F296A"/>
    <w:multiLevelType w:val="singleLevel"/>
    <w:tmpl w:val="390F296A"/>
    <w:lvl w:ilvl="0" w:tentative="0">
      <w:start w:val="1"/>
      <w:numFmt w:val="decimalEnclosedCircleChinese"/>
      <w:suff w:val="nothing"/>
      <w:lvlText w:val="%1　"/>
      <w:lvlJc w:val="left"/>
      <w:pPr>
        <w:ind w:left="0" w:firstLine="400"/>
      </w:pPr>
      <w:rPr>
        <w:rFonts w:hint="eastAsia"/>
      </w:rPr>
    </w:lvl>
  </w:abstractNum>
  <w:abstractNum w:abstractNumId="25">
    <w:nsid w:val="3D344BB4"/>
    <w:multiLevelType w:val="singleLevel"/>
    <w:tmpl w:val="3D344BB4"/>
    <w:lvl w:ilvl="0" w:tentative="0">
      <w:start w:val="2"/>
      <w:numFmt w:val="chineseCounting"/>
      <w:suff w:val="nothing"/>
      <w:lvlText w:val="%1、"/>
      <w:lvlJc w:val="left"/>
      <w:rPr>
        <w:rFonts w:hint="eastAsia"/>
      </w:rPr>
    </w:lvl>
  </w:abstractNum>
  <w:abstractNum w:abstractNumId="26">
    <w:nsid w:val="46E5DCD5"/>
    <w:multiLevelType w:val="singleLevel"/>
    <w:tmpl w:val="46E5DCD5"/>
    <w:lvl w:ilvl="0" w:tentative="0">
      <w:start w:val="1"/>
      <w:numFmt w:val="decimal"/>
      <w:suff w:val="space"/>
      <w:lvlText w:val="表3-%1"/>
      <w:lvlJc w:val="left"/>
      <w:pPr>
        <w:ind w:left="425" w:hanging="425"/>
      </w:pPr>
      <w:rPr>
        <w:rFonts w:hint="default"/>
        <w:b/>
        <w:bCs/>
        <w:color w:val="auto"/>
        <w:sz w:val="24"/>
        <w:szCs w:val="24"/>
      </w:rPr>
    </w:lvl>
  </w:abstractNum>
  <w:abstractNum w:abstractNumId="27">
    <w:nsid w:val="495C44B5"/>
    <w:multiLevelType w:val="singleLevel"/>
    <w:tmpl w:val="495C44B5"/>
    <w:lvl w:ilvl="0" w:tentative="0">
      <w:start w:val="1"/>
      <w:numFmt w:val="decimal"/>
      <w:suff w:val="nothing"/>
      <w:lvlText w:val="（%1）"/>
      <w:lvlJc w:val="left"/>
      <w:rPr>
        <w:rFonts w:hint="default"/>
        <w:b/>
        <w:bCs/>
      </w:rPr>
    </w:lvl>
  </w:abstractNum>
  <w:abstractNum w:abstractNumId="28">
    <w:nsid w:val="5887DB75"/>
    <w:multiLevelType w:val="singleLevel"/>
    <w:tmpl w:val="5887DB75"/>
    <w:lvl w:ilvl="0" w:tentative="0">
      <w:start w:val="1"/>
      <w:numFmt w:val="decimal"/>
      <w:lvlText w:val="表1-%1"/>
      <w:lvlJc w:val="left"/>
      <w:pPr>
        <w:tabs>
          <w:tab w:val="left" w:pos="420"/>
        </w:tabs>
        <w:ind w:left="425" w:leftChars="0" w:hanging="425" w:firstLineChars="0"/>
      </w:pPr>
      <w:rPr>
        <w:rFonts w:hint="default"/>
      </w:rPr>
    </w:lvl>
  </w:abstractNum>
  <w:abstractNum w:abstractNumId="29">
    <w:nsid w:val="62AA806D"/>
    <w:multiLevelType w:val="singleLevel"/>
    <w:tmpl w:val="62AA806D"/>
    <w:lvl w:ilvl="0" w:tentative="0">
      <w:start w:val="1"/>
      <w:numFmt w:val="decimal"/>
      <w:lvlText w:val="表4-%1"/>
      <w:lvlJc w:val="left"/>
      <w:pPr>
        <w:tabs>
          <w:tab w:val="left" w:pos="420"/>
        </w:tabs>
        <w:ind w:left="425" w:leftChars="0" w:hanging="425" w:firstLineChars="0"/>
      </w:pPr>
      <w:rPr>
        <w:rFonts w:hint="default"/>
        <w:b/>
        <w:bCs/>
        <w:sz w:val="24"/>
        <w:szCs w:val="24"/>
      </w:rPr>
    </w:lvl>
  </w:abstractNum>
  <w:abstractNum w:abstractNumId="30">
    <w:nsid w:val="666C23EA"/>
    <w:multiLevelType w:val="singleLevel"/>
    <w:tmpl w:val="666C23EA"/>
    <w:lvl w:ilvl="0" w:tentative="0">
      <w:start w:val="1"/>
      <w:numFmt w:val="decimal"/>
      <w:lvlText w:val="%1."/>
      <w:lvlJc w:val="left"/>
      <w:pPr>
        <w:tabs>
          <w:tab w:val="left" w:pos="312"/>
        </w:tabs>
      </w:pPr>
    </w:lvl>
  </w:abstractNum>
  <w:abstractNum w:abstractNumId="31">
    <w:nsid w:val="72E084E3"/>
    <w:multiLevelType w:val="singleLevel"/>
    <w:tmpl w:val="72E084E3"/>
    <w:lvl w:ilvl="0" w:tentative="0">
      <w:start w:val="1"/>
      <w:numFmt w:val="decimal"/>
      <w:lvlText w:val="表4-%1"/>
      <w:lvlJc w:val="left"/>
      <w:pPr>
        <w:tabs>
          <w:tab w:val="left" w:pos="420"/>
        </w:tabs>
        <w:ind w:left="425" w:leftChars="0" w:hanging="425" w:firstLineChars="0"/>
      </w:pPr>
      <w:rPr>
        <w:rFonts w:hint="default"/>
      </w:rPr>
    </w:lvl>
  </w:abstractNum>
  <w:abstractNum w:abstractNumId="32">
    <w:nsid w:val="79EB4547"/>
    <w:multiLevelType w:val="singleLevel"/>
    <w:tmpl w:val="79EB4547"/>
    <w:lvl w:ilvl="0" w:tentative="0">
      <w:start w:val="1"/>
      <w:numFmt w:val="decimal"/>
      <w:suff w:val="nothing"/>
      <w:lvlText w:val="（%1）"/>
      <w:lvlJc w:val="left"/>
    </w:lvl>
  </w:abstractNum>
  <w:num w:numId="1">
    <w:abstractNumId w:val="2"/>
  </w:num>
  <w:num w:numId="2">
    <w:abstractNumId w:val="30"/>
  </w:num>
  <w:num w:numId="3">
    <w:abstractNumId w:val="22"/>
  </w:num>
  <w:num w:numId="4">
    <w:abstractNumId w:val="10"/>
  </w:num>
  <w:num w:numId="5">
    <w:abstractNumId w:val="28"/>
  </w:num>
  <w:num w:numId="6">
    <w:abstractNumId w:val="23"/>
  </w:num>
  <w:num w:numId="7">
    <w:abstractNumId w:val="27"/>
  </w:num>
  <w:num w:numId="8">
    <w:abstractNumId w:val="9"/>
  </w:num>
  <w:num w:numId="9">
    <w:abstractNumId w:val="15"/>
  </w:num>
  <w:num w:numId="10">
    <w:abstractNumId w:val="11"/>
  </w:num>
  <w:num w:numId="11">
    <w:abstractNumId w:val="12"/>
  </w:num>
  <w:num w:numId="12">
    <w:abstractNumId w:val="1"/>
  </w:num>
  <w:num w:numId="13">
    <w:abstractNumId w:val="0"/>
  </w:num>
  <w:num w:numId="14">
    <w:abstractNumId w:val="16"/>
  </w:num>
  <w:num w:numId="15">
    <w:abstractNumId w:val="6"/>
  </w:num>
  <w:num w:numId="16">
    <w:abstractNumId w:val="7"/>
  </w:num>
  <w:num w:numId="17">
    <w:abstractNumId w:val="25"/>
  </w:num>
  <w:num w:numId="18">
    <w:abstractNumId w:val="5"/>
  </w:num>
  <w:num w:numId="19">
    <w:abstractNumId w:val="26"/>
  </w:num>
  <w:num w:numId="20">
    <w:abstractNumId w:val="17"/>
  </w:num>
  <w:num w:numId="21">
    <w:abstractNumId w:val="20"/>
  </w:num>
  <w:num w:numId="22">
    <w:abstractNumId w:val="32"/>
  </w:num>
  <w:num w:numId="23">
    <w:abstractNumId w:val="18"/>
  </w:num>
  <w:num w:numId="24">
    <w:abstractNumId w:val="4"/>
  </w:num>
  <w:num w:numId="25">
    <w:abstractNumId w:val="31"/>
  </w:num>
  <w:num w:numId="26">
    <w:abstractNumId w:val="29"/>
  </w:num>
  <w:num w:numId="27">
    <w:abstractNumId w:val="19"/>
  </w:num>
  <w:num w:numId="28">
    <w:abstractNumId w:val="24"/>
  </w:num>
  <w:num w:numId="29">
    <w:abstractNumId w:val="14"/>
  </w:num>
  <w:num w:numId="30">
    <w:abstractNumId w:val="3"/>
  </w:num>
  <w:num w:numId="31">
    <w:abstractNumId w:val="8"/>
  </w:num>
  <w:num w:numId="32">
    <w:abstractNumId w:val="13"/>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1MGU1ODJlYWE2ODNmZmM4MWJmY2Y4Njg1NDk5ZDgifQ=="/>
  </w:docVars>
  <w:rsids>
    <w:rsidRoot w:val="00172A27"/>
    <w:rsid w:val="00042383"/>
    <w:rsid w:val="00076791"/>
    <w:rsid w:val="000A002F"/>
    <w:rsid w:val="000C1FF9"/>
    <w:rsid w:val="000D49EA"/>
    <w:rsid w:val="00103897"/>
    <w:rsid w:val="0011590D"/>
    <w:rsid w:val="0011760F"/>
    <w:rsid w:val="00172A27"/>
    <w:rsid w:val="001D7D62"/>
    <w:rsid w:val="00212CDA"/>
    <w:rsid w:val="00214EA5"/>
    <w:rsid w:val="00225A44"/>
    <w:rsid w:val="00236FBD"/>
    <w:rsid w:val="00247343"/>
    <w:rsid w:val="00294959"/>
    <w:rsid w:val="002B06D1"/>
    <w:rsid w:val="00305CE7"/>
    <w:rsid w:val="00307A95"/>
    <w:rsid w:val="00360E24"/>
    <w:rsid w:val="00381040"/>
    <w:rsid w:val="003C28DE"/>
    <w:rsid w:val="003F417C"/>
    <w:rsid w:val="00417EF4"/>
    <w:rsid w:val="00425A1B"/>
    <w:rsid w:val="00441793"/>
    <w:rsid w:val="00443541"/>
    <w:rsid w:val="00446D34"/>
    <w:rsid w:val="0046550B"/>
    <w:rsid w:val="00473031"/>
    <w:rsid w:val="00475BFE"/>
    <w:rsid w:val="00490B57"/>
    <w:rsid w:val="004C0647"/>
    <w:rsid w:val="004E43BF"/>
    <w:rsid w:val="00501B2B"/>
    <w:rsid w:val="005319D6"/>
    <w:rsid w:val="00544619"/>
    <w:rsid w:val="0055574E"/>
    <w:rsid w:val="00577718"/>
    <w:rsid w:val="005A0FB6"/>
    <w:rsid w:val="005A7208"/>
    <w:rsid w:val="005C4D2E"/>
    <w:rsid w:val="006336EF"/>
    <w:rsid w:val="00635B77"/>
    <w:rsid w:val="006360BD"/>
    <w:rsid w:val="0066749F"/>
    <w:rsid w:val="00683FF1"/>
    <w:rsid w:val="006911F9"/>
    <w:rsid w:val="006F7850"/>
    <w:rsid w:val="007402CA"/>
    <w:rsid w:val="0078768E"/>
    <w:rsid w:val="0083050D"/>
    <w:rsid w:val="00844285"/>
    <w:rsid w:val="00846033"/>
    <w:rsid w:val="00867FFD"/>
    <w:rsid w:val="00885B23"/>
    <w:rsid w:val="008B5614"/>
    <w:rsid w:val="008C6C96"/>
    <w:rsid w:val="008D313A"/>
    <w:rsid w:val="009224FE"/>
    <w:rsid w:val="009269A2"/>
    <w:rsid w:val="00937981"/>
    <w:rsid w:val="009A13B3"/>
    <w:rsid w:val="009A63EB"/>
    <w:rsid w:val="009A7605"/>
    <w:rsid w:val="009E4D10"/>
    <w:rsid w:val="00A13691"/>
    <w:rsid w:val="00A36E92"/>
    <w:rsid w:val="00A41184"/>
    <w:rsid w:val="00A81D22"/>
    <w:rsid w:val="00AE30C4"/>
    <w:rsid w:val="00AF1302"/>
    <w:rsid w:val="00B2494E"/>
    <w:rsid w:val="00B74651"/>
    <w:rsid w:val="00B76409"/>
    <w:rsid w:val="00B93F2F"/>
    <w:rsid w:val="00BA0E00"/>
    <w:rsid w:val="00BE1545"/>
    <w:rsid w:val="00C33E5A"/>
    <w:rsid w:val="00C34DAD"/>
    <w:rsid w:val="00C528D4"/>
    <w:rsid w:val="00C621A8"/>
    <w:rsid w:val="00CB77BE"/>
    <w:rsid w:val="00CE26AE"/>
    <w:rsid w:val="00CF5500"/>
    <w:rsid w:val="00D40D69"/>
    <w:rsid w:val="00D479B0"/>
    <w:rsid w:val="00D82C72"/>
    <w:rsid w:val="00DA0C51"/>
    <w:rsid w:val="00DB32E3"/>
    <w:rsid w:val="00DD3279"/>
    <w:rsid w:val="00DE079A"/>
    <w:rsid w:val="00E05F53"/>
    <w:rsid w:val="00EB60B2"/>
    <w:rsid w:val="00ED33C1"/>
    <w:rsid w:val="00EF7950"/>
    <w:rsid w:val="00F036C9"/>
    <w:rsid w:val="00F30697"/>
    <w:rsid w:val="00F443C8"/>
    <w:rsid w:val="00FB62F5"/>
    <w:rsid w:val="00FC206D"/>
    <w:rsid w:val="010417EE"/>
    <w:rsid w:val="010827C0"/>
    <w:rsid w:val="010F3B4F"/>
    <w:rsid w:val="01154EDD"/>
    <w:rsid w:val="011963C9"/>
    <w:rsid w:val="011B2E8F"/>
    <w:rsid w:val="01214EA6"/>
    <w:rsid w:val="01233A9E"/>
    <w:rsid w:val="0123584C"/>
    <w:rsid w:val="012515C4"/>
    <w:rsid w:val="012958F6"/>
    <w:rsid w:val="012B64AF"/>
    <w:rsid w:val="01325A8F"/>
    <w:rsid w:val="01331319"/>
    <w:rsid w:val="01341807"/>
    <w:rsid w:val="0136557F"/>
    <w:rsid w:val="01395070"/>
    <w:rsid w:val="01396E1E"/>
    <w:rsid w:val="013B1D7A"/>
    <w:rsid w:val="013C690E"/>
    <w:rsid w:val="01420154"/>
    <w:rsid w:val="01437EC0"/>
    <w:rsid w:val="01453A14"/>
    <w:rsid w:val="01464FA1"/>
    <w:rsid w:val="0147778C"/>
    <w:rsid w:val="01483505"/>
    <w:rsid w:val="014852B3"/>
    <w:rsid w:val="01497B84"/>
    <w:rsid w:val="014F219D"/>
    <w:rsid w:val="014F6641"/>
    <w:rsid w:val="01543DB0"/>
    <w:rsid w:val="01565DA4"/>
    <w:rsid w:val="015A3E73"/>
    <w:rsid w:val="016420B7"/>
    <w:rsid w:val="01664E35"/>
    <w:rsid w:val="01687703"/>
    <w:rsid w:val="01695955"/>
    <w:rsid w:val="016C0FA1"/>
    <w:rsid w:val="017165B7"/>
    <w:rsid w:val="017716F4"/>
    <w:rsid w:val="017C6D0A"/>
    <w:rsid w:val="017D4F5C"/>
    <w:rsid w:val="017E6F26"/>
    <w:rsid w:val="01852063"/>
    <w:rsid w:val="01863CD4"/>
    <w:rsid w:val="018750D4"/>
    <w:rsid w:val="018856AF"/>
    <w:rsid w:val="01910A08"/>
    <w:rsid w:val="0196601E"/>
    <w:rsid w:val="01967DCC"/>
    <w:rsid w:val="01A324E9"/>
    <w:rsid w:val="01A506ED"/>
    <w:rsid w:val="01A73D87"/>
    <w:rsid w:val="01A81D9E"/>
    <w:rsid w:val="01A85D51"/>
    <w:rsid w:val="01AC1704"/>
    <w:rsid w:val="01AF5332"/>
    <w:rsid w:val="01B446F6"/>
    <w:rsid w:val="01B666C0"/>
    <w:rsid w:val="01B80C08"/>
    <w:rsid w:val="01B85F94"/>
    <w:rsid w:val="01BB5A85"/>
    <w:rsid w:val="01BD17FD"/>
    <w:rsid w:val="01BD7A4F"/>
    <w:rsid w:val="01C20BC1"/>
    <w:rsid w:val="01C34939"/>
    <w:rsid w:val="01CA3F1A"/>
    <w:rsid w:val="01CF32DE"/>
    <w:rsid w:val="01D152A8"/>
    <w:rsid w:val="01D1627A"/>
    <w:rsid w:val="01D17056"/>
    <w:rsid w:val="01D408F4"/>
    <w:rsid w:val="01E07623"/>
    <w:rsid w:val="01E66FA5"/>
    <w:rsid w:val="01E857F1"/>
    <w:rsid w:val="01E90844"/>
    <w:rsid w:val="01EB6738"/>
    <w:rsid w:val="01F01BD2"/>
    <w:rsid w:val="01F176F8"/>
    <w:rsid w:val="01F571E8"/>
    <w:rsid w:val="01F62F61"/>
    <w:rsid w:val="01FA47FF"/>
    <w:rsid w:val="01FB2325"/>
    <w:rsid w:val="02000D3F"/>
    <w:rsid w:val="02025461"/>
    <w:rsid w:val="02027416"/>
    <w:rsid w:val="020372A9"/>
    <w:rsid w:val="0204742C"/>
    <w:rsid w:val="02072A78"/>
    <w:rsid w:val="020D21BB"/>
    <w:rsid w:val="020E02AA"/>
    <w:rsid w:val="020F621C"/>
    <w:rsid w:val="02140D77"/>
    <w:rsid w:val="021653B1"/>
    <w:rsid w:val="0216715F"/>
    <w:rsid w:val="02180623"/>
    <w:rsid w:val="02191E9F"/>
    <w:rsid w:val="021A09FD"/>
    <w:rsid w:val="021C23A2"/>
    <w:rsid w:val="02235B22"/>
    <w:rsid w:val="0229022E"/>
    <w:rsid w:val="02291994"/>
    <w:rsid w:val="022C5744"/>
    <w:rsid w:val="02301FCF"/>
    <w:rsid w:val="02337D11"/>
    <w:rsid w:val="023575E5"/>
    <w:rsid w:val="023615AF"/>
    <w:rsid w:val="0236335D"/>
    <w:rsid w:val="02380E83"/>
    <w:rsid w:val="023F0464"/>
    <w:rsid w:val="02454286"/>
    <w:rsid w:val="02467A44"/>
    <w:rsid w:val="02480AFD"/>
    <w:rsid w:val="02493090"/>
    <w:rsid w:val="02502671"/>
    <w:rsid w:val="025263E9"/>
    <w:rsid w:val="02553FCA"/>
    <w:rsid w:val="025658D6"/>
    <w:rsid w:val="025739FF"/>
    <w:rsid w:val="025926C3"/>
    <w:rsid w:val="025D4572"/>
    <w:rsid w:val="0261487E"/>
    <w:rsid w:val="02624152"/>
    <w:rsid w:val="026305F6"/>
    <w:rsid w:val="02641C78"/>
    <w:rsid w:val="026E0D49"/>
    <w:rsid w:val="0273635F"/>
    <w:rsid w:val="027427F8"/>
    <w:rsid w:val="02785724"/>
    <w:rsid w:val="027D0F8C"/>
    <w:rsid w:val="027D288D"/>
    <w:rsid w:val="027D71DE"/>
    <w:rsid w:val="027F2F56"/>
    <w:rsid w:val="028B18FB"/>
    <w:rsid w:val="02900CBF"/>
    <w:rsid w:val="029511B3"/>
    <w:rsid w:val="0295277A"/>
    <w:rsid w:val="0295339B"/>
    <w:rsid w:val="02954528"/>
    <w:rsid w:val="029562D6"/>
    <w:rsid w:val="029C3B08"/>
    <w:rsid w:val="029F53A6"/>
    <w:rsid w:val="02A12ECC"/>
    <w:rsid w:val="02A227A1"/>
    <w:rsid w:val="02AB256F"/>
    <w:rsid w:val="02AD7AC3"/>
    <w:rsid w:val="02B06E10"/>
    <w:rsid w:val="02B26E88"/>
    <w:rsid w:val="02B40E52"/>
    <w:rsid w:val="02B7624C"/>
    <w:rsid w:val="02B83DDE"/>
    <w:rsid w:val="02B8562E"/>
    <w:rsid w:val="02BA21E0"/>
    <w:rsid w:val="02BC1AB4"/>
    <w:rsid w:val="02BD28BB"/>
    <w:rsid w:val="02C31095"/>
    <w:rsid w:val="02C57001"/>
    <w:rsid w:val="02C72207"/>
    <w:rsid w:val="02CA1EB1"/>
    <w:rsid w:val="02CB1CF7"/>
    <w:rsid w:val="02CD38AA"/>
    <w:rsid w:val="02CF7A3A"/>
    <w:rsid w:val="02D21D84"/>
    <w:rsid w:val="02D74B40"/>
    <w:rsid w:val="02DE0C76"/>
    <w:rsid w:val="02DF1815"/>
    <w:rsid w:val="02E14102"/>
    <w:rsid w:val="02E90BCF"/>
    <w:rsid w:val="02F23728"/>
    <w:rsid w:val="030516AD"/>
    <w:rsid w:val="03060F81"/>
    <w:rsid w:val="03082F4B"/>
    <w:rsid w:val="03083819"/>
    <w:rsid w:val="03097F81"/>
    <w:rsid w:val="030A0A72"/>
    <w:rsid w:val="030E7E36"/>
    <w:rsid w:val="03117E77"/>
    <w:rsid w:val="03124D54"/>
    <w:rsid w:val="0317318F"/>
    <w:rsid w:val="031D6EFB"/>
    <w:rsid w:val="031E276F"/>
    <w:rsid w:val="031F2043"/>
    <w:rsid w:val="031F2C3C"/>
    <w:rsid w:val="032338E1"/>
    <w:rsid w:val="03241F4C"/>
    <w:rsid w:val="03247659"/>
    <w:rsid w:val="032558AB"/>
    <w:rsid w:val="03276338"/>
    <w:rsid w:val="032D650E"/>
    <w:rsid w:val="032F04D8"/>
    <w:rsid w:val="033311CF"/>
    <w:rsid w:val="03377AA2"/>
    <w:rsid w:val="03380F32"/>
    <w:rsid w:val="033835B9"/>
    <w:rsid w:val="03400B54"/>
    <w:rsid w:val="03404493"/>
    <w:rsid w:val="03411FB9"/>
    <w:rsid w:val="03433F84"/>
    <w:rsid w:val="03435D32"/>
    <w:rsid w:val="03455F4E"/>
    <w:rsid w:val="03457CFC"/>
    <w:rsid w:val="034D6BB0"/>
    <w:rsid w:val="034E6C67"/>
    <w:rsid w:val="034F46D6"/>
    <w:rsid w:val="03595555"/>
    <w:rsid w:val="035B12CD"/>
    <w:rsid w:val="035C6DF3"/>
    <w:rsid w:val="035E789D"/>
    <w:rsid w:val="03634626"/>
    <w:rsid w:val="036363D4"/>
    <w:rsid w:val="036439CE"/>
    <w:rsid w:val="03675EC4"/>
    <w:rsid w:val="036B6BBE"/>
    <w:rsid w:val="036D2DAF"/>
    <w:rsid w:val="036E446E"/>
    <w:rsid w:val="03760E3D"/>
    <w:rsid w:val="03824AAC"/>
    <w:rsid w:val="03885E3A"/>
    <w:rsid w:val="038A1CB4"/>
    <w:rsid w:val="038D16A3"/>
    <w:rsid w:val="038D51FF"/>
    <w:rsid w:val="038F71C9"/>
    <w:rsid w:val="03962305"/>
    <w:rsid w:val="03977E2B"/>
    <w:rsid w:val="03993BA4"/>
    <w:rsid w:val="039C5442"/>
    <w:rsid w:val="039E42B2"/>
    <w:rsid w:val="03A2514E"/>
    <w:rsid w:val="03A52548"/>
    <w:rsid w:val="03AF1619"/>
    <w:rsid w:val="03B24E15"/>
    <w:rsid w:val="03B66504"/>
    <w:rsid w:val="03B70B69"/>
    <w:rsid w:val="03B96EA9"/>
    <w:rsid w:val="03BB7FBE"/>
    <w:rsid w:val="03C2134C"/>
    <w:rsid w:val="03C9092D"/>
    <w:rsid w:val="03CA1FAF"/>
    <w:rsid w:val="03CD3AA3"/>
    <w:rsid w:val="03CE7CF1"/>
    <w:rsid w:val="03D177E1"/>
    <w:rsid w:val="03D33559"/>
    <w:rsid w:val="03D35307"/>
    <w:rsid w:val="03D472D2"/>
    <w:rsid w:val="03D80B70"/>
    <w:rsid w:val="03DB0660"/>
    <w:rsid w:val="03DB41BC"/>
    <w:rsid w:val="03E017D2"/>
    <w:rsid w:val="03EA43FF"/>
    <w:rsid w:val="03F37758"/>
    <w:rsid w:val="03F67248"/>
    <w:rsid w:val="03FB03BA"/>
    <w:rsid w:val="03FE03B1"/>
    <w:rsid w:val="03FF434E"/>
    <w:rsid w:val="03FF60FC"/>
    <w:rsid w:val="0402799B"/>
    <w:rsid w:val="04071455"/>
    <w:rsid w:val="04090D29"/>
    <w:rsid w:val="040A2CF3"/>
    <w:rsid w:val="040B458F"/>
    <w:rsid w:val="041871BE"/>
    <w:rsid w:val="04194CE4"/>
    <w:rsid w:val="04275653"/>
    <w:rsid w:val="042A0CA0"/>
    <w:rsid w:val="042B26C2"/>
    <w:rsid w:val="04301D26"/>
    <w:rsid w:val="043128C5"/>
    <w:rsid w:val="04333FF8"/>
    <w:rsid w:val="043349B6"/>
    <w:rsid w:val="04334F81"/>
    <w:rsid w:val="04335DA6"/>
    <w:rsid w:val="043868A8"/>
    <w:rsid w:val="043A1A2F"/>
    <w:rsid w:val="043B2771"/>
    <w:rsid w:val="043F299D"/>
    <w:rsid w:val="04463D2B"/>
    <w:rsid w:val="04470273"/>
    <w:rsid w:val="04473600"/>
    <w:rsid w:val="04477AA3"/>
    <w:rsid w:val="044E0E32"/>
    <w:rsid w:val="04510922"/>
    <w:rsid w:val="045521C0"/>
    <w:rsid w:val="04561A95"/>
    <w:rsid w:val="04581CB1"/>
    <w:rsid w:val="04590024"/>
    <w:rsid w:val="045B70AB"/>
    <w:rsid w:val="045D72C7"/>
    <w:rsid w:val="045F303F"/>
    <w:rsid w:val="0462668B"/>
    <w:rsid w:val="046441B2"/>
    <w:rsid w:val="04657F2A"/>
    <w:rsid w:val="04695C6C"/>
    <w:rsid w:val="0471044C"/>
    <w:rsid w:val="04781A0B"/>
    <w:rsid w:val="04784101"/>
    <w:rsid w:val="04785EAF"/>
    <w:rsid w:val="047A7F1E"/>
    <w:rsid w:val="047C3421"/>
    <w:rsid w:val="047C599F"/>
    <w:rsid w:val="047D1717"/>
    <w:rsid w:val="04842AA6"/>
    <w:rsid w:val="048A5A25"/>
    <w:rsid w:val="048B5B27"/>
    <w:rsid w:val="048F0F53"/>
    <w:rsid w:val="049031F8"/>
    <w:rsid w:val="04926F71"/>
    <w:rsid w:val="04934A97"/>
    <w:rsid w:val="04936845"/>
    <w:rsid w:val="049D3B67"/>
    <w:rsid w:val="04A13CAC"/>
    <w:rsid w:val="04A171B4"/>
    <w:rsid w:val="04A3117E"/>
    <w:rsid w:val="04A863DD"/>
    <w:rsid w:val="04A942BA"/>
    <w:rsid w:val="04AB3B8E"/>
    <w:rsid w:val="04AE7B23"/>
    <w:rsid w:val="04B8274F"/>
    <w:rsid w:val="04BB2116"/>
    <w:rsid w:val="04BD38C2"/>
    <w:rsid w:val="04C00734"/>
    <w:rsid w:val="04C133B2"/>
    <w:rsid w:val="04D43423"/>
    <w:rsid w:val="04D96D31"/>
    <w:rsid w:val="04E3586E"/>
    <w:rsid w:val="04EA6DAD"/>
    <w:rsid w:val="04ED23F9"/>
    <w:rsid w:val="04F027A9"/>
    <w:rsid w:val="04F274F3"/>
    <w:rsid w:val="04F27A0F"/>
    <w:rsid w:val="04FD0162"/>
    <w:rsid w:val="05080FE1"/>
    <w:rsid w:val="050D4849"/>
    <w:rsid w:val="050E015C"/>
    <w:rsid w:val="05143E2A"/>
    <w:rsid w:val="051756C8"/>
    <w:rsid w:val="05177D7E"/>
    <w:rsid w:val="051931EE"/>
    <w:rsid w:val="051A0D14"/>
    <w:rsid w:val="051C4A8C"/>
    <w:rsid w:val="051C683A"/>
    <w:rsid w:val="051F632A"/>
    <w:rsid w:val="051F7A75"/>
    <w:rsid w:val="05236321"/>
    <w:rsid w:val="0524048F"/>
    <w:rsid w:val="05241B93"/>
    <w:rsid w:val="05257DE5"/>
    <w:rsid w:val="052851DF"/>
    <w:rsid w:val="052B1173"/>
    <w:rsid w:val="052D4EEB"/>
    <w:rsid w:val="0530678A"/>
    <w:rsid w:val="05340028"/>
    <w:rsid w:val="05341DD6"/>
    <w:rsid w:val="0539188E"/>
    <w:rsid w:val="053973EC"/>
    <w:rsid w:val="053C081B"/>
    <w:rsid w:val="053C512E"/>
    <w:rsid w:val="053C6A73"/>
    <w:rsid w:val="053C7CB9"/>
    <w:rsid w:val="053E74DA"/>
    <w:rsid w:val="05412745"/>
    <w:rsid w:val="0548762F"/>
    <w:rsid w:val="05544226"/>
    <w:rsid w:val="0559183C"/>
    <w:rsid w:val="055C757F"/>
    <w:rsid w:val="055E2512"/>
    <w:rsid w:val="0560706F"/>
    <w:rsid w:val="05656433"/>
    <w:rsid w:val="056F1060"/>
    <w:rsid w:val="057448C8"/>
    <w:rsid w:val="0577215D"/>
    <w:rsid w:val="05776166"/>
    <w:rsid w:val="057A17B3"/>
    <w:rsid w:val="057C19CF"/>
    <w:rsid w:val="057E5243"/>
    <w:rsid w:val="0580326D"/>
    <w:rsid w:val="05812B41"/>
    <w:rsid w:val="05832D5D"/>
    <w:rsid w:val="05834B0B"/>
    <w:rsid w:val="05850883"/>
    <w:rsid w:val="0591547A"/>
    <w:rsid w:val="05946D18"/>
    <w:rsid w:val="059D3E1F"/>
    <w:rsid w:val="05A01219"/>
    <w:rsid w:val="05A21435"/>
    <w:rsid w:val="05A31CFB"/>
    <w:rsid w:val="05A36F5B"/>
    <w:rsid w:val="05A47E39"/>
    <w:rsid w:val="05A54A82"/>
    <w:rsid w:val="05A64CE0"/>
    <w:rsid w:val="05AA02EA"/>
    <w:rsid w:val="05AA653C"/>
    <w:rsid w:val="05AC4062"/>
    <w:rsid w:val="05AD3936"/>
    <w:rsid w:val="05B12AB7"/>
    <w:rsid w:val="05B1320D"/>
    <w:rsid w:val="05B461E1"/>
    <w:rsid w:val="05B66C8F"/>
    <w:rsid w:val="05BD626F"/>
    <w:rsid w:val="05BE2530"/>
    <w:rsid w:val="05C0366A"/>
    <w:rsid w:val="05C25634"/>
    <w:rsid w:val="05C63706"/>
    <w:rsid w:val="05C70E9C"/>
    <w:rsid w:val="05CA098C"/>
    <w:rsid w:val="05CB0A83"/>
    <w:rsid w:val="05CF2FDE"/>
    <w:rsid w:val="05CF7D50"/>
    <w:rsid w:val="05D13AC9"/>
    <w:rsid w:val="05D43ADD"/>
    <w:rsid w:val="05D47115"/>
    <w:rsid w:val="05DC58AA"/>
    <w:rsid w:val="05DD246D"/>
    <w:rsid w:val="05DE61E6"/>
    <w:rsid w:val="05DF62C8"/>
    <w:rsid w:val="05E042B0"/>
    <w:rsid w:val="05E239E4"/>
    <w:rsid w:val="05E74E14"/>
    <w:rsid w:val="05EA6938"/>
    <w:rsid w:val="05EA6F2B"/>
    <w:rsid w:val="05EC0902"/>
    <w:rsid w:val="05EC4069"/>
    <w:rsid w:val="05F45A09"/>
    <w:rsid w:val="05F67F28"/>
    <w:rsid w:val="05F72E03"/>
    <w:rsid w:val="05FC2474"/>
    <w:rsid w:val="05FC4B31"/>
    <w:rsid w:val="05FE0636"/>
    <w:rsid w:val="06011662"/>
    <w:rsid w:val="06055520"/>
    <w:rsid w:val="06071754"/>
    <w:rsid w:val="0607422C"/>
    <w:rsid w:val="06085010"/>
    <w:rsid w:val="060C045C"/>
    <w:rsid w:val="060C2D53"/>
    <w:rsid w:val="060C4604"/>
    <w:rsid w:val="060C68AF"/>
    <w:rsid w:val="060E0879"/>
    <w:rsid w:val="060F2843"/>
    <w:rsid w:val="06131F48"/>
    <w:rsid w:val="061754B1"/>
    <w:rsid w:val="061834A6"/>
    <w:rsid w:val="0619141B"/>
    <w:rsid w:val="061C50A9"/>
    <w:rsid w:val="061C5AAE"/>
    <w:rsid w:val="061D286A"/>
    <w:rsid w:val="061D6D0E"/>
    <w:rsid w:val="062005AC"/>
    <w:rsid w:val="062B0EAC"/>
    <w:rsid w:val="062C21B1"/>
    <w:rsid w:val="062C6F51"/>
    <w:rsid w:val="06336531"/>
    <w:rsid w:val="063858F6"/>
    <w:rsid w:val="06396850"/>
    <w:rsid w:val="063F594E"/>
    <w:rsid w:val="0642670C"/>
    <w:rsid w:val="06451DC1"/>
    <w:rsid w:val="064614D7"/>
    <w:rsid w:val="06475B39"/>
    <w:rsid w:val="064921AF"/>
    <w:rsid w:val="064A7D7E"/>
    <w:rsid w:val="064E306E"/>
    <w:rsid w:val="064E336B"/>
    <w:rsid w:val="064F2365"/>
    <w:rsid w:val="065169B7"/>
    <w:rsid w:val="06540256"/>
    <w:rsid w:val="0654294E"/>
    <w:rsid w:val="06565D7C"/>
    <w:rsid w:val="06590829"/>
    <w:rsid w:val="065C448B"/>
    <w:rsid w:val="065F10D4"/>
    <w:rsid w:val="06654211"/>
    <w:rsid w:val="06655EF0"/>
    <w:rsid w:val="066806ED"/>
    <w:rsid w:val="06691F53"/>
    <w:rsid w:val="06694317"/>
    <w:rsid w:val="066B3BEC"/>
    <w:rsid w:val="066D1D8C"/>
    <w:rsid w:val="066E57BB"/>
    <w:rsid w:val="067313A5"/>
    <w:rsid w:val="067A4160"/>
    <w:rsid w:val="067A5F0E"/>
    <w:rsid w:val="067F1777"/>
    <w:rsid w:val="067F52D3"/>
    <w:rsid w:val="068602C1"/>
    <w:rsid w:val="06872F1A"/>
    <w:rsid w:val="068872E6"/>
    <w:rsid w:val="068F128E"/>
    <w:rsid w:val="069074E0"/>
    <w:rsid w:val="06911C3B"/>
    <w:rsid w:val="06935222"/>
    <w:rsid w:val="06966BB5"/>
    <w:rsid w:val="06982838"/>
    <w:rsid w:val="06A05249"/>
    <w:rsid w:val="06A12870"/>
    <w:rsid w:val="06AB431A"/>
    <w:rsid w:val="06AE06DA"/>
    <w:rsid w:val="06AE3E0A"/>
    <w:rsid w:val="06B01930"/>
    <w:rsid w:val="06B37672"/>
    <w:rsid w:val="06B43D0A"/>
    <w:rsid w:val="06B72BC7"/>
    <w:rsid w:val="06B867FC"/>
    <w:rsid w:val="06C1141B"/>
    <w:rsid w:val="06C26280"/>
    <w:rsid w:val="06C61153"/>
    <w:rsid w:val="06C70A28"/>
    <w:rsid w:val="06CE3D7C"/>
    <w:rsid w:val="06D01FD2"/>
    <w:rsid w:val="06D03D80"/>
    <w:rsid w:val="06D067E2"/>
    <w:rsid w:val="06D111D0"/>
    <w:rsid w:val="06D33870"/>
    <w:rsid w:val="06D870D9"/>
    <w:rsid w:val="06E03F5B"/>
    <w:rsid w:val="06E4782C"/>
    <w:rsid w:val="06EA6EE5"/>
    <w:rsid w:val="06EE06AA"/>
    <w:rsid w:val="06F061D0"/>
    <w:rsid w:val="06F2019A"/>
    <w:rsid w:val="06F20FC3"/>
    <w:rsid w:val="06F3181D"/>
    <w:rsid w:val="06F85F55"/>
    <w:rsid w:val="06FF3E10"/>
    <w:rsid w:val="07025814"/>
    <w:rsid w:val="07047ECE"/>
    <w:rsid w:val="07061550"/>
    <w:rsid w:val="070954E4"/>
    <w:rsid w:val="070B3997"/>
    <w:rsid w:val="070D0B30"/>
    <w:rsid w:val="07146C2B"/>
    <w:rsid w:val="07153E89"/>
    <w:rsid w:val="071623D5"/>
    <w:rsid w:val="071A4FFB"/>
    <w:rsid w:val="071D689A"/>
    <w:rsid w:val="071E2D3E"/>
    <w:rsid w:val="071F3380"/>
    <w:rsid w:val="0721638A"/>
    <w:rsid w:val="07222102"/>
    <w:rsid w:val="072639A0"/>
    <w:rsid w:val="072702BE"/>
    <w:rsid w:val="07283BBC"/>
    <w:rsid w:val="072916E2"/>
    <w:rsid w:val="072E5A65"/>
    <w:rsid w:val="072F2CD8"/>
    <w:rsid w:val="07342561"/>
    <w:rsid w:val="0736405C"/>
    <w:rsid w:val="07373DFF"/>
    <w:rsid w:val="073A744C"/>
    <w:rsid w:val="073C1416"/>
    <w:rsid w:val="073C7668"/>
    <w:rsid w:val="073F0F06"/>
    <w:rsid w:val="0744651C"/>
    <w:rsid w:val="07462294"/>
    <w:rsid w:val="07465DF0"/>
    <w:rsid w:val="074A1D85"/>
    <w:rsid w:val="074A3B33"/>
    <w:rsid w:val="074B3407"/>
    <w:rsid w:val="074D3623"/>
    <w:rsid w:val="07524795"/>
    <w:rsid w:val="0753050D"/>
    <w:rsid w:val="075514AC"/>
    <w:rsid w:val="07585D35"/>
    <w:rsid w:val="075B5D40"/>
    <w:rsid w:val="075E138C"/>
    <w:rsid w:val="075E75DE"/>
    <w:rsid w:val="075F5104"/>
    <w:rsid w:val="075F6EB2"/>
    <w:rsid w:val="07603356"/>
    <w:rsid w:val="076444C8"/>
    <w:rsid w:val="076646E5"/>
    <w:rsid w:val="07697D31"/>
    <w:rsid w:val="076B1CFB"/>
    <w:rsid w:val="076B3AA9"/>
    <w:rsid w:val="076D7821"/>
    <w:rsid w:val="0774305B"/>
    <w:rsid w:val="077527CF"/>
    <w:rsid w:val="07762B7A"/>
    <w:rsid w:val="0777244E"/>
    <w:rsid w:val="07795B6B"/>
    <w:rsid w:val="077C3C20"/>
    <w:rsid w:val="077E558A"/>
    <w:rsid w:val="077F1302"/>
    <w:rsid w:val="07807FC3"/>
    <w:rsid w:val="07830DF3"/>
    <w:rsid w:val="07853608"/>
    <w:rsid w:val="078D3A1F"/>
    <w:rsid w:val="0790350F"/>
    <w:rsid w:val="07922158"/>
    <w:rsid w:val="079254DA"/>
    <w:rsid w:val="07943000"/>
    <w:rsid w:val="07972AF0"/>
    <w:rsid w:val="079B438E"/>
    <w:rsid w:val="079F1B8B"/>
    <w:rsid w:val="07A10397"/>
    <w:rsid w:val="07A42E2C"/>
    <w:rsid w:val="07A52108"/>
    <w:rsid w:val="07AA45D1"/>
    <w:rsid w:val="07AF3996"/>
    <w:rsid w:val="07B40D33"/>
    <w:rsid w:val="07B62F76"/>
    <w:rsid w:val="07BA233A"/>
    <w:rsid w:val="07BC4304"/>
    <w:rsid w:val="07BD6694"/>
    <w:rsid w:val="07BE62CF"/>
    <w:rsid w:val="07C17B6D"/>
    <w:rsid w:val="07C40FCD"/>
    <w:rsid w:val="07C97778"/>
    <w:rsid w:val="07CB4548"/>
    <w:rsid w:val="07CC63DA"/>
    <w:rsid w:val="07CD6512"/>
    <w:rsid w:val="07D35EAA"/>
    <w:rsid w:val="07D4164E"/>
    <w:rsid w:val="07DA3E06"/>
    <w:rsid w:val="07E00BD3"/>
    <w:rsid w:val="07E21FBD"/>
    <w:rsid w:val="07ED0962"/>
    <w:rsid w:val="07EE5683"/>
    <w:rsid w:val="07F644B1"/>
    <w:rsid w:val="07F67816"/>
    <w:rsid w:val="07F95559"/>
    <w:rsid w:val="07FC5336"/>
    <w:rsid w:val="0802440D"/>
    <w:rsid w:val="080261BB"/>
    <w:rsid w:val="08080695"/>
    <w:rsid w:val="080B1758"/>
    <w:rsid w:val="080D690E"/>
    <w:rsid w:val="0814739E"/>
    <w:rsid w:val="08167EB9"/>
    <w:rsid w:val="081F44B1"/>
    <w:rsid w:val="08202AE5"/>
    <w:rsid w:val="08204893"/>
    <w:rsid w:val="08234384"/>
    <w:rsid w:val="08236767"/>
    <w:rsid w:val="08262763"/>
    <w:rsid w:val="08285910"/>
    <w:rsid w:val="082D7CB6"/>
    <w:rsid w:val="08316AA1"/>
    <w:rsid w:val="08362309"/>
    <w:rsid w:val="083640B7"/>
    <w:rsid w:val="08386081"/>
    <w:rsid w:val="0840304B"/>
    <w:rsid w:val="0845254C"/>
    <w:rsid w:val="084E1401"/>
    <w:rsid w:val="084F5179"/>
    <w:rsid w:val="085048C6"/>
    <w:rsid w:val="08512C9F"/>
    <w:rsid w:val="085409E1"/>
    <w:rsid w:val="08555E8D"/>
    <w:rsid w:val="085670DA"/>
    <w:rsid w:val="08577C79"/>
    <w:rsid w:val="0858227F"/>
    <w:rsid w:val="0858402D"/>
    <w:rsid w:val="08585DDB"/>
    <w:rsid w:val="085D1644"/>
    <w:rsid w:val="085D7896"/>
    <w:rsid w:val="085F360E"/>
    <w:rsid w:val="08607386"/>
    <w:rsid w:val="086329D2"/>
    <w:rsid w:val="08680113"/>
    <w:rsid w:val="08687FE8"/>
    <w:rsid w:val="086A1FB2"/>
    <w:rsid w:val="086C1887"/>
    <w:rsid w:val="08795696"/>
    <w:rsid w:val="087E3C7F"/>
    <w:rsid w:val="08874912"/>
    <w:rsid w:val="0889068B"/>
    <w:rsid w:val="088C3CD7"/>
    <w:rsid w:val="088D67EF"/>
    <w:rsid w:val="088E3EF3"/>
    <w:rsid w:val="08901A19"/>
    <w:rsid w:val="08911C32"/>
    <w:rsid w:val="08931509"/>
    <w:rsid w:val="0895702F"/>
    <w:rsid w:val="08975A73"/>
    <w:rsid w:val="089C04F5"/>
    <w:rsid w:val="089D5658"/>
    <w:rsid w:val="089D5EE4"/>
    <w:rsid w:val="08A4283A"/>
    <w:rsid w:val="08A6215D"/>
    <w:rsid w:val="08AC1497"/>
    <w:rsid w:val="08AC3CEF"/>
    <w:rsid w:val="08B15F75"/>
    <w:rsid w:val="08B374B6"/>
    <w:rsid w:val="08B57B6C"/>
    <w:rsid w:val="08B7391C"/>
    <w:rsid w:val="08B919E5"/>
    <w:rsid w:val="08BD20E2"/>
    <w:rsid w:val="08C5394F"/>
    <w:rsid w:val="08C61F81"/>
    <w:rsid w:val="08C755FA"/>
    <w:rsid w:val="08CB2A51"/>
    <w:rsid w:val="08CE0793"/>
    <w:rsid w:val="08CF1E16"/>
    <w:rsid w:val="08D21E73"/>
    <w:rsid w:val="08DB6A0C"/>
    <w:rsid w:val="08E32C9A"/>
    <w:rsid w:val="08E4407A"/>
    <w:rsid w:val="08E81855"/>
    <w:rsid w:val="08EA7EEC"/>
    <w:rsid w:val="08EC53DD"/>
    <w:rsid w:val="08F0070A"/>
    <w:rsid w:val="08F33D56"/>
    <w:rsid w:val="08F43463"/>
    <w:rsid w:val="08F57ACE"/>
    <w:rsid w:val="08F71A98"/>
    <w:rsid w:val="08FA3336"/>
    <w:rsid w:val="08FD2E27"/>
    <w:rsid w:val="08FE4543"/>
    <w:rsid w:val="09000221"/>
    <w:rsid w:val="09061CDB"/>
    <w:rsid w:val="090B5543"/>
    <w:rsid w:val="090D306A"/>
    <w:rsid w:val="09137F54"/>
    <w:rsid w:val="09175C96"/>
    <w:rsid w:val="09217A45"/>
    <w:rsid w:val="092403B3"/>
    <w:rsid w:val="09265ED9"/>
    <w:rsid w:val="09271C52"/>
    <w:rsid w:val="09295FE2"/>
    <w:rsid w:val="092C7268"/>
    <w:rsid w:val="093117F7"/>
    <w:rsid w:val="09381F46"/>
    <w:rsid w:val="09383E5F"/>
    <w:rsid w:val="093C1139"/>
    <w:rsid w:val="093D1475"/>
    <w:rsid w:val="09436EC0"/>
    <w:rsid w:val="094620D8"/>
    <w:rsid w:val="09486768"/>
    <w:rsid w:val="094B46B8"/>
    <w:rsid w:val="094B7B50"/>
    <w:rsid w:val="094D16B8"/>
    <w:rsid w:val="095073FA"/>
    <w:rsid w:val="09524F20"/>
    <w:rsid w:val="09526CCE"/>
    <w:rsid w:val="09542451"/>
    <w:rsid w:val="095429DE"/>
    <w:rsid w:val="0955056D"/>
    <w:rsid w:val="095567BF"/>
    <w:rsid w:val="095E38C5"/>
    <w:rsid w:val="09615163"/>
    <w:rsid w:val="096360DE"/>
    <w:rsid w:val="09646A02"/>
    <w:rsid w:val="096B2561"/>
    <w:rsid w:val="096D1D5A"/>
    <w:rsid w:val="097204B5"/>
    <w:rsid w:val="09722434"/>
    <w:rsid w:val="09731054"/>
    <w:rsid w:val="09732A37"/>
    <w:rsid w:val="097529BD"/>
    <w:rsid w:val="09756E61"/>
    <w:rsid w:val="09774E16"/>
    <w:rsid w:val="097906FF"/>
    <w:rsid w:val="097B5A0D"/>
    <w:rsid w:val="097F55EA"/>
    <w:rsid w:val="098175B4"/>
    <w:rsid w:val="09853F9F"/>
    <w:rsid w:val="09874773"/>
    <w:rsid w:val="098B21E0"/>
    <w:rsid w:val="098D5F59"/>
    <w:rsid w:val="098E1A6C"/>
    <w:rsid w:val="09921B1B"/>
    <w:rsid w:val="099224C2"/>
    <w:rsid w:val="0995305F"/>
    <w:rsid w:val="09954E0D"/>
    <w:rsid w:val="099A2423"/>
    <w:rsid w:val="099E1F14"/>
    <w:rsid w:val="099F5C8C"/>
    <w:rsid w:val="09A552C3"/>
    <w:rsid w:val="09A6526C"/>
    <w:rsid w:val="09A80FE4"/>
    <w:rsid w:val="09A908B8"/>
    <w:rsid w:val="09A92503"/>
    <w:rsid w:val="09AB5AC4"/>
    <w:rsid w:val="09B2776D"/>
    <w:rsid w:val="09B434E5"/>
    <w:rsid w:val="09B53D61"/>
    <w:rsid w:val="09B554AF"/>
    <w:rsid w:val="09B71227"/>
    <w:rsid w:val="09B96D4E"/>
    <w:rsid w:val="09C0632E"/>
    <w:rsid w:val="09C474A0"/>
    <w:rsid w:val="09C65D3C"/>
    <w:rsid w:val="09CF031F"/>
    <w:rsid w:val="09D019BF"/>
    <w:rsid w:val="09D21BBD"/>
    <w:rsid w:val="09D27E0F"/>
    <w:rsid w:val="09D516AE"/>
    <w:rsid w:val="09DB3168"/>
    <w:rsid w:val="09DB4F16"/>
    <w:rsid w:val="09E0077E"/>
    <w:rsid w:val="09E13DD4"/>
    <w:rsid w:val="09E85450"/>
    <w:rsid w:val="09EA6F07"/>
    <w:rsid w:val="09ED4C49"/>
    <w:rsid w:val="09ED69F7"/>
    <w:rsid w:val="09EF46F9"/>
    <w:rsid w:val="09F204B1"/>
    <w:rsid w:val="09F41F52"/>
    <w:rsid w:val="09F71624"/>
    <w:rsid w:val="09F935EE"/>
    <w:rsid w:val="09F93BE8"/>
    <w:rsid w:val="09F9539C"/>
    <w:rsid w:val="09FE6E56"/>
    <w:rsid w:val="0A00672A"/>
    <w:rsid w:val="0A0106F5"/>
    <w:rsid w:val="0A0124A3"/>
    <w:rsid w:val="0A026946"/>
    <w:rsid w:val="0A054BE4"/>
    <w:rsid w:val="0A096DD5"/>
    <w:rsid w:val="0A0B2D2F"/>
    <w:rsid w:val="0A0F6915"/>
    <w:rsid w:val="0A165F4E"/>
    <w:rsid w:val="0A193C90"/>
    <w:rsid w:val="0A195C1F"/>
    <w:rsid w:val="0A1E3055"/>
    <w:rsid w:val="0A1E4E03"/>
    <w:rsid w:val="0A1F2635"/>
    <w:rsid w:val="0A20501F"/>
    <w:rsid w:val="0A2C39C3"/>
    <w:rsid w:val="0A2D5046"/>
    <w:rsid w:val="0A2E4A30"/>
    <w:rsid w:val="0A305D6B"/>
    <w:rsid w:val="0A361C66"/>
    <w:rsid w:val="0A3B59B5"/>
    <w:rsid w:val="0A3B7458"/>
    <w:rsid w:val="0A3D797F"/>
    <w:rsid w:val="0A3E3EAB"/>
    <w:rsid w:val="0A546A76"/>
    <w:rsid w:val="0A586566"/>
    <w:rsid w:val="0A595E3B"/>
    <w:rsid w:val="0A5B7E05"/>
    <w:rsid w:val="0A5C592B"/>
    <w:rsid w:val="0A5D3B7D"/>
    <w:rsid w:val="0A60366D"/>
    <w:rsid w:val="0A642BB8"/>
    <w:rsid w:val="0A652087"/>
    <w:rsid w:val="0A652A31"/>
    <w:rsid w:val="0A71382C"/>
    <w:rsid w:val="0A73514E"/>
    <w:rsid w:val="0A762E91"/>
    <w:rsid w:val="0A7648BF"/>
    <w:rsid w:val="0A7669ED"/>
    <w:rsid w:val="0A776340"/>
    <w:rsid w:val="0A7B4003"/>
    <w:rsid w:val="0A8119D2"/>
    <w:rsid w:val="0A821835"/>
    <w:rsid w:val="0A8245A3"/>
    <w:rsid w:val="0A831CCA"/>
    <w:rsid w:val="0A84735B"/>
    <w:rsid w:val="0A8643B4"/>
    <w:rsid w:val="0A876E4C"/>
    <w:rsid w:val="0A894972"/>
    <w:rsid w:val="0A8B5265"/>
    <w:rsid w:val="0A8D16B6"/>
    <w:rsid w:val="0A8E1F88"/>
    <w:rsid w:val="0A92134D"/>
    <w:rsid w:val="0A924546"/>
    <w:rsid w:val="0A9B28F7"/>
    <w:rsid w:val="0A9F3ACB"/>
    <w:rsid w:val="0A9F4195"/>
    <w:rsid w:val="0AA07F0D"/>
    <w:rsid w:val="0AA277E2"/>
    <w:rsid w:val="0AA572D2"/>
    <w:rsid w:val="0AA74DF8"/>
    <w:rsid w:val="0AAD64D4"/>
    <w:rsid w:val="0AAE6186"/>
    <w:rsid w:val="0AAE6D74"/>
    <w:rsid w:val="0AAE7354"/>
    <w:rsid w:val="0AAF0151"/>
    <w:rsid w:val="0AB13EC9"/>
    <w:rsid w:val="0AB319EF"/>
    <w:rsid w:val="0AB37C41"/>
    <w:rsid w:val="0AB44767"/>
    <w:rsid w:val="0AB45767"/>
    <w:rsid w:val="0ABB4D47"/>
    <w:rsid w:val="0ABC5BC4"/>
    <w:rsid w:val="0ABE2142"/>
    <w:rsid w:val="0AC0235E"/>
    <w:rsid w:val="0AC7549A"/>
    <w:rsid w:val="0AC77248"/>
    <w:rsid w:val="0ACA1658"/>
    <w:rsid w:val="0ACF434F"/>
    <w:rsid w:val="0AD1239D"/>
    <w:rsid w:val="0AD23916"/>
    <w:rsid w:val="0AD43E4B"/>
    <w:rsid w:val="0AD6392F"/>
    <w:rsid w:val="0AD916A4"/>
    <w:rsid w:val="0ADA114D"/>
    <w:rsid w:val="0ADB0155"/>
    <w:rsid w:val="0ADE3D74"/>
    <w:rsid w:val="0ADF4592"/>
    <w:rsid w:val="0AE20526"/>
    <w:rsid w:val="0AE33940"/>
    <w:rsid w:val="0AE4604C"/>
    <w:rsid w:val="0AE60C00"/>
    <w:rsid w:val="0AE93662"/>
    <w:rsid w:val="0AE9630D"/>
    <w:rsid w:val="0AEA2F37"/>
    <w:rsid w:val="0AEB20D2"/>
    <w:rsid w:val="0AEC0E42"/>
    <w:rsid w:val="0AED3B3A"/>
    <w:rsid w:val="0AEE0C79"/>
    <w:rsid w:val="0AF73FD1"/>
    <w:rsid w:val="0AFB3396"/>
    <w:rsid w:val="0AFD710E"/>
    <w:rsid w:val="0AFE7153"/>
    <w:rsid w:val="0B00275A"/>
    <w:rsid w:val="0B0142F8"/>
    <w:rsid w:val="0B016BFE"/>
    <w:rsid w:val="0B03361E"/>
    <w:rsid w:val="0B057D70"/>
    <w:rsid w:val="0B065FC2"/>
    <w:rsid w:val="0B072072"/>
    <w:rsid w:val="0B095AB3"/>
    <w:rsid w:val="0B097861"/>
    <w:rsid w:val="0B0B4989"/>
    <w:rsid w:val="0B112BB9"/>
    <w:rsid w:val="0B116715"/>
    <w:rsid w:val="0B18726F"/>
    <w:rsid w:val="0B187AA4"/>
    <w:rsid w:val="0B1C0A91"/>
    <w:rsid w:val="0B1C6262"/>
    <w:rsid w:val="0B1F7084"/>
    <w:rsid w:val="0B2428ED"/>
    <w:rsid w:val="0B27418B"/>
    <w:rsid w:val="0B297F03"/>
    <w:rsid w:val="0B2C17A1"/>
    <w:rsid w:val="0B426A4E"/>
    <w:rsid w:val="0B4F7FE6"/>
    <w:rsid w:val="0B5125A3"/>
    <w:rsid w:val="0B512FB6"/>
    <w:rsid w:val="0B521208"/>
    <w:rsid w:val="0B5331D2"/>
    <w:rsid w:val="0B55411C"/>
    <w:rsid w:val="0B586924"/>
    <w:rsid w:val="0B5D195B"/>
    <w:rsid w:val="0B6017B9"/>
    <w:rsid w:val="0B622204"/>
    <w:rsid w:val="0B633415"/>
    <w:rsid w:val="0B6369A2"/>
    <w:rsid w:val="0B664CB3"/>
    <w:rsid w:val="0B697506"/>
    <w:rsid w:val="0B6D4294"/>
    <w:rsid w:val="0B6E5C7D"/>
    <w:rsid w:val="0B70168E"/>
    <w:rsid w:val="0B73117E"/>
    <w:rsid w:val="0B732F2C"/>
    <w:rsid w:val="0B756CA4"/>
    <w:rsid w:val="0B786794"/>
    <w:rsid w:val="0B7A42BB"/>
    <w:rsid w:val="0B7D3DAB"/>
    <w:rsid w:val="0B7E6C6B"/>
    <w:rsid w:val="0B7F2855"/>
    <w:rsid w:val="0B7F7B23"/>
    <w:rsid w:val="0B832C7E"/>
    <w:rsid w:val="0B860EB1"/>
    <w:rsid w:val="0B8615FF"/>
    <w:rsid w:val="0B892750"/>
    <w:rsid w:val="0B8B64C8"/>
    <w:rsid w:val="0B8D0492"/>
    <w:rsid w:val="0B8D04E6"/>
    <w:rsid w:val="0B923CFA"/>
    <w:rsid w:val="0B95233E"/>
    <w:rsid w:val="0B995089"/>
    <w:rsid w:val="0B996E37"/>
    <w:rsid w:val="0B9D61FB"/>
    <w:rsid w:val="0BA17A99"/>
    <w:rsid w:val="0BA46B52"/>
    <w:rsid w:val="0BA61553"/>
    <w:rsid w:val="0BA63302"/>
    <w:rsid w:val="0BAB0918"/>
    <w:rsid w:val="0BAB4DBC"/>
    <w:rsid w:val="0BAD28E2"/>
    <w:rsid w:val="0BAE21B6"/>
    <w:rsid w:val="0BB2614A"/>
    <w:rsid w:val="0BB62502"/>
    <w:rsid w:val="0BB70F4B"/>
    <w:rsid w:val="0BBA0B5B"/>
    <w:rsid w:val="0BC33EB3"/>
    <w:rsid w:val="0BC95B3E"/>
    <w:rsid w:val="0BCD088E"/>
    <w:rsid w:val="0BCD419B"/>
    <w:rsid w:val="0BD065D0"/>
    <w:rsid w:val="0BD10FD4"/>
    <w:rsid w:val="0BD54C38"/>
    <w:rsid w:val="0BD87233"/>
    <w:rsid w:val="0BD936D7"/>
    <w:rsid w:val="0BDE0CED"/>
    <w:rsid w:val="0BE34556"/>
    <w:rsid w:val="0BE43E2A"/>
    <w:rsid w:val="0BE65DF4"/>
    <w:rsid w:val="0BEA58E4"/>
    <w:rsid w:val="0BED0F30"/>
    <w:rsid w:val="0BEE30CD"/>
    <w:rsid w:val="0BF16C73"/>
    <w:rsid w:val="0BF538E8"/>
    <w:rsid w:val="0BF64289"/>
    <w:rsid w:val="0BFB5CEE"/>
    <w:rsid w:val="0C063DA0"/>
    <w:rsid w:val="0C0C51C6"/>
    <w:rsid w:val="0C0E410A"/>
    <w:rsid w:val="0C1741FF"/>
    <w:rsid w:val="0C175FAD"/>
    <w:rsid w:val="0C177D5B"/>
    <w:rsid w:val="0C18633A"/>
    <w:rsid w:val="0C1C1816"/>
    <w:rsid w:val="0C1C35C4"/>
    <w:rsid w:val="0C1D53EF"/>
    <w:rsid w:val="0C1E733C"/>
    <w:rsid w:val="0C230DF6"/>
    <w:rsid w:val="0C28640C"/>
    <w:rsid w:val="0C2C7CAB"/>
    <w:rsid w:val="0C2D3A23"/>
    <w:rsid w:val="0C3504B5"/>
    <w:rsid w:val="0C3C3C66"/>
    <w:rsid w:val="0C3C5C5D"/>
    <w:rsid w:val="0C405504"/>
    <w:rsid w:val="0C4072B2"/>
    <w:rsid w:val="0C4405E2"/>
    <w:rsid w:val="0C460641"/>
    <w:rsid w:val="0C464E2B"/>
    <w:rsid w:val="0C4A1EDF"/>
    <w:rsid w:val="0C50246A"/>
    <w:rsid w:val="0C5165ED"/>
    <w:rsid w:val="0C525237"/>
    <w:rsid w:val="0C582030"/>
    <w:rsid w:val="0C5E3BDC"/>
    <w:rsid w:val="0C63281E"/>
    <w:rsid w:val="0C6531BD"/>
    <w:rsid w:val="0C655925"/>
    <w:rsid w:val="0C662A91"/>
    <w:rsid w:val="0C6C62F9"/>
    <w:rsid w:val="0C6D4563"/>
    <w:rsid w:val="0C741865"/>
    <w:rsid w:val="0C7927C4"/>
    <w:rsid w:val="0C796C68"/>
    <w:rsid w:val="0C7E602C"/>
    <w:rsid w:val="0C7E65A6"/>
    <w:rsid w:val="0C803B53"/>
    <w:rsid w:val="0C807FF6"/>
    <w:rsid w:val="0C8278CB"/>
    <w:rsid w:val="0C874AB1"/>
    <w:rsid w:val="0C8E2713"/>
    <w:rsid w:val="0C8E27C5"/>
    <w:rsid w:val="0C915D60"/>
    <w:rsid w:val="0C965414"/>
    <w:rsid w:val="0C981B18"/>
    <w:rsid w:val="0C985340"/>
    <w:rsid w:val="0C9F66CF"/>
    <w:rsid w:val="0CA23AC9"/>
    <w:rsid w:val="0CAC0DEC"/>
    <w:rsid w:val="0CAD06C0"/>
    <w:rsid w:val="0CAF268A"/>
    <w:rsid w:val="0CAF495E"/>
    <w:rsid w:val="0CB101B0"/>
    <w:rsid w:val="0CB90E13"/>
    <w:rsid w:val="0CBB102F"/>
    <w:rsid w:val="0CBD0903"/>
    <w:rsid w:val="0CBD4786"/>
    <w:rsid w:val="0CBD6B55"/>
    <w:rsid w:val="0CBE467B"/>
    <w:rsid w:val="0CBF26C9"/>
    <w:rsid w:val="0CBF5B3A"/>
    <w:rsid w:val="0CC004E9"/>
    <w:rsid w:val="0CC26880"/>
    <w:rsid w:val="0CC33C1B"/>
    <w:rsid w:val="0CC47EE3"/>
    <w:rsid w:val="0CC55A09"/>
    <w:rsid w:val="0CC66C75"/>
    <w:rsid w:val="0CC71781"/>
    <w:rsid w:val="0CCA3020"/>
    <w:rsid w:val="0CCC323C"/>
    <w:rsid w:val="0CCC4FEA"/>
    <w:rsid w:val="0CCF6888"/>
    <w:rsid w:val="0CD21ED4"/>
    <w:rsid w:val="0CD43E9E"/>
    <w:rsid w:val="0CD67C16"/>
    <w:rsid w:val="0CD8398F"/>
    <w:rsid w:val="0CDD2D53"/>
    <w:rsid w:val="0CE045F1"/>
    <w:rsid w:val="0CE40585"/>
    <w:rsid w:val="0CEA5470"/>
    <w:rsid w:val="0CF26C99"/>
    <w:rsid w:val="0CF32576"/>
    <w:rsid w:val="0CF325DF"/>
    <w:rsid w:val="0CF84031"/>
    <w:rsid w:val="0CF87B8D"/>
    <w:rsid w:val="0CF956B3"/>
    <w:rsid w:val="0CFD1647"/>
    <w:rsid w:val="0CFD51A3"/>
    <w:rsid w:val="0CFF0F1B"/>
    <w:rsid w:val="0D002EE5"/>
    <w:rsid w:val="0D0364DD"/>
    <w:rsid w:val="0D093B48"/>
    <w:rsid w:val="0D0C188A"/>
    <w:rsid w:val="0D215336"/>
    <w:rsid w:val="0D240982"/>
    <w:rsid w:val="0D2766C4"/>
    <w:rsid w:val="0D2B7F62"/>
    <w:rsid w:val="0D2C7836"/>
    <w:rsid w:val="0D2E2A9B"/>
    <w:rsid w:val="0D2E3D85"/>
    <w:rsid w:val="0D330BC5"/>
    <w:rsid w:val="0D3F3B5F"/>
    <w:rsid w:val="0D445B34"/>
    <w:rsid w:val="0D4B23B2"/>
    <w:rsid w:val="0D4F1E8D"/>
    <w:rsid w:val="0D51729D"/>
    <w:rsid w:val="0D553231"/>
    <w:rsid w:val="0D5648B3"/>
    <w:rsid w:val="0D59232E"/>
    <w:rsid w:val="0D5C636E"/>
    <w:rsid w:val="0D5D3E94"/>
    <w:rsid w:val="0D682F64"/>
    <w:rsid w:val="0D69025C"/>
    <w:rsid w:val="0D6E7E4F"/>
    <w:rsid w:val="0D70006B"/>
    <w:rsid w:val="0D701E19"/>
    <w:rsid w:val="0D774F56"/>
    <w:rsid w:val="0D7A4A46"/>
    <w:rsid w:val="0D7A67F4"/>
    <w:rsid w:val="0D814026"/>
    <w:rsid w:val="0D815DD4"/>
    <w:rsid w:val="0D8F7523"/>
    <w:rsid w:val="0D906017"/>
    <w:rsid w:val="0D957AD2"/>
    <w:rsid w:val="0D9961D1"/>
    <w:rsid w:val="0D9C676A"/>
    <w:rsid w:val="0DA25D4B"/>
    <w:rsid w:val="0DA63A8D"/>
    <w:rsid w:val="0DA675E9"/>
    <w:rsid w:val="0DA815B3"/>
    <w:rsid w:val="0DA9532B"/>
    <w:rsid w:val="0DAE649D"/>
    <w:rsid w:val="0DB42481"/>
    <w:rsid w:val="0DB46D20"/>
    <w:rsid w:val="0DB52D2F"/>
    <w:rsid w:val="0DB77A48"/>
    <w:rsid w:val="0DB8556E"/>
    <w:rsid w:val="0DB8731C"/>
    <w:rsid w:val="0DB951E4"/>
    <w:rsid w:val="0DBA12E6"/>
    <w:rsid w:val="0DBD3B65"/>
    <w:rsid w:val="0DBD4932"/>
    <w:rsid w:val="0DC14423"/>
    <w:rsid w:val="0DC65EDD"/>
    <w:rsid w:val="0DC67C8B"/>
    <w:rsid w:val="0DC77235"/>
    <w:rsid w:val="0DC7755F"/>
    <w:rsid w:val="0DCE08EE"/>
    <w:rsid w:val="0DD01DAA"/>
    <w:rsid w:val="0DD34156"/>
    <w:rsid w:val="0DD979BE"/>
    <w:rsid w:val="0DDC6E3D"/>
    <w:rsid w:val="0DDF6F9F"/>
    <w:rsid w:val="0DE5281D"/>
    <w:rsid w:val="0DE819AF"/>
    <w:rsid w:val="0DEE2D3E"/>
    <w:rsid w:val="0DF02F5A"/>
    <w:rsid w:val="0DF62C9E"/>
    <w:rsid w:val="0DF751C4"/>
    <w:rsid w:val="0E032C8D"/>
    <w:rsid w:val="0E0A1E1D"/>
    <w:rsid w:val="0E0E6AF5"/>
    <w:rsid w:val="0E1739B8"/>
    <w:rsid w:val="0E19425F"/>
    <w:rsid w:val="0E1A1D85"/>
    <w:rsid w:val="0E1B7FD7"/>
    <w:rsid w:val="0E1C78AB"/>
    <w:rsid w:val="0E1E1875"/>
    <w:rsid w:val="0E1F1149"/>
    <w:rsid w:val="0E204F4D"/>
    <w:rsid w:val="0E2126D9"/>
    <w:rsid w:val="0E281DBF"/>
    <w:rsid w:val="0E2D36D6"/>
    <w:rsid w:val="0E2E7E25"/>
    <w:rsid w:val="0E3177FA"/>
    <w:rsid w:val="0E325320"/>
    <w:rsid w:val="0E340E7E"/>
    <w:rsid w:val="0E39434A"/>
    <w:rsid w:val="0E3C1CFB"/>
    <w:rsid w:val="0E3E39CE"/>
    <w:rsid w:val="0E407A3D"/>
    <w:rsid w:val="0E4137B5"/>
    <w:rsid w:val="0E4536AF"/>
    <w:rsid w:val="0E456E02"/>
    <w:rsid w:val="0E4610F4"/>
    <w:rsid w:val="0E462B7A"/>
    <w:rsid w:val="0E4D292A"/>
    <w:rsid w:val="0E4F5ED2"/>
    <w:rsid w:val="0E601E8E"/>
    <w:rsid w:val="0E6059EA"/>
    <w:rsid w:val="0E6574A4"/>
    <w:rsid w:val="0E6652FE"/>
    <w:rsid w:val="0E680D42"/>
    <w:rsid w:val="0E6928D6"/>
    <w:rsid w:val="0E6A4ABA"/>
    <w:rsid w:val="0E6B152D"/>
    <w:rsid w:val="0E6D26E7"/>
    <w:rsid w:val="0E6D6359"/>
    <w:rsid w:val="0E6F3E7F"/>
    <w:rsid w:val="0E71409B"/>
    <w:rsid w:val="0E745939"/>
    <w:rsid w:val="0E7B4B53"/>
    <w:rsid w:val="0E7E40C2"/>
    <w:rsid w:val="0E8042DE"/>
    <w:rsid w:val="0E811D9B"/>
    <w:rsid w:val="0E813326"/>
    <w:rsid w:val="0E843362"/>
    <w:rsid w:val="0E8536A2"/>
    <w:rsid w:val="0E87566C"/>
    <w:rsid w:val="0E875C90"/>
    <w:rsid w:val="0E8813E4"/>
    <w:rsid w:val="0E884F40"/>
    <w:rsid w:val="0E8A2A67"/>
    <w:rsid w:val="0E8C4A31"/>
    <w:rsid w:val="0E8E59FB"/>
    <w:rsid w:val="0E8F2773"/>
    <w:rsid w:val="0E912047"/>
    <w:rsid w:val="0E924011"/>
    <w:rsid w:val="0E927B6D"/>
    <w:rsid w:val="0E96765D"/>
    <w:rsid w:val="0E9953A0"/>
    <w:rsid w:val="0E9B1118"/>
    <w:rsid w:val="0EA0228A"/>
    <w:rsid w:val="0EA33EF7"/>
    <w:rsid w:val="0EA7186A"/>
    <w:rsid w:val="0EA855E3"/>
    <w:rsid w:val="0EA87391"/>
    <w:rsid w:val="0EAA4EB7"/>
    <w:rsid w:val="0EAE1150"/>
    <w:rsid w:val="0EB36461"/>
    <w:rsid w:val="0EB75826"/>
    <w:rsid w:val="0EB9159E"/>
    <w:rsid w:val="0EBB70C4"/>
    <w:rsid w:val="0EBC4BEA"/>
    <w:rsid w:val="0EC56195"/>
    <w:rsid w:val="0EC75A69"/>
    <w:rsid w:val="0EC817E1"/>
    <w:rsid w:val="0EC95C85"/>
    <w:rsid w:val="0ECC307F"/>
    <w:rsid w:val="0ED62150"/>
    <w:rsid w:val="0ED85EC8"/>
    <w:rsid w:val="0ED939EE"/>
    <w:rsid w:val="0EDC703A"/>
    <w:rsid w:val="0EDF1579"/>
    <w:rsid w:val="0EE52393"/>
    <w:rsid w:val="0EE54141"/>
    <w:rsid w:val="0EE7435D"/>
    <w:rsid w:val="0EE76B4E"/>
    <w:rsid w:val="0EE859DF"/>
    <w:rsid w:val="0EEE7499"/>
    <w:rsid w:val="0EEF4FBF"/>
    <w:rsid w:val="0EF12AE6"/>
    <w:rsid w:val="0EF40828"/>
    <w:rsid w:val="0F022F45"/>
    <w:rsid w:val="0F024CF3"/>
    <w:rsid w:val="0F041E04"/>
    <w:rsid w:val="0F072309"/>
    <w:rsid w:val="0F0A3BA7"/>
    <w:rsid w:val="0F0D45F7"/>
    <w:rsid w:val="0F110A35"/>
    <w:rsid w:val="0F136F00"/>
    <w:rsid w:val="0F1E7653"/>
    <w:rsid w:val="0F203DE2"/>
    <w:rsid w:val="0F22689D"/>
    <w:rsid w:val="0F242EBB"/>
    <w:rsid w:val="0F270324"/>
    <w:rsid w:val="0F296723"/>
    <w:rsid w:val="0F2F6254"/>
    <w:rsid w:val="0F346E76"/>
    <w:rsid w:val="0F3550C8"/>
    <w:rsid w:val="0F36499C"/>
    <w:rsid w:val="0F3A0931"/>
    <w:rsid w:val="0F3A26DF"/>
    <w:rsid w:val="0F3B6457"/>
    <w:rsid w:val="0F3D21CF"/>
    <w:rsid w:val="0F3F5F47"/>
    <w:rsid w:val="0F421593"/>
    <w:rsid w:val="0F436B50"/>
    <w:rsid w:val="0F44530B"/>
    <w:rsid w:val="0F4F5A5E"/>
    <w:rsid w:val="0F53554E"/>
    <w:rsid w:val="0F557518"/>
    <w:rsid w:val="0F5B4403"/>
    <w:rsid w:val="0F5F5CA1"/>
    <w:rsid w:val="0F6239E3"/>
    <w:rsid w:val="0F655282"/>
    <w:rsid w:val="0F67724C"/>
    <w:rsid w:val="0F6862D5"/>
    <w:rsid w:val="0F6C6610"/>
    <w:rsid w:val="0F7006C6"/>
    <w:rsid w:val="0F751969"/>
    <w:rsid w:val="0F7756E1"/>
    <w:rsid w:val="0F781459"/>
    <w:rsid w:val="0F786D63"/>
    <w:rsid w:val="0F786E19"/>
    <w:rsid w:val="0F7D6A6F"/>
    <w:rsid w:val="0F803E6A"/>
    <w:rsid w:val="0F851480"/>
    <w:rsid w:val="0F8C0A60"/>
    <w:rsid w:val="0F8D6B37"/>
    <w:rsid w:val="0F900551"/>
    <w:rsid w:val="0F930041"/>
    <w:rsid w:val="0F933B9D"/>
    <w:rsid w:val="0F94421F"/>
    <w:rsid w:val="0F9478B3"/>
    <w:rsid w:val="0F952BE5"/>
    <w:rsid w:val="0F985657"/>
    <w:rsid w:val="0F9B0EE8"/>
    <w:rsid w:val="0F9F39DA"/>
    <w:rsid w:val="0FA311DA"/>
    <w:rsid w:val="0FA36571"/>
    <w:rsid w:val="0FA67D74"/>
    <w:rsid w:val="0FA97864"/>
    <w:rsid w:val="0FAD5F50"/>
    <w:rsid w:val="0FAE1726"/>
    <w:rsid w:val="0FAE4E7B"/>
    <w:rsid w:val="0FAE692A"/>
    <w:rsid w:val="0FAF52CB"/>
    <w:rsid w:val="0FB56209"/>
    <w:rsid w:val="0FBF2BE4"/>
    <w:rsid w:val="0FBF2FB7"/>
    <w:rsid w:val="0FC1070A"/>
    <w:rsid w:val="0FC14BAE"/>
    <w:rsid w:val="0FD146C5"/>
    <w:rsid w:val="0FD20B69"/>
    <w:rsid w:val="0FD541B5"/>
    <w:rsid w:val="0FD556FA"/>
    <w:rsid w:val="0FD77F2D"/>
    <w:rsid w:val="0FD857C7"/>
    <w:rsid w:val="0FD85A54"/>
    <w:rsid w:val="0FDC047D"/>
    <w:rsid w:val="0FDD19F6"/>
    <w:rsid w:val="0FE44E94"/>
    <w:rsid w:val="0FE95EB3"/>
    <w:rsid w:val="0FEA38D7"/>
    <w:rsid w:val="0FF334F9"/>
    <w:rsid w:val="0FF52AC8"/>
    <w:rsid w:val="10090303"/>
    <w:rsid w:val="1010343F"/>
    <w:rsid w:val="101173EF"/>
    <w:rsid w:val="102127F5"/>
    <w:rsid w:val="1025693D"/>
    <w:rsid w:val="10260EB5"/>
    <w:rsid w:val="10262C63"/>
    <w:rsid w:val="10277CAB"/>
    <w:rsid w:val="10284C2D"/>
    <w:rsid w:val="102B0279"/>
    <w:rsid w:val="102B64CB"/>
    <w:rsid w:val="102D5D9F"/>
    <w:rsid w:val="102F5781"/>
    <w:rsid w:val="1030329B"/>
    <w:rsid w:val="10341E1C"/>
    <w:rsid w:val="1036730D"/>
    <w:rsid w:val="1037079D"/>
    <w:rsid w:val="103A0BA0"/>
    <w:rsid w:val="103C2486"/>
    <w:rsid w:val="103E61FE"/>
    <w:rsid w:val="1041184B"/>
    <w:rsid w:val="10412DE6"/>
    <w:rsid w:val="104322BF"/>
    <w:rsid w:val="10455B4B"/>
    <w:rsid w:val="1045758D"/>
    <w:rsid w:val="104650B3"/>
    <w:rsid w:val="104A6951"/>
    <w:rsid w:val="104B091B"/>
    <w:rsid w:val="104D01F0"/>
    <w:rsid w:val="104D4694"/>
    <w:rsid w:val="104F21BA"/>
    <w:rsid w:val="1054157E"/>
    <w:rsid w:val="105C48D7"/>
    <w:rsid w:val="106B20F4"/>
    <w:rsid w:val="10725EA8"/>
    <w:rsid w:val="10755FB8"/>
    <w:rsid w:val="107B4D5D"/>
    <w:rsid w:val="107B7182"/>
    <w:rsid w:val="107C0AD5"/>
    <w:rsid w:val="107F04D7"/>
    <w:rsid w:val="10806817"/>
    <w:rsid w:val="1081433D"/>
    <w:rsid w:val="10831E63"/>
    <w:rsid w:val="10856F1B"/>
    <w:rsid w:val="108C6F6A"/>
    <w:rsid w:val="108F0808"/>
    <w:rsid w:val="10947BCD"/>
    <w:rsid w:val="109615A3"/>
    <w:rsid w:val="1097590F"/>
    <w:rsid w:val="109D1ACA"/>
    <w:rsid w:val="109E4EEF"/>
    <w:rsid w:val="10A047C3"/>
    <w:rsid w:val="10A225A6"/>
    <w:rsid w:val="10A36056"/>
    <w:rsid w:val="10A87B1C"/>
    <w:rsid w:val="10AB4F16"/>
    <w:rsid w:val="10AD2A04"/>
    <w:rsid w:val="10AE7FBC"/>
    <w:rsid w:val="10AF2C58"/>
    <w:rsid w:val="10B154F6"/>
    <w:rsid w:val="10B71B0D"/>
    <w:rsid w:val="10B93AD7"/>
    <w:rsid w:val="10B956BE"/>
    <w:rsid w:val="10BC7123"/>
    <w:rsid w:val="10BE10ED"/>
    <w:rsid w:val="10C06C14"/>
    <w:rsid w:val="10C64545"/>
    <w:rsid w:val="10C75DB2"/>
    <w:rsid w:val="10CA1840"/>
    <w:rsid w:val="10CB66A1"/>
    <w:rsid w:val="10CF32FA"/>
    <w:rsid w:val="10D03F34"/>
    <w:rsid w:val="10D206F5"/>
    <w:rsid w:val="10D601E5"/>
    <w:rsid w:val="10D73F5D"/>
    <w:rsid w:val="10D75D0B"/>
    <w:rsid w:val="10DA102E"/>
    <w:rsid w:val="10DE2100"/>
    <w:rsid w:val="10E16B8A"/>
    <w:rsid w:val="10E2302E"/>
    <w:rsid w:val="10E24BEF"/>
    <w:rsid w:val="10E548CC"/>
    <w:rsid w:val="10E8616A"/>
    <w:rsid w:val="10E87F18"/>
    <w:rsid w:val="10EC7A09"/>
    <w:rsid w:val="10ED552F"/>
    <w:rsid w:val="10F17525"/>
    <w:rsid w:val="10F35682"/>
    <w:rsid w:val="10F36FE9"/>
    <w:rsid w:val="10F37004"/>
    <w:rsid w:val="10F62529"/>
    <w:rsid w:val="10F93ED3"/>
    <w:rsid w:val="10FB40F0"/>
    <w:rsid w:val="10FB5E9E"/>
    <w:rsid w:val="10FF6476"/>
    <w:rsid w:val="11050ACA"/>
    <w:rsid w:val="11056D1C"/>
    <w:rsid w:val="1107522D"/>
    <w:rsid w:val="110D277C"/>
    <w:rsid w:val="11131439"/>
    <w:rsid w:val="111451B1"/>
    <w:rsid w:val="11166833"/>
    <w:rsid w:val="11177B40"/>
    <w:rsid w:val="11186A50"/>
    <w:rsid w:val="1119164B"/>
    <w:rsid w:val="111D4066"/>
    <w:rsid w:val="111E1B8C"/>
    <w:rsid w:val="11291F54"/>
    <w:rsid w:val="1129448A"/>
    <w:rsid w:val="112C6057"/>
    <w:rsid w:val="112E1DCF"/>
    <w:rsid w:val="113349F9"/>
    <w:rsid w:val="11380EA0"/>
    <w:rsid w:val="113849FC"/>
    <w:rsid w:val="11390774"/>
    <w:rsid w:val="11421D1E"/>
    <w:rsid w:val="1142587A"/>
    <w:rsid w:val="114535BD"/>
    <w:rsid w:val="1145536B"/>
    <w:rsid w:val="1146147C"/>
    <w:rsid w:val="11494E5B"/>
    <w:rsid w:val="114A2981"/>
    <w:rsid w:val="114E2471"/>
    <w:rsid w:val="114E27DF"/>
    <w:rsid w:val="11513D10"/>
    <w:rsid w:val="1154735C"/>
    <w:rsid w:val="11551A52"/>
    <w:rsid w:val="1155307D"/>
    <w:rsid w:val="11561326"/>
    <w:rsid w:val="1158509E"/>
    <w:rsid w:val="115E4270"/>
    <w:rsid w:val="11602D5A"/>
    <w:rsid w:val="11615025"/>
    <w:rsid w:val="11616D28"/>
    <w:rsid w:val="11625F1D"/>
    <w:rsid w:val="1164141F"/>
    <w:rsid w:val="116E2B13"/>
    <w:rsid w:val="116F23E8"/>
    <w:rsid w:val="117C4C32"/>
    <w:rsid w:val="117D68B3"/>
    <w:rsid w:val="11823EC9"/>
    <w:rsid w:val="118D5F21"/>
    <w:rsid w:val="118E0AC0"/>
    <w:rsid w:val="119200E9"/>
    <w:rsid w:val="11954AE4"/>
    <w:rsid w:val="1198193E"/>
    <w:rsid w:val="11987B90"/>
    <w:rsid w:val="119F4A7B"/>
    <w:rsid w:val="11A007F3"/>
    <w:rsid w:val="11A2456B"/>
    <w:rsid w:val="11A52549"/>
    <w:rsid w:val="11A6405B"/>
    <w:rsid w:val="11A77DD3"/>
    <w:rsid w:val="11AA3420"/>
    <w:rsid w:val="11AF6BD3"/>
    <w:rsid w:val="11B0140B"/>
    <w:rsid w:val="11B20C52"/>
    <w:rsid w:val="11B322D4"/>
    <w:rsid w:val="11B47AAB"/>
    <w:rsid w:val="11B61DC5"/>
    <w:rsid w:val="11BA7B07"/>
    <w:rsid w:val="11BD13A5"/>
    <w:rsid w:val="11C0052E"/>
    <w:rsid w:val="11C444E1"/>
    <w:rsid w:val="11C73FD2"/>
    <w:rsid w:val="11C97D4A"/>
    <w:rsid w:val="11D16BFE"/>
    <w:rsid w:val="11D23D90"/>
    <w:rsid w:val="11D81D3B"/>
    <w:rsid w:val="11DF30C9"/>
    <w:rsid w:val="11E15093"/>
    <w:rsid w:val="11E42DD6"/>
    <w:rsid w:val="11E60706"/>
    <w:rsid w:val="11F0700F"/>
    <w:rsid w:val="11F8062F"/>
    <w:rsid w:val="11F8418B"/>
    <w:rsid w:val="11F970A4"/>
    <w:rsid w:val="11FE1526"/>
    <w:rsid w:val="1202325C"/>
    <w:rsid w:val="12062999"/>
    <w:rsid w:val="12064AFA"/>
    <w:rsid w:val="12080872"/>
    <w:rsid w:val="12081C36"/>
    <w:rsid w:val="120945EA"/>
    <w:rsid w:val="120B2110"/>
    <w:rsid w:val="120C7C36"/>
    <w:rsid w:val="121216F1"/>
    <w:rsid w:val="12154D3D"/>
    <w:rsid w:val="121F796A"/>
    <w:rsid w:val="12205576"/>
    <w:rsid w:val="12211934"/>
    <w:rsid w:val="122214CC"/>
    <w:rsid w:val="122272CD"/>
    <w:rsid w:val="122338FE"/>
    <w:rsid w:val="12266F4A"/>
    <w:rsid w:val="122907E8"/>
    <w:rsid w:val="12296A3A"/>
    <w:rsid w:val="122D46DF"/>
    <w:rsid w:val="122E1D73"/>
    <w:rsid w:val="122E4051"/>
    <w:rsid w:val="1232769D"/>
    <w:rsid w:val="123553DF"/>
    <w:rsid w:val="1235718D"/>
    <w:rsid w:val="12372F05"/>
    <w:rsid w:val="12394ECF"/>
    <w:rsid w:val="123A29F6"/>
    <w:rsid w:val="123D6042"/>
    <w:rsid w:val="123F625E"/>
    <w:rsid w:val="124473D0"/>
    <w:rsid w:val="12483364"/>
    <w:rsid w:val="12485112"/>
    <w:rsid w:val="12486EC1"/>
    <w:rsid w:val="124D2729"/>
    <w:rsid w:val="1255782F"/>
    <w:rsid w:val="125735A8"/>
    <w:rsid w:val="125E66E4"/>
    <w:rsid w:val="12617F82"/>
    <w:rsid w:val="12655CC4"/>
    <w:rsid w:val="12681311"/>
    <w:rsid w:val="12696E37"/>
    <w:rsid w:val="126D202A"/>
    <w:rsid w:val="126D2DCB"/>
    <w:rsid w:val="127001C5"/>
    <w:rsid w:val="1272218F"/>
    <w:rsid w:val="12751C80"/>
    <w:rsid w:val="127557DC"/>
    <w:rsid w:val="12792963"/>
    <w:rsid w:val="127A7296"/>
    <w:rsid w:val="127E0B34"/>
    <w:rsid w:val="127E6E6D"/>
    <w:rsid w:val="12802419"/>
    <w:rsid w:val="12843C71"/>
    <w:rsid w:val="12865C3B"/>
    <w:rsid w:val="12887C05"/>
    <w:rsid w:val="128D0E5D"/>
    <w:rsid w:val="128E285B"/>
    <w:rsid w:val="12944A1D"/>
    <w:rsid w:val="12971BF6"/>
    <w:rsid w:val="129C545E"/>
    <w:rsid w:val="129E4D32"/>
    <w:rsid w:val="12A019F6"/>
    <w:rsid w:val="12A04F4F"/>
    <w:rsid w:val="12A06CFD"/>
    <w:rsid w:val="12A57D4D"/>
    <w:rsid w:val="12AD31C8"/>
    <w:rsid w:val="12B02CB8"/>
    <w:rsid w:val="12B207DE"/>
    <w:rsid w:val="12B565C6"/>
    <w:rsid w:val="12BC165D"/>
    <w:rsid w:val="12C02EFB"/>
    <w:rsid w:val="12C16C73"/>
    <w:rsid w:val="12C53284"/>
    <w:rsid w:val="12C66037"/>
    <w:rsid w:val="12CF1390"/>
    <w:rsid w:val="12D035FD"/>
    <w:rsid w:val="12DE15D3"/>
    <w:rsid w:val="12DE7825"/>
    <w:rsid w:val="12E162D1"/>
    <w:rsid w:val="12E36BE9"/>
    <w:rsid w:val="12E50BB3"/>
    <w:rsid w:val="12E52961"/>
    <w:rsid w:val="12EA441C"/>
    <w:rsid w:val="12EA7F78"/>
    <w:rsid w:val="12EC4418"/>
    <w:rsid w:val="12F157AA"/>
    <w:rsid w:val="12F2507E"/>
    <w:rsid w:val="12F64B6E"/>
    <w:rsid w:val="12F71C17"/>
    <w:rsid w:val="12F901BB"/>
    <w:rsid w:val="12FB3F33"/>
    <w:rsid w:val="12FE1C75"/>
    <w:rsid w:val="13023513"/>
    <w:rsid w:val="13054DB2"/>
    <w:rsid w:val="130628D8"/>
    <w:rsid w:val="13082AF4"/>
    <w:rsid w:val="130A36C0"/>
    <w:rsid w:val="130B4B50"/>
    <w:rsid w:val="130C11DC"/>
    <w:rsid w:val="130C4392"/>
    <w:rsid w:val="13142D14"/>
    <w:rsid w:val="1317796F"/>
    <w:rsid w:val="1319260B"/>
    <w:rsid w:val="13223BB5"/>
    <w:rsid w:val="132632F9"/>
    <w:rsid w:val="1331143C"/>
    <w:rsid w:val="133833D9"/>
    <w:rsid w:val="1340228E"/>
    <w:rsid w:val="13421B62"/>
    <w:rsid w:val="134A0A16"/>
    <w:rsid w:val="134A4EBA"/>
    <w:rsid w:val="13547AE7"/>
    <w:rsid w:val="13561AB1"/>
    <w:rsid w:val="135D2E40"/>
    <w:rsid w:val="135D4BEE"/>
    <w:rsid w:val="13655850"/>
    <w:rsid w:val="13662116"/>
    <w:rsid w:val="136E3E94"/>
    <w:rsid w:val="136F4921"/>
    <w:rsid w:val="137141F5"/>
    <w:rsid w:val="137311EF"/>
    <w:rsid w:val="137F2DB6"/>
    <w:rsid w:val="138008DC"/>
    <w:rsid w:val="13824654"/>
    <w:rsid w:val="13857CA0"/>
    <w:rsid w:val="13873A19"/>
    <w:rsid w:val="13873AD6"/>
    <w:rsid w:val="138959E3"/>
    <w:rsid w:val="138A3509"/>
    <w:rsid w:val="138C54D3"/>
    <w:rsid w:val="13904FC3"/>
    <w:rsid w:val="139323BD"/>
    <w:rsid w:val="13944C51"/>
    <w:rsid w:val="13946135"/>
    <w:rsid w:val="13983E78"/>
    <w:rsid w:val="13992083"/>
    <w:rsid w:val="1399374C"/>
    <w:rsid w:val="139A199E"/>
    <w:rsid w:val="139A637E"/>
    <w:rsid w:val="139D323C"/>
    <w:rsid w:val="13A1426D"/>
    <w:rsid w:val="13A91BE1"/>
    <w:rsid w:val="13AA55D0"/>
    <w:rsid w:val="13AA7707"/>
    <w:rsid w:val="13AE369B"/>
    <w:rsid w:val="13B14F39"/>
    <w:rsid w:val="13B32A60"/>
    <w:rsid w:val="13B501FB"/>
    <w:rsid w:val="13B567D8"/>
    <w:rsid w:val="13B62550"/>
    <w:rsid w:val="13B76712"/>
    <w:rsid w:val="13B862C8"/>
    <w:rsid w:val="13BA2040"/>
    <w:rsid w:val="13BD38DE"/>
    <w:rsid w:val="13BF1404"/>
    <w:rsid w:val="13BF4C25"/>
    <w:rsid w:val="13C07C74"/>
    <w:rsid w:val="13C407C9"/>
    <w:rsid w:val="13C702B9"/>
    <w:rsid w:val="13CA1B57"/>
    <w:rsid w:val="13CB74DA"/>
    <w:rsid w:val="13CC1D73"/>
    <w:rsid w:val="13CE7899"/>
    <w:rsid w:val="13D11138"/>
    <w:rsid w:val="13D749A0"/>
    <w:rsid w:val="13D80718"/>
    <w:rsid w:val="13D9039D"/>
    <w:rsid w:val="13E0137B"/>
    <w:rsid w:val="13E23345"/>
    <w:rsid w:val="13E36F2F"/>
    <w:rsid w:val="13E40E6B"/>
    <w:rsid w:val="13E7095B"/>
    <w:rsid w:val="13F05A62"/>
    <w:rsid w:val="13F07810"/>
    <w:rsid w:val="13F24693"/>
    <w:rsid w:val="13F27A08"/>
    <w:rsid w:val="13F41C12"/>
    <w:rsid w:val="13F53078"/>
    <w:rsid w:val="13F8694C"/>
    <w:rsid w:val="13FF7A53"/>
    <w:rsid w:val="14012AC2"/>
    <w:rsid w:val="140137CB"/>
    <w:rsid w:val="14024910"/>
    <w:rsid w:val="1404150D"/>
    <w:rsid w:val="14072DAB"/>
    <w:rsid w:val="14092680"/>
    <w:rsid w:val="14096B23"/>
    <w:rsid w:val="140B464A"/>
    <w:rsid w:val="140E7C96"/>
    <w:rsid w:val="14121E37"/>
    <w:rsid w:val="141554C8"/>
    <w:rsid w:val="141649B0"/>
    <w:rsid w:val="141B23B3"/>
    <w:rsid w:val="142851FC"/>
    <w:rsid w:val="142A67B4"/>
    <w:rsid w:val="14326DB2"/>
    <w:rsid w:val="143F42F3"/>
    <w:rsid w:val="143F60A1"/>
    <w:rsid w:val="14430A9C"/>
    <w:rsid w:val="14435ECB"/>
    <w:rsid w:val="14465682"/>
    <w:rsid w:val="14467430"/>
    <w:rsid w:val="1449308D"/>
    <w:rsid w:val="144933C4"/>
    <w:rsid w:val="144E2788"/>
    <w:rsid w:val="144E4536"/>
    <w:rsid w:val="14504752"/>
    <w:rsid w:val="14515DD5"/>
    <w:rsid w:val="14551D69"/>
    <w:rsid w:val="14603640"/>
    <w:rsid w:val="1461426A"/>
    <w:rsid w:val="14620FA5"/>
    <w:rsid w:val="14630116"/>
    <w:rsid w:val="14636234"/>
    <w:rsid w:val="14641FAC"/>
    <w:rsid w:val="146975C2"/>
    <w:rsid w:val="146D648D"/>
    <w:rsid w:val="1470712F"/>
    <w:rsid w:val="147525EE"/>
    <w:rsid w:val="1475649E"/>
    <w:rsid w:val="14771CDF"/>
    <w:rsid w:val="14776934"/>
    <w:rsid w:val="147A357D"/>
    <w:rsid w:val="147D6BCA"/>
    <w:rsid w:val="147F5684"/>
    <w:rsid w:val="148166BA"/>
    <w:rsid w:val="14861F22"/>
    <w:rsid w:val="14863CD0"/>
    <w:rsid w:val="148937C0"/>
    <w:rsid w:val="148B7538"/>
    <w:rsid w:val="148D505F"/>
    <w:rsid w:val="14902DA1"/>
    <w:rsid w:val="14923346"/>
    <w:rsid w:val="1496081E"/>
    <w:rsid w:val="1497412F"/>
    <w:rsid w:val="14A14FAE"/>
    <w:rsid w:val="14A32AD4"/>
    <w:rsid w:val="14A405FA"/>
    <w:rsid w:val="14A8633C"/>
    <w:rsid w:val="14A874BB"/>
    <w:rsid w:val="14AB1989"/>
    <w:rsid w:val="14AD5701"/>
    <w:rsid w:val="14B06F9F"/>
    <w:rsid w:val="14B307DB"/>
    <w:rsid w:val="14B60A59"/>
    <w:rsid w:val="14B613AF"/>
    <w:rsid w:val="14B720DC"/>
    <w:rsid w:val="14B940A6"/>
    <w:rsid w:val="14B94BCE"/>
    <w:rsid w:val="14BC3B96"/>
    <w:rsid w:val="14BE346A"/>
    <w:rsid w:val="14C12D51"/>
    <w:rsid w:val="14C30A80"/>
    <w:rsid w:val="14C50C9C"/>
    <w:rsid w:val="14C52A4A"/>
    <w:rsid w:val="14C8253B"/>
    <w:rsid w:val="14CC2610"/>
    <w:rsid w:val="14CD18FF"/>
    <w:rsid w:val="14CD4474"/>
    <w:rsid w:val="14CD5DA3"/>
    <w:rsid w:val="14CF52C6"/>
    <w:rsid w:val="14CF5677"/>
    <w:rsid w:val="14D233B9"/>
    <w:rsid w:val="14DC1B42"/>
    <w:rsid w:val="14DE58BA"/>
    <w:rsid w:val="14E71CDB"/>
    <w:rsid w:val="14E76E65"/>
    <w:rsid w:val="14EB7FD7"/>
    <w:rsid w:val="14EF7AC7"/>
    <w:rsid w:val="14F21366"/>
    <w:rsid w:val="14F670A8"/>
    <w:rsid w:val="14F71E87"/>
    <w:rsid w:val="14FB56DC"/>
    <w:rsid w:val="14FB646C"/>
    <w:rsid w:val="15035321"/>
    <w:rsid w:val="15051099"/>
    <w:rsid w:val="1505553D"/>
    <w:rsid w:val="1508348E"/>
    <w:rsid w:val="150C68CB"/>
    <w:rsid w:val="151629D1"/>
    <w:rsid w:val="15170DCC"/>
    <w:rsid w:val="1517701E"/>
    <w:rsid w:val="151A411A"/>
    <w:rsid w:val="151C3C4C"/>
    <w:rsid w:val="151C5F1D"/>
    <w:rsid w:val="151D2886"/>
    <w:rsid w:val="151E03AD"/>
    <w:rsid w:val="15205ED3"/>
    <w:rsid w:val="152139F9"/>
    <w:rsid w:val="1525798D"/>
    <w:rsid w:val="15284D87"/>
    <w:rsid w:val="15286307"/>
    <w:rsid w:val="1528650F"/>
    <w:rsid w:val="152F6116"/>
    <w:rsid w:val="153320AA"/>
    <w:rsid w:val="153674A4"/>
    <w:rsid w:val="1537146E"/>
    <w:rsid w:val="153951E6"/>
    <w:rsid w:val="153B3244"/>
    <w:rsid w:val="153D07B5"/>
    <w:rsid w:val="154222ED"/>
    <w:rsid w:val="15481B97"/>
    <w:rsid w:val="154A11A2"/>
    <w:rsid w:val="154C4D2C"/>
    <w:rsid w:val="154D47EE"/>
    <w:rsid w:val="154F308C"/>
    <w:rsid w:val="15504F07"/>
    <w:rsid w:val="15512530"/>
    <w:rsid w:val="1557566D"/>
    <w:rsid w:val="15581B10"/>
    <w:rsid w:val="155C4C28"/>
    <w:rsid w:val="155D7127"/>
    <w:rsid w:val="156264EB"/>
    <w:rsid w:val="15634011"/>
    <w:rsid w:val="15655FDB"/>
    <w:rsid w:val="15673B02"/>
    <w:rsid w:val="156A1844"/>
    <w:rsid w:val="156C0552"/>
    <w:rsid w:val="156C736A"/>
    <w:rsid w:val="156F29B6"/>
    <w:rsid w:val="1574621E"/>
    <w:rsid w:val="15761F97"/>
    <w:rsid w:val="1582711A"/>
    <w:rsid w:val="15887332"/>
    <w:rsid w:val="158A63F2"/>
    <w:rsid w:val="15910B7E"/>
    <w:rsid w:val="15916DD0"/>
    <w:rsid w:val="15962639"/>
    <w:rsid w:val="159A4C5C"/>
    <w:rsid w:val="15AC59B8"/>
    <w:rsid w:val="15AE1730"/>
    <w:rsid w:val="15AE34DE"/>
    <w:rsid w:val="15AE7982"/>
    <w:rsid w:val="15B036FB"/>
    <w:rsid w:val="15BB5BFB"/>
    <w:rsid w:val="15BC4236"/>
    <w:rsid w:val="15C54CCC"/>
    <w:rsid w:val="15C6265A"/>
    <w:rsid w:val="15C727F2"/>
    <w:rsid w:val="15C745A0"/>
    <w:rsid w:val="15C8766A"/>
    <w:rsid w:val="15CA4090"/>
    <w:rsid w:val="15CC022F"/>
    <w:rsid w:val="15CC605B"/>
    <w:rsid w:val="15CE3B81"/>
    <w:rsid w:val="15D13671"/>
    <w:rsid w:val="15D171CD"/>
    <w:rsid w:val="15D469C1"/>
    <w:rsid w:val="15D54F0F"/>
    <w:rsid w:val="15D66ED9"/>
    <w:rsid w:val="15D72415"/>
    <w:rsid w:val="15DA0777"/>
    <w:rsid w:val="15DB2014"/>
    <w:rsid w:val="15DB5153"/>
    <w:rsid w:val="15DD5B72"/>
    <w:rsid w:val="15DE3F67"/>
    <w:rsid w:val="15DF7BB5"/>
    <w:rsid w:val="15E11B06"/>
    <w:rsid w:val="15E2587E"/>
    <w:rsid w:val="15E909BB"/>
    <w:rsid w:val="15EA64E1"/>
    <w:rsid w:val="15EB4733"/>
    <w:rsid w:val="15F15AC1"/>
    <w:rsid w:val="15F31839"/>
    <w:rsid w:val="15F555B1"/>
    <w:rsid w:val="15FF1F8C"/>
    <w:rsid w:val="160475A2"/>
    <w:rsid w:val="160C4080"/>
    <w:rsid w:val="16104199"/>
    <w:rsid w:val="1613309D"/>
    <w:rsid w:val="161672D6"/>
    <w:rsid w:val="161C2B3E"/>
    <w:rsid w:val="161E3AB1"/>
    <w:rsid w:val="161F618A"/>
    <w:rsid w:val="16227A29"/>
    <w:rsid w:val="1626576B"/>
    <w:rsid w:val="162B4B2F"/>
    <w:rsid w:val="162C0C86"/>
    <w:rsid w:val="162D6610"/>
    <w:rsid w:val="16300397"/>
    <w:rsid w:val="16321ADC"/>
    <w:rsid w:val="16351E52"/>
    <w:rsid w:val="163A7083"/>
    <w:rsid w:val="163D4862"/>
    <w:rsid w:val="16464112"/>
    <w:rsid w:val="165B7DFE"/>
    <w:rsid w:val="165E3157"/>
    <w:rsid w:val="165F0C7D"/>
    <w:rsid w:val="166B7621"/>
    <w:rsid w:val="166D339A"/>
    <w:rsid w:val="167575DE"/>
    <w:rsid w:val="16781D3E"/>
    <w:rsid w:val="167A5AB7"/>
    <w:rsid w:val="167D1103"/>
    <w:rsid w:val="167F30CD"/>
    <w:rsid w:val="167F42A3"/>
    <w:rsid w:val="168129A1"/>
    <w:rsid w:val="168229B3"/>
    <w:rsid w:val="16826719"/>
    <w:rsid w:val="16883EC5"/>
    <w:rsid w:val="16893F4C"/>
    <w:rsid w:val="16895CFA"/>
    <w:rsid w:val="168D57EA"/>
    <w:rsid w:val="168E3310"/>
    <w:rsid w:val="168F6536"/>
    <w:rsid w:val="16921052"/>
    <w:rsid w:val="16922E00"/>
    <w:rsid w:val="16994E4A"/>
    <w:rsid w:val="169C77DB"/>
    <w:rsid w:val="169D0A70"/>
    <w:rsid w:val="169D3553"/>
    <w:rsid w:val="169F376F"/>
    <w:rsid w:val="16A32C69"/>
    <w:rsid w:val="16A50D85"/>
    <w:rsid w:val="16A91EF8"/>
    <w:rsid w:val="16AB01C8"/>
    <w:rsid w:val="16AE750E"/>
    <w:rsid w:val="16AF3030"/>
    <w:rsid w:val="16B54D41"/>
    <w:rsid w:val="16B70B6C"/>
    <w:rsid w:val="16B8213B"/>
    <w:rsid w:val="16BA2357"/>
    <w:rsid w:val="16BC0089"/>
    <w:rsid w:val="16BE1E47"/>
    <w:rsid w:val="16C16C33"/>
    <w:rsid w:val="16C60CFC"/>
    <w:rsid w:val="16C85C81"/>
    <w:rsid w:val="16C86822"/>
    <w:rsid w:val="16CD208A"/>
    <w:rsid w:val="16CE195E"/>
    <w:rsid w:val="16D46E70"/>
    <w:rsid w:val="16D569B9"/>
    <w:rsid w:val="16D70382"/>
    <w:rsid w:val="16D74CB7"/>
    <w:rsid w:val="16DC051F"/>
    <w:rsid w:val="16DC22CD"/>
    <w:rsid w:val="16E318AE"/>
    <w:rsid w:val="16F07B27"/>
    <w:rsid w:val="16F245C5"/>
    <w:rsid w:val="16F45869"/>
    <w:rsid w:val="16F47617"/>
    <w:rsid w:val="16F83DC9"/>
    <w:rsid w:val="16F95030"/>
    <w:rsid w:val="16FE0496"/>
    <w:rsid w:val="17033CFE"/>
    <w:rsid w:val="170535D2"/>
    <w:rsid w:val="170A508C"/>
    <w:rsid w:val="170A6E3A"/>
    <w:rsid w:val="170B4961"/>
    <w:rsid w:val="170E3AEC"/>
    <w:rsid w:val="170E6162"/>
    <w:rsid w:val="17123F41"/>
    <w:rsid w:val="17171557"/>
    <w:rsid w:val="171A37D0"/>
    <w:rsid w:val="171C6B6E"/>
    <w:rsid w:val="171E6442"/>
    <w:rsid w:val="17255A22"/>
    <w:rsid w:val="172872C1"/>
    <w:rsid w:val="172A4DE7"/>
    <w:rsid w:val="172F4AF3"/>
    <w:rsid w:val="172F68A1"/>
    <w:rsid w:val="17321EED"/>
    <w:rsid w:val="173259E9"/>
    <w:rsid w:val="17365E81"/>
    <w:rsid w:val="173739A8"/>
    <w:rsid w:val="17377504"/>
    <w:rsid w:val="173C30A8"/>
    <w:rsid w:val="173E6AE4"/>
    <w:rsid w:val="17404A68"/>
    <w:rsid w:val="174165D4"/>
    <w:rsid w:val="1743234C"/>
    <w:rsid w:val="174560C4"/>
    <w:rsid w:val="17471E3D"/>
    <w:rsid w:val="174B3D3F"/>
    <w:rsid w:val="174B66AA"/>
    <w:rsid w:val="174D6D27"/>
    <w:rsid w:val="174E307B"/>
    <w:rsid w:val="174F484D"/>
    <w:rsid w:val="175005C5"/>
    <w:rsid w:val="17501520"/>
    <w:rsid w:val="17546308"/>
    <w:rsid w:val="17555BDC"/>
    <w:rsid w:val="175579C2"/>
    <w:rsid w:val="17575DF8"/>
    <w:rsid w:val="17591B70"/>
    <w:rsid w:val="175B1444"/>
    <w:rsid w:val="175B7522"/>
    <w:rsid w:val="175D340E"/>
    <w:rsid w:val="176C18A3"/>
    <w:rsid w:val="176F4EEF"/>
    <w:rsid w:val="176F6C9D"/>
    <w:rsid w:val="17710C68"/>
    <w:rsid w:val="177249E0"/>
    <w:rsid w:val="1772678E"/>
    <w:rsid w:val="1774180A"/>
    <w:rsid w:val="17742BCE"/>
    <w:rsid w:val="17773DA4"/>
    <w:rsid w:val="17781D54"/>
    <w:rsid w:val="177B1022"/>
    <w:rsid w:val="177B7D38"/>
    <w:rsid w:val="177E2043"/>
    <w:rsid w:val="17803B29"/>
    <w:rsid w:val="17864105"/>
    <w:rsid w:val="1786728C"/>
    <w:rsid w:val="178A7CAA"/>
    <w:rsid w:val="178D35C8"/>
    <w:rsid w:val="178F2FEA"/>
    <w:rsid w:val="179130B8"/>
    <w:rsid w:val="1792505A"/>
    <w:rsid w:val="17982698"/>
    <w:rsid w:val="1798522F"/>
    <w:rsid w:val="179901BE"/>
    <w:rsid w:val="179B3F36"/>
    <w:rsid w:val="179B7A92"/>
    <w:rsid w:val="17A10E21"/>
    <w:rsid w:val="17A51B58"/>
    <w:rsid w:val="17A57E4D"/>
    <w:rsid w:val="17A76437"/>
    <w:rsid w:val="17A9536A"/>
    <w:rsid w:val="17AC1CA0"/>
    <w:rsid w:val="17AF79E2"/>
    <w:rsid w:val="17B1375A"/>
    <w:rsid w:val="17B67874"/>
    <w:rsid w:val="17B8456B"/>
    <w:rsid w:val="17BA0860"/>
    <w:rsid w:val="17BA3F9F"/>
    <w:rsid w:val="17BE63A1"/>
    <w:rsid w:val="17C074F9"/>
    <w:rsid w:val="17C214C3"/>
    <w:rsid w:val="17C27715"/>
    <w:rsid w:val="17C34EE7"/>
    <w:rsid w:val="17C36FE9"/>
    <w:rsid w:val="17C70888"/>
    <w:rsid w:val="17C76AD9"/>
    <w:rsid w:val="17CC2342"/>
    <w:rsid w:val="17CF3BE0"/>
    <w:rsid w:val="17D11706"/>
    <w:rsid w:val="17D244D2"/>
    <w:rsid w:val="17D336D0"/>
    <w:rsid w:val="17D42FA4"/>
    <w:rsid w:val="17D80CE7"/>
    <w:rsid w:val="17DA4A5F"/>
    <w:rsid w:val="17DF301F"/>
    <w:rsid w:val="17E20185"/>
    <w:rsid w:val="17E256C1"/>
    <w:rsid w:val="17EA0A1A"/>
    <w:rsid w:val="17EC6540"/>
    <w:rsid w:val="17ED1F4D"/>
    <w:rsid w:val="17EE22B8"/>
    <w:rsid w:val="17F02970"/>
    <w:rsid w:val="17F665A1"/>
    <w:rsid w:val="17F673BF"/>
    <w:rsid w:val="17FB2C27"/>
    <w:rsid w:val="17FD074D"/>
    <w:rsid w:val="17FF44C5"/>
    <w:rsid w:val="18041ADC"/>
    <w:rsid w:val="1804388A"/>
    <w:rsid w:val="18047D2E"/>
    <w:rsid w:val="180715CC"/>
    <w:rsid w:val="180716EA"/>
    <w:rsid w:val="1807337A"/>
    <w:rsid w:val="18090EA0"/>
    <w:rsid w:val="180B10BC"/>
    <w:rsid w:val="180C06D7"/>
    <w:rsid w:val="18137F71"/>
    <w:rsid w:val="18153CE9"/>
    <w:rsid w:val="18194181"/>
    <w:rsid w:val="1820443C"/>
    <w:rsid w:val="1824469F"/>
    <w:rsid w:val="18253800"/>
    <w:rsid w:val="182B350C"/>
    <w:rsid w:val="182B7833"/>
    <w:rsid w:val="18300B23"/>
    <w:rsid w:val="183103F7"/>
    <w:rsid w:val="18335F1D"/>
    <w:rsid w:val="18363C5F"/>
    <w:rsid w:val="183A374F"/>
    <w:rsid w:val="183C74C7"/>
    <w:rsid w:val="18412D97"/>
    <w:rsid w:val="18414ADE"/>
    <w:rsid w:val="18455C50"/>
    <w:rsid w:val="18493992"/>
    <w:rsid w:val="18493F95"/>
    <w:rsid w:val="184A3267"/>
    <w:rsid w:val="184E0FA9"/>
    <w:rsid w:val="18561C0B"/>
    <w:rsid w:val="18565113"/>
    <w:rsid w:val="18567E5D"/>
    <w:rsid w:val="185A16FC"/>
    <w:rsid w:val="185B5474"/>
    <w:rsid w:val="18622CA6"/>
    <w:rsid w:val="186500A0"/>
    <w:rsid w:val="186D58D3"/>
    <w:rsid w:val="18711EB8"/>
    <w:rsid w:val="18730A0F"/>
    <w:rsid w:val="187447AF"/>
    <w:rsid w:val="18747B1D"/>
    <w:rsid w:val="187622AE"/>
    <w:rsid w:val="18770500"/>
    <w:rsid w:val="187F5606"/>
    <w:rsid w:val="18846779"/>
    <w:rsid w:val="188D1AD1"/>
    <w:rsid w:val="188E3A9B"/>
    <w:rsid w:val="189310B2"/>
    <w:rsid w:val="189746FE"/>
    <w:rsid w:val="18982224"/>
    <w:rsid w:val="189912C4"/>
    <w:rsid w:val="189F35B2"/>
    <w:rsid w:val="18A006B1"/>
    <w:rsid w:val="18AA258C"/>
    <w:rsid w:val="18B427A7"/>
    <w:rsid w:val="18B64865"/>
    <w:rsid w:val="18B90B18"/>
    <w:rsid w:val="18BA03EC"/>
    <w:rsid w:val="18BC23B6"/>
    <w:rsid w:val="18BC5F12"/>
    <w:rsid w:val="18BD1C8B"/>
    <w:rsid w:val="18BD66DB"/>
    <w:rsid w:val="18BD7EDC"/>
    <w:rsid w:val="18BE0E7D"/>
    <w:rsid w:val="18C0248B"/>
    <w:rsid w:val="18C263A0"/>
    <w:rsid w:val="18C354F3"/>
    <w:rsid w:val="18C82B09"/>
    <w:rsid w:val="18C96881"/>
    <w:rsid w:val="18CE5C46"/>
    <w:rsid w:val="18D05E62"/>
    <w:rsid w:val="18D15B70"/>
    <w:rsid w:val="18D70F9E"/>
    <w:rsid w:val="18D86AC4"/>
    <w:rsid w:val="18DC0363"/>
    <w:rsid w:val="18E67433"/>
    <w:rsid w:val="18ED07C2"/>
    <w:rsid w:val="18ED6A14"/>
    <w:rsid w:val="18FA2EDF"/>
    <w:rsid w:val="18FC27B3"/>
    <w:rsid w:val="18FC6C57"/>
    <w:rsid w:val="18FE29CF"/>
    <w:rsid w:val="190478B9"/>
    <w:rsid w:val="190C374D"/>
    <w:rsid w:val="190D42EB"/>
    <w:rsid w:val="190F0738"/>
    <w:rsid w:val="191129A6"/>
    <w:rsid w:val="191915B7"/>
    <w:rsid w:val="19197809"/>
    <w:rsid w:val="191D647A"/>
    <w:rsid w:val="19232435"/>
    <w:rsid w:val="192501A9"/>
    <w:rsid w:val="19263CD4"/>
    <w:rsid w:val="19265A82"/>
    <w:rsid w:val="192817FA"/>
    <w:rsid w:val="192B3098"/>
    <w:rsid w:val="192C54AB"/>
    <w:rsid w:val="192D0BBE"/>
    <w:rsid w:val="192D150C"/>
    <w:rsid w:val="19306900"/>
    <w:rsid w:val="19337AF8"/>
    <w:rsid w:val="19373188"/>
    <w:rsid w:val="19377C8F"/>
    <w:rsid w:val="19383A4E"/>
    <w:rsid w:val="193C0B28"/>
    <w:rsid w:val="193D71F3"/>
    <w:rsid w:val="193F08F1"/>
    <w:rsid w:val="194408DF"/>
    <w:rsid w:val="1944700A"/>
    <w:rsid w:val="194859F8"/>
    <w:rsid w:val="19487651"/>
    <w:rsid w:val="194B6B29"/>
    <w:rsid w:val="19520625"/>
    <w:rsid w:val="19524AC9"/>
    <w:rsid w:val="19526877"/>
    <w:rsid w:val="19545462"/>
    <w:rsid w:val="1954586E"/>
    <w:rsid w:val="19545D29"/>
    <w:rsid w:val="195720DF"/>
    <w:rsid w:val="195974DD"/>
    <w:rsid w:val="195F2D42"/>
    <w:rsid w:val="19630947"/>
    <w:rsid w:val="1969029C"/>
    <w:rsid w:val="196F567B"/>
    <w:rsid w:val="19742C91"/>
    <w:rsid w:val="1975331A"/>
    <w:rsid w:val="1976457C"/>
    <w:rsid w:val="19766A09"/>
    <w:rsid w:val="1977452F"/>
    <w:rsid w:val="197B401F"/>
    <w:rsid w:val="197B53D3"/>
    <w:rsid w:val="19800A63"/>
    <w:rsid w:val="1981715C"/>
    <w:rsid w:val="19836A30"/>
    <w:rsid w:val="198729C4"/>
    <w:rsid w:val="198A4263"/>
    <w:rsid w:val="198C07E7"/>
    <w:rsid w:val="19946E8F"/>
    <w:rsid w:val="199E1ABC"/>
    <w:rsid w:val="199E7D0E"/>
    <w:rsid w:val="199F6C5D"/>
    <w:rsid w:val="19A370D2"/>
    <w:rsid w:val="19A52ACF"/>
    <w:rsid w:val="19A54BF8"/>
    <w:rsid w:val="19A90B8D"/>
    <w:rsid w:val="19AF1F1B"/>
    <w:rsid w:val="19B23C43"/>
    <w:rsid w:val="19B25567"/>
    <w:rsid w:val="19B32E94"/>
    <w:rsid w:val="19BA7045"/>
    <w:rsid w:val="19C15306"/>
    <w:rsid w:val="19C21C4E"/>
    <w:rsid w:val="19C534ED"/>
    <w:rsid w:val="19C77265"/>
    <w:rsid w:val="19CA0B03"/>
    <w:rsid w:val="19CA6D19"/>
    <w:rsid w:val="19CE05F3"/>
    <w:rsid w:val="19D76D7C"/>
    <w:rsid w:val="19DC4392"/>
    <w:rsid w:val="19E00326"/>
    <w:rsid w:val="19E25E4D"/>
    <w:rsid w:val="19E41BC5"/>
    <w:rsid w:val="19E73463"/>
    <w:rsid w:val="19EC2827"/>
    <w:rsid w:val="19EE2A43"/>
    <w:rsid w:val="19F45B80"/>
    <w:rsid w:val="19F811CC"/>
    <w:rsid w:val="19F93196"/>
    <w:rsid w:val="1A077661"/>
    <w:rsid w:val="1A09162B"/>
    <w:rsid w:val="1A0A10D9"/>
    <w:rsid w:val="1A0C111B"/>
    <w:rsid w:val="1A1062B4"/>
    <w:rsid w:val="1A147FD0"/>
    <w:rsid w:val="1A18361C"/>
    <w:rsid w:val="1A187AC0"/>
    <w:rsid w:val="1A1E488E"/>
    <w:rsid w:val="1A200723"/>
    <w:rsid w:val="1A22449B"/>
    <w:rsid w:val="1A231FC1"/>
    <w:rsid w:val="1A255D39"/>
    <w:rsid w:val="1A27385F"/>
    <w:rsid w:val="1A275223"/>
    <w:rsid w:val="1A2A3AC4"/>
    <w:rsid w:val="1A2C356C"/>
    <w:rsid w:val="1A2E0D57"/>
    <w:rsid w:val="1A2F0966"/>
    <w:rsid w:val="1A393593"/>
    <w:rsid w:val="1A3D12D5"/>
    <w:rsid w:val="1A4408B5"/>
    <w:rsid w:val="1A444411"/>
    <w:rsid w:val="1A47372A"/>
    <w:rsid w:val="1A4A39F2"/>
    <w:rsid w:val="1A4A5C7F"/>
    <w:rsid w:val="1A50725A"/>
    <w:rsid w:val="1A5A71F5"/>
    <w:rsid w:val="1A5F49C1"/>
    <w:rsid w:val="1A604FC3"/>
    <w:rsid w:val="1A607BD9"/>
    <w:rsid w:val="1A626F8D"/>
    <w:rsid w:val="1A654388"/>
    <w:rsid w:val="1A672D3E"/>
    <w:rsid w:val="1A676352"/>
    <w:rsid w:val="1A6C5716"/>
    <w:rsid w:val="1A705206"/>
    <w:rsid w:val="1A756CC1"/>
    <w:rsid w:val="1A772A39"/>
    <w:rsid w:val="1A78055F"/>
    <w:rsid w:val="1A7B3BAB"/>
    <w:rsid w:val="1A7F48BE"/>
    <w:rsid w:val="1A824F3A"/>
    <w:rsid w:val="1A861DC6"/>
    <w:rsid w:val="1A882AFB"/>
    <w:rsid w:val="1A89451A"/>
    <w:rsid w:val="1A8962C8"/>
    <w:rsid w:val="1A8E7D82"/>
    <w:rsid w:val="1A911621"/>
    <w:rsid w:val="1A9133CF"/>
    <w:rsid w:val="1A925700"/>
    <w:rsid w:val="1A952EBF"/>
    <w:rsid w:val="1A976C37"/>
    <w:rsid w:val="1A9829AF"/>
    <w:rsid w:val="1A9A0036"/>
    <w:rsid w:val="1A9A1998"/>
    <w:rsid w:val="1A9C249F"/>
    <w:rsid w:val="1A9C424D"/>
    <w:rsid w:val="1A9E35E5"/>
    <w:rsid w:val="1A9F5AEC"/>
    <w:rsid w:val="1AA44EB0"/>
    <w:rsid w:val="1AAB65CD"/>
    <w:rsid w:val="1AAC1FB7"/>
    <w:rsid w:val="1AAE21D3"/>
    <w:rsid w:val="1AAE793C"/>
    <w:rsid w:val="1AB05F4B"/>
    <w:rsid w:val="1AB1581F"/>
    <w:rsid w:val="1AB53561"/>
    <w:rsid w:val="1AB53AAF"/>
    <w:rsid w:val="1AB7627B"/>
    <w:rsid w:val="1AB8583A"/>
    <w:rsid w:val="1ABD70A9"/>
    <w:rsid w:val="1ABF7128"/>
    <w:rsid w:val="1AC50DC4"/>
    <w:rsid w:val="1AC63078"/>
    <w:rsid w:val="1AC8208F"/>
    <w:rsid w:val="1AC91D4C"/>
    <w:rsid w:val="1ACE017F"/>
    <w:rsid w:val="1ACE63D1"/>
    <w:rsid w:val="1AD03EF7"/>
    <w:rsid w:val="1AD27C6F"/>
    <w:rsid w:val="1AD339E7"/>
    <w:rsid w:val="1AD734D7"/>
    <w:rsid w:val="1AD75285"/>
    <w:rsid w:val="1AD87250"/>
    <w:rsid w:val="1ADC289C"/>
    <w:rsid w:val="1AE44224"/>
    <w:rsid w:val="1AF177AE"/>
    <w:rsid w:val="1AF20311"/>
    <w:rsid w:val="1AF22E0F"/>
    <w:rsid w:val="1AF35E37"/>
    <w:rsid w:val="1AF51BB0"/>
    <w:rsid w:val="1AF57E02"/>
    <w:rsid w:val="1AF75928"/>
    <w:rsid w:val="1AF8344E"/>
    <w:rsid w:val="1AFA5418"/>
    <w:rsid w:val="1AFD0A64"/>
    <w:rsid w:val="1AFE6CB6"/>
    <w:rsid w:val="1B005AA3"/>
    <w:rsid w:val="1B0167A6"/>
    <w:rsid w:val="1B027E29"/>
    <w:rsid w:val="1B040045"/>
    <w:rsid w:val="1B0E4A1F"/>
    <w:rsid w:val="1B192484"/>
    <w:rsid w:val="1B19589E"/>
    <w:rsid w:val="1B1A7868"/>
    <w:rsid w:val="1B1B4B10"/>
    <w:rsid w:val="1B206CF9"/>
    <w:rsid w:val="1B223FF5"/>
    <w:rsid w:val="1B25632E"/>
    <w:rsid w:val="1B283D33"/>
    <w:rsid w:val="1B285AE1"/>
    <w:rsid w:val="1B28788F"/>
    <w:rsid w:val="1B2929B5"/>
    <w:rsid w:val="1B2F50C2"/>
    <w:rsid w:val="1B351FAC"/>
    <w:rsid w:val="1B425EC3"/>
    <w:rsid w:val="1B445528"/>
    <w:rsid w:val="1B4641B9"/>
    <w:rsid w:val="1B4B7383"/>
    <w:rsid w:val="1B4D72F6"/>
    <w:rsid w:val="1B527002"/>
    <w:rsid w:val="1B530684"/>
    <w:rsid w:val="1B542D7A"/>
    <w:rsid w:val="1B5A1A13"/>
    <w:rsid w:val="1B5C1C2F"/>
    <w:rsid w:val="1B60171F"/>
    <w:rsid w:val="1B650AE3"/>
    <w:rsid w:val="1B67674E"/>
    <w:rsid w:val="1B684130"/>
    <w:rsid w:val="1B6A60FA"/>
    <w:rsid w:val="1B6C3361"/>
    <w:rsid w:val="1B715091"/>
    <w:rsid w:val="1B753F12"/>
    <w:rsid w:val="1B7730E6"/>
    <w:rsid w:val="1B773DCE"/>
    <w:rsid w:val="1B786E34"/>
    <w:rsid w:val="1B7C58B1"/>
    <w:rsid w:val="1B7C5E2D"/>
    <w:rsid w:val="1B7E7DF7"/>
    <w:rsid w:val="1B8227E1"/>
    <w:rsid w:val="1B852F33"/>
    <w:rsid w:val="1B8847D2"/>
    <w:rsid w:val="1B897F89"/>
    <w:rsid w:val="1B8A679C"/>
    <w:rsid w:val="1B9273FE"/>
    <w:rsid w:val="1B9969DF"/>
    <w:rsid w:val="1BA3160C"/>
    <w:rsid w:val="1BA84E74"/>
    <w:rsid w:val="1BAA0BEC"/>
    <w:rsid w:val="1BAB226E"/>
    <w:rsid w:val="1BB2184F"/>
    <w:rsid w:val="1BB27DB9"/>
    <w:rsid w:val="1BB747A9"/>
    <w:rsid w:val="1BB83309"/>
    <w:rsid w:val="1BBB6955"/>
    <w:rsid w:val="1BBD091F"/>
    <w:rsid w:val="1BBE6445"/>
    <w:rsid w:val="1BC30238"/>
    <w:rsid w:val="1BC7354C"/>
    <w:rsid w:val="1BC872C4"/>
    <w:rsid w:val="1BCA303C"/>
    <w:rsid w:val="1BCA6B98"/>
    <w:rsid w:val="1BCB1D7E"/>
    <w:rsid w:val="1BCB72FD"/>
    <w:rsid w:val="1BCD0437"/>
    <w:rsid w:val="1BCD6688"/>
    <w:rsid w:val="1BD01CD5"/>
    <w:rsid w:val="1BD25A4D"/>
    <w:rsid w:val="1BD417C5"/>
    <w:rsid w:val="1BD45C69"/>
    <w:rsid w:val="1BD5797C"/>
    <w:rsid w:val="1BD6553D"/>
    <w:rsid w:val="1BD87507"/>
    <w:rsid w:val="1BD9300C"/>
    <w:rsid w:val="1BDB2B53"/>
    <w:rsid w:val="1BDE0896"/>
    <w:rsid w:val="1BDE0FAC"/>
    <w:rsid w:val="1BE0460E"/>
    <w:rsid w:val="1BE20386"/>
    <w:rsid w:val="1BE22134"/>
    <w:rsid w:val="1BE7774A"/>
    <w:rsid w:val="1BEC6B0F"/>
    <w:rsid w:val="1BED0AD9"/>
    <w:rsid w:val="1BEF3457"/>
    <w:rsid w:val="1BF400B9"/>
    <w:rsid w:val="1BF57933"/>
    <w:rsid w:val="1BF604D2"/>
    <w:rsid w:val="1BF6798D"/>
    <w:rsid w:val="1BF81957"/>
    <w:rsid w:val="1BFD51C0"/>
    <w:rsid w:val="1BFE2CE6"/>
    <w:rsid w:val="1C006A5E"/>
    <w:rsid w:val="1C024584"/>
    <w:rsid w:val="1C055E22"/>
    <w:rsid w:val="1C091D8D"/>
    <w:rsid w:val="1C095610"/>
    <w:rsid w:val="1C0A6686"/>
    <w:rsid w:val="1C0C5403"/>
    <w:rsid w:val="1C0E2F29"/>
    <w:rsid w:val="1C0F0A4F"/>
    <w:rsid w:val="1C103880"/>
    <w:rsid w:val="1C13053F"/>
    <w:rsid w:val="1C161DDD"/>
    <w:rsid w:val="1C163B8C"/>
    <w:rsid w:val="1C170489"/>
    <w:rsid w:val="1C18194D"/>
    <w:rsid w:val="1C1B3B19"/>
    <w:rsid w:val="1C1B73F4"/>
    <w:rsid w:val="1C27223D"/>
    <w:rsid w:val="1C2B7608"/>
    <w:rsid w:val="1C2C1601"/>
    <w:rsid w:val="1C2D7127"/>
    <w:rsid w:val="1C2F10F1"/>
    <w:rsid w:val="1C2F22BE"/>
    <w:rsid w:val="1C330BE1"/>
    <w:rsid w:val="1C381D54"/>
    <w:rsid w:val="1C3D736A"/>
    <w:rsid w:val="1C3E30E2"/>
    <w:rsid w:val="1C3E504A"/>
    <w:rsid w:val="1C3F7586"/>
    <w:rsid w:val="1C424981"/>
    <w:rsid w:val="1C4526C3"/>
    <w:rsid w:val="1C4A5F2B"/>
    <w:rsid w:val="1C511068"/>
    <w:rsid w:val="1C512E16"/>
    <w:rsid w:val="1C56667E"/>
    <w:rsid w:val="1C5F3784"/>
    <w:rsid w:val="1C625023"/>
    <w:rsid w:val="1C6568C1"/>
    <w:rsid w:val="1C662D65"/>
    <w:rsid w:val="1C672639"/>
    <w:rsid w:val="1C6E1C1A"/>
    <w:rsid w:val="1C6F7740"/>
    <w:rsid w:val="1C721C5B"/>
    <w:rsid w:val="1C744D56"/>
    <w:rsid w:val="1C776E36"/>
    <w:rsid w:val="1C784846"/>
    <w:rsid w:val="1C7A236C"/>
    <w:rsid w:val="1C7B60E4"/>
    <w:rsid w:val="1C7D1E5D"/>
    <w:rsid w:val="1C7D7062"/>
    <w:rsid w:val="1C8026B6"/>
    <w:rsid w:val="1C846B66"/>
    <w:rsid w:val="1C856F63"/>
    <w:rsid w:val="1C8B0A36"/>
    <w:rsid w:val="1C8F393E"/>
    <w:rsid w:val="1C9571A6"/>
    <w:rsid w:val="1C961170"/>
    <w:rsid w:val="1C962F1E"/>
    <w:rsid w:val="1C9A2A0F"/>
    <w:rsid w:val="1CA13D9D"/>
    <w:rsid w:val="1CA218C3"/>
    <w:rsid w:val="1CA61F02"/>
    <w:rsid w:val="1CA6502A"/>
    <w:rsid w:val="1CA7512B"/>
    <w:rsid w:val="1CAB69CA"/>
    <w:rsid w:val="1CAF0084"/>
    <w:rsid w:val="1CB02232"/>
    <w:rsid w:val="1CB17D58"/>
    <w:rsid w:val="1CB2219C"/>
    <w:rsid w:val="1CB530B4"/>
    <w:rsid w:val="1CB57848"/>
    <w:rsid w:val="1CB67C92"/>
    <w:rsid w:val="1CB87339"/>
    <w:rsid w:val="1CBD04AB"/>
    <w:rsid w:val="1CBF5FD1"/>
    <w:rsid w:val="1CC02AA7"/>
    <w:rsid w:val="1CC161ED"/>
    <w:rsid w:val="1CC23D13"/>
    <w:rsid w:val="1CC47A8B"/>
    <w:rsid w:val="1CC730D8"/>
    <w:rsid w:val="1CCA0FFC"/>
    <w:rsid w:val="1CCC6940"/>
    <w:rsid w:val="1CCE090A"/>
    <w:rsid w:val="1CD001DE"/>
    <w:rsid w:val="1CDF602F"/>
    <w:rsid w:val="1CE26164"/>
    <w:rsid w:val="1CE67A02"/>
    <w:rsid w:val="1CEE4B08"/>
    <w:rsid w:val="1CEE68B6"/>
    <w:rsid w:val="1CEE6A7A"/>
    <w:rsid w:val="1CF10155"/>
    <w:rsid w:val="1CF55E97"/>
    <w:rsid w:val="1CF864FE"/>
    <w:rsid w:val="1CF87735"/>
    <w:rsid w:val="1CFA16FF"/>
    <w:rsid w:val="1CFA34AD"/>
    <w:rsid w:val="1CFB407F"/>
    <w:rsid w:val="1CFC5477"/>
    <w:rsid w:val="1CFD2DEB"/>
    <w:rsid w:val="1D0205B4"/>
    <w:rsid w:val="1D0E51AB"/>
    <w:rsid w:val="1D1125A5"/>
    <w:rsid w:val="1D1722B1"/>
    <w:rsid w:val="1D1A58FD"/>
    <w:rsid w:val="1D1C78C7"/>
    <w:rsid w:val="1D1D0F4A"/>
    <w:rsid w:val="1D2624F4"/>
    <w:rsid w:val="1D28635E"/>
    <w:rsid w:val="1D291FE4"/>
    <w:rsid w:val="1D300C7D"/>
    <w:rsid w:val="1D306ECF"/>
    <w:rsid w:val="1D320E99"/>
    <w:rsid w:val="1D361749"/>
    <w:rsid w:val="1D3A1AFC"/>
    <w:rsid w:val="1D3E15EC"/>
    <w:rsid w:val="1D445D2D"/>
    <w:rsid w:val="1D4A4435"/>
    <w:rsid w:val="1D4B1F5B"/>
    <w:rsid w:val="1D4D7A81"/>
    <w:rsid w:val="1D4E55EC"/>
    <w:rsid w:val="1D50131F"/>
    <w:rsid w:val="1D5030CD"/>
    <w:rsid w:val="1D5202A2"/>
    <w:rsid w:val="1D547061"/>
    <w:rsid w:val="1D5801D4"/>
    <w:rsid w:val="1D5C7CC4"/>
    <w:rsid w:val="1D631052"/>
    <w:rsid w:val="1D65301C"/>
    <w:rsid w:val="1D6B43AB"/>
    <w:rsid w:val="1D6D1ED1"/>
    <w:rsid w:val="1D7A45EE"/>
    <w:rsid w:val="1D7A4807"/>
    <w:rsid w:val="1D7E40DE"/>
    <w:rsid w:val="1D807281"/>
    <w:rsid w:val="1D85546D"/>
    <w:rsid w:val="1D862C8F"/>
    <w:rsid w:val="1D876420"/>
    <w:rsid w:val="1D880AB9"/>
    <w:rsid w:val="1D894E19"/>
    <w:rsid w:val="1D8D4321"/>
    <w:rsid w:val="1D9220A3"/>
    <w:rsid w:val="1D9303D6"/>
    <w:rsid w:val="1D943902"/>
    <w:rsid w:val="1D9456B0"/>
    <w:rsid w:val="1D962329"/>
    <w:rsid w:val="1D992CC6"/>
    <w:rsid w:val="1D9A47B6"/>
    <w:rsid w:val="1D9B6A3E"/>
    <w:rsid w:val="1D9C4564"/>
    <w:rsid w:val="1D9C6312"/>
    <w:rsid w:val="1DA42049"/>
    <w:rsid w:val="1DA4489F"/>
    <w:rsid w:val="1DA53B3F"/>
    <w:rsid w:val="1DAA6C81"/>
    <w:rsid w:val="1DB16262"/>
    <w:rsid w:val="1DB45D52"/>
    <w:rsid w:val="1DBA2C3C"/>
    <w:rsid w:val="1DBD70AE"/>
    <w:rsid w:val="1DBE3824"/>
    <w:rsid w:val="1DC637A3"/>
    <w:rsid w:val="1DC87107"/>
    <w:rsid w:val="1DCB6BF8"/>
    <w:rsid w:val="1DCF03F4"/>
    <w:rsid w:val="1DCF493A"/>
    <w:rsid w:val="1DD261D8"/>
    <w:rsid w:val="1DD36DFA"/>
    <w:rsid w:val="1DD67A76"/>
    <w:rsid w:val="1DD737EE"/>
    <w:rsid w:val="1DD75402"/>
    <w:rsid w:val="1DE026A3"/>
    <w:rsid w:val="1DE06B47"/>
    <w:rsid w:val="1DE32193"/>
    <w:rsid w:val="1DE37C44"/>
    <w:rsid w:val="1DE55F0B"/>
    <w:rsid w:val="1DE63A32"/>
    <w:rsid w:val="1DE67A5F"/>
    <w:rsid w:val="1DE765A7"/>
    <w:rsid w:val="1DEB0A3D"/>
    <w:rsid w:val="1DED55CE"/>
    <w:rsid w:val="1DED6B6E"/>
    <w:rsid w:val="1DF517C5"/>
    <w:rsid w:val="1DFE521F"/>
    <w:rsid w:val="1E02610A"/>
    <w:rsid w:val="1E075364"/>
    <w:rsid w:val="1E087E4C"/>
    <w:rsid w:val="1E0F4D36"/>
    <w:rsid w:val="1E114F52"/>
    <w:rsid w:val="1E116D00"/>
    <w:rsid w:val="1E1862E1"/>
    <w:rsid w:val="1E193E07"/>
    <w:rsid w:val="1E1A4FF0"/>
    <w:rsid w:val="1E1E28AB"/>
    <w:rsid w:val="1E1E4F79"/>
    <w:rsid w:val="1E1E766F"/>
    <w:rsid w:val="1E217E45"/>
    <w:rsid w:val="1E220F0E"/>
    <w:rsid w:val="1E28404A"/>
    <w:rsid w:val="1E2F53D8"/>
    <w:rsid w:val="1E340C41"/>
    <w:rsid w:val="1E3E4729"/>
    <w:rsid w:val="1E3E4FB4"/>
    <w:rsid w:val="1E403142"/>
    <w:rsid w:val="1E433475"/>
    <w:rsid w:val="1E49784A"/>
    <w:rsid w:val="1E4E1D03"/>
    <w:rsid w:val="1E4F2C3F"/>
    <w:rsid w:val="1E4F5A7B"/>
    <w:rsid w:val="1E546CEA"/>
    <w:rsid w:val="1E555448"/>
    <w:rsid w:val="1E5723F7"/>
    <w:rsid w:val="1E5906A7"/>
    <w:rsid w:val="1E5B152D"/>
    <w:rsid w:val="1E5F5CBE"/>
    <w:rsid w:val="1E62130A"/>
    <w:rsid w:val="1E6432D4"/>
    <w:rsid w:val="1E652BA8"/>
    <w:rsid w:val="1E673F9C"/>
    <w:rsid w:val="1E696B3C"/>
    <w:rsid w:val="1E6E5F01"/>
    <w:rsid w:val="1E766B63"/>
    <w:rsid w:val="1E77796A"/>
    <w:rsid w:val="1E7C4299"/>
    <w:rsid w:val="1E7D7EF2"/>
    <w:rsid w:val="1E7F05AE"/>
    <w:rsid w:val="1E803A9B"/>
    <w:rsid w:val="1E821E95"/>
    <w:rsid w:val="1E867014"/>
    <w:rsid w:val="1E875215"/>
    <w:rsid w:val="1E8A0861"/>
    <w:rsid w:val="1E94348E"/>
    <w:rsid w:val="1E9B481C"/>
    <w:rsid w:val="1E9E5891"/>
    <w:rsid w:val="1E9E60BA"/>
    <w:rsid w:val="1E9F29BF"/>
    <w:rsid w:val="1E9F430C"/>
    <w:rsid w:val="1EA5569B"/>
    <w:rsid w:val="1EAA01A3"/>
    <w:rsid w:val="1EAA1AE8"/>
    <w:rsid w:val="1EAA4A5F"/>
    <w:rsid w:val="1EAB0F03"/>
    <w:rsid w:val="1EAC4C7B"/>
    <w:rsid w:val="1EAD7DE2"/>
    <w:rsid w:val="1EAE09F3"/>
    <w:rsid w:val="1EAE454F"/>
    <w:rsid w:val="1EAE5864"/>
    <w:rsid w:val="1EB018DF"/>
    <w:rsid w:val="1EB06519"/>
    <w:rsid w:val="1EB1403F"/>
    <w:rsid w:val="1EB15448"/>
    <w:rsid w:val="1EB15DEE"/>
    <w:rsid w:val="1EB3600A"/>
    <w:rsid w:val="1EB37DB8"/>
    <w:rsid w:val="1EBA0EAC"/>
    <w:rsid w:val="1EBA7398"/>
    <w:rsid w:val="1EBE4E7B"/>
    <w:rsid w:val="1EBF050A"/>
    <w:rsid w:val="1EC42C98"/>
    <w:rsid w:val="1EC64A9D"/>
    <w:rsid w:val="1ECD058E"/>
    <w:rsid w:val="1ECF04F0"/>
    <w:rsid w:val="1ED50531"/>
    <w:rsid w:val="1ED8781E"/>
    <w:rsid w:val="1EDB2E6A"/>
    <w:rsid w:val="1EDC730E"/>
    <w:rsid w:val="1EDF295B"/>
    <w:rsid w:val="1EE15A6C"/>
    <w:rsid w:val="1EED239C"/>
    <w:rsid w:val="1EF328AA"/>
    <w:rsid w:val="1EF81C6E"/>
    <w:rsid w:val="1EFF4DAB"/>
    <w:rsid w:val="1F005027"/>
    <w:rsid w:val="1F046865"/>
    <w:rsid w:val="1F070103"/>
    <w:rsid w:val="1F073C5F"/>
    <w:rsid w:val="1F091FF2"/>
    <w:rsid w:val="1F093E7B"/>
    <w:rsid w:val="1F0B3750"/>
    <w:rsid w:val="1F0C1276"/>
    <w:rsid w:val="1F0C52E3"/>
    <w:rsid w:val="1F0E3293"/>
    <w:rsid w:val="1F105AB8"/>
    <w:rsid w:val="1F124EA7"/>
    <w:rsid w:val="1F136AA8"/>
    <w:rsid w:val="1F1545CE"/>
    <w:rsid w:val="1F197111"/>
    <w:rsid w:val="1F1C3BAF"/>
    <w:rsid w:val="1F1D3483"/>
    <w:rsid w:val="1F242A63"/>
    <w:rsid w:val="1F274302"/>
    <w:rsid w:val="1F28557B"/>
    <w:rsid w:val="1F29007A"/>
    <w:rsid w:val="1F291E28"/>
    <w:rsid w:val="1F2B5BA0"/>
    <w:rsid w:val="1F2E1635"/>
    <w:rsid w:val="1F2E743E"/>
    <w:rsid w:val="1F30765A"/>
    <w:rsid w:val="1F3709E9"/>
    <w:rsid w:val="1F372797"/>
    <w:rsid w:val="1F394761"/>
    <w:rsid w:val="1F443106"/>
    <w:rsid w:val="1F444AA3"/>
    <w:rsid w:val="1F460C2C"/>
    <w:rsid w:val="1F49071C"/>
    <w:rsid w:val="1F4B3E9E"/>
    <w:rsid w:val="1F4C2284"/>
    <w:rsid w:val="1F4D3D68"/>
    <w:rsid w:val="1F52137F"/>
    <w:rsid w:val="1F533349"/>
    <w:rsid w:val="1F536EA5"/>
    <w:rsid w:val="1F550E6F"/>
    <w:rsid w:val="1F552C1D"/>
    <w:rsid w:val="1F5570C1"/>
    <w:rsid w:val="1F5A46D7"/>
    <w:rsid w:val="1F5C044F"/>
    <w:rsid w:val="1F5C21FD"/>
    <w:rsid w:val="1F5F584A"/>
    <w:rsid w:val="1F61475A"/>
    <w:rsid w:val="1F62533A"/>
    <w:rsid w:val="1F6966C8"/>
    <w:rsid w:val="1F6B41EE"/>
    <w:rsid w:val="1F6E4863"/>
    <w:rsid w:val="1F6E513F"/>
    <w:rsid w:val="1F6F048C"/>
    <w:rsid w:val="1F721A21"/>
    <w:rsid w:val="1F7638D9"/>
    <w:rsid w:val="1F777037"/>
    <w:rsid w:val="1F7A08D5"/>
    <w:rsid w:val="1F7C63FB"/>
    <w:rsid w:val="1F7D3F22"/>
    <w:rsid w:val="1F8452B0"/>
    <w:rsid w:val="1F884DA0"/>
    <w:rsid w:val="1F8A4FBC"/>
    <w:rsid w:val="1F8B4890"/>
    <w:rsid w:val="1F8D10C6"/>
    <w:rsid w:val="1F8E612F"/>
    <w:rsid w:val="1F8F25D3"/>
    <w:rsid w:val="1F9000F9"/>
    <w:rsid w:val="1F933745"/>
    <w:rsid w:val="1F9B509B"/>
    <w:rsid w:val="1F9C4CF0"/>
    <w:rsid w:val="1FA45268"/>
    <w:rsid w:val="1FA616CA"/>
    <w:rsid w:val="1FA80104"/>
    <w:rsid w:val="1FA802B9"/>
    <w:rsid w:val="1FAC33EA"/>
    <w:rsid w:val="1FAD2A59"/>
    <w:rsid w:val="1FAD4807"/>
    <w:rsid w:val="1FB042F7"/>
    <w:rsid w:val="1FB07AC3"/>
    <w:rsid w:val="1FB5190D"/>
    <w:rsid w:val="1FB738D7"/>
    <w:rsid w:val="1FB843E7"/>
    <w:rsid w:val="1FBE4C66"/>
    <w:rsid w:val="1FC13108"/>
    <w:rsid w:val="1FC16504"/>
    <w:rsid w:val="1FC3402A"/>
    <w:rsid w:val="1FC55DBE"/>
    <w:rsid w:val="1FCA066A"/>
    <w:rsid w:val="1FCA360B"/>
    <w:rsid w:val="1FCD4EA9"/>
    <w:rsid w:val="1FD06747"/>
    <w:rsid w:val="1FD224BF"/>
    <w:rsid w:val="1FD55B0C"/>
    <w:rsid w:val="1FD60202"/>
    <w:rsid w:val="1FD72E25"/>
    <w:rsid w:val="1FD91AA0"/>
    <w:rsid w:val="1FDE70B6"/>
    <w:rsid w:val="1FE02E2E"/>
    <w:rsid w:val="1FE10954"/>
    <w:rsid w:val="1FE31210"/>
    <w:rsid w:val="1FE426A0"/>
    <w:rsid w:val="1FEF3071"/>
    <w:rsid w:val="1FFB37C4"/>
    <w:rsid w:val="1FFF6E7D"/>
    <w:rsid w:val="200054D9"/>
    <w:rsid w:val="2000702C"/>
    <w:rsid w:val="20015EDA"/>
    <w:rsid w:val="20020FF7"/>
    <w:rsid w:val="20054643"/>
    <w:rsid w:val="20062518"/>
    <w:rsid w:val="20085EE1"/>
    <w:rsid w:val="200D34F7"/>
    <w:rsid w:val="200F7B00"/>
    <w:rsid w:val="20174376"/>
    <w:rsid w:val="201C198C"/>
    <w:rsid w:val="201E74B3"/>
    <w:rsid w:val="20230F6D"/>
    <w:rsid w:val="20232D1B"/>
    <w:rsid w:val="20256A93"/>
    <w:rsid w:val="202D3B9A"/>
    <w:rsid w:val="20337402"/>
    <w:rsid w:val="20390790"/>
    <w:rsid w:val="203B5D95"/>
    <w:rsid w:val="203C098B"/>
    <w:rsid w:val="203E1903"/>
    <w:rsid w:val="20401B1F"/>
    <w:rsid w:val="204213F3"/>
    <w:rsid w:val="2043260B"/>
    <w:rsid w:val="20474C5B"/>
    <w:rsid w:val="20476A09"/>
    <w:rsid w:val="204809D3"/>
    <w:rsid w:val="20482782"/>
    <w:rsid w:val="20496676"/>
    <w:rsid w:val="204A5756"/>
    <w:rsid w:val="204C2272"/>
    <w:rsid w:val="204C4020"/>
    <w:rsid w:val="204F4230"/>
    <w:rsid w:val="204F58BE"/>
    <w:rsid w:val="205904EB"/>
    <w:rsid w:val="20592BE1"/>
    <w:rsid w:val="205E01F7"/>
    <w:rsid w:val="205E1FA5"/>
    <w:rsid w:val="206046DD"/>
    <w:rsid w:val="20607AD1"/>
    <w:rsid w:val="20656BE4"/>
    <w:rsid w:val="20672C08"/>
    <w:rsid w:val="20694BCD"/>
    <w:rsid w:val="206E043A"/>
    <w:rsid w:val="207035BF"/>
    <w:rsid w:val="20735512"/>
    <w:rsid w:val="208319DF"/>
    <w:rsid w:val="20831A0C"/>
    <w:rsid w:val="20855A40"/>
    <w:rsid w:val="20867C96"/>
    <w:rsid w:val="20875058"/>
    <w:rsid w:val="20880DD0"/>
    <w:rsid w:val="208C6B12"/>
    <w:rsid w:val="208E288A"/>
    <w:rsid w:val="209105AD"/>
    <w:rsid w:val="209354CA"/>
    <w:rsid w:val="20983EB6"/>
    <w:rsid w:val="209E23A2"/>
    <w:rsid w:val="20A3123C"/>
    <w:rsid w:val="20A7394C"/>
    <w:rsid w:val="20A74FBA"/>
    <w:rsid w:val="20A756FA"/>
    <w:rsid w:val="20AA51EA"/>
    <w:rsid w:val="20B05033"/>
    <w:rsid w:val="20B16579"/>
    <w:rsid w:val="20B41BC5"/>
    <w:rsid w:val="20B63B8F"/>
    <w:rsid w:val="20B65FAF"/>
    <w:rsid w:val="20B80137"/>
    <w:rsid w:val="20B816B5"/>
    <w:rsid w:val="20C16E58"/>
    <w:rsid w:val="20CC5834"/>
    <w:rsid w:val="20E8770D"/>
    <w:rsid w:val="20ED7432"/>
    <w:rsid w:val="20F46465"/>
    <w:rsid w:val="20F555B5"/>
    <w:rsid w:val="20F748D2"/>
    <w:rsid w:val="20FB5A46"/>
    <w:rsid w:val="20FD17BE"/>
    <w:rsid w:val="210A4734"/>
    <w:rsid w:val="210B5E71"/>
    <w:rsid w:val="210F0963"/>
    <w:rsid w:val="21110DC5"/>
    <w:rsid w:val="21117017"/>
    <w:rsid w:val="21154D5A"/>
    <w:rsid w:val="211B39F2"/>
    <w:rsid w:val="211D59BC"/>
    <w:rsid w:val="21210FCF"/>
    <w:rsid w:val="21236F43"/>
    <w:rsid w:val="212E5E1B"/>
    <w:rsid w:val="213056EF"/>
    <w:rsid w:val="21330813"/>
    <w:rsid w:val="21354B49"/>
    <w:rsid w:val="21372D0F"/>
    <w:rsid w:val="213C22E6"/>
    <w:rsid w:val="213D1BBA"/>
    <w:rsid w:val="21405125"/>
    <w:rsid w:val="214271D1"/>
    <w:rsid w:val="21430308"/>
    <w:rsid w:val="21466CC1"/>
    <w:rsid w:val="21467ABC"/>
    <w:rsid w:val="214F7359"/>
    <w:rsid w:val="21507B40"/>
    <w:rsid w:val="2152133A"/>
    <w:rsid w:val="215A276C"/>
    <w:rsid w:val="216102D0"/>
    <w:rsid w:val="21642211"/>
    <w:rsid w:val="216435EB"/>
    <w:rsid w:val="21667363"/>
    <w:rsid w:val="21674E89"/>
    <w:rsid w:val="2168340C"/>
    <w:rsid w:val="216929AF"/>
    <w:rsid w:val="216B2BCB"/>
    <w:rsid w:val="217952E8"/>
    <w:rsid w:val="217A2E0F"/>
    <w:rsid w:val="217C0935"/>
    <w:rsid w:val="2181419D"/>
    <w:rsid w:val="21845A3B"/>
    <w:rsid w:val="21863561"/>
    <w:rsid w:val="21897ECB"/>
    <w:rsid w:val="218B53BC"/>
    <w:rsid w:val="218E0668"/>
    <w:rsid w:val="21920158"/>
    <w:rsid w:val="219537A4"/>
    <w:rsid w:val="219D08AB"/>
    <w:rsid w:val="219E4D4F"/>
    <w:rsid w:val="21A63C04"/>
    <w:rsid w:val="21A8172A"/>
    <w:rsid w:val="21AE2AB8"/>
    <w:rsid w:val="21B03B55"/>
    <w:rsid w:val="21B31E7D"/>
    <w:rsid w:val="21BC3427"/>
    <w:rsid w:val="21BC51D5"/>
    <w:rsid w:val="21BF0821"/>
    <w:rsid w:val="21C10A3D"/>
    <w:rsid w:val="21C706C4"/>
    <w:rsid w:val="21C83B7A"/>
    <w:rsid w:val="21C916A0"/>
    <w:rsid w:val="21CB27F1"/>
    <w:rsid w:val="21CF315A"/>
    <w:rsid w:val="21D267A7"/>
    <w:rsid w:val="21D342CD"/>
    <w:rsid w:val="21D544E9"/>
    <w:rsid w:val="21DB46C8"/>
    <w:rsid w:val="21DE514B"/>
    <w:rsid w:val="21E12E8E"/>
    <w:rsid w:val="21E62252"/>
    <w:rsid w:val="21E93569"/>
    <w:rsid w:val="21E93AF0"/>
    <w:rsid w:val="21ED01F5"/>
    <w:rsid w:val="21EF7079"/>
    <w:rsid w:val="21F26040"/>
    <w:rsid w:val="21F8186C"/>
    <w:rsid w:val="21F93D33"/>
    <w:rsid w:val="21FC167D"/>
    <w:rsid w:val="21FF3314"/>
    <w:rsid w:val="22032E04"/>
    <w:rsid w:val="22056B7C"/>
    <w:rsid w:val="220608A2"/>
    <w:rsid w:val="220628F4"/>
    <w:rsid w:val="220646A2"/>
    <w:rsid w:val="22086346"/>
    <w:rsid w:val="2208666C"/>
    <w:rsid w:val="220964A4"/>
    <w:rsid w:val="220A23E4"/>
    <w:rsid w:val="220B7F0B"/>
    <w:rsid w:val="220F1234"/>
    <w:rsid w:val="221943D6"/>
    <w:rsid w:val="221A365E"/>
    <w:rsid w:val="221C3EC6"/>
    <w:rsid w:val="22205764"/>
    <w:rsid w:val="22235254"/>
    <w:rsid w:val="22266AF2"/>
    <w:rsid w:val="22274816"/>
    <w:rsid w:val="222D224E"/>
    <w:rsid w:val="22350AE4"/>
    <w:rsid w:val="2237485C"/>
    <w:rsid w:val="223A40EF"/>
    <w:rsid w:val="223C63CB"/>
    <w:rsid w:val="223D6DA5"/>
    <w:rsid w:val="224469E3"/>
    <w:rsid w:val="22460F43"/>
    <w:rsid w:val="224A27E1"/>
    <w:rsid w:val="224E5C00"/>
    <w:rsid w:val="224F429B"/>
    <w:rsid w:val="224F66C7"/>
    <w:rsid w:val="2254541C"/>
    <w:rsid w:val="22561186"/>
    <w:rsid w:val="225B2099"/>
    <w:rsid w:val="22604A7B"/>
    <w:rsid w:val="22610ADC"/>
    <w:rsid w:val="226225B1"/>
    <w:rsid w:val="2265761B"/>
    <w:rsid w:val="22673393"/>
    <w:rsid w:val="22682C67"/>
    <w:rsid w:val="226A4C31"/>
    <w:rsid w:val="226B5457"/>
    <w:rsid w:val="226F2247"/>
    <w:rsid w:val="226F3FF6"/>
    <w:rsid w:val="227B405E"/>
    <w:rsid w:val="227C6712"/>
    <w:rsid w:val="227F528A"/>
    <w:rsid w:val="22806203"/>
    <w:rsid w:val="22873A35"/>
    <w:rsid w:val="22877591"/>
    <w:rsid w:val="22885BF9"/>
    <w:rsid w:val="22895117"/>
    <w:rsid w:val="228965D3"/>
    <w:rsid w:val="228A7081"/>
    <w:rsid w:val="2296541A"/>
    <w:rsid w:val="229879F0"/>
    <w:rsid w:val="22993768"/>
    <w:rsid w:val="22A16179"/>
    <w:rsid w:val="22A95394"/>
    <w:rsid w:val="22AA7723"/>
    <w:rsid w:val="22AB3233"/>
    <w:rsid w:val="22AD2D70"/>
    <w:rsid w:val="22B61C24"/>
    <w:rsid w:val="22BB6551"/>
    <w:rsid w:val="22BD1205"/>
    <w:rsid w:val="22BE4F7D"/>
    <w:rsid w:val="22BE6D2B"/>
    <w:rsid w:val="22C00CF5"/>
    <w:rsid w:val="22C02AA3"/>
    <w:rsid w:val="22C17821"/>
    <w:rsid w:val="22C2681B"/>
    <w:rsid w:val="22C6199A"/>
    <w:rsid w:val="22C72083"/>
    <w:rsid w:val="22C75A2E"/>
    <w:rsid w:val="22C81958"/>
    <w:rsid w:val="22CA1B74"/>
    <w:rsid w:val="22CA3922"/>
    <w:rsid w:val="22CC0F2A"/>
    <w:rsid w:val="22CC1448"/>
    <w:rsid w:val="22CD2452"/>
    <w:rsid w:val="22CF2CE6"/>
    <w:rsid w:val="22D84291"/>
    <w:rsid w:val="22DB49BE"/>
    <w:rsid w:val="22DB5B2F"/>
    <w:rsid w:val="22DC2A30"/>
    <w:rsid w:val="22DD3655"/>
    <w:rsid w:val="22E22A19"/>
    <w:rsid w:val="22E54C87"/>
    <w:rsid w:val="22E54E3C"/>
    <w:rsid w:val="22E76282"/>
    <w:rsid w:val="22E83DA8"/>
    <w:rsid w:val="22EE1374"/>
    <w:rsid w:val="22F02C37"/>
    <w:rsid w:val="22F17100"/>
    <w:rsid w:val="22F664C5"/>
    <w:rsid w:val="22FA4207"/>
    <w:rsid w:val="22FD3574"/>
    <w:rsid w:val="22FD7853"/>
    <w:rsid w:val="22FE5379"/>
    <w:rsid w:val="22FF35CB"/>
    <w:rsid w:val="23005249"/>
    <w:rsid w:val="23046E34"/>
    <w:rsid w:val="23056708"/>
    <w:rsid w:val="2309444A"/>
    <w:rsid w:val="2318468D"/>
    <w:rsid w:val="23194618"/>
    <w:rsid w:val="231A0926"/>
    <w:rsid w:val="231D6147"/>
    <w:rsid w:val="231F5C99"/>
    <w:rsid w:val="2322375E"/>
    <w:rsid w:val="23272B22"/>
    <w:rsid w:val="23290648"/>
    <w:rsid w:val="232A43C0"/>
    <w:rsid w:val="232C0139"/>
    <w:rsid w:val="232E2103"/>
    <w:rsid w:val="232E3EB1"/>
    <w:rsid w:val="2335523F"/>
    <w:rsid w:val="23386ADD"/>
    <w:rsid w:val="233C481F"/>
    <w:rsid w:val="233C55E1"/>
    <w:rsid w:val="233E17D0"/>
    <w:rsid w:val="23405992"/>
    <w:rsid w:val="23411E36"/>
    <w:rsid w:val="2342170A"/>
    <w:rsid w:val="23424FFC"/>
    <w:rsid w:val="23445482"/>
    <w:rsid w:val="23447230"/>
    <w:rsid w:val="23492A98"/>
    <w:rsid w:val="234C2589"/>
    <w:rsid w:val="23563407"/>
    <w:rsid w:val="23586A43"/>
    <w:rsid w:val="235C2297"/>
    <w:rsid w:val="235F0836"/>
    <w:rsid w:val="23623B5A"/>
    <w:rsid w:val="23645B24"/>
    <w:rsid w:val="23651C9F"/>
    <w:rsid w:val="236553F8"/>
    <w:rsid w:val="23696C97"/>
    <w:rsid w:val="236B51E7"/>
    <w:rsid w:val="23700025"/>
    <w:rsid w:val="237A0EA4"/>
    <w:rsid w:val="237D251C"/>
    <w:rsid w:val="237F295E"/>
    <w:rsid w:val="23857832"/>
    <w:rsid w:val="238B4600"/>
    <w:rsid w:val="238B4E5F"/>
    <w:rsid w:val="238E6718"/>
    <w:rsid w:val="239006C7"/>
    <w:rsid w:val="2393640A"/>
    <w:rsid w:val="23953F30"/>
    <w:rsid w:val="239575E6"/>
    <w:rsid w:val="23963804"/>
    <w:rsid w:val="2398757C"/>
    <w:rsid w:val="239A32F4"/>
    <w:rsid w:val="239D182C"/>
    <w:rsid w:val="239D4B92"/>
    <w:rsid w:val="239E0527"/>
    <w:rsid w:val="239E30F8"/>
    <w:rsid w:val="239F6B5C"/>
    <w:rsid w:val="23A35ADA"/>
    <w:rsid w:val="23A62696"/>
    <w:rsid w:val="23A7180F"/>
    <w:rsid w:val="23A75A11"/>
    <w:rsid w:val="23B02B18"/>
    <w:rsid w:val="23B24AE2"/>
    <w:rsid w:val="23B31D5F"/>
    <w:rsid w:val="23B56380"/>
    <w:rsid w:val="23BD6FE3"/>
    <w:rsid w:val="23BE3486"/>
    <w:rsid w:val="23BE5285"/>
    <w:rsid w:val="23C15AB0"/>
    <w:rsid w:val="23C16AD3"/>
    <w:rsid w:val="23C30A9D"/>
    <w:rsid w:val="23C659E4"/>
    <w:rsid w:val="23C661FA"/>
    <w:rsid w:val="23C91E2B"/>
    <w:rsid w:val="23CD5478"/>
    <w:rsid w:val="23CE2F9E"/>
    <w:rsid w:val="23D20CE0"/>
    <w:rsid w:val="23D26F32"/>
    <w:rsid w:val="23D5257E"/>
    <w:rsid w:val="23DC4E4F"/>
    <w:rsid w:val="23DE59BA"/>
    <w:rsid w:val="23E97DD8"/>
    <w:rsid w:val="23EB3172"/>
    <w:rsid w:val="23EC3D11"/>
    <w:rsid w:val="23ED1676"/>
    <w:rsid w:val="23ED5B1A"/>
    <w:rsid w:val="23EE0080"/>
    <w:rsid w:val="23F073B8"/>
    <w:rsid w:val="23F314B9"/>
    <w:rsid w:val="23F724F4"/>
    <w:rsid w:val="23F77216"/>
    <w:rsid w:val="23F95193"/>
    <w:rsid w:val="23FA0237"/>
    <w:rsid w:val="23FF4CA7"/>
    <w:rsid w:val="24084702"/>
    <w:rsid w:val="24095EC2"/>
    <w:rsid w:val="240B75A8"/>
    <w:rsid w:val="240F5DE0"/>
    <w:rsid w:val="24117358"/>
    <w:rsid w:val="24134E54"/>
    <w:rsid w:val="2418246B"/>
    <w:rsid w:val="241C052D"/>
    <w:rsid w:val="241E3F25"/>
    <w:rsid w:val="241E5CD3"/>
    <w:rsid w:val="242343C0"/>
    <w:rsid w:val="242A2E19"/>
    <w:rsid w:val="242B03F0"/>
    <w:rsid w:val="242B0459"/>
    <w:rsid w:val="242D5F16"/>
    <w:rsid w:val="242F26B6"/>
    <w:rsid w:val="2434206F"/>
    <w:rsid w:val="24482D50"/>
    <w:rsid w:val="244871F4"/>
    <w:rsid w:val="244B1E69"/>
    <w:rsid w:val="244C16FD"/>
    <w:rsid w:val="244C26BE"/>
    <w:rsid w:val="244D0366"/>
    <w:rsid w:val="244F233A"/>
    <w:rsid w:val="245051B0"/>
    <w:rsid w:val="245142FB"/>
    <w:rsid w:val="24523BCF"/>
    <w:rsid w:val="245C2C9F"/>
    <w:rsid w:val="245C4A01"/>
    <w:rsid w:val="24613E12"/>
    <w:rsid w:val="246851A0"/>
    <w:rsid w:val="24686FE5"/>
    <w:rsid w:val="246B6A3F"/>
    <w:rsid w:val="24704055"/>
    <w:rsid w:val="247052C5"/>
    <w:rsid w:val="247104F9"/>
    <w:rsid w:val="24727DCD"/>
    <w:rsid w:val="24741A72"/>
    <w:rsid w:val="24743B45"/>
    <w:rsid w:val="24760BE2"/>
    <w:rsid w:val="247B1377"/>
    <w:rsid w:val="2480073C"/>
    <w:rsid w:val="248144B4"/>
    <w:rsid w:val="24816262"/>
    <w:rsid w:val="24855D52"/>
    <w:rsid w:val="24885842"/>
    <w:rsid w:val="248C5333"/>
    <w:rsid w:val="24912949"/>
    <w:rsid w:val="2492221D"/>
    <w:rsid w:val="24942439"/>
    <w:rsid w:val="24945F95"/>
    <w:rsid w:val="24961D0D"/>
    <w:rsid w:val="24997A50"/>
    <w:rsid w:val="249D7540"/>
    <w:rsid w:val="249E5066"/>
    <w:rsid w:val="249F17D3"/>
    <w:rsid w:val="24A00233"/>
    <w:rsid w:val="24A37D02"/>
    <w:rsid w:val="24A51F50"/>
    <w:rsid w:val="24A843FE"/>
    <w:rsid w:val="24B86128"/>
    <w:rsid w:val="24C10D89"/>
    <w:rsid w:val="24CA19B7"/>
    <w:rsid w:val="24CC1BD3"/>
    <w:rsid w:val="24CC3981"/>
    <w:rsid w:val="24CF521F"/>
    <w:rsid w:val="24D42836"/>
    <w:rsid w:val="24D6035C"/>
    <w:rsid w:val="24DA2BBE"/>
    <w:rsid w:val="24DB3BC4"/>
    <w:rsid w:val="24DB6E55"/>
    <w:rsid w:val="24DE57D6"/>
    <w:rsid w:val="24E0567E"/>
    <w:rsid w:val="24E33EA6"/>
    <w:rsid w:val="24E964E8"/>
    <w:rsid w:val="24EF75A7"/>
    <w:rsid w:val="24F5448C"/>
    <w:rsid w:val="24F609FE"/>
    <w:rsid w:val="24F84776"/>
    <w:rsid w:val="2501777F"/>
    <w:rsid w:val="25046061"/>
    <w:rsid w:val="25090731"/>
    <w:rsid w:val="250C6474"/>
    <w:rsid w:val="250D7AF6"/>
    <w:rsid w:val="250F1AC0"/>
    <w:rsid w:val="25143E89"/>
    <w:rsid w:val="251C4037"/>
    <w:rsid w:val="251E1D03"/>
    <w:rsid w:val="252437BD"/>
    <w:rsid w:val="2524556B"/>
    <w:rsid w:val="252B661C"/>
    <w:rsid w:val="25323DC4"/>
    <w:rsid w:val="2533755C"/>
    <w:rsid w:val="25341526"/>
    <w:rsid w:val="253432D4"/>
    <w:rsid w:val="253D662D"/>
    <w:rsid w:val="25421E95"/>
    <w:rsid w:val="254774AC"/>
    <w:rsid w:val="254A2AF8"/>
    <w:rsid w:val="254E25E8"/>
    <w:rsid w:val="255676EF"/>
    <w:rsid w:val="25583467"/>
    <w:rsid w:val="255D282B"/>
    <w:rsid w:val="256A4F48"/>
    <w:rsid w:val="256C0CC0"/>
    <w:rsid w:val="256C6F12"/>
    <w:rsid w:val="257162D7"/>
    <w:rsid w:val="25740E92"/>
    <w:rsid w:val="25753D18"/>
    <w:rsid w:val="25761B3F"/>
    <w:rsid w:val="25777D91"/>
    <w:rsid w:val="25781413"/>
    <w:rsid w:val="25787665"/>
    <w:rsid w:val="257B7155"/>
    <w:rsid w:val="257C53A7"/>
    <w:rsid w:val="257F09F3"/>
    <w:rsid w:val="257F3613"/>
    <w:rsid w:val="258239F9"/>
    <w:rsid w:val="258254C2"/>
    <w:rsid w:val="25826736"/>
    <w:rsid w:val="258424AE"/>
    <w:rsid w:val="2584600A"/>
    <w:rsid w:val="25847A9B"/>
    <w:rsid w:val="258B55EA"/>
    <w:rsid w:val="259B3353"/>
    <w:rsid w:val="259C15A5"/>
    <w:rsid w:val="259C7458"/>
    <w:rsid w:val="259D3570"/>
    <w:rsid w:val="259D70CC"/>
    <w:rsid w:val="25A246E2"/>
    <w:rsid w:val="25A6790C"/>
    <w:rsid w:val="25A92E69"/>
    <w:rsid w:val="25A93CC2"/>
    <w:rsid w:val="25AF56A8"/>
    <w:rsid w:val="25B06DFF"/>
    <w:rsid w:val="25B20DC9"/>
    <w:rsid w:val="25B34B41"/>
    <w:rsid w:val="25B71256"/>
    <w:rsid w:val="25B763DF"/>
    <w:rsid w:val="25BA7C7E"/>
    <w:rsid w:val="25BC39F6"/>
    <w:rsid w:val="25BE5F7F"/>
    <w:rsid w:val="25BF34E6"/>
    <w:rsid w:val="25C26B32"/>
    <w:rsid w:val="25C40AFC"/>
    <w:rsid w:val="25C603D0"/>
    <w:rsid w:val="25CC175F"/>
    <w:rsid w:val="25CC2E6A"/>
    <w:rsid w:val="25CC4F38"/>
    <w:rsid w:val="25D074A1"/>
    <w:rsid w:val="25D845A8"/>
    <w:rsid w:val="25DD396C"/>
    <w:rsid w:val="25E116AE"/>
    <w:rsid w:val="25E42F4C"/>
    <w:rsid w:val="25EB6089"/>
    <w:rsid w:val="25EB7E37"/>
    <w:rsid w:val="25EF3DCB"/>
    <w:rsid w:val="25F0173F"/>
    <w:rsid w:val="25F018F1"/>
    <w:rsid w:val="25F0369F"/>
    <w:rsid w:val="25FC2044"/>
    <w:rsid w:val="25FE1F57"/>
    <w:rsid w:val="25FF38E2"/>
    <w:rsid w:val="26041B6B"/>
    <w:rsid w:val="26046186"/>
    <w:rsid w:val="26070462"/>
    <w:rsid w:val="26103D41"/>
    <w:rsid w:val="26170C2C"/>
    <w:rsid w:val="261750D0"/>
    <w:rsid w:val="261849A4"/>
    <w:rsid w:val="261A696E"/>
    <w:rsid w:val="26211AAB"/>
    <w:rsid w:val="262A3886"/>
    <w:rsid w:val="263C2DB6"/>
    <w:rsid w:val="26404E20"/>
    <w:rsid w:val="2641214D"/>
    <w:rsid w:val="26461511"/>
    <w:rsid w:val="26465DC5"/>
    <w:rsid w:val="26487037"/>
    <w:rsid w:val="264D0AF2"/>
    <w:rsid w:val="26532A92"/>
    <w:rsid w:val="265509F5"/>
    <w:rsid w:val="265C2AE3"/>
    <w:rsid w:val="26630315"/>
    <w:rsid w:val="26657A78"/>
    <w:rsid w:val="266B4AD8"/>
    <w:rsid w:val="266B71CA"/>
    <w:rsid w:val="266D2F42"/>
    <w:rsid w:val="2673570E"/>
    <w:rsid w:val="26753BA5"/>
    <w:rsid w:val="26755E2C"/>
    <w:rsid w:val="267B7681"/>
    <w:rsid w:val="267C3185"/>
    <w:rsid w:val="267E6EFD"/>
    <w:rsid w:val="2680391F"/>
    <w:rsid w:val="268362C1"/>
    <w:rsid w:val="268564DD"/>
    <w:rsid w:val="26865DB2"/>
    <w:rsid w:val="26890B30"/>
    <w:rsid w:val="26891855"/>
    <w:rsid w:val="26914E82"/>
    <w:rsid w:val="269229A8"/>
    <w:rsid w:val="26937061"/>
    <w:rsid w:val="26937225"/>
    <w:rsid w:val="2694227D"/>
    <w:rsid w:val="26943F86"/>
    <w:rsid w:val="26962499"/>
    <w:rsid w:val="269851E1"/>
    <w:rsid w:val="269E134D"/>
    <w:rsid w:val="26A30712"/>
    <w:rsid w:val="26A36964"/>
    <w:rsid w:val="26A56238"/>
    <w:rsid w:val="26A57B72"/>
    <w:rsid w:val="26AA1A7C"/>
    <w:rsid w:val="26B02E2F"/>
    <w:rsid w:val="26B23E49"/>
    <w:rsid w:val="26B75F6B"/>
    <w:rsid w:val="26BA4560"/>
    <w:rsid w:val="26C30DB4"/>
    <w:rsid w:val="26C412B6"/>
    <w:rsid w:val="26C568DA"/>
    <w:rsid w:val="26C64400"/>
    <w:rsid w:val="26C863CA"/>
    <w:rsid w:val="26C92BC5"/>
    <w:rsid w:val="26D0702D"/>
    <w:rsid w:val="26DB60FD"/>
    <w:rsid w:val="26DB7EAB"/>
    <w:rsid w:val="26DC54DA"/>
    <w:rsid w:val="26DE174A"/>
    <w:rsid w:val="26E03714"/>
    <w:rsid w:val="26E054C2"/>
    <w:rsid w:val="26E2748C"/>
    <w:rsid w:val="26E34EAD"/>
    <w:rsid w:val="26E8081A"/>
    <w:rsid w:val="26EC24A4"/>
    <w:rsid w:val="26ED5E31"/>
    <w:rsid w:val="26EF3957"/>
    <w:rsid w:val="26F31699"/>
    <w:rsid w:val="26F62F37"/>
    <w:rsid w:val="26F86CAF"/>
    <w:rsid w:val="26F96584"/>
    <w:rsid w:val="26F969CE"/>
    <w:rsid w:val="26FB4305"/>
    <w:rsid w:val="26FD2518"/>
    <w:rsid w:val="27007912"/>
    <w:rsid w:val="27027B2E"/>
    <w:rsid w:val="27040EBB"/>
    <w:rsid w:val="270578EC"/>
    <w:rsid w:val="2709648F"/>
    <w:rsid w:val="270D202F"/>
    <w:rsid w:val="270E647B"/>
    <w:rsid w:val="27117D71"/>
    <w:rsid w:val="27135897"/>
    <w:rsid w:val="271433BD"/>
    <w:rsid w:val="271635D9"/>
    <w:rsid w:val="27166BAC"/>
    <w:rsid w:val="271C2272"/>
    <w:rsid w:val="271D6716"/>
    <w:rsid w:val="271F4221"/>
    <w:rsid w:val="27202D3F"/>
    <w:rsid w:val="27206206"/>
    <w:rsid w:val="272B367E"/>
    <w:rsid w:val="272C0707"/>
    <w:rsid w:val="272C6EB9"/>
    <w:rsid w:val="272D4881"/>
    <w:rsid w:val="272F08E2"/>
    <w:rsid w:val="27327271"/>
    <w:rsid w:val="27335F39"/>
    <w:rsid w:val="27361586"/>
    <w:rsid w:val="273852FE"/>
    <w:rsid w:val="273D2914"/>
    <w:rsid w:val="27400656"/>
    <w:rsid w:val="27455C6D"/>
    <w:rsid w:val="274666AE"/>
    <w:rsid w:val="274676FC"/>
    <w:rsid w:val="27475541"/>
    <w:rsid w:val="274C29DB"/>
    <w:rsid w:val="274C5843"/>
    <w:rsid w:val="27511310"/>
    <w:rsid w:val="2753038A"/>
    <w:rsid w:val="27541561"/>
    <w:rsid w:val="27541A0C"/>
    <w:rsid w:val="275A7954"/>
    <w:rsid w:val="275B2D9A"/>
    <w:rsid w:val="275B3E1E"/>
    <w:rsid w:val="275D6B12"/>
    <w:rsid w:val="27630C0D"/>
    <w:rsid w:val="27636686"/>
    <w:rsid w:val="27684462"/>
    <w:rsid w:val="276A59DB"/>
    <w:rsid w:val="276B56D3"/>
    <w:rsid w:val="276D7AF2"/>
    <w:rsid w:val="276E0D20"/>
    <w:rsid w:val="27703DC3"/>
    <w:rsid w:val="277A3B68"/>
    <w:rsid w:val="277B51EB"/>
    <w:rsid w:val="277B7067"/>
    <w:rsid w:val="277D5407"/>
    <w:rsid w:val="277E2C99"/>
    <w:rsid w:val="27814EF7"/>
    <w:rsid w:val="278542BB"/>
    <w:rsid w:val="27872CDC"/>
    <w:rsid w:val="278B7B24"/>
    <w:rsid w:val="278C7E6E"/>
    <w:rsid w:val="278F0C96"/>
    <w:rsid w:val="2792259F"/>
    <w:rsid w:val="279978A1"/>
    <w:rsid w:val="279A4EC5"/>
    <w:rsid w:val="279B71DA"/>
    <w:rsid w:val="279D1605"/>
    <w:rsid w:val="27A02EA3"/>
    <w:rsid w:val="27A04C51"/>
    <w:rsid w:val="27A42993"/>
    <w:rsid w:val="27A6495D"/>
    <w:rsid w:val="27A72484"/>
    <w:rsid w:val="27A91D58"/>
    <w:rsid w:val="27B5694E"/>
    <w:rsid w:val="27BA5D13"/>
    <w:rsid w:val="27BE3C67"/>
    <w:rsid w:val="27BF77CD"/>
    <w:rsid w:val="27C272BD"/>
    <w:rsid w:val="27C43035"/>
    <w:rsid w:val="27C44DE4"/>
    <w:rsid w:val="27C923FA"/>
    <w:rsid w:val="27CB43C4"/>
    <w:rsid w:val="27CE17BE"/>
    <w:rsid w:val="27D86739"/>
    <w:rsid w:val="27DA4607"/>
    <w:rsid w:val="27DC037F"/>
    <w:rsid w:val="27DD40F7"/>
    <w:rsid w:val="27E234BC"/>
    <w:rsid w:val="27E25DE6"/>
    <w:rsid w:val="27E62FAC"/>
    <w:rsid w:val="27E965F8"/>
    <w:rsid w:val="27EB2370"/>
    <w:rsid w:val="27EB6814"/>
    <w:rsid w:val="27EC14FD"/>
    <w:rsid w:val="27EE3C0E"/>
    <w:rsid w:val="27F37477"/>
    <w:rsid w:val="27F751B9"/>
    <w:rsid w:val="27FB23CD"/>
    <w:rsid w:val="27FF406E"/>
    <w:rsid w:val="27FF7BCA"/>
    <w:rsid w:val="2802334F"/>
    <w:rsid w:val="28031BCE"/>
    <w:rsid w:val="280C4F25"/>
    <w:rsid w:val="280D0539"/>
    <w:rsid w:val="28135FC7"/>
    <w:rsid w:val="28153891"/>
    <w:rsid w:val="28174CD6"/>
    <w:rsid w:val="281A4A03"/>
    <w:rsid w:val="281D44F4"/>
    <w:rsid w:val="281E2746"/>
    <w:rsid w:val="28213FE4"/>
    <w:rsid w:val="28235FAE"/>
    <w:rsid w:val="28237D5C"/>
    <w:rsid w:val="2824610E"/>
    <w:rsid w:val="28285372"/>
    <w:rsid w:val="282A2D36"/>
    <w:rsid w:val="282C4737"/>
    <w:rsid w:val="282F6F65"/>
    <w:rsid w:val="28357A8F"/>
    <w:rsid w:val="283A32F8"/>
    <w:rsid w:val="283E5C7F"/>
    <w:rsid w:val="283F446A"/>
    <w:rsid w:val="28407F43"/>
    <w:rsid w:val="284303FE"/>
    <w:rsid w:val="28485A15"/>
    <w:rsid w:val="284952E9"/>
    <w:rsid w:val="284D302B"/>
    <w:rsid w:val="284D76B0"/>
    <w:rsid w:val="284E0B51"/>
    <w:rsid w:val="28506677"/>
    <w:rsid w:val="28551EE0"/>
    <w:rsid w:val="2856314B"/>
    <w:rsid w:val="28575241"/>
    <w:rsid w:val="285E6FE6"/>
    <w:rsid w:val="28642123"/>
    <w:rsid w:val="2864476D"/>
    <w:rsid w:val="28687E65"/>
    <w:rsid w:val="286B34B1"/>
    <w:rsid w:val="286F11F3"/>
    <w:rsid w:val="28731691"/>
    <w:rsid w:val="28757E8C"/>
    <w:rsid w:val="287700A8"/>
    <w:rsid w:val="28780D72"/>
    <w:rsid w:val="287B7B98"/>
    <w:rsid w:val="287C56BE"/>
    <w:rsid w:val="28823125"/>
    <w:rsid w:val="288325A9"/>
    <w:rsid w:val="2883430C"/>
    <w:rsid w:val="28846321"/>
    <w:rsid w:val="288602EB"/>
    <w:rsid w:val="288C4F96"/>
    <w:rsid w:val="28902F18"/>
    <w:rsid w:val="289522DC"/>
    <w:rsid w:val="2899001E"/>
    <w:rsid w:val="289B3D96"/>
    <w:rsid w:val="289C366A"/>
    <w:rsid w:val="289F1401"/>
    <w:rsid w:val="28A63E40"/>
    <w:rsid w:val="28A864B3"/>
    <w:rsid w:val="28AA222B"/>
    <w:rsid w:val="28AB7D51"/>
    <w:rsid w:val="28AF4DBB"/>
    <w:rsid w:val="28B16468"/>
    <w:rsid w:val="28B74948"/>
    <w:rsid w:val="28BE5377"/>
    <w:rsid w:val="28BF330C"/>
    <w:rsid w:val="28C11F60"/>
    <w:rsid w:val="28C36E49"/>
    <w:rsid w:val="28C72DDD"/>
    <w:rsid w:val="28CB19DB"/>
    <w:rsid w:val="28D309C2"/>
    <w:rsid w:val="28D36FBE"/>
    <w:rsid w:val="28D70B46"/>
    <w:rsid w:val="28D728F5"/>
    <w:rsid w:val="28D82090"/>
    <w:rsid w:val="28D9666D"/>
    <w:rsid w:val="28DA340F"/>
    <w:rsid w:val="28DC43AF"/>
    <w:rsid w:val="28DE0127"/>
    <w:rsid w:val="28DF7DF7"/>
    <w:rsid w:val="28E03E9F"/>
    <w:rsid w:val="28E81476"/>
    <w:rsid w:val="28EA087A"/>
    <w:rsid w:val="28EA6ACC"/>
    <w:rsid w:val="28F33BD2"/>
    <w:rsid w:val="28F434A6"/>
    <w:rsid w:val="28F72F97"/>
    <w:rsid w:val="28F74D45"/>
    <w:rsid w:val="28F9286B"/>
    <w:rsid w:val="29037B8D"/>
    <w:rsid w:val="29053FDD"/>
    <w:rsid w:val="29064F88"/>
    <w:rsid w:val="290C07F0"/>
    <w:rsid w:val="290D27BA"/>
    <w:rsid w:val="29143B49"/>
    <w:rsid w:val="291C47AB"/>
    <w:rsid w:val="291D0C4F"/>
    <w:rsid w:val="291D667C"/>
    <w:rsid w:val="291E0523"/>
    <w:rsid w:val="2927387C"/>
    <w:rsid w:val="292813A2"/>
    <w:rsid w:val="29282EA6"/>
    <w:rsid w:val="292C1B1A"/>
    <w:rsid w:val="29373393"/>
    <w:rsid w:val="29477A7A"/>
    <w:rsid w:val="294C5091"/>
    <w:rsid w:val="294D3731"/>
    <w:rsid w:val="294F2FF6"/>
    <w:rsid w:val="295126A7"/>
    <w:rsid w:val="29534671"/>
    <w:rsid w:val="29542197"/>
    <w:rsid w:val="2956295F"/>
    <w:rsid w:val="295757E3"/>
    <w:rsid w:val="295773B4"/>
    <w:rsid w:val="295977AD"/>
    <w:rsid w:val="295A0AA5"/>
    <w:rsid w:val="295B1778"/>
    <w:rsid w:val="295B3526"/>
    <w:rsid w:val="295C2DFA"/>
    <w:rsid w:val="295D54F0"/>
    <w:rsid w:val="295E3016"/>
    <w:rsid w:val="295E4DC4"/>
    <w:rsid w:val="295F7C99"/>
    <w:rsid w:val="29657F00"/>
    <w:rsid w:val="29665177"/>
    <w:rsid w:val="296A3769"/>
    <w:rsid w:val="296C6B91"/>
    <w:rsid w:val="296E14AB"/>
    <w:rsid w:val="297E0FC2"/>
    <w:rsid w:val="2984482A"/>
    <w:rsid w:val="298C36DF"/>
    <w:rsid w:val="298C7710"/>
    <w:rsid w:val="298C7B83"/>
    <w:rsid w:val="298E0E4D"/>
    <w:rsid w:val="298E38FB"/>
    <w:rsid w:val="29930F11"/>
    <w:rsid w:val="2994507C"/>
    <w:rsid w:val="299B6018"/>
    <w:rsid w:val="299B7DC6"/>
    <w:rsid w:val="299D769A"/>
    <w:rsid w:val="299F1664"/>
    <w:rsid w:val="29A24CB1"/>
    <w:rsid w:val="29A46C7B"/>
    <w:rsid w:val="29AA49F5"/>
    <w:rsid w:val="29AB625B"/>
    <w:rsid w:val="29AC3D81"/>
    <w:rsid w:val="29B570DA"/>
    <w:rsid w:val="29B64C00"/>
    <w:rsid w:val="29B733F6"/>
    <w:rsid w:val="29BD6562"/>
    <w:rsid w:val="29BD7D3C"/>
    <w:rsid w:val="29C015DB"/>
    <w:rsid w:val="29C15A7E"/>
    <w:rsid w:val="29C27101"/>
    <w:rsid w:val="29C37F84"/>
    <w:rsid w:val="29C4095E"/>
    <w:rsid w:val="29C410CB"/>
    <w:rsid w:val="29C44CF4"/>
    <w:rsid w:val="29C72969"/>
    <w:rsid w:val="29C76E0D"/>
    <w:rsid w:val="29CE3CF8"/>
    <w:rsid w:val="29CE516F"/>
    <w:rsid w:val="29CE5AA6"/>
    <w:rsid w:val="29CF181E"/>
    <w:rsid w:val="29D222A8"/>
    <w:rsid w:val="29D357B2"/>
    <w:rsid w:val="29D56857"/>
    <w:rsid w:val="29D659C5"/>
    <w:rsid w:val="29D86924"/>
    <w:rsid w:val="29D919AD"/>
    <w:rsid w:val="29DA08EE"/>
    <w:rsid w:val="29DA269C"/>
    <w:rsid w:val="29DB01C2"/>
    <w:rsid w:val="29DC2957"/>
    <w:rsid w:val="29DF18FC"/>
    <w:rsid w:val="29E51041"/>
    <w:rsid w:val="29E61F3B"/>
    <w:rsid w:val="29EA3E3E"/>
    <w:rsid w:val="29F15C38"/>
    <w:rsid w:val="29F51284"/>
    <w:rsid w:val="29F714A0"/>
    <w:rsid w:val="29FA2D3E"/>
    <w:rsid w:val="29FC6AB7"/>
    <w:rsid w:val="2A040D26"/>
    <w:rsid w:val="2A04596B"/>
    <w:rsid w:val="2A094D30"/>
    <w:rsid w:val="2A0F77B2"/>
    <w:rsid w:val="2A102562"/>
    <w:rsid w:val="2A116A6F"/>
    <w:rsid w:val="2A17569E"/>
    <w:rsid w:val="2A1A6F3D"/>
    <w:rsid w:val="2A1F069B"/>
    <w:rsid w:val="2A222295"/>
    <w:rsid w:val="2A292D24"/>
    <w:rsid w:val="2A2953D2"/>
    <w:rsid w:val="2A2A61BA"/>
    <w:rsid w:val="2A2B2EF8"/>
    <w:rsid w:val="2A300308"/>
    <w:rsid w:val="2A353D77"/>
    <w:rsid w:val="2A3A313B"/>
    <w:rsid w:val="2A3F5EB0"/>
    <w:rsid w:val="2A435F0E"/>
    <w:rsid w:val="2A443FBA"/>
    <w:rsid w:val="2A470BC4"/>
    <w:rsid w:val="2A4733C9"/>
    <w:rsid w:val="2A475858"/>
    <w:rsid w:val="2A4915D0"/>
    <w:rsid w:val="2A500BB0"/>
    <w:rsid w:val="2A502FEB"/>
    <w:rsid w:val="2A505BBC"/>
    <w:rsid w:val="2A50653C"/>
    <w:rsid w:val="2A522B7B"/>
    <w:rsid w:val="2A571F3F"/>
    <w:rsid w:val="2A58434E"/>
    <w:rsid w:val="2A585A8F"/>
    <w:rsid w:val="2A5C7555"/>
    <w:rsid w:val="2A5E151F"/>
    <w:rsid w:val="2A5E32CD"/>
    <w:rsid w:val="2A622692"/>
    <w:rsid w:val="2A662182"/>
    <w:rsid w:val="2A677CA8"/>
    <w:rsid w:val="2A6843C4"/>
    <w:rsid w:val="2A6A2706"/>
    <w:rsid w:val="2A6A2ACF"/>
    <w:rsid w:val="2A6A6147"/>
    <w:rsid w:val="2A6B366E"/>
    <w:rsid w:val="2A6B7798"/>
    <w:rsid w:val="2A6C52BE"/>
    <w:rsid w:val="2A6D7649"/>
    <w:rsid w:val="2A71789D"/>
    <w:rsid w:val="2A7228D5"/>
    <w:rsid w:val="2A726D79"/>
    <w:rsid w:val="2A7731A7"/>
    <w:rsid w:val="2A790107"/>
    <w:rsid w:val="2A7D74CC"/>
    <w:rsid w:val="2A834AE2"/>
    <w:rsid w:val="2A8820F8"/>
    <w:rsid w:val="2A8940C2"/>
    <w:rsid w:val="2A8B3997"/>
    <w:rsid w:val="2A8D5961"/>
    <w:rsid w:val="2A9036A3"/>
    <w:rsid w:val="2A915F2E"/>
    <w:rsid w:val="2A9270B0"/>
    <w:rsid w:val="2A930A9D"/>
    <w:rsid w:val="2A992557"/>
    <w:rsid w:val="2A9D36CA"/>
    <w:rsid w:val="2AA333D6"/>
    <w:rsid w:val="2AA80E45"/>
    <w:rsid w:val="2AAA6513"/>
    <w:rsid w:val="2AAB2DC7"/>
    <w:rsid w:val="2AAE58D7"/>
    <w:rsid w:val="2AB63109"/>
    <w:rsid w:val="2ABC1DA2"/>
    <w:rsid w:val="2ABE1FBE"/>
    <w:rsid w:val="2AC05D36"/>
    <w:rsid w:val="2AC46EA9"/>
    <w:rsid w:val="2AC60E73"/>
    <w:rsid w:val="2AC70E34"/>
    <w:rsid w:val="2AC86999"/>
    <w:rsid w:val="2ACD0A78"/>
    <w:rsid w:val="2ACE1AD5"/>
    <w:rsid w:val="2AD0584D"/>
    <w:rsid w:val="2AD417E1"/>
    <w:rsid w:val="2AD4533E"/>
    <w:rsid w:val="2AD90BA6"/>
    <w:rsid w:val="2ADC41F2"/>
    <w:rsid w:val="2AE01F34"/>
    <w:rsid w:val="2AEF4E4D"/>
    <w:rsid w:val="2AF27EBA"/>
    <w:rsid w:val="2AF43C32"/>
    <w:rsid w:val="2AF4778E"/>
    <w:rsid w:val="2AF552B4"/>
    <w:rsid w:val="2AF754D0"/>
    <w:rsid w:val="2AF8625E"/>
    <w:rsid w:val="2AF9470D"/>
    <w:rsid w:val="2B02634F"/>
    <w:rsid w:val="2B0513A0"/>
    <w:rsid w:val="2B065713"/>
    <w:rsid w:val="2B0705B1"/>
    <w:rsid w:val="2B084FE7"/>
    <w:rsid w:val="2B086822"/>
    <w:rsid w:val="2B0B2D29"/>
    <w:rsid w:val="2B0C37AD"/>
    <w:rsid w:val="2B0D4CF3"/>
    <w:rsid w:val="2B116592"/>
    <w:rsid w:val="2B161A0E"/>
    <w:rsid w:val="2B1A57AD"/>
    <w:rsid w:val="2B2160A9"/>
    <w:rsid w:val="2B255B99"/>
    <w:rsid w:val="2B261911"/>
    <w:rsid w:val="2B2A7653"/>
    <w:rsid w:val="2B2B6F28"/>
    <w:rsid w:val="2B33475A"/>
    <w:rsid w:val="2B345DDC"/>
    <w:rsid w:val="2B4029D3"/>
    <w:rsid w:val="2B45623B"/>
    <w:rsid w:val="2B4A5600"/>
    <w:rsid w:val="2B4D3342"/>
    <w:rsid w:val="2B514BE0"/>
    <w:rsid w:val="2B5302F9"/>
    <w:rsid w:val="2B5D17D7"/>
    <w:rsid w:val="2B632B65"/>
    <w:rsid w:val="2B6366C1"/>
    <w:rsid w:val="2B68109E"/>
    <w:rsid w:val="2B696BA9"/>
    <w:rsid w:val="2B6C37C8"/>
    <w:rsid w:val="2B6D2330"/>
    <w:rsid w:val="2B6D7540"/>
    <w:rsid w:val="2B6E5792"/>
    <w:rsid w:val="2B77216D"/>
    <w:rsid w:val="2B786611"/>
    <w:rsid w:val="2B822FEC"/>
    <w:rsid w:val="2B836D64"/>
    <w:rsid w:val="2B85488A"/>
    <w:rsid w:val="2B8855E7"/>
    <w:rsid w:val="2B8F395A"/>
    <w:rsid w:val="2B957EC3"/>
    <w:rsid w:val="2B9952EB"/>
    <w:rsid w:val="2B9A3357"/>
    <w:rsid w:val="2B9F159F"/>
    <w:rsid w:val="2BA72A52"/>
    <w:rsid w:val="2BA74800"/>
    <w:rsid w:val="2BA86521"/>
    <w:rsid w:val="2BAB0C35"/>
    <w:rsid w:val="2BAE0B66"/>
    <w:rsid w:val="2BAE3DE1"/>
    <w:rsid w:val="2BB4516F"/>
    <w:rsid w:val="2BB46F1D"/>
    <w:rsid w:val="2BB53C62"/>
    <w:rsid w:val="2BB76C46"/>
    <w:rsid w:val="2BBB64FD"/>
    <w:rsid w:val="2BBD4024"/>
    <w:rsid w:val="2BBF5FEE"/>
    <w:rsid w:val="2BC2163A"/>
    <w:rsid w:val="2BC37160"/>
    <w:rsid w:val="2BC74EA2"/>
    <w:rsid w:val="2BC929C8"/>
    <w:rsid w:val="2BC96E6C"/>
    <w:rsid w:val="2BCA04EF"/>
    <w:rsid w:val="2BCA6741"/>
    <w:rsid w:val="2BCC1169"/>
    <w:rsid w:val="2BCC4267"/>
    <w:rsid w:val="2BD31A99"/>
    <w:rsid w:val="2BD61589"/>
    <w:rsid w:val="2BD840A4"/>
    <w:rsid w:val="2BD9277E"/>
    <w:rsid w:val="2BDB094E"/>
    <w:rsid w:val="2BDF21EC"/>
    <w:rsid w:val="2BE07D12"/>
    <w:rsid w:val="2BE23A8A"/>
    <w:rsid w:val="2BE45A54"/>
    <w:rsid w:val="2BE710A1"/>
    <w:rsid w:val="2BEB6DE3"/>
    <w:rsid w:val="2BED6BAB"/>
    <w:rsid w:val="2BEF0B9E"/>
    <w:rsid w:val="2BEF61A7"/>
    <w:rsid w:val="2BF043F9"/>
    <w:rsid w:val="2BF10171"/>
    <w:rsid w:val="2BF57C61"/>
    <w:rsid w:val="2BF81500"/>
    <w:rsid w:val="2BFC0D12"/>
    <w:rsid w:val="2BFD474A"/>
    <w:rsid w:val="2C041C52"/>
    <w:rsid w:val="2C0C4FAB"/>
    <w:rsid w:val="2C0D2CC2"/>
    <w:rsid w:val="2C0E2AD1"/>
    <w:rsid w:val="2C11611D"/>
    <w:rsid w:val="2C131E96"/>
    <w:rsid w:val="2C13426D"/>
    <w:rsid w:val="2C153E60"/>
    <w:rsid w:val="2C161986"/>
    <w:rsid w:val="2C1A3224"/>
    <w:rsid w:val="2C1C3440"/>
    <w:rsid w:val="2C1C51EE"/>
    <w:rsid w:val="2C24507B"/>
    <w:rsid w:val="2C245E51"/>
    <w:rsid w:val="2C2916B9"/>
    <w:rsid w:val="2C29790B"/>
    <w:rsid w:val="2C2E3173"/>
    <w:rsid w:val="2C332538"/>
    <w:rsid w:val="2C352789"/>
    <w:rsid w:val="2C4058A5"/>
    <w:rsid w:val="2C416A03"/>
    <w:rsid w:val="2C4209CD"/>
    <w:rsid w:val="2C46226B"/>
    <w:rsid w:val="2C4B162F"/>
    <w:rsid w:val="2C4C3F30"/>
    <w:rsid w:val="2C532BDA"/>
    <w:rsid w:val="2C550700"/>
    <w:rsid w:val="2C5B55EB"/>
    <w:rsid w:val="2C5F157F"/>
    <w:rsid w:val="2C694B99"/>
    <w:rsid w:val="2C7072E8"/>
    <w:rsid w:val="2C75313C"/>
    <w:rsid w:val="2C7645CC"/>
    <w:rsid w:val="2C792640"/>
    <w:rsid w:val="2C792F4D"/>
    <w:rsid w:val="2C79468E"/>
    <w:rsid w:val="2C7C5C8D"/>
    <w:rsid w:val="2C7F6D72"/>
    <w:rsid w:val="2C830311"/>
    <w:rsid w:val="2C8965FC"/>
    <w:rsid w:val="2C8B2374"/>
    <w:rsid w:val="2C8B5ED0"/>
    <w:rsid w:val="2C8E3C12"/>
    <w:rsid w:val="2C8F0EA7"/>
    <w:rsid w:val="2C92725E"/>
    <w:rsid w:val="2C956D4E"/>
    <w:rsid w:val="2C9F197B"/>
    <w:rsid w:val="2CA70830"/>
    <w:rsid w:val="2CA84CD4"/>
    <w:rsid w:val="2CA86A82"/>
    <w:rsid w:val="2CA9068B"/>
    <w:rsid w:val="2CA945A8"/>
    <w:rsid w:val="2CAB3D48"/>
    <w:rsid w:val="2CAB6572"/>
    <w:rsid w:val="2CAC5BC5"/>
    <w:rsid w:val="2CAE1BBE"/>
    <w:rsid w:val="2CB03B88"/>
    <w:rsid w:val="2CB2345D"/>
    <w:rsid w:val="2CB73169"/>
    <w:rsid w:val="2CB82A3D"/>
    <w:rsid w:val="2CB90C8F"/>
    <w:rsid w:val="2CBB5260"/>
    <w:rsid w:val="2CBC7C58"/>
    <w:rsid w:val="2CC118F2"/>
    <w:rsid w:val="2CC413E2"/>
    <w:rsid w:val="2CC47634"/>
    <w:rsid w:val="2CC56979"/>
    <w:rsid w:val="2CCC7F97"/>
    <w:rsid w:val="2CD5539D"/>
    <w:rsid w:val="2CD57196"/>
    <w:rsid w:val="2CD86C3B"/>
    <w:rsid w:val="2CDC2BCF"/>
    <w:rsid w:val="2CDD4252"/>
    <w:rsid w:val="2CDF621C"/>
    <w:rsid w:val="2CE101E6"/>
    <w:rsid w:val="2CE41F2E"/>
    <w:rsid w:val="2CE51A84"/>
    <w:rsid w:val="2CE81574"/>
    <w:rsid w:val="2CE974BF"/>
    <w:rsid w:val="2CEA52EC"/>
    <w:rsid w:val="2CED0939"/>
    <w:rsid w:val="2CEF46B1"/>
    <w:rsid w:val="2CF241A1"/>
    <w:rsid w:val="2CF47F19"/>
    <w:rsid w:val="2CF94F11"/>
    <w:rsid w:val="2CFA3055"/>
    <w:rsid w:val="2CFA4E04"/>
    <w:rsid w:val="2CFE66A2"/>
    <w:rsid w:val="2CFF066C"/>
    <w:rsid w:val="2D012636"/>
    <w:rsid w:val="2D03015C"/>
    <w:rsid w:val="2D031F0A"/>
    <w:rsid w:val="2D0839C4"/>
    <w:rsid w:val="2D0A773C"/>
    <w:rsid w:val="2D0B13C9"/>
    <w:rsid w:val="2D0B5263"/>
    <w:rsid w:val="2D102879"/>
    <w:rsid w:val="2D12214D"/>
    <w:rsid w:val="2D140E5E"/>
    <w:rsid w:val="2D1759B5"/>
    <w:rsid w:val="2D1934DC"/>
    <w:rsid w:val="2D1B5C2C"/>
    <w:rsid w:val="2D1C121E"/>
    <w:rsid w:val="2D1C2FCC"/>
    <w:rsid w:val="2D1E4F96"/>
    <w:rsid w:val="2D2105E2"/>
    <w:rsid w:val="2D212671"/>
    <w:rsid w:val="2D214A86"/>
    <w:rsid w:val="2D241F6F"/>
    <w:rsid w:val="2D297497"/>
    <w:rsid w:val="2D2D51D9"/>
    <w:rsid w:val="2D320A41"/>
    <w:rsid w:val="2D3447B9"/>
    <w:rsid w:val="2D35408E"/>
    <w:rsid w:val="2D3703E5"/>
    <w:rsid w:val="2D377E06"/>
    <w:rsid w:val="2D3A44A6"/>
    <w:rsid w:val="2D3B78F6"/>
    <w:rsid w:val="2D3F7BCD"/>
    <w:rsid w:val="2D401748"/>
    <w:rsid w:val="2D482013"/>
    <w:rsid w:val="2D48295C"/>
    <w:rsid w:val="2D4A5D8B"/>
    <w:rsid w:val="2D4D0983"/>
    <w:rsid w:val="2D546C0A"/>
    <w:rsid w:val="2D5704A8"/>
    <w:rsid w:val="2D595FCE"/>
    <w:rsid w:val="2D5B1D46"/>
    <w:rsid w:val="2D5B36F4"/>
    <w:rsid w:val="2D5B7F98"/>
    <w:rsid w:val="2D5C5ABE"/>
    <w:rsid w:val="2D5D6739"/>
    <w:rsid w:val="2D60068C"/>
    <w:rsid w:val="2D614E83"/>
    <w:rsid w:val="2D630BFB"/>
    <w:rsid w:val="2D652BC5"/>
    <w:rsid w:val="2D656721"/>
    <w:rsid w:val="2D6706EB"/>
    <w:rsid w:val="2D6E3085"/>
    <w:rsid w:val="2D74105A"/>
    <w:rsid w:val="2D756F06"/>
    <w:rsid w:val="2D7626DC"/>
    <w:rsid w:val="2D7828F8"/>
    <w:rsid w:val="2D7A3A3A"/>
    <w:rsid w:val="2D7B4196"/>
    <w:rsid w:val="2D8017AD"/>
    <w:rsid w:val="2D8F5E37"/>
    <w:rsid w:val="2D92328E"/>
    <w:rsid w:val="2D9D410D"/>
    <w:rsid w:val="2DA03BFD"/>
    <w:rsid w:val="2DA07759"/>
    <w:rsid w:val="2DA57465"/>
    <w:rsid w:val="2DA92EA3"/>
    <w:rsid w:val="2DAE631A"/>
    <w:rsid w:val="2DAF3E40"/>
    <w:rsid w:val="2DB17BB8"/>
    <w:rsid w:val="2DB45021"/>
    <w:rsid w:val="2DB57BAF"/>
    <w:rsid w:val="2DB72CF5"/>
    <w:rsid w:val="2DB979F9"/>
    <w:rsid w:val="2DBA6ABB"/>
    <w:rsid w:val="2DBB4593"/>
    <w:rsid w:val="2DBD655D"/>
    <w:rsid w:val="2DC618FC"/>
    <w:rsid w:val="2DC86CB0"/>
    <w:rsid w:val="2DC93154"/>
    <w:rsid w:val="2DD35D80"/>
    <w:rsid w:val="2DDB2E87"/>
    <w:rsid w:val="2DDB4C35"/>
    <w:rsid w:val="2DDD13C6"/>
    <w:rsid w:val="2DDE357F"/>
    <w:rsid w:val="2DDF2977"/>
    <w:rsid w:val="2DE35CC7"/>
    <w:rsid w:val="2DE47F8D"/>
    <w:rsid w:val="2DE53D06"/>
    <w:rsid w:val="2DE73F83"/>
    <w:rsid w:val="2DE75388"/>
    <w:rsid w:val="2DEA4E78"/>
    <w:rsid w:val="2DED6716"/>
    <w:rsid w:val="2DEE0B8D"/>
    <w:rsid w:val="2DF2432C"/>
    <w:rsid w:val="2DF857E7"/>
    <w:rsid w:val="2DF87595"/>
    <w:rsid w:val="2DFA155F"/>
    <w:rsid w:val="2DFA568F"/>
    <w:rsid w:val="2DFB52D7"/>
    <w:rsid w:val="2E0028ED"/>
    <w:rsid w:val="2E0221C2"/>
    <w:rsid w:val="2E0A551A"/>
    <w:rsid w:val="2E0C3040"/>
    <w:rsid w:val="2E141EF5"/>
    <w:rsid w:val="2E175D80"/>
    <w:rsid w:val="2E183793"/>
    <w:rsid w:val="2E190DDE"/>
    <w:rsid w:val="2E1D6FFC"/>
    <w:rsid w:val="2E1E169D"/>
    <w:rsid w:val="2E1F0FC6"/>
    <w:rsid w:val="2E24038A"/>
    <w:rsid w:val="2E254102"/>
    <w:rsid w:val="2E271C28"/>
    <w:rsid w:val="2E2760CC"/>
    <w:rsid w:val="2E277E7A"/>
    <w:rsid w:val="2E2A34C6"/>
    <w:rsid w:val="2E2A55F7"/>
    <w:rsid w:val="2E2C36E3"/>
    <w:rsid w:val="2E2F6D2F"/>
    <w:rsid w:val="2E3118D8"/>
    <w:rsid w:val="2E343932"/>
    <w:rsid w:val="2E376E42"/>
    <w:rsid w:val="2E385BE3"/>
    <w:rsid w:val="2E4140F1"/>
    <w:rsid w:val="2E440A2C"/>
    <w:rsid w:val="2E4564F4"/>
    <w:rsid w:val="2E456552"/>
    <w:rsid w:val="2E4A5917"/>
    <w:rsid w:val="2E4C2B0D"/>
    <w:rsid w:val="2E4F2177"/>
    <w:rsid w:val="2E505623"/>
    <w:rsid w:val="2E52321D"/>
    <w:rsid w:val="2E530C6F"/>
    <w:rsid w:val="2E5336C9"/>
    <w:rsid w:val="2E536EC1"/>
    <w:rsid w:val="2E5642BC"/>
    <w:rsid w:val="2E580034"/>
    <w:rsid w:val="2E5A0250"/>
    <w:rsid w:val="2E5A0537"/>
    <w:rsid w:val="2E5A3DAC"/>
    <w:rsid w:val="2E5B7B24"/>
    <w:rsid w:val="2E5C5D76"/>
    <w:rsid w:val="2E5F4906"/>
    <w:rsid w:val="2E620EB2"/>
    <w:rsid w:val="2E625356"/>
    <w:rsid w:val="2E666BF4"/>
    <w:rsid w:val="2E6C1D31"/>
    <w:rsid w:val="2E6D7F83"/>
    <w:rsid w:val="2E701821"/>
    <w:rsid w:val="2E704C40"/>
    <w:rsid w:val="2E76495E"/>
    <w:rsid w:val="2E764C99"/>
    <w:rsid w:val="2E7806D6"/>
    <w:rsid w:val="2E786928"/>
    <w:rsid w:val="2E7A444E"/>
    <w:rsid w:val="2E7C61BE"/>
    <w:rsid w:val="2E7C6DB5"/>
    <w:rsid w:val="2E7D06D3"/>
    <w:rsid w:val="2E870919"/>
    <w:rsid w:val="2E8C5F2F"/>
    <w:rsid w:val="2E8E7EF9"/>
    <w:rsid w:val="2E903C71"/>
    <w:rsid w:val="2E920577"/>
    <w:rsid w:val="2E935510"/>
    <w:rsid w:val="2E951288"/>
    <w:rsid w:val="2E9F3EB4"/>
    <w:rsid w:val="2EA43279"/>
    <w:rsid w:val="2EA9088F"/>
    <w:rsid w:val="2EAD4823"/>
    <w:rsid w:val="2EB21298"/>
    <w:rsid w:val="2EB21E3A"/>
    <w:rsid w:val="2EB57234"/>
    <w:rsid w:val="2EBA6870"/>
    <w:rsid w:val="2EBB78BE"/>
    <w:rsid w:val="2EBF00B3"/>
    <w:rsid w:val="2EC41B6D"/>
    <w:rsid w:val="2ECD27D0"/>
    <w:rsid w:val="2ECF44CB"/>
    <w:rsid w:val="2ED022C0"/>
    <w:rsid w:val="2ED26038"/>
    <w:rsid w:val="2ED27DE6"/>
    <w:rsid w:val="2ED51684"/>
    <w:rsid w:val="2EDC0C65"/>
    <w:rsid w:val="2EDE3B95"/>
    <w:rsid w:val="2EDF2503"/>
    <w:rsid w:val="2EE47B19"/>
    <w:rsid w:val="2EEE2746"/>
    <w:rsid w:val="2EF02962"/>
    <w:rsid w:val="2EF10397"/>
    <w:rsid w:val="2EF53AD4"/>
    <w:rsid w:val="2F032695"/>
    <w:rsid w:val="2F041F69"/>
    <w:rsid w:val="2F0476B2"/>
    <w:rsid w:val="2F063F34"/>
    <w:rsid w:val="2F083808"/>
    <w:rsid w:val="2F0B154A"/>
    <w:rsid w:val="2F0B211E"/>
    <w:rsid w:val="2F0C3E0F"/>
    <w:rsid w:val="2F0D7070"/>
    <w:rsid w:val="2F1018EA"/>
    <w:rsid w:val="2F120B2A"/>
    <w:rsid w:val="2F176141"/>
    <w:rsid w:val="2F1C5505"/>
    <w:rsid w:val="2F1D760E"/>
    <w:rsid w:val="2F1E302B"/>
    <w:rsid w:val="2F261EE0"/>
    <w:rsid w:val="2F274DD0"/>
    <w:rsid w:val="2F2820FC"/>
    <w:rsid w:val="2F285C58"/>
    <w:rsid w:val="2F2A7C22"/>
    <w:rsid w:val="2F2B399A"/>
    <w:rsid w:val="2F2F5238"/>
    <w:rsid w:val="2F300FB0"/>
    <w:rsid w:val="2F320885"/>
    <w:rsid w:val="2F350375"/>
    <w:rsid w:val="2F364819"/>
    <w:rsid w:val="2F3B1E2F"/>
    <w:rsid w:val="2F43624E"/>
    <w:rsid w:val="2F46399F"/>
    <w:rsid w:val="2F4B7B98"/>
    <w:rsid w:val="2F560A17"/>
    <w:rsid w:val="2F580725"/>
    <w:rsid w:val="2F5A7DDB"/>
    <w:rsid w:val="2F603644"/>
    <w:rsid w:val="2F672A78"/>
    <w:rsid w:val="2F745341"/>
    <w:rsid w:val="2F776BDF"/>
    <w:rsid w:val="2F794705"/>
    <w:rsid w:val="2F7964B4"/>
    <w:rsid w:val="2F7C5FA4"/>
    <w:rsid w:val="2F7D2448"/>
    <w:rsid w:val="2F7E7F6E"/>
    <w:rsid w:val="2F7F2AA0"/>
    <w:rsid w:val="2F833124"/>
    <w:rsid w:val="2F8337D6"/>
    <w:rsid w:val="2F880DEC"/>
    <w:rsid w:val="2F8A6913"/>
    <w:rsid w:val="2F8D01B1"/>
    <w:rsid w:val="2F8D6403"/>
    <w:rsid w:val="2F917175"/>
    <w:rsid w:val="2F93220A"/>
    <w:rsid w:val="2F967065"/>
    <w:rsid w:val="2F976C21"/>
    <w:rsid w:val="2F9851E3"/>
    <w:rsid w:val="2F997048"/>
    <w:rsid w:val="2F9B0B20"/>
    <w:rsid w:val="2F9B467C"/>
    <w:rsid w:val="2F9F2EBA"/>
    <w:rsid w:val="2FA02C09"/>
    <w:rsid w:val="2FA33530"/>
    <w:rsid w:val="2FAA7CE5"/>
    <w:rsid w:val="2FAC6889"/>
    <w:rsid w:val="2FAD2601"/>
    <w:rsid w:val="2FB120F1"/>
    <w:rsid w:val="2FB4573E"/>
    <w:rsid w:val="2FB614B6"/>
    <w:rsid w:val="2FB7522E"/>
    <w:rsid w:val="2FB76FDC"/>
    <w:rsid w:val="2FC11C09"/>
    <w:rsid w:val="2FC260AC"/>
    <w:rsid w:val="2FC47CD4"/>
    <w:rsid w:val="2FC55B9D"/>
    <w:rsid w:val="2FC73729"/>
    <w:rsid w:val="2FC811E9"/>
    <w:rsid w:val="2FC8743B"/>
    <w:rsid w:val="2FD14541"/>
    <w:rsid w:val="2FD45DE0"/>
    <w:rsid w:val="2FD933F6"/>
    <w:rsid w:val="2FDB0F1C"/>
    <w:rsid w:val="2FDB716E"/>
    <w:rsid w:val="2FDE27BA"/>
    <w:rsid w:val="2FE36023"/>
    <w:rsid w:val="2FE853E7"/>
    <w:rsid w:val="2FEA5603"/>
    <w:rsid w:val="2FED0C50"/>
    <w:rsid w:val="2FED26A0"/>
    <w:rsid w:val="2FEF2C1A"/>
    <w:rsid w:val="2FF50E32"/>
    <w:rsid w:val="2FF7387C"/>
    <w:rsid w:val="2FF975F4"/>
    <w:rsid w:val="2FFC0D05"/>
    <w:rsid w:val="300206D5"/>
    <w:rsid w:val="300246FB"/>
    <w:rsid w:val="300B73F6"/>
    <w:rsid w:val="300C37CC"/>
    <w:rsid w:val="300F6E18"/>
    <w:rsid w:val="3014442E"/>
    <w:rsid w:val="301B3A0F"/>
    <w:rsid w:val="301B57BD"/>
    <w:rsid w:val="301B756B"/>
    <w:rsid w:val="301D32E3"/>
    <w:rsid w:val="30201103"/>
    <w:rsid w:val="302100FF"/>
    <w:rsid w:val="30240B15"/>
    <w:rsid w:val="302527A4"/>
    <w:rsid w:val="30257F10"/>
    <w:rsid w:val="302B59D4"/>
    <w:rsid w:val="302C1778"/>
    <w:rsid w:val="302C5C1C"/>
    <w:rsid w:val="302C7740"/>
    <w:rsid w:val="303074BA"/>
    <w:rsid w:val="303B2136"/>
    <w:rsid w:val="303B5E5F"/>
    <w:rsid w:val="303D7627"/>
    <w:rsid w:val="303F594F"/>
    <w:rsid w:val="30405223"/>
    <w:rsid w:val="304170CB"/>
    <w:rsid w:val="30442F65"/>
    <w:rsid w:val="30444D13"/>
    <w:rsid w:val="30446AC1"/>
    <w:rsid w:val="3045283A"/>
    <w:rsid w:val="30470360"/>
    <w:rsid w:val="304A60A2"/>
    <w:rsid w:val="30550CCF"/>
    <w:rsid w:val="305667F5"/>
    <w:rsid w:val="305B3E0B"/>
    <w:rsid w:val="3062163D"/>
    <w:rsid w:val="30623321"/>
    <w:rsid w:val="30623DE4"/>
    <w:rsid w:val="30685202"/>
    <w:rsid w:val="306C6018"/>
    <w:rsid w:val="30731155"/>
    <w:rsid w:val="30741FB4"/>
    <w:rsid w:val="30755662"/>
    <w:rsid w:val="30766E97"/>
    <w:rsid w:val="30846656"/>
    <w:rsid w:val="3086532C"/>
    <w:rsid w:val="3089052D"/>
    <w:rsid w:val="308A43D0"/>
    <w:rsid w:val="308B70BE"/>
    <w:rsid w:val="309015AF"/>
    <w:rsid w:val="309317F7"/>
    <w:rsid w:val="30974EC3"/>
    <w:rsid w:val="30983B9C"/>
    <w:rsid w:val="309A5723"/>
    <w:rsid w:val="309A5F10"/>
    <w:rsid w:val="309C1A0D"/>
    <w:rsid w:val="309F019C"/>
    <w:rsid w:val="30A13F14"/>
    <w:rsid w:val="30A25EDE"/>
    <w:rsid w:val="30A27C8C"/>
    <w:rsid w:val="30A47560"/>
    <w:rsid w:val="30A6777C"/>
    <w:rsid w:val="30A9726C"/>
    <w:rsid w:val="30B04157"/>
    <w:rsid w:val="30B139AA"/>
    <w:rsid w:val="30B26121"/>
    <w:rsid w:val="30B33C47"/>
    <w:rsid w:val="30B408BB"/>
    <w:rsid w:val="30B55C11"/>
    <w:rsid w:val="30B80CAC"/>
    <w:rsid w:val="30C108CE"/>
    <w:rsid w:val="30C220DC"/>
    <w:rsid w:val="30C61BCC"/>
    <w:rsid w:val="30C776F3"/>
    <w:rsid w:val="30C96FC7"/>
    <w:rsid w:val="30CD2F5B"/>
    <w:rsid w:val="30CE282F"/>
    <w:rsid w:val="30D86B55"/>
    <w:rsid w:val="30DC13F0"/>
    <w:rsid w:val="30E47124"/>
    <w:rsid w:val="30E65DCB"/>
    <w:rsid w:val="30E738F1"/>
    <w:rsid w:val="30E91417"/>
    <w:rsid w:val="30E97669"/>
    <w:rsid w:val="30ED53AB"/>
    <w:rsid w:val="30F142F0"/>
    <w:rsid w:val="30F304E8"/>
    <w:rsid w:val="30F46739"/>
    <w:rsid w:val="30F53DBD"/>
    <w:rsid w:val="30FA3624"/>
    <w:rsid w:val="30FD5F50"/>
    <w:rsid w:val="30FF6E8C"/>
    <w:rsid w:val="31010E56"/>
    <w:rsid w:val="31046251"/>
    <w:rsid w:val="31085D41"/>
    <w:rsid w:val="311428B2"/>
    <w:rsid w:val="311A20BE"/>
    <w:rsid w:val="311E5564"/>
    <w:rsid w:val="31201969"/>
    <w:rsid w:val="312106D4"/>
    <w:rsid w:val="31224929"/>
    <w:rsid w:val="3123652A"/>
    <w:rsid w:val="3123750E"/>
    <w:rsid w:val="312A215B"/>
    <w:rsid w:val="312D1C4B"/>
    <w:rsid w:val="312D57A8"/>
    <w:rsid w:val="31321010"/>
    <w:rsid w:val="31350B00"/>
    <w:rsid w:val="3135465C"/>
    <w:rsid w:val="31376626"/>
    <w:rsid w:val="3138414C"/>
    <w:rsid w:val="313A6116"/>
    <w:rsid w:val="313F3E12"/>
    <w:rsid w:val="31413001"/>
    <w:rsid w:val="31434FCB"/>
    <w:rsid w:val="3143726F"/>
    <w:rsid w:val="31464ABB"/>
    <w:rsid w:val="31466869"/>
    <w:rsid w:val="314825E1"/>
    <w:rsid w:val="314E571E"/>
    <w:rsid w:val="3150593A"/>
    <w:rsid w:val="3159659D"/>
    <w:rsid w:val="315B5608"/>
    <w:rsid w:val="315C608D"/>
    <w:rsid w:val="31603761"/>
    <w:rsid w:val="31647A1E"/>
    <w:rsid w:val="3166245B"/>
    <w:rsid w:val="316D2048"/>
    <w:rsid w:val="31700A79"/>
    <w:rsid w:val="31723B02"/>
    <w:rsid w:val="31784BB8"/>
    <w:rsid w:val="317D4577"/>
    <w:rsid w:val="317E5771"/>
    <w:rsid w:val="317F0E37"/>
    <w:rsid w:val="31817793"/>
    <w:rsid w:val="31857392"/>
    <w:rsid w:val="31881D10"/>
    <w:rsid w:val="318B4309"/>
    <w:rsid w:val="318F6462"/>
    <w:rsid w:val="319A0963"/>
    <w:rsid w:val="319C0B7F"/>
    <w:rsid w:val="31A16195"/>
    <w:rsid w:val="31A517E2"/>
    <w:rsid w:val="31A5314A"/>
    <w:rsid w:val="31AB7B22"/>
    <w:rsid w:val="31AE4DFC"/>
    <w:rsid w:val="31AF3D3F"/>
    <w:rsid w:val="31B732C3"/>
    <w:rsid w:val="31B859B9"/>
    <w:rsid w:val="31B934DF"/>
    <w:rsid w:val="31BB1005"/>
    <w:rsid w:val="31BB12CA"/>
    <w:rsid w:val="31BC4D7D"/>
    <w:rsid w:val="31BD2FCF"/>
    <w:rsid w:val="31C003CA"/>
    <w:rsid w:val="31C0486E"/>
    <w:rsid w:val="31C205E6"/>
    <w:rsid w:val="31C3435E"/>
    <w:rsid w:val="31C36CF8"/>
    <w:rsid w:val="31C4449A"/>
    <w:rsid w:val="31C62983"/>
    <w:rsid w:val="31C854D0"/>
    <w:rsid w:val="31C94210"/>
    <w:rsid w:val="31CB6BCB"/>
    <w:rsid w:val="31D1650A"/>
    <w:rsid w:val="31D16A7B"/>
    <w:rsid w:val="31D413BE"/>
    <w:rsid w:val="31D5284E"/>
    <w:rsid w:val="31D616B2"/>
    <w:rsid w:val="31D92BDB"/>
    <w:rsid w:val="31E0281A"/>
    <w:rsid w:val="31E247E4"/>
    <w:rsid w:val="31E3055C"/>
    <w:rsid w:val="31E7004C"/>
    <w:rsid w:val="31F91B2E"/>
    <w:rsid w:val="31FC33CC"/>
    <w:rsid w:val="31FF1567"/>
    <w:rsid w:val="31FF437A"/>
    <w:rsid w:val="3203475A"/>
    <w:rsid w:val="320501EC"/>
    <w:rsid w:val="320756DD"/>
    <w:rsid w:val="320944A7"/>
    <w:rsid w:val="320D2B61"/>
    <w:rsid w:val="320F1351"/>
    <w:rsid w:val="320F28B0"/>
    <w:rsid w:val="32116E77"/>
    <w:rsid w:val="32140715"/>
    <w:rsid w:val="32180050"/>
    <w:rsid w:val="321B1AA4"/>
    <w:rsid w:val="321E1594"/>
    <w:rsid w:val="32250B75"/>
    <w:rsid w:val="3229553B"/>
    <w:rsid w:val="322A1CE7"/>
    <w:rsid w:val="322B5D49"/>
    <w:rsid w:val="32326DEE"/>
    <w:rsid w:val="32335040"/>
    <w:rsid w:val="32356A97"/>
    <w:rsid w:val="323A4620"/>
    <w:rsid w:val="323B5CA2"/>
    <w:rsid w:val="323C5A5D"/>
    <w:rsid w:val="323C7DCD"/>
    <w:rsid w:val="32430FFB"/>
    <w:rsid w:val="324A05DB"/>
    <w:rsid w:val="324C6101"/>
    <w:rsid w:val="324E1E79"/>
    <w:rsid w:val="324F79A0"/>
    <w:rsid w:val="3251196A"/>
    <w:rsid w:val="325154C6"/>
    <w:rsid w:val="32582CF8"/>
    <w:rsid w:val="32584AA6"/>
    <w:rsid w:val="325B4596"/>
    <w:rsid w:val="326571C3"/>
    <w:rsid w:val="32677589"/>
    <w:rsid w:val="326A2A2B"/>
    <w:rsid w:val="326A47D9"/>
    <w:rsid w:val="326C1E5D"/>
    <w:rsid w:val="326E42CA"/>
    <w:rsid w:val="32700042"/>
    <w:rsid w:val="32717916"/>
    <w:rsid w:val="32755658"/>
    <w:rsid w:val="32780143"/>
    <w:rsid w:val="327A2C6E"/>
    <w:rsid w:val="327A42BE"/>
    <w:rsid w:val="327F2033"/>
    <w:rsid w:val="32807B59"/>
    <w:rsid w:val="3284589B"/>
    <w:rsid w:val="328A09D8"/>
    <w:rsid w:val="32931F82"/>
    <w:rsid w:val="3296737C"/>
    <w:rsid w:val="32994EA0"/>
    <w:rsid w:val="329B0E37"/>
    <w:rsid w:val="32A001FB"/>
    <w:rsid w:val="32A25D21"/>
    <w:rsid w:val="32A61CB5"/>
    <w:rsid w:val="32AE0B6A"/>
    <w:rsid w:val="32B05ACE"/>
    <w:rsid w:val="32B128D9"/>
    <w:rsid w:val="32B31CDC"/>
    <w:rsid w:val="32B36180"/>
    <w:rsid w:val="32B40693"/>
    <w:rsid w:val="32B759A1"/>
    <w:rsid w:val="32B75C71"/>
    <w:rsid w:val="32B85545"/>
    <w:rsid w:val="32BD2C24"/>
    <w:rsid w:val="32BE744E"/>
    <w:rsid w:val="32BF4B25"/>
    <w:rsid w:val="32C24615"/>
    <w:rsid w:val="32C43EEA"/>
    <w:rsid w:val="32C75788"/>
    <w:rsid w:val="32CB171C"/>
    <w:rsid w:val="32D16607"/>
    <w:rsid w:val="32D3412D"/>
    <w:rsid w:val="32D560F7"/>
    <w:rsid w:val="32D571A3"/>
    <w:rsid w:val="32D67C67"/>
    <w:rsid w:val="32D81743"/>
    <w:rsid w:val="32D87995"/>
    <w:rsid w:val="32DD144F"/>
    <w:rsid w:val="32E20814"/>
    <w:rsid w:val="32E77BD8"/>
    <w:rsid w:val="32EA7AB2"/>
    <w:rsid w:val="32EE0F67"/>
    <w:rsid w:val="32F04CDF"/>
    <w:rsid w:val="32F32A3D"/>
    <w:rsid w:val="32F347CF"/>
    <w:rsid w:val="32F36623"/>
    <w:rsid w:val="32F440A4"/>
    <w:rsid w:val="32F50547"/>
    <w:rsid w:val="32F83B93"/>
    <w:rsid w:val="32FB17B4"/>
    <w:rsid w:val="32FD22FD"/>
    <w:rsid w:val="32FE0260"/>
    <w:rsid w:val="33010C9A"/>
    <w:rsid w:val="3304078A"/>
    <w:rsid w:val="330469DC"/>
    <w:rsid w:val="330B1B18"/>
    <w:rsid w:val="330B7D6A"/>
    <w:rsid w:val="330C5891"/>
    <w:rsid w:val="330C763F"/>
    <w:rsid w:val="330D3AE3"/>
    <w:rsid w:val="330E1609"/>
    <w:rsid w:val="331309CD"/>
    <w:rsid w:val="331A65AF"/>
    <w:rsid w:val="331C3D26"/>
    <w:rsid w:val="331F3816"/>
    <w:rsid w:val="332143CC"/>
    <w:rsid w:val="33240E2C"/>
    <w:rsid w:val="33296443"/>
    <w:rsid w:val="33353039"/>
    <w:rsid w:val="33354DE7"/>
    <w:rsid w:val="333746BC"/>
    <w:rsid w:val="33381756"/>
    <w:rsid w:val="333A23FE"/>
    <w:rsid w:val="33437504"/>
    <w:rsid w:val="3344327C"/>
    <w:rsid w:val="33447CF9"/>
    <w:rsid w:val="33460DA3"/>
    <w:rsid w:val="334A7763"/>
    <w:rsid w:val="334B460B"/>
    <w:rsid w:val="334E5EA9"/>
    <w:rsid w:val="334E7C57"/>
    <w:rsid w:val="335039CF"/>
    <w:rsid w:val="335334BF"/>
    <w:rsid w:val="3353526D"/>
    <w:rsid w:val="33590AD6"/>
    <w:rsid w:val="335A65FC"/>
    <w:rsid w:val="335C05C6"/>
    <w:rsid w:val="335E1684"/>
    <w:rsid w:val="335E60EC"/>
    <w:rsid w:val="336254B1"/>
    <w:rsid w:val="33641229"/>
    <w:rsid w:val="33677B8F"/>
    <w:rsid w:val="33694A91"/>
    <w:rsid w:val="3369683F"/>
    <w:rsid w:val="336A2CE3"/>
    <w:rsid w:val="336E3E55"/>
    <w:rsid w:val="33705E1F"/>
    <w:rsid w:val="33745910"/>
    <w:rsid w:val="337551E4"/>
    <w:rsid w:val="337C47C4"/>
    <w:rsid w:val="338418CB"/>
    <w:rsid w:val="338D3D76"/>
    <w:rsid w:val="339935C8"/>
    <w:rsid w:val="33997124"/>
    <w:rsid w:val="339C6C14"/>
    <w:rsid w:val="339D48C8"/>
    <w:rsid w:val="339E473B"/>
    <w:rsid w:val="33A4500D"/>
    <w:rsid w:val="33AA7583"/>
    <w:rsid w:val="33AE06F6"/>
    <w:rsid w:val="33BE20D3"/>
    <w:rsid w:val="33BE7EEE"/>
    <w:rsid w:val="33C06DA7"/>
    <w:rsid w:val="33C543BD"/>
    <w:rsid w:val="33C65A3F"/>
    <w:rsid w:val="33C70135"/>
    <w:rsid w:val="33C81968"/>
    <w:rsid w:val="33C95001"/>
    <w:rsid w:val="33CA3782"/>
    <w:rsid w:val="33CD5020"/>
    <w:rsid w:val="33CF0D98"/>
    <w:rsid w:val="33D04B10"/>
    <w:rsid w:val="33D26ADA"/>
    <w:rsid w:val="33D4015C"/>
    <w:rsid w:val="33D53ED4"/>
    <w:rsid w:val="33D64A34"/>
    <w:rsid w:val="33D75E9F"/>
    <w:rsid w:val="33D95773"/>
    <w:rsid w:val="33E11B47"/>
    <w:rsid w:val="33E365F1"/>
    <w:rsid w:val="33E660E2"/>
    <w:rsid w:val="33E701B5"/>
    <w:rsid w:val="33E81E5A"/>
    <w:rsid w:val="33EF143A"/>
    <w:rsid w:val="33F22CD8"/>
    <w:rsid w:val="33F26834"/>
    <w:rsid w:val="33FC76B3"/>
    <w:rsid w:val="33FE342B"/>
    <w:rsid w:val="33FE78CF"/>
    <w:rsid w:val="340071A3"/>
    <w:rsid w:val="34014CC9"/>
    <w:rsid w:val="34034EE6"/>
    <w:rsid w:val="340842AA"/>
    <w:rsid w:val="340A6274"/>
    <w:rsid w:val="340F73E6"/>
    <w:rsid w:val="34126ED7"/>
    <w:rsid w:val="34140EA1"/>
    <w:rsid w:val="3416085D"/>
    <w:rsid w:val="34191C89"/>
    <w:rsid w:val="34210CBB"/>
    <w:rsid w:val="342D3D10"/>
    <w:rsid w:val="342D5ABF"/>
    <w:rsid w:val="3431735D"/>
    <w:rsid w:val="34346E4D"/>
    <w:rsid w:val="34394463"/>
    <w:rsid w:val="34395261"/>
    <w:rsid w:val="343D7DFF"/>
    <w:rsid w:val="343F6D1F"/>
    <w:rsid w:val="3442156A"/>
    <w:rsid w:val="344277BC"/>
    <w:rsid w:val="34495F0D"/>
    <w:rsid w:val="344C23E9"/>
    <w:rsid w:val="34515C51"/>
    <w:rsid w:val="34525300"/>
    <w:rsid w:val="34545741"/>
    <w:rsid w:val="34592D57"/>
    <w:rsid w:val="345E722D"/>
    <w:rsid w:val="34655258"/>
    <w:rsid w:val="346A7471"/>
    <w:rsid w:val="346C2A8B"/>
    <w:rsid w:val="346F257B"/>
    <w:rsid w:val="34713BFD"/>
    <w:rsid w:val="34785525"/>
    <w:rsid w:val="34790D04"/>
    <w:rsid w:val="34827C54"/>
    <w:rsid w:val="34833930"/>
    <w:rsid w:val="34863867"/>
    <w:rsid w:val="34872CF7"/>
    <w:rsid w:val="348845FB"/>
    <w:rsid w:val="348953EB"/>
    <w:rsid w:val="348A1163"/>
    <w:rsid w:val="348A2F11"/>
    <w:rsid w:val="348E2A01"/>
    <w:rsid w:val="34990098"/>
    <w:rsid w:val="34993154"/>
    <w:rsid w:val="349D2C44"/>
    <w:rsid w:val="349F4C0E"/>
    <w:rsid w:val="34A02734"/>
    <w:rsid w:val="34A2025B"/>
    <w:rsid w:val="34A22009"/>
    <w:rsid w:val="34A87296"/>
    <w:rsid w:val="34A9783B"/>
    <w:rsid w:val="34AB35B3"/>
    <w:rsid w:val="34AF2977"/>
    <w:rsid w:val="34B306BA"/>
    <w:rsid w:val="34B561E0"/>
    <w:rsid w:val="34BA1A48"/>
    <w:rsid w:val="34BA37F6"/>
    <w:rsid w:val="34BD7C90"/>
    <w:rsid w:val="34C401D1"/>
    <w:rsid w:val="34D7310F"/>
    <w:rsid w:val="34D81ECE"/>
    <w:rsid w:val="34DB551B"/>
    <w:rsid w:val="34E316B2"/>
    <w:rsid w:val="34E41C88"/>
    <w:rsid w:val="34E72FB8"/>
    <w:rsid w:val="34E94521"/>
    <w:rsid w:val="34EC597A"/>
    <w:rsid w:val="34EE7F06"/>
    <w:rsid w:val="34F36D08"/>
    <w:rsid w:val="34F51DC6"/>
    <w:rsid w:val="34F5482E"/>
    <w:rsid w:val="34F839CE"/>
    <w:rsid w:val="34FC399A"/>
    <w:rsid w:val="34FD1935"/>
    <w:rsid w:val="34FD7B87"/>
    <w:rsid w:val="350137AB"/>
    <w:rsid w:val="35050E48"/>
    <w:rsid w:val="350925D2"/>
    <w:rsid w:val="350B5E00"/>
    <w:rsid w:val="350C1B78"/>
    <w:rsid w:val="350E3A5C"/>
    <w:rsid w:val="350E58F0"/>
    <w:rsid w:val="35102DBF"/>
    <w:rsid w:val="3511718E"/>
    <w:rsid w:val="35131158"/>
    <w:rsid w:val="351849C1"/>
    <w:rsid w:val="351D3D85"/>
    <w:rsid w:val="351F7AFD"/>
    <w:rsid w:val="352057FD"/>
    <w:rsid w:val="352073D1"/>
    <w:rsid w:val="35223149"/>
    <w:rsid w:val="35243365"/>
    <w:rsid w:val="352549E8"/>
    <w:rsid w:val="3529272A"/>
    <w:rsid w:val="352B0250"/>
    <w:rsid w:val="352E1AEE"/>
    <w:rsid w:val="352E5F92"/>
    <w:rsid w:val="352F7F42"/>
    <w:rsid w:val="35300883"/>
    <w:rsid w:val="35337105"/>
    <w:rsid w:val="35386E11"/>
    <w:rsid w:val="353A1D60"/>
    <w:rsid w:val="353A4937"/>
    <w:rsid w:val="354237EC"/>
    <w:rsid w:val="3542559A"/>
    <w:rsid w:val="35466E38"/>
    <w:rsid w:val="35494B7A"/>
    <w:rsid w:val="354B6B44"/>
    <w:rsid w:val="354F72C2"/>
    <w:rsid w:val="355157DD"/>
    <w:rsid w:val="35524794"/>
    <w:rsid w:val="35591A96"/>
    <w:rsid w:val="355E6877"/>
    <w:rsid w:val="355F7EFA"/>
    <w:rsid w:val="356674DA"/>
    <w:rsid w:val="35675000"/>
    <w:rsid w:val="356A0417"/>
    <w:rsid w:val="356D139C"/>
    <w:rsid w:val="356D4F9D"/>
    <w:rsid w:val="3570514C"/>
    <w:rsid w:val="357059DA"/>
    <w:rsid w:val="35775243"/>
    <w:rsid w:val="35777939"/>
    <w:rsid w:val="3578720D"/>
    <w:rsid w:val="357F67EE"/>
    <w:rsid w:val="35812566"/>
    <w:rsid w:val="358160D1"/>
    <w:rsid w:val="3586192A"/>
    <w:rsid w:val="358D4A67"/>
    <w:rsid w:val="358F4C83"/>
    <w:rsid w:val="358F6E87"/>
    <w:rsid w:val="35951B6D"/>
    <w:rsid w:val="359528C1"/>
    <w:rsid w:val="35956BF6"/>
    <w:rsid w:val="35986E4F"/>
    <w:rsid w:val="35A3072E"/>
    <w:rsid w:val="35A53D8B"/>
    <w:rsid w:val="35A973C7"/>
    <w:rsid w:val="35AD5109"/>
    <w:rsid w:val="35AE1D1F"/>
    <w:rsid w:val="35AF0E81"/>
    <w:rsid w:val="35B04BF9"/>
    <w:rsid w:val="35B4360A"/>
    <w:rsid w:val="35B93AAE"/>
    <w:rsid w:val="35BB6E36"/>
    <w:rsid w:val="35BC359E"/>
    <w:rsid w:val="35C67F79"/>
    <w:rsid w:val="35CB1A33"/>
    <w:rsid w:val="35CB70D1"/>
    <w:rsid w:val="35D46B3A"/>
    <w:rsid w:val="35D52E6A"/>
    <w:rsid w:val="35D5640E"/>
    <w:rsid w:val="35DA3A24"/>
    <w:rsid w:val="35E36D7D"/>
    <w:rsid w:val="35E623C9"/>
    <w:rsid w:val="35E825E5"/>
    <w:rsid w:val="35F1149A"/>
    <w:rsid w:val="35F27157"/>
    <w:rsid w:val="35F76384"/>
    <w:rsid w:val="35FC1BEC"/>
    <w:rsid w:val="360016CD"/>
    <w:rsid w:val="360016DD"/>
    <w:rsid w:val="3602502C"/>
    <w:rsid w:val="36034D29"/>
    <w:rsid w:val="36071A77"/>
    <w:rsid w:val="360B0081"/>
    <w:rsid w:val="360D3DFA"/>
    <w:rsid w:val="360E01D9"/>
    <w:rsid w:val="360F36CE"/>
    <w:rsid w:val="36127662"/>
    <w:rsid w:val="36133BB0"/>
    <w:rsid w:val="36140CE4"/>
    <w:rsid w:val="36160F00"/>
    <w:rsid w:val="36174C78"/>
    <w:rsid w:val="3619279E"/>
    <w:rsid w:val="361A4E3E"/>
    <w:rsid w:val="361B6516"/>
    <w:rsid w:val="361C403D"/>
    <w:rsid w:val="361D6A8E"/>
    <w:rsid w:val="361E7DB5"/>
    <w:rsid w:val="362058DB"/>
    <w:rsid w:val="362353CB"/>
    <w:rsid w:val="36266C69"/>
    <w:rsid w:val="36274FEC"/>
    <w:rsid w:val="36307493"/>
    <w:rsid w:val="36315D3A"/>
    <w:rsid w:val="36370E76"/>
    <w:rsid w:val="363C648D"/>
    <w:rsid w:val="363E0457"/>
    <w:rsid w:val="36405F7D"/>
    <w:rsid w:val="36455341"/>
    <w:rsid w:val="36484E32"/>
    <w:rsid w:val="364A2958"/>
    <w:rsid w:val="364C0B13"/>
    <w:rsid w:val="364D069A"/>
    <w:rsid w:val="36513CE6"/>
    <w:rsid w:val="36525CB0"/>
    <w:rsid w:val="3656754F"/>
    <w:rsid w:val="36581519"/>
    <w:rsid w:val="3659703F"/>
    <w:rsid w:val="365A15F9"/>
    <w:rsid w:val="365D5F63"/>
    <w:rsid w:val="365D6B2F"/>
    <w:rsid w:val="36642B6C"/>
    <w:rsid w:val="36647880"/>
    <w:rsid w:val="36657792"/>
    <w:rsid w:val="366859E7"/>
    <w:rsid w:val="366C6D72"/>
    <w:rsid w:val="366D6646"/>
    <w:rsid w:val="366F6336"/>
    <w:rsid w:val="36767BF1"/>
    <w:rsid w:val="367845C1"/>
    <w:rsid w:val="36794FEB"/>
    <w:rsid w:val="367A601A"/>
    <w:rsid w:val="367F74A1"/>
    <w:rsid w:val="36820D95"/>
    <w:rsid w:val="36857E34"/>
    <w:rsid w:val="36874BEE"/>
    <w:rsid w:val="368A544A"/>
    <w:rsid w:val="368E62C3"/>
    <w:rsid w:val="368F0CB2"/>
    <w:rsid w:val="369342FF"/>
    <w:rsid w:val="36940077"/>
    <w:rsid w:val="369462C9"/>
    <w:rsid w:val="369B3F26"/>
    <w:rsid w:val="369B6B2C"/>
    <w:rsid w:val="369D33CF"/>
    <w:rsid w:val="369D517D"/>
    <w:rsid w:val="369E0EF6"/>
    <w:rsid w:val="36A03408"/>
    <w:rsid w:val="36A04C6E"/>
    <w:rsid w:val="36A14795"/>
    <w:rsid w:val="36A77DAA"/>
    <w:rsid w:val="36AA1648"/>
    <w:rsid w:val="36AA39B8"/>
    <w:rsid w:val="36AC53C0"/>
    <w:rsid w:val="36AE738B"/>
    <w:rsid w:val="36B316DA"/>
    <w:rsid w:val="36B62551"/>
    <w:rsid w:val="36B74B2C"/>
    <w:rsid w:val="36BA5D2F"/>
    <w:rsid w:val="36BD137C"/>
    <w:rsid w:val="36BE50F4"/>
    <w:rsid w:val="36BF32BE"/>
    <w:rsid w:val="36C344B8"/>
    <w:rsid w:val="36C4095C"/>
    <w:rsid w:val="36C73FA8"/>
    <w:rsid w:val="36CA5847"/>
    <w:rsid w:val="36CE17DB"/>
    <w:rsid w:val="36CF7301"/>
    <w:rsid w:val="36D27CB5"/>
    <w:rsid w:val="36D546CB"/>
    <w:rsid w:val="36D861B6"/>
    <w:rsid w:val="36D93CDC"/>
    <w:rsid w:val="36DA1F2E"/>
    <w:rsid w:val="36DB5CA6"/>
    <w:rsid w:val="36DD2B68"/>
    <w:rsid w:val="36E01FE0"/>
    <w:rsid w:val="36E25286"/>
    <w:rsid w:val="36E508D2"/>
    <w:rsid w:val="36E65E63"/>
    <w:rsid w:val="36ED1EEB"/>
    <w:rsid w:val="36ED633C"/>
    <w:rsid w:val="36EE3C2B"/>
    <w:rsid w:val="36EF34FF"/>
    <w:rsid w:val="36F11025"/>
    <w:rsid w:val="36F47456"/>
    <w:rsid w:val="36F6663C"/>
    <w:rsid w:val="36FB1EA4"/>
    <w:rsid w:val="36FC292C"/>
    <w:rsid w:val="36FE0E31"/>
    <w:rsid w:val="36FE5B80"/>
    <w:rsid w:val="3701395E"/>
    <w:rsid w:val="37034BCF"/>
    <w:rsid w:val="37052D23"/>
    <w:rsid w:val="37054AD1"/>
    <w:rsid w:val="3707395A"/>
    <w:rsid w:val="370C5E5F"/>
    <w:rsid w:val="371371EE"/>
    <w:rsid w:val="37155B10"/>
    <w:rsid w:val="37164F30"/>
    <w:rsid w:val="37180854"/>
    <w:rsid w:val="371D006C"/>
    <w:rsid w:val="37227431"/>
    <w:rsid w:val="372C6501"/>
    <w:rsid w:val="372E13CA"/>
    <w:rsid w:val="372E5DD5"/>
    <w:rsid w:val="3733163E"/>
    <w:rsid w:val="373830F8"/>
    <w:rsid w:val="373A48BE"/>
    <w:rsid w:val="373B6744"/>
    <w:rsid w:val="373D426B"/>
    <w:rsid w:val="37420939"/>
    <w:rsid w:val="37424565"/>
    <w:rsid w:val="37425D25"/>
    <w:rsid w:val="374470BC"/>
    <w:rsid w:val="374675C3"/>
    <w:rsid w:val="37474C07"/>
    <w:rsid w:val="374B6019"/>
    <w:rsid w:val="374D6BA3"/>
    <w:rsid w:val="37500442"/>
    <w:rsid w:val="3756532C"/>
    <w:rsid w:val="37575712"/>
    <w:rsid w:val="375A7F25"/>
    <w:rsid w:val="375C0B95"/>
    <w:rsid w:val="375D116C"/>
    <w:rsid w:val="37620175"/>
    <w:rsid w:val="37643EED"/>
    <w:rsid w:val="37647A49"/>
    <w:rsid w:val="37682FD3"/>
    <w:rsid w:val="37691503"/>
    <w:rsid w:val="376B0DD8"/>
    <w:rsid w:val="376D2DA2"/>
    <w:rsid w:val="37737C8C"/>
    <w:rsid w:val="37760883"/>
    <w:rsid w:val="37781747"/>
    <w:rsid w:val="37783AA1"/>
    <w:rsid w:val="377F2AD5"/>
    <w:rsid w:val="377F4883"/>
    <w:rsid w:val="37893954"/>
    <w:rsid w:val="378A0189"/>
    <w:rsid w:val="378B4801"/>
    <w:rsid w:val="378B76CC"/>
    <w:rsid w:val="378D51F2"/>
    <w:rsid w:val="379E73FF"/>
    <w:rsid w:val="37A278A0"/>
    <w:rsid w:val="37AB3982"/>
    <w:rsid w:val="37AD0841"/>
    <w:rsid w:val="37AD7642"/>
    <w:rsid w:val="37B07132"/>
    <w:rsid w:val="37B54360"/>
    <w:rsid w:val="37B564F7"/>
    <w:rsid w:val="37BA58BB"/>
    <w:rsid w:val="37BD53AB"/>
    <w:rsid w:val="37C242B9"/>
    <w:rsid w:val="37C408B8"/>
    <w:rsid w:val="37C64260"/>
    <w:rsid w:val="37D20E57"/>
    <w:rsid w:val="37D351ED"/>
    <w:rsid w:val="37D54A07"/>
    <w:rsid w:val="37D90437"/>
    <w:rsid w:val="37D97E4C"/>
    <w:rsid w:val="37DC3A83"/>
    <w:rsid w:val="37DC7F27"/>
    <w:rsid w:val="37DE77FC"/>
    <w:rsid w:val="37E03F72"/>
    <w:rsid w:val="37E312B6"/>
    <w:rsid w:val="37E33064"/>
    <w:rsid w:val="37E44AA4"/>
    <w:rsid w:val="37E46AA7"/>
    <w:rsid w:val="37E62C43"/>
    <w:rsid w:val="37E666B0"/>
    <w:rsid w:val="37EB016A"/>
    <w:rsid w:val="37EB1F18"/>
    <w:rsid w:val="37EB70CB"/>
    <w:rsid w:val="37ED3EE3"/>
    <w:rsid w:val="37F64733"/>
    <w:rsid w:val="37FB65FF"/>
    <w:rsid w:val="37FD7DBA"/>
    <w:rsid w:val="37FE7E9E"/>
    <w:rsid w:val="38042FDA"/>
    <w:rsid w:val="38045A76"/>
    <w:rsid w:val="380D1E8F"/>
    <w:rsid w:val="380E117F"/>
    <w:rsid w:val="380F3E59"/>
    <w:rsid w:val="38190834"/>
    <w:rsid w:val="381921BA"/>
    <w:rsid w:val="381D4C13"/>
    <w:rsid w:val="38211DDE"/>
    <w:rsid w:val="382316B2"/>
    <w:rsid w:val="382947EF"/>
    <w:rsid w:val="382D2E86"/>
    <w:rsid w:val="383438BF"/>
    <w:rsid w:val="38367638"/>
    <w:rsid w:val="38392C84"/>
    <w:rsid w:val="38397128"/>
    <w:rsid w:val="383C5DD6"/>
    <w:rsid w:val="383E029A"/>
    <w:rsid w:val="383E473E"/>
    <w:rsid w:val="38471845"/>
    <w:rsid w:val="3848736B"/>
    <w:rsid w:val="384D672F"/>
    <w:rsid w:val="385201EA"/>
    <w:rsid w:val="38521F98"/>
    <w:rsid w:val="38543F62"/>
    <w:rsid w:val="38563D6C"/>
    <w:rsid w:val="3857135C"/>
    <w:rsid w:val="38577975"/>
    <w:rsid w:val="385C6972"/>
    <w:rsid w:val="38657F1D"/>
    <w:rsid w:val="386E0B07"/>
    <w:rsid w:val="38740160"/>
    <w:rsid w:val="38752EFE"/>
    <w:rsid w:val="387737AC"/>
    <w:rsid w:val="38832151"/>
    <w:rsid w:val="3885236D"/>
    <w:rsid w:val="388F4F9A"/>
    <w:rsid w:val="38910D12"/>
    <w:rsid w:val="38912AC0"/>
    <w:rsid w:val="38934A8A"/>
    <w:rsid w:val="389A0BB8"/>
    <w:rsid w:val="38A50319"/>
    <w:rsid w:val="38A5656B"/>
    <w:rsid w:val="38A87E0A"/>
    <w:rsid w:val="38AA3B82"/>
    <w:rsid w:val="38AF1198"/>
    <w:rsid w:val="38B30C88"/>
    <w:rsid w:val="38B62526"/>
    <w:rsid w:val="38B82D22"/>
    <w:rsid w:val="38B8629F"/>
    <w:rsid w:val="38BB18EB"/>
    <w:rsid w:val="38BD6B23"/>
    <w:rsid w:val="38C435DA"/>
    <w:rsid w:val="38C43E25"/>
    <w:rsid w:val="38CC58A6"/>
    <w:rsid w:val="38CC5B33"/>
    <w:rsid w:val="38CF183A"/>
    <w:rsid w:val="38CF35E8"/>
    <w:rsid w:val="38D37F4B"/>
    <w:rsid w:val="38D46E50"/>
    <w:rsid w:val="38D6668F"/>
    <w:rsid w:val="38D80B0A"/>
    <w:rsid w:val="38D97FC3"/>
    <w:rsid w:val="38DC14F7"/>
    <w:rsid w:val="38E36364"/>
    <w:rsid w:val="38EE1CC0"/>
    <w:rsid w:val="38EF5A38"/>
    <w:rsid w:val="38F17A02"/>
    <w:rsid w:val="38F65019"/>
    <w:rsid w:val="38F848ED"/>
    <w:rsid w:val="38F8669B"/>
    <w:rsid w:val="38FD1F03"/>
    <w:rsid w:val="390019F4"/>
    <w:rsid w:val="39012F5F"/>
    <w:rsid w:val="39050DB8"/>
    <w:rsid w:val="39113C01"/>
    <w:rsid w:val="391A2AB5"/>
    <w:rsid w:val="391F631E"/>
    <w:rsid w:val="39225E0E"/>
    <w:rsid w:val="3925145A"/>
    <w:rsid w:val="392A0C82"/>
    <w:rsid w:val="392E47B3"/>
    <w:rsid w:val="3930052B"/>
    <w:rsid w:val="39382F3B"/>
    <w:rsid w:val="39394BC4"/>
    <w:rsid w:val="393B53E7"/>
    <w:rsid w:val="393D0552"/>
    <w:rsid w:val="393D49F6"/>
    <w:rsid w:val="3942025E"/>
    <w:rsid w:val="394750CB"/>
    <w:rsid w:val="39494261"/>
    <w:rsid w:val="394C61B4"/>
    <w:rsid w:val="394E6C03"/>
    <w:rsid w:val="395064D7"/>
    <w:rsid w:val="39513FFD"/>
    <w:rsid w:val="39535FC7"/>
    <w:rsid w:val="395A05A6"/>
    <w:rsid w:val="39602492"/>
    <w:rsid w:val="396106E4"/>
    <w:rsid w:val="39627FB8"/>
    <w:rsid w:val="396957EB"/>
    <w:rsid w:val="396B7DEA"/>
    <w:rsid w:val="396E4BAF"/>
    <w:rsid w:val="39700927"/>
    <w:rsid w:val="39706B79"/>
    <w:rsid w:val="3971644D"/>
    <w:rsid w:val="397217C8"/>
    <w:rsid w:val="397A79F8"/>
    <w:rsid w:val="397C1E1E"/>
    <w:rsid w:val="397D1296"/>
    <w:rsid w:val="397D3044"/>
    <w:rsid w:val="3983100C"/>
    <w:rsid w:val="3986014B"/>
    <w:rsid w:val="3986639D"/>
    <w:rsid w:val="398E5251"/>
    <w:rsid w:val="39902180"/>
    <w:rsid w:val="3995213C"/>
    <w:rsid w:val="399A09D4"/>
    <w:rsid w:val="399C2A22"/>
    <w:rsid w:val="399E2974"/>
    <w:rsid w:val="399E6794"/>
    <w:rsid w:val="39A131D7"/>
    <w:rsid w:val="39A46823"/>
    <w:rsid w:val="39A6259B"/>
    <w:rsid w:val="39A84565"/>
    <w:rsid w:val="39AB5E03"/>
    <w:rsid w:val="39AB7BB1"/>
    <w:rsid w:val="39AF6E3D"/>
    <w:rsid w:val="39B0341A"/>
    <w:rsid w:val="39B051C8"/>
    <w:rsid w:val="39B12CEE"/>
    <w:rsid w:val="39B90520"/>
    <w:rsid w:val="39BB78C7"/>
    <w:rsid w:val="39BF18AF"/>
    <w:rsid w:val="39BF668E"/>
    <w:rsid w:val="39C11183"/>
    <w:rsid w:val="39C42A21"/>
    <w:rsid w:val="39C62978"/>
    <w:rsid w:val="39CB2002"/>
    <w:rsid w:val="39CD5D7A"/>
    <w:rsid w:val="39CE597F"/>
    <w:rsid w:val="39D32C64"/>
    <w:rsid w:val="39D8471E"/>
    <w:rsid w:val="39D96878"/>
    <w:rsid w:val="39DC5FBD"/>
    <w:rsid w:val="39DE7F87"/>
    <w:rsid w:val="39E2749E"/>
    <w:rsid w:val="39E3559D"/>
    <w:rsid w:val="39EA2D8B"/>
    <w:rsid w:val="39EB6200"/>
    <w:rsid w:val="39ED01CA"/>
    <w:rsid w:val="39EE5CF0"/>
    <w:rsid w:val="39F257E0"/>
    <w:rsid w:val="39FE1322"/>
    <w:rsid w:val="39FF1EC0"/>
    <w:rsid w:val="3A015A23"/>
    <w:rsid w:val="3A016441"/>
    <w:rsid w:val="3A0177D1"/>
    <w:rsid w:val="3A055283"/>
    <w:rsid w:val="3A092B2A"/>
    <w:rsid w:val="3A0C143C"/>
    <w:rsid w:val="3A105C66"/>
    <w:rsid w:val="3A125E82"/>
    <w:rsid w:val="3A127C30"/>
    <w:rsid w:val="3A1439A9"/>
    <w:rsid w:val="3A145757"/>
    <w:rsid w:val="3A190FBF"/>
    <w:rsid w:val="3A1A4D37"/>
    <w:rsid w:val="3A1F40FB"/>
    <w:rsid w:val="3A231646"/>
    <w:rsid w:val="3A250E0D"/>
    <w:rsid w:val="3A26548A"/>
    <w:rsid w:val="3A266CCC"/>
    <w:rsid w:val="3A2B0CF2"/>
    <w:rsid w:val="3A2B16AE"/>
    <w:rsid w:val="3A2B484E"/>
    <w:rsid w:val="3A323E2F"/>
    <w:rsid w:val="3A32526F"/>
    <w:rsid w:val="3A3556CD"/>
    <w:rsid w:val="3A396F6B"/>
    <w:rsid w:val="3A3E0A25"/>
    <w:rsid w:val="3A414072"/>
    <w:rsid w:val="3A451DB4"/>
    <w:rsid w:val="3A4D2A17"/>
    <w:rsid w:val="3A4E3759"/>
    <w:rsid w:val="3A4F2C33"/>
    <w:rsid w:val="3A4F49E1"/>
    <w:rsid w:val="3A522C54"/>
    <w:rsid w:val="3A573895"/>
    <w:rsid w:val="3A5E4C24"/>
    <w:rsid w:val="3A663AD8"/>
    <w:rsid w:val="3A685AA2"/>
    <w:rsid w:val="3A68758F"/>
    <w:rsid w:val="3A695377"/>
    <w:rsid w:val="3A6B10EF"/>
    <w:rsid w:val="3A6C475E"/>
    <w:rsid w:val="3A6D4E67"/>
    <w:rsid w:val="3A712BA9"/>
    <w:rsid w:val="3A7368B4"/>
    <w:rsid w:val="3A744447"/>
    <w:rsid w:val="3A751F6D"/>
    <w:rsid w:val="3A763C53"/>
    <w:rsid w:val="3A766411"/>
    <w:rsid w:val="3A78116B"/>
    <w:rsid w:val="3A791A5E"/>
    <w:rsid w:val="3A7D408B"/>
    <w:rsid w:val="3A7E52C6"/>
    <w:rsid w:val="3A7E7074"/>
    <w:rsid w:val="3A810912"/>
    <w:rsid w:val="3A836438"/>
    <w:rsid w:val="3A84453E"/>
    <w:rsid w:val="3A8521B0"/>
    <w:rsid w:val="3A8601A8"/>
    <w:rsid w:val="3A8723CC"/>
    <w:rsid w:val="3A880D96"/>
    <w:rsid w:val="3A8827B8"/>
    <w:rsid w:val="3A8A3C6B"/>
    <w:rsid w:val="3A8B353F"/>
    <w:rsid w:val="3A91750A"/>
    <w:rsid w:val="3A9C574C"/>
    <w:rsid w:val="3A9C7348"/>
    <w:rsid w:val="3AA12D62"/>
    <w:rsid w:val="3AA20FB4"/>
    <w:rsid w:val="3AA41612"/>
    <w:rsid w:val="3AA45CB6"/>
    <w:rsid w:val="3AAA60BB"/>
    <w:rsid w:val="3AAB6C4F"/>
    <w:rsid w:val="3AB24F6F"/>
    <w:rsid w:val="3AB26D1E"/>
    <w:rsid w:val="3AC56A51"/>
    <w:rsid w:val="3AC76C6D"/>
    <w:rsid w:val="3AC802EF"/>
    <w:rsid w:val="3AC9755C"/>
    <w:rsid w:val="3ACD1DA9"/>
    <w:rsid w:val="3AD1189A"/>
    <w:rsid w:val="3AD4138A"/>
    <w:rsid w:val="3AD60C5E"/>
    <w:rsid w:val="3AD66EB0"/>
    <w:rsid w:val="3AD96C13"/>
    <w:rsid w:val="3ADB0022"/>
    <w:rsid w:val="3ADC3D9A"/>
    <w:rsid w:val="3AE113B1"/>
    <w:rsid w:val="3AF235BE"/>
    <w:rsid w:val="3AF42149"/>
    <w:rsid w:val="3AFB2473"/>
    <w:rsid w:val="3B00217F"/>
    <w:rsid w:val="3B003F2D"/>
    <w:rsid w:val="3B0312A1"/>
    <w:rsid w:val="3B084B8F"/>
    <w:rsid w:val="3B091033"/>
    <w:rsid w:val="3B0A4DAB"/>
    <w:rsid w:val="3B0C0B24"/>
    <w:rsid w:val="3B135A0E"/>
    <w:rsid w:val="3B16734F"/>
    <w:rsid w:val="3B167C0B"/>
    <w:rsid w:val="3B181276"/>
    <w:rsid w:val="3B1F0857"/>
    <w:rsid w:val="3B20637D"/>
    <w:rsid w:val="3B20692C"/>
    <w:rsid w:val="3B2319C9"/>
    <w:rsid w:val="3B240E97"/>
    <w:rsid w:val="3B247C1B"/>
    <w:rsid w:val="3B251BE5"/>
    <w:rsid w:val="3B255D13"/>
    <w:rsid w:val="3B27770B"/>
    <w:rsid w:val="3B374E9C"/>
    <w:rsid w:val="3B384E25"/>
    <w:rsid w:val="3B3911ED"/>
    <w:rsid w:val="3B3B6D13"/>
    <w:rsid w:val="3B3C718F"/>
    <w:rsid w:val="3B424545"/>
    <w:rsid w:val="3B4262F3"/>
    <w:rsid w:val="3B443E1A"/>
    <w:rsid w:val="3B460044"/>
    <w:rsid w:val="3B4C5C32"/>
    <w:rsid w:val="3B4C67D8"/>
    <w:rsid w:val="3B4E4C98"/>
    <w:rsid w:val="3B4F27BE"/>
    <w:rsid w:val="3B55139D"/>
    <w:rsid w:val="3B5A1C91"/>
    <w:rsid w:val="3B6B3A9C"/>
    <w:rsid w:val="3B6B584A"/>
    <w:rsid w:val="3B6E533A"/>
    <w:rsid w:val="3B6F4C0F"/>
    <w:rsid w:val="3B714E2B"/>
    <w:rsid w:val="3B716BD9"/>
    <w:rsid w:val="3B722D63"/>
    <w:rsid w:val="3B783AC3"/>
    <w:rsid w:val="3B7A783B"/>
    <w:rsid w:val="3B7F30A4"/>
    <w:rsid w:val="3B806E1C"/>
    <w:rsid w:val="3B8A07A5"/>
    <w:rsid w:val="3B910593"/>
    <w:rsid w:val="3B985F13"/>
    <w:rsid w:val="3B99523B"/>
    <w:rsid w:val="3B9C4E79"/>
    <w:rsid w:val="3B9D352A"/>
    <w:rsid w:val="3B9F54F4"/>
    <w:rsid w:val="3BA1126C"/>
    <w:rsid w:val="3BA23236"/>
    <w:rsid w:val="3BA448B8"/>
    <w:rsid w:val="3BA9378A"/>
    <w:rsid w:val="3BA945C4"/>
    <w:rsid w:val="3BA9567F"/>
    <w:rsid w:val="3BAC5E63"/>
    <w:rsid w:val="3BAE4FCF"/>
    <w:rsid w:val="3BB014AF"/>
    <w:rsid w:val="3BB0325D"/>
    <w:rsid w:val="3BB16FD5"/>
    <w:rsid w:val="3BB40E41"/>
    <w:rsid w:val="3BB4717C"/>
    <w:rsid w:val="3BB865B6"/>
    <w:rsid w:val="3BBA232E"/>
    <w:rsid w:val="3BBC42F8"/>
    <w:rsid w:val="3BBF5492"/>
    <w:rsid w:val="3BC1190E"/>
    <w:rsid w:val="3BC907C3"/>
    <w:rsid w:val="3BC91BD6"/>
    <w:rsid w:val="3BCE7B87"/>
    <w:rsid w:val="3BD76CB6"/>
    <w:rsid w:val="3BD81617"/>
    <w:rsid w:val="3BDD7DCA"/>
    <w:rsid w:val="3BE164EA"/>
    <w:rsid w:val="3BE23632"/>
    <w:rsid w:val="3BE45256"/>
    <w:rsid w:val="3BE60A52"/>
    <w:rsid w:val="3BE61128"/>
    <w:rsid w:val="3BE70C49"/>
    <w:rsid w:val="3BE86E9B"/>
    <w:rsid w:val="3BEC707E"/>
    <w:rsid w:val="3BEF3A59"/>
    <w:rsid w:val="3BF50BF3"/>
    <w:rsid w:val="3BF55114"/>
    <w:rsid w:val="3BF910A8"/>
    <w:rsid w:val="3BFE66BE"/>
    <w:rsid w:val="3C096E11"/>
    <w:rsid w:val="3C0B0DDB"/>
    <w:rsid w:val="3C0D413C"/>
    <w:rsid w:val="3C0D4B53"/>
    <w:rsid w:val="3C0D65B5"/>
    <w:rsid w:val="3C123F18"/>
    <w:rsid w:val="3C145EFF"/>
    <w:rsid w:val="3C17152E"/>
    <w:rsid w:val="3C1934F8"/>
    <w:rsid w:val="3C1A2DCC"/>
    <w:rsid w:val="3C1A7270"/>
    <w:rsid w:val="3C1C6B44"/>
    <w:rsid w:val="3C1F3E60"/>
    <w:rsid w:val="3C217EE4"/>
    <w:rsid w:val="3C2E0626"/>
    <w:rsid w:val="3C357C06"/>
    <w:rsid w:val="3C391D8E"/>
    <w:rsid w:val="3C3A521C"/>
    <w:rsid w:val="3C4147FD"/>
    <w:rsid w:val="3C4605F3"/>
    <w:rsid w:val="3C461E13"/>
    <w:rsid w:val="3C471EF3"/>
    <w:rsid w:val="3C4E0CC8"/>
    <w:rsid w:val="3C4F6F1A"/>
    <w:rsid w:val="3C502C92"/>
    <w:rsid w:val="3C5A6340"/>
    <w:rsid w:val="3C5F4C83"/>
    <w:rsid w:val="3C6109FB"/>
    <w:rsid w:val="3C6127A9"/>
    <w:rsid w:val="3C683B38"/>
    <w:rsid w:val="3C691CF2"/>
    <w:rsid w:val="3C6978B0"/>
    <w:rsid w:val="3C6A11AE"/>
    <w:rsid w:val="3C6D55F2"/>
    <w:rsid w:val="3C6E77BC"/>
    <w:rsid w:val="3C706E90"/>
    <w:rsid w:val="3C7324DC"/>
    <w:rsid w:val="3C74072E"/>
    <w:rsid w:val="3C75078B"/>
    <w:rsid w:val="3C797AF3"/>
    <w:rsid w:val="3C7B3647"/>
    <w:rsid w:val="3C805325"/>
    <w:rsid w:val="3C860462"/>
    <w:rsid w:val="3C8D17A0"/>
    <w:rsid w:val="3C8F37BA"/>
    <w:rsid w:val="3C9506A5"/>
    <w:rsid w:val="3C983B5D"/>
    <w:rsid w:val="3C9A11D3"/>
    <w:rsid w:val="3C9B3F0D"/>
    <w:rsid w:val="3CA134EE"/>
    <w:rsid w:val="3CA21500"/>
    <w:rsid w:val="3CA37266"/>
    <w:rsid w:val="3CA60B04"/>
    <w:rsid w:val="3CA8662A"/>
    <w:rsid w:val="3CAB24D0"/>
    <w:rsid w:val="3CB72D11"/>
    <w:rsid w:val="3CB7686D"/>
    <w:rsid w:val="3CBC3E83"/>
    <w:rsid w:val="3CBC5C91"/>
    <w:rsid w:val="3CBE05CE"/>
    <w:rsid w:val="3CBE19AA"/>
    <w:rsid w:val="3CBE7045"/>
    <w:rsid w:val="3CBE7BFC"/>
    <w:rsid w:val="3CC1149A"/>
    <w:rsid w:val="3CC21B20"/>
    <w:rsid w:val="3CCA02B2"/>
    <w:rsid w:val="3CCF044E"/>
    <w:rsid w:val="3CD016DD"/>
    <w:rsid w:val="3CD15B81"/>
    <w:rsid w:val="3CD1792F"/>
    <w:rsid w:val="3CD218F9"/>
    <w:rsid w:val="3CD967E3"/>
    <w:rsid w:val="3CDA57AD"/>
    <w:rsid w:val="3CDB69FF"/>
    <w:rsid w:val="3CE11114"/>
    <w:rsid w:val="3CE37662"/>
    <w:rsid w:val="3CE82ECA"/>
    <w:rsid w:val="3CED228F"/>
    <w:rsid w:val="3CF11D7F"/>
    <w:rsid w:val="3CF7310E"/>
    <w:rsid w:val="3CF772CF"/>
    <w:rsid w:val="3CF90C34"/>
    <w:rsid w:val="3CF947C0"/>
    <w:rsid w:val="3CF96E86"/>
    <w:rsid w:val="3CFB0E50"/>
    <w:rsid w:val="3CFE449C"/>
    <w:rsid w:val="3CFE624A"/>
    <w:rsid w:val="3CFF7DD1"/>
    <w:rsid w:val="3D001FC2"/>
    <w:rsid w:val="3D023F8C"/>
    <w:rsid w:val="3D037D04"/>
    <w:rsid w:val="3D05582A"/>
    <w:rsid w:val="3D0715A3"/>
    <w:rsid w:val="3D076AAE"/>
    <w:rsid w:val="3D08531B"/>
    <w:rsid w:val="3D0870C9"/>
    <w:rsid w:val="3D0F48FB"/>
    <w:rsid w:val="3D12337E"/>
    <w:rsid w:val="3D184472"/>
    <w:rsid w:val="3D1D247A"/>
    <w:rsid w:val="3D1E68EC"/>
    <w:rsid w:val="3D2263DC"/>
    <w:rsid w:val="3D233F03"/>
    <w:rsid w:val="3D2C725B"/>
    <w:rsid w:val="3D2E2FD3"/>
    <w:rsid w:val="3D347EBE"/>
    <w:rsid w:val="3D363C36"/>
    <w:rsid w:val="3D3B749E"/>
    <w:rsid w:val="3D402D06"/>
    <w:rsid w:val="3D406863"/>
    <w:rsid w:val="3D45031D"/>
    <w:rsid w:val="3D475E43"/>
    <w:rsid w:val="3D491BBB"/>
    <w:rsid w:val="3D4A2BD7"/>
    <w:rsid w:val="3D4C5F1D"/>
    <w:rsid w:val="3D516CC2"/>
    <w:rsid w:val="3D5227F9"/>
    <w:rsid w:val="3D536596"/>
    <w:rsid w:val="3D5F318D"/>
    <w:rsid w:val="3D605157"/>
    <w:rsid w:val="3D622C7D"/>
    <w:rsid w:val="3D65451B"/>
    <w:rsid w:val="3D670293"/>
    <w:rsid w:val="3D687B67"/>
    <w:rsid w:val="3D6A1B31"/>
    <w:rsid w:val="3D6A7D83"/>
    <w:rsid w:val="3D6C72B3"/>
    <w:rsid w:val="3D702C5A"/>
    <w:rsid w:val="3D712D52"/>
    <w:rsid w:val="3D7529B0"/>
    <w:rsid w:val="3D766728"/>
    <w:rsid w:val="3D7824A0"/>
    <w:rsid w:val="3D785FFC"/>
    <w:rsid w:val="3D790ED4"/>
    <w:rsid w:val="3D7A6218"/>
    <w:rsid w:val="3D7B3D3F"/>
    <w:rsid w:val="3D7B5AED"/>
    <w:rsid w:val="3D7D1865"/>
    <w:rsid w:val="3D7D7AB7"/>
    <w:rsid w:val="3D7F382F"/>
    <w:rsid w:val="3D840E45"/>
    <w:rsid w:val="3D842BF3"/>
    <w:rsid w:val="3D85696B"/>
    <w:rsid w:val="3D864BBD"/>
    <w:rsid w:val="3D874491"/>
    <w:rsid w:val="3D87623F"/>
    <w:rsid w:val="3D8A4880"/>
    <w:rsid w:val="3D8D69A3"/>
    <w:rsid w:val="3D8E65E6"/>
    <w:rsid w:val="3D932E36"/>
    <w:rsid w:val="3D955947"/>
    <w:rsid w:val="3D960B78"/>
    <w:rsid w:val="3D9B618F"/>
    <w:rsid w:val="3D9F7A2D"/>
    <w:rsid w:val="3DA02290"/>
    <w:rsid w:val="3DA037A5"/>
    <w:rsid w:val="3DA46DF1"/>
    <w:rsid w:val="3DA803B0"/>
    <w:rsid w:val="3DB246A5"/>
    <w:rsid w:val="3DB35286"/>
    <w:rsid w:val="3DBB413B"/>
    <w:rsid w:val="3DBD7EB3"/>
    <w:rsid w:val="3DBF1E7D"/>
    <w:rsid w:val="3DC15BF5"/>
    <w:rsid w:val="3DC2371B"/>
    <w:rsid w:val="3DC6320C"/>
    <w:rsid w:val="3DC94AAA"/>
    <w:rsid w:val="3DCC6348"/>
    <w:rsid w:val="3DCD7770"/>
    <w:rsid w:val="3DD0408A"/>
    <w:rsid w:val="3DD31EFC"/>
    <w:rsid w:val="3DD376D7"/>
    <w:rsid w:val="3DD84CED"/>
    <w:rsid w:val="3DDD2303"/>
    <w:rsid w:val="3DDE0AF1"/>
    <w:rsid w:val="3DE90CA8"/>
    <w:rsid w:val="3DEC2546"/>
    <w:rsid w:val="3DEE62BF"/>
    <w:rsid w:val="3DF153E6"/>
    <w:rsid w:val="3DF15DAF"/>
    <w:rsid w:val="3DF8538F"/>
    <w:rsid w:val="3DFA2EB5"/>
    <w:rsid w:val="3DFB09DB"/>
    <w:rsid w:val="3DFD29A6"/>
    <w:rsid w:val="3E014244"/>
    <w:rsid w:val="3E02162D"/>
    <w:rsid w:val="3E06185A"/>
    <w:rsid w:val="3E071210"/>
    <w:rsid w:val="3E07248B"/>
    <w:rsid w:val="3E1201FF"/>
    <w:rsid w:val="3E1677F2"/>
    <w:rsid w:val="3E18158D"/>
    <w:rsid w:val="3E1877DF"/>
    <w:rsid w:val="3E1F0B6E"/>
    <w:rsid w:val="3E1F291C"/>
    <w:rsid w:val="3E216046"/>
    <w:rsid w:val="3E246184"/>
    <w:rsid w:val="3E2B12C1"/>
    <w:rsid w:val="3E2B306F"/>
    <w:rsid w:val="3E2E064A"/>
    <w:rsid w:val="3E2E0DB1"/>
    <w:rsid w:val="3E2E7003"/>
    <w:rsid w:val="3E330175"/>
    <w:rsid w:val="3E3626AC"/>
    <w:rsid w:val="3E416D36"/>
    <w:rsid w:val="3E435CB3"/>
    <w:rsid w:val="3E4942AA"/>
    <w:rsid w:val="3E502554"/>
    <w:rsid w:val="3E5235C3"/>
    <w:rsid w:val="3E5500EC"/>
    <w:rsid w:val="3E55633E"/>
    <w:rsid w:val="3E5716A8"/>
    <w:rsid w:val="3E587BDC"/>
    <w:rsid w:val="3E594080"/>
    <w:rsid w:val="3E5959D1"/>
    <w:rsid w:val="3E595E2E"/>
    <w:rsid w:val="3E5A3954"/>
    <w:rsid w:val="3E5C147A"/>
    <w:rsid w:val="3E5C591E"/>
    <w:rsid w:val="3E612F34"/>
    <w:rsid w:val="3E6350CC"/>
    <w:rsid w:val="3E682515"/>
    <w:rsid w:val="3E691DE9"/>
    <w:rsid w:val="3E6B623F"/>
    <w:rsid w:val="3E6E1261"/>
    <w:rsid w:val="3E6F5ADD"/>
    <w:rsid w:val="3E75078E"/>
    <w:rsid w:val="3E750F66"/>
    <w:rsid w:val="3E75253C"/>
    <w:rsid w:val="3E7964D0"/>
    <w:rsid w:val="3E7A1E9F"/>
    <w:rsid w:val="3E7A5DA4"/>
    <w:rsid w:val="3E7E5894"/>
    <w:rsid w:val="3E7F160D"/>
    <w:rsid w:val="3E810EE1"/>
    <w:rsid w:val="3E854E75"/>
    <w:rsid w:val="3E860BED"/>
    <w:rsid w:val="3E876CE6"/>
    <w:rsid w:val="3E8A248B"/>
    <w:rsid w:val="3E8E2DB7"/>
    <w:rsid w:val="3E8F1850"/>
    <w:rsid w:val="3E926441"/>
    <w:rsid w:val="3E94330A"/>
    <w:rsid w:val="3E974BA8"/>
    <w:rsid w:val="3E9A1FA2"/>
    <w:rsid w:val="3EAD617A"/>
    <w:rsid w:val="3EB07A18"/>
    <w:rsid w:val="3EB412B6"/>
    <w:rsid w:val="3EBA2645"/>
    <w:rsid w:val="3EBD7A0F"/>
    <w:rsid w:val="3EBF1A09"/>
    <w:rsid w:val="3EC62B88"/>
    <w:rsid w:val="3ECB4852"/>
    <w:rsid w:val="3ED6747E"/>
    <w:rsid w:val="3ED71449"/>
    <w:rsid w:val="3EDE4585"/>
    <w:rsid w:val="3EE17BD1"/>
    <w:rsid w:val="3EEA117C"/>
    <w:rsid w:val="3EEA4CD8"/>
    <w:rsid w:val="3EED2A1A"/>
    <w:rsid w:val="3EF21DDE"/>
    <w:rsid w:val="3EF618CF"/>
    <w:rsid w:val="3EF868E3"/>
    <w:rsid w:val="3EF9316D"/>
    <w:rsid w:val="3EF94F1B"/>
    <w:rsid w:val="3EFD0EAF"/>
    <w:rsid w:val="3F025137"/>
    <w:rsid w:val="3F051B12"/>
    <w:rsid w:val="3F0A35CC"/>
    <w:rsid w:val="3F0A537A"/>
    <w:rsid w:val="3F0C10F2"/>
    <w:rsid w:val="3F0D09C6"/>
    <w:rsid w:val="3F0D4E6A"/>
    <w:rsid w:val="3F0F473E"/>
    <w:rsid w:val="3F136CC1"/>
    <w:rsid w:val="3F163D1F"/>
    <w:rsid w:val="3F1735F3"/>
    <w:rsid w:val="3F1955BD"/>
    <w:rsid w:val="3F1E0E25"/>
    <w:rsid w:val="3F20694C"/>
    <w:rsid w:val="3F2301EA"/>
    <w:rsid w:val="3F235CAB"/>
    <w:rsid w:val="3F2521B4"/>
    <w:rsid w:val="3F277DAD"/>
    <w:rsid w:val="3F285C7B"/>
    <w:rsid w:val="3F2C3542"/>
    <w:rsid w:val="3F2F08A8"/>
    <w:rsid w:val="3F32042D"/>
    <w:rsid w:val="3F346B36"/>
    <w:rsid w:val="3F3D5750"/>
    <w:rsid w:val="3F422D66"/>
    <w:rsid w:val="3F485EA2"/>
    <w:rsid w:val="3F496996"/>
    <w:rsid w:val="3F4A39C9"/>
    <w:rsid w:val="3F4A5777"/>
    <w:rsid w:val="3F4D5267"/>
    <w:rsid w:val="3F56036D"/>
    <w:rsid w:val="3F5900B0"/>
    <w:rsid w:val="3F5B3E28"/>
    <w:rsid w:val="3F5D194E"/>
    <w:rsid w:val="3F6031EC"/>
    <w:rsid w:val="3F626F64"/>
    <w:rsid w:val="3F642278"/>
    <w:rsid w:val="3F656A54"/>
    <w:rsid w:val="3F676329"/>
    <w:rsid w:val="3F6D40F6"/>
    <w:rsid w:val="3F7171A7"/>
    <w:rsid w:val="3F74620D"/>
    <w:rsid w:val="3F746D26"/>
    <w:rsid w:val="3F767786"/>
    <w:rsid w:val="3F786788"/>
    <w:rsid w:val="3F79526A"/>
    <w:rsid w:val="3F7A3AC2"/>
    <w:rsid w:val="3F7D3D9E"/>
    <w:rsid w:val="3F8073EA"/>
    <w:rsid w:val="3F830C89"/>
    <w:rsid w:val="3F841CFC"/>
    <w:rsid w:val="3F8838CF"/>
    <w:rsid w:val="3F890995"/>
    <w:rsid w:val="3F8C1CD0"/>
    <w:rsid w:val="3F8C3FE1"/>
    <w:rsid w:val="3F8E5FAB"/>
    <w:rsid w:val="3F9115F7"/>
    <w:rsid w:val="3F964E60"/>
    <w:rsid w:val="3F9904AC"/>
    <w:rsid w:val="3F9D4665"/>
    <w:rsid w:val="3FA05CDE"/>
    <w:rsid w:val="3FA07A8C"/>
    <w:rsid w:val="3FA27361"/>
    <w:rsid w:val="3FA330D9"/>
    <w:rsid w:val="3FA530A3"/>
    <w:rsid w:val="3FA56E51"/>
    <w:rsid w:val="3FAB68BC"/>
    <w:rsid w:val="3FAC38F4"/>
    <w:rsid w:val="3FB52739"/>
    <w:rsid w:val="3FBF6165"/>
    <w:rsid w:val="3FC76DC7"/>
    <w:rsid w:val="3FC90D91"/>
    <w:rsid w:val="3FC96FE3"/>
    <w:rsid w:val="3FCC262F"/>
    <w:rsid w:val="3FCF2120"/>
    <w:rsid w:val="3FCF6064"/>
    <w:rsid w:val="3FD12164"/>
    <w:rsid w:val="3FD6525C"/>
    <w:rsid w:val="3FDA0202"/>
    <w:rsid w:val="3FDA11F0"/>
    <w:rsid w:val="3FDB2873"/>
    <w:rsid w:val="3FE060DB"/>
    <w:rsid w:val="3FE212A4"/>
    <w:rsid w:val="3FE21E53"/>
    <w:rsid w:val="3FE478F9"/>
    <w:rsid w:val="3FE66D36"/>
    <w:rsid w:val="3FE77469"/>
    <w:rsid w:val="3FEC2CD2"/>
    <w:rsid w:val="3FEE25A6"/>
    <w:rsid w:val="3FF74EF0"/>
    <w:rsid w:val="3FF83425"/>
    <w:rsid w:val="3FFB0761"/>
    <w:rsid w:val="3FFB4CC3"/>
    <w:rsid w:val="3FFF4F2D"/>
    <w:rsid w:val="40026051"/>
    <w:rsid w:val="400B31BF"/>
    <w:rsid w:val="401527BC"/>
    <w:rsid w:val="40153FD6"/>
    <w:rsid w:val="40195E74"/>
    <w:rsid w:val="401C35B7"/>
    <w:rsid w:val="401D2E8B"/>
    <w:rsid w:val="401D6B00"/>
    <w:rsid w:val="4024246B"/>
    <w:rsid w:val="40242C9D"/>
    <w:rsid w:val="40251D40"/>
    <w:rsid w:val="40324B88"/>
    <w:rsid w:val="403703F1"/>
    <w:rsid w:val="403C77B5"/>
    <w:rsid w:val="403F1053"/>
    <w:rsid w:val="404831FE"/>
    <w:rsid w:val="404C3770"/>
    <w:rsid w:val="404E7113"/>
    <w:rsid w:val="40511B68"/>
    <w:rsid w:val="405E5702"/>
    <w:rsid w:val="405F0517"/>
    <w:rsid w:val="4061721C"/>
    <w:rsid w:val="4063054B"/>
    <w:rsid w:val="40644F5E"/>
    <w:rsid w:val="40646D0C"/>
    <w:rsid w:val="40664832"/>
    <w:rsid w:val="40672358"/>
    <w:rsid w:val="406D5BC1"/>
    <w:rsid w:val="40750F19"/>
    <w:rsid w:val="40776A3F"/>
    <w:rsid w:val="407A681D"/>
    <w:rsid w:val="407C5E04"/>
    <w:rsid w:val="407D392A"/>
    <w:rsid w:val="4081166C"/>
    <w:rsid w:val="40850A58"/>
    <w:rsid w:val="408847A8"/>
    <w:rsid w:val="40890521"/>
    <w:rsid w:val="40896772"/>
    <w:rsid w:val="408B4299"/>
    <w:rsid w:val="408B6047"/>
    <w:rsid w:val="408D0011"/>
    <w:rsid w:val="408D71EA"/>
    <w:rsid w:val="4093314D"/>
    <w:rsid w:val="40972C3D"/>
    <w:rsid w:val="4099576A"/>
    <w:rsid w:val="409A0980"/>
    <w:rsid w:val="40A47108"/>
    <w:rsid w:val="40A560BB"/>
    <w:rsid w:val="40A806BA"/>
    <w:rsid w:val="40AD67D4"/>
    <w:rsid w:val="40AF61D9"/>
    <w:rsid w:val="40B27A77"/>
    <w:rsid w:val="40B362CD"/>
    <w:rsid w:val="40B51316"/>
    <w:rsid w:val="40B97058"/>
    <w:rsid w:val="40BE466E"/>
    <w:rsid w:val="40C003E6"/>
    <w:rsid w:val="40C1415E"/>
    <w:rsid w:val="40C27F71"/>
    <w:rsid w:val="40C31C84"/>
    <w:rsid w:val="40C335CB"/>
    <w:rsid w:val="40C81049"/>
    <w:rsid w:val="40CC2FE3"/>
    <w:rsid w:val="40D23C76"/>
    <w:rsid w:val="40D774DE"/>
    <w:rsid w:val="40DA6FCE"/>
    <w:rsid w:val="40DF157D"/>
    <w:rsid w:val="40E35E83"/>
    <w:rsid w:val="40E562DD"/>
    <w:rsid w:val="40E63BC5"/>
    <w:rsid w:val="40E67721"/>
    <w:rsid w:val="40E952E6"/>
    <w:rsid w:val="40ED1A7B"/>
    <w:rsid w:val="40EE7B1D"/>
    <w:rsid w:val="40F005A0"/>
    <w:rsid w:val="40F2256A"/>
    <w:rsid w:val="40F276D3"/>
    <w:rsid w:val="40F41E3E"/>
    <w:rsid w:val="40F736DC"/>
    <w:rsid w:val="40FA6487"/>
    <w:rsid w:val="40FC0CF2"/>
    <w:rsid w:val="410C362B"/>
    <w:rsid w:val="410D2F00"/>
    <w:rsid w:val="41103C6B"/>
    <w:rsid w:val="4110479E"/>
    <w:rsid w:val="41114BBA"/>
    <w:rsid w:val="41120516"/>
    <w:rsid w:val="41126AEB"/>
    <w:rsid w:val="41175793"/>
    <w:rsid w:val="411C3143"/>
    <w:rsid w:val="411C75E7"/>
    <w:rsid w:val="412169AB"/>
    <w:rsid w:val="41241D87"/>
    <w:rsid w:val="412546ED"/>
    <w:rsid w:val="4125649B"/>
    <w:rsid w:val="41287D39"/>
    <w:rsid w:val="412F0F7D"/>
    <w:rsid w:val="413466DE"/>
    <w:rsid w:val="41347F55"/>
    <w:rsid w:val="413A424B"/>
    <w:rsid w:val="413C37E5"/>
    <w:rsid w:val="413C5593"/>
    <w:rsid w:val="413F7AE6"/>
    <w:rsid w:val="41410DFB"/>
    <w:rsid w:val="41410E54"/>
    <w:rsid w:val="41457180"/>
    <w:rsid w:val="41466412"/>
    <w:rsid w:val="4148218A"/>
    <w:rsid w:val="41483F38"/>
    <w:rsid w:val="414D4FAE"/>
    <w:rsid w:val="414F3518"/>
    <w:rsid w:val="414F52C6"/>
    <w:rsid w:val="41526B64"/>
    <w:rsid w:val="41540B2E"/>
    <w:rsid w:val="415428DD"/>
    <w:rsid w:val="41562AF9"/>
    <w:rsid w:val="41581D4D"/>
    <w:rsid w:val="41596145"/>
    <w:rsid w:val="41597EF3"/>
    <w:rsid w:val="415C79E3"/>
    <w:rsid w:val="41601281"/>
    <w:rsid w:val="416074D3"/>
    <w:rsid w:val="41630D72"/>
    <w:rsid w:val="41636FC4"/>
    <w:rsid w:val="416A65A4"/>
    <w:rsid w:val="416C126A"/>
    <w:rsid w:val="416C231C"/>
    <w:rsid w:val="416C67D4"/>
    <w:rsid w:val="41717932"/>
    <w:rsid w:val="41790595"/>
    <w:rsid w:val="4181094E"/>
    <w:rsid w:val="41840582"/>
    <w:rsid w:val="41866897"/>
    <w:rsid w:val="418807D8"/>
    <w:rsid w:val="41886A2A"/>
    <w:rsid w:val="418D5DEE"/>
    <w:rsid w:val="418E2292"/>
    <w:rsid w:val="419929E5"/>
    <w:rsid w:val="419C7ECA"/>
    <w:rsid w:val="419D24D5"/>
    <w:rsid w:val="419E1DAA"/>
    <w:rsid w:val="41A028AC"/>
    <w:rsid w:val="41A04232"/>
    <w:rsid w:val="41A43864"/>
    <w:rsid w:val="41A5138A"/>
    <w:rsid w:val="41A82C28"/>
    <w:rsid w:val="41AA4BF2"/>
    <w:rsid w:val="41AC096A"/>
    <w:rsid w:val="41AE6491"/>
    <w:rsid w:val="41AF2209"/>
    <w:rsid w:val="41AF633F"/>
    <w:rsid w:val="41B07B63"/>
    <w:rsid w:val="41B56B45"/>
    <w:rsid w:val="41B80A98"/>
    <w:rsid w:val="41CA6CFC"/>
    <w:rsid w:val="41CA7043"/>
    <w:rsid w:val="41CB6863"/>
    <w:rsid w:val="41D028AB"/>
    <w:rsid w:val="41D13F2D"/>
    <w:rsid w:val="41D2798B"/>
    <w:rsid w:val="41D659E7"/>
    <w:rsid w:val="41D83E0A"/>
    <w:rsid w:val="41D852BC"/>
    <w:rsid w:val="41DF2AEE"/>
    <w:rsid w:val="41DF489C"/>
    <w:rsid w:val="41E225DE"/>
    <w:rsid w:val="41E53E7C"/>
    <w:rsid w:val="41E55C2A"/>
    <w:rsid w:val="41E579D9"/>
    <w:rsid w:val="41E73B64"/>
    <w:rsid w:val="41E9571B"/>
    <w:rsid w:val="41EB61F0"/>
    <w:rsid w:val="41ED183A"/>
    <w:rsid w:val="41EE2D31"/>
    <w:rsid w:val="41EE72BB"/>
    <w:rsid w:val="41F320F5"/>
    <w:rsid w:val="41F36599"/>
    <w:rsid w:val="41F45941"/>
    <w:rsid w:val="42027077"/>
    <w:rsid w:val="420662CD"/>
    <w:rsid w:val="42070318"/>
    <w:rsid w:val="420E4058"/>
    <w:rsid w:val="42100EF9"/>
    <w:rsid w:val="421233DB"/>
    <w:rsid w:val="4216697D"/>
    <w:rsid w:val="42176C30"/>
    <w:rsid w:val="421A3B26"/>
    <w:rsid w:val="421D1269"/>
    <w:rsid w:val="421F2EEA"/>
    <w:rsid w:val="422229DB"/>
    <w:rsid w:val="422425C9"/>
    <w:rsid w:val="422468A6"/>
    <w:rsid w:val="42276243"/>
    <w:rsid w:val="422B5D33"/>
    <w:rsid w:val="422E312E"/>
    <w:rsid w:val="422E5CAE"/>
    <w:rsid w:val="42311FDE"/>
    <w:rsid w:val="423170C2"/>
    <w:rsid w:val="42350960"/>
    <w:rsid w:val="42397786"/>
    <w:rsid w:val="42417305"/>
    <w:rsid w:val="42440BA3"/>
    <w:rsid w:val="424B1F31"/>
    <w:rsid w:val="424B3CDF"/>
    <w:rsid w:val="425132C0"/>
    <w:rsid w:val="4251797B"/>
    <w:rsid w:val="42552DB0"/>
    <w:rsid w:val="425A03C6"/>
    <w:rsid w:val="425D7EB7"/>
    <w:rsid w:val="425E2DCE"/>
    <w:rsid w:val="42641245"/>
    <w:rsid w:val="426B0106"/>
    <w:rsid w:val="42723962"/>
    <w:rsid w:val="42725710"/>
    <w:rsid w:val="42731488"/>
    <w:rsid w:val="42734FE4"/>
    <w:rsid w:val="42755200"/>
    <w:rsid w:val="427A45C5"/>
    <w:rsid w:val="427C033D"/>
    <w:rsid w:val="427C658F"/>
    <w:rsid w:val="42905B96"/>
    <w:rsid w:val="42967E23"/>
    <w:rsid w:val="42974BBA"/>
    <w:rsid w:val="42982C9D"/>
    <w:rsid w:val="42995053"/>
    <w:rsid w:val="429A3BAB"/>
    <w:rsid w:val="429A4C67"/>
    <w:rsid w:val="429C09DF"/>
    <w:rsid w:val="429F402B"/>
    <w:rsid w:val="42A11B51"/>
    <w:rsid w:val="42A45AE6"/>
    <w:rsid w:val="42AB0C22"/>
    <w:rsid w:val="42AE5DE9"/>
    <w:rsid w:val="42B60ED1"/>
    <w:rsid w:val="42BA70B7"/>
    <w:rsid w:val="42C27D1A"/>
    <w:rsid w:val="42C7049C"/>
    <w:rsid w:val="42C77E4F"/>
    <w:rsid w:val="42C811FF"/>
    <w:rsid w:val="42C82CA2"/>
    <w:rsid w:val="42C910A8"/>
    <w:rsid w:val="42CE66BF"/>
    <w:rsid w:val="42D24401"/>
    <w:rsid w:val="42D261AF"/>
    <w:rsid w:val="42D34FAF"/>
    <w:rsid w:val="42D44F28"/>
    <w:rsid w:val="42D53EF1"/>
    <w:rsid w:val="42D56EED"/>
    <w:rsid w:val="42D64FF5"/>
    <w:rsid w:val="42D77C69"/>
    <w:rsid w:val="42E303BC"/>
    <w:rsid w:val="42E6709F"/>
    <w:rsid w:val="42ED2FE9"/>
    <w:rsid w:val="42F24B05"/>
    <w:rsid w:val="42F26851"/>
    <w:rsid w:val="42F27A5A"/>
    <w:rsid w:val="42F27D13"/>
    <w:rsid w:val="42F42673"/>
    <w:rsid w:val="42F44377"/>
    <w:rsid w:val="42F8192F"/>
    <w:rsid w:val="42F9198D"/>
    <w:rsid w:val="42FD47C4"/>
    <w:rsid w:val="42FE5942"/>
    <w:rsid w:val="42FF4ACA"/>
    <w:rsid w:val="43000F6E"/>
    <w:rsid w:val="43010842"/>
    <w:rsid w:val="43027EFB"/>
    <w:rsid w:val="43081BD1"/>
    <w:rsid w:val="430B346F"/>
    <w:rsid w:val="430E2866"/>
    <w:rsid w:val="430E5D85"/>
    <w:rsid w:val="430F51D8"/>
    <w:rsid w:val="43140575"/>
    <w:rsid w:val="43170066"/>
    <w:rsid w:val="431A7B56"/>
    <w:rsid w:val="431E7646"/>
    <w:rsid w:val="43212404"/>
    <w:rsid w:val="432254AC"/>
    <w:rsid w:val="432664FB"/>
    <w:rsid w:val="43275F61"/>
    <w:rsid w:val="43291B47"/>
    <w:rsid w:val="432A7D99"/>
    <w:rsid w:val="432B1D63"/>
    <w:rsid w:val="432B2EF5"/>
    <w:rsid w:val="432E715D"/>
    <w:rsid w:val="43317379"/>
    <w:rsid w:val="43340C18"/>
    <w:rsid w:val="43351583"/>
    <w:rsid w:val="433724B6"/>
    <w:rsid w:val="4339622E"/>
    <w:rsid w:val="434265FC"/>
    <w:rsid w:val="434314A4"/>
    <w:rsid w:val="434370AD"/>
    <w:rsid w:val="434626F9"/>
    <w:rsid w:val="434846C3"/>
    <w:rsid w:val="434B7D0F"/>
    <w:rsid w:val="434C41B3"/>
    <w:rsid w:val="434D1CD9"/>
    <w:rsid w:val="43506584"/>
    <w:rsid w:val="4352109E"/>
    <w:rsid w:val="43526362"/>
    <w:rsid w:val="435272F0"/>
    <w:rsid w:val="43571A95"/>
    <w:rsid w:val="43591ADF"/>
    <w:rsid w:val="4359242C"/>
    <w:rsid w:val="435A7F52"/>
    <w:rsid w:val="435B2648"/>
    <w:rsid w:val="435B61A4"/>
    <w:rsid w:val="435D635D"/>
    <w:rsid w:val="436161F5"/>
    <w:rsid w:val="436314FD"/>
    <w:rsid w:val="436332AB"/>
    <w:rsid w:val="43650DD1"/>
    <w:rsid w:val="43655275"/>
    <w:rsid w:val="43675B98"/>
    <w:rsid w:val="436A04F5"/>
    <w:rsid w:val="436D4129"/>
    <w:rsid w:val="436E31AC"/>
    <w:rsid w:val="43707CB2"/>
    <w:rsid w:val="4374370A"/>
    <w:rsid w:val="43784FA8"/>
    <w:rsid w:val="4379487C"/>
    <w:rsid w:val="437B23A2"/>
    <w:rsid w:val="437B6846"/>
    <w:rsid w:val="437E0267"/>
    <w:rsid w:val="43803E5D"/>
    <w:rsid w:val="43891CF7"/>
    <w:rsid w:val="438D20D6"/>
    <w:rsid w:val="43917E18"/>
    <w:rsid w:val="43923B90"/>
    <w:rsid w:val="43947908"/>
    <w:rsid w:val="43996CCD"/>
    <w:rsid w:val="439C52E2"/>
    <w:rsid w:val="43A06C82"/>
    <w:rsid w:val="43A55671"/>
    <w:rsid w:val="43A63197"/>
    <w:rsid w:val="43AA2C88"/>
    <w:rsid w:val="43B76E5D"/>
    <w:rsid w:val="43C52FFD"/>
    <w:rsid w:val="43C57E2B"/>
    <w:rsid w:val="43C81360"/>
    <w:rsid w:val="43C875B2"/>
    <w:rsid w:val="43C95804"/>
    <w:rsid w:val="43CA50D8"/>
    <w:rsid w:val="43CC0E50"/>
    <w:rsid w:val="43CE2E1A"/>
    <w:rsid w:val="43CF0940"/>
    <w:rsid w:val="43D87DEF"/>
    <w:rsid w:val="43DB5537"/>
    <w:rsid w:val="43DF35A3"/>
    <w:rsid w:val="43DF5027"/>
    <w:rsid w:val="43E06BC0"/>
    <w:rsid w:val="43E22422"/>
    <w:rsid w:val="43E3619A"/>
    <w:rsid w:val="43E50164"/>
    <w:rsid w:val="43E837B0"/>
    <w:rsid w:val="43EA7528"/>
    <w:rsid w:val="43EE0AA5"/>
    <w:rsid w:val="43EF2D90"/>
    <w:rsid w:val="43EF4B3E"/>
    <w:rsid w:val="43F6411F"/>
    <w:rsid w:val="43F65ECD"/>
    <w:rsid w:val="43F72CBA"/>
    <w:rsid w:val="43FA3C0F"/>
    <w:rsid w:val="44004F9E"/>
    <w:rsid w:val="44024872"/>
    <w:rsid w:val="440305EA"/>
    <w:rsid w:val="44054362"/>
    <w:rsid w:val="44093E52"/>
    <w:rsid w:val="440E12B2"/>
    <w:rsid w:val="440E3217"/>
    <w:rsid w:val="44116432"/>
    <w:rsid w:val="44134942"/>
    <w:rsid w:val="4416031D"/>
    <w:rsid w:val="441E71D2"/>
    <w:rsid w:val="441F5424"/>
    <w:rsid w:val="4420119C"/>
    <w:rsid w:val="442567B2"/>
    <w:rsid w:val="442671C8"/>
    <w:rsid w:val="4427252A"/>
    <w:rsid w:val="44276398"/>
    <w:rsid w:val="44281522"/>
    <w:rsid w:val="44281E17"/>
    <w:rsid w:val="44293363"/>
    <w:rsid w:val="442B1BAA"/>
    <w:rsid w:val="44304BA3"/>
    <w:rsid w:val="44307631"/>
    <w:rsid w:val="4436276D"/>
    <w:rsid w:val="443A225E"/>
    <w:rsid w:val="443A35FD"/>
    <w:rsid w:val="443F7874"/>
    <w:rsid w:val="444B446B"/>
    <w:rsid w:val="444F55DD"/>
    <w:rsid w:val="44501A81"/>
    <w:rsid w:val="445157F9"/>
    <w:rsid w:val="445A46AE"/>
    <w:rsid w:val="44615A3C"/>
    <w:rsid w:val="44654E01"/>
    <w:rsid w:val="446E6DAA"/>
    <w:rsid w:val="447357CF"/>
    <w:rsid w:val="4475708D"/>
    <w:rsid w:val="44775260"/>
    <w:rsid w:val="447F2366"/>
    <w:rsid w:val="4484172B"/>
    <w:rsid w:val="448842E0"/>
    <w:rsid w:val="44894335"/>
    <w:rsid w:val="44896D41"/>
    <w:rsid w:val="448A36AA"/>
    <w:rsid w:val="448C4EE6"/>
    <w:rsid w:val="449750E1"/>
    <w:rsid w:val="44987A63"/>
    <w:rsid w:val="44995DA8"/>
    <w:rsid w:val="44A1052F"/>
    <w:rsid w:val="44A2243C"/>
    <w:rsid w:val="44A363BC"/>
    <w:rsid w:val="44AB315B"/>
    <w:rsid w:val="44AF063D"/>
    <w:rsid w:val="44B26298"/>
    <w:rsid w:val="44B32010"/>
    <w:rsid w:val="44B518E4"/>
    <w:rsid w:val="44B55D88"/>
    <w:rsid w:val="44BA339E"/>
    <w:rsid w:val="44BD176A"/>
    <w:rsid w:val="44C47D79"/>
    <w:rsid w:val="44C61D43"/>
    <w:rsid w:val="44C77996"/>
    <w:rsid w:val="44C85ABB"/>
    <w:rsid w:val="44C935E1"/>
    <w:rsid w:val="44CB1108"/>
    <w:rsid w:val="44CD1324"/>
    <w:rsid w:val="44D31E62"/>
    <w:rsid w:val="44D446A1"/>
    <w:rsid w:val="44DA57EF"/>
    <w:rsid w:val="44DB7445"/>
    <w:rsid w:val="44E126D9"/>
    <w:rsid w:val="44E328F5"/>
    <w:rsid w:val="44E421C9"/>
    <w:rsid w:val="44E87F0C"/>
    <w:rsid w:val="44F06DC0"/>
    <w:rsid w:val="44F208A0"/>
    <w:rsid w:val="44F52628"/>
    <w:rsid w:val="44F93EC7"/>
    <w:rsid w:val="44FC7513"/>
    <w:rsid w:val="44FF0DB1"/>
    <w:rsid w:val="450E5498"/>
    <w:rsid w:val="450E6E58"/>
    <w:rsid w:val="45126D36"/>
    <w:rsid w:val="4513485D"/>
    <w:rsid w:val="451B0980"/>
    <w:rsid w:val="451E0AF1"/>
    <w:rsid w:val="45246A6A"/>
    <w:rsid w:val="4528655A"/>
    <w:rsid w:val="452E1696"/>
    <w:rsid w:val="45322F35"/>
    <w:rsid w:val="45352773"/>
    <w:rsid w:val="45372C41"/>
    <w:rsid w:val="45387C9D"/>
    <w:rsid w:val="453A003B"/>
    <w:rsid w:val="453A628D"/>
    <w:rsid w:val="453B44DF"/>
    <w:rsid w:val="453F38A4"/>
    <w:rsid w:val="454021E6"/>
    <w:rsid w:val="45451750"/>
    <w:rsid w:val="454809AA"/>
    <w:rsid w:val="454D5FC1"/>
    <w:rsid w:val="454F7F8B"/>
    <w:rsid w:val="45505AB1"/>
    <w:rsid w:val="455455A1"/>
    <w:rsid w:val="45575091"/>
    <w:rsid w:val="455B5F6E"/>
    <w:rsid w:val="455B6F58"/>
    <w:rsid w:val="455E1F7C"/>
    <w:rsid w:val="45605CF4"/>
    <w:rsid w:val="45636562"/>
    <w:rsid w:val="4566298E"/>
    <w:rsid w:val="45687946"/>
    <w:rsid w:val="456A6B72"/>
    <w:rsid w:val="456C53D4"/>
    <w:rsid w:val="4570109D"/>
    <w:rsid w:val="45761EBB"/>
    <w:rsid w:val="4577303D"/>
    <w:rsid w:val="457C68A6"/>
    <w:rsid w:val="457E36C4"/>
    <w:rsid w:val="45815C6A"/>
    <w:rsid w:val="45833790"/>
    <w:rsid w:val="458539AC"/>
    <w:rsid w:val="458614D2"/>
    <w:rsid w:val="45863281"/>
    <w:rsid w:val="4588524B"/>
    <w:rsid w:val="458F46CB"/>
    <w:rsid w:val="45935D6C"/>
    <w:rsid w:val="45943BEF"/>
    <w:rsid w:val="45964673"/>
    <w:rsid w:val="459736E0"/>
    <w:rsid w:val="459A3C5C"/>
    <w:rsid w:val="459B6D2C"/>
    <w:rsid w:val="459C0CF6"/>
    <w:rsid w:val="459C4852"/>
    <w:rsid w:val="45A33E32"/>
    <w:rsid w:val="45A7579D"/>
    <w:rsid w:val="45AF4585"/>
    <w:rsid w:val="45B147A1"/>
    <w:rsid w:val="45B55914"/>
    <w:rsid w:val="45B639A3"/>
    <w:rsid w:val="45BB117C"/>
    <w:rsid w:val="45BB5620"/>
    <w:rsid w:val="45BC0665"/>
    <w:rsid w:val="45BC630D"/>
    <w:rsid w:val="45BD5347"/>
    <w:rsid w:val="45BD5BC5"/>
    <w:rsid w:val="45C049E4"/>
    <w:rsid w:val="45C5024D"/>
    <w:rsid w:val="45C864B7"/>
    <w:rsid w:val="45CA7611"/>
    <w:rsid w:val="45CF2E79"/>
    <w:rsid w:val="45D221DF"/>
    <w:rsid w:val="45D3296A"/>
    <w:rsid w:val="45D40490"/>
    <w:rsid w:val="45DB5AC7"/>
    <w:rsid w:val="45DE4E6B"/>
    <w:rsid w:val="45E5269D"/>
    <w:rsid w:val="45E87A97"/>
    <w:rsid w:val="45EA380F"/>
    <w:rsid w:val="45EB0E25"/>
    <w:rsid w:val="45EB79E8"/>
    <w:rsid w:val="45EC546D"/>
    <w:rsid w:val="45EE1552"/>
    <w:rsid w:val="45F428E0"/>
    <w:rsid w:val="45F468CD"/>
    <w:rsid w:val="45F66A69"/>
    <w:rsid w:val="45F96148"/>
    <w:rsid w:val="45FB3C6E"/>
    <w:rsid w:val="45FB5A1D"/>
    <w:rsid w:val="45FD3F69"/>
    <w:rsid w:val="45FD79E7"/>
    <w:rsid w:val="45FF375F"/>
    <w:rsid w:val="460076E6"/>
    <w:rsid w:val="46020C7E"/>
    <w:rsid w:val="460348D1"/>
    <w:rsid w:val="46080139"/>
    <w:rsid w:val="460A2104"/>
    <w:rsid w:val="460A3878"/>
    <w:rsid w:val="460A5C60"/>
    <w:rsid w:val="460C5E7C"/>
    <w:rsid w:val="460D5750"/>
    <w:rsid w:val="46101E17"/>
    <w:rsid w:val="46130FB8"/>
    <w:rsid w:val="46195EA3"/>
    <w:rsid w:val="461D73F1"/>
    <w:rsid w:val="461E795D"/>
    <w:rsid w:val="462211FB"/>
    <w:rsid w:val="46244F73"/>
    <w:rsid w:val="46256F3D"/>
    <w:rsid w:val="46263727"/>
    <w:rsid w:val="46274A64"/>
    <w:rsid w:val="4629258A"/>
    <w:rsid w:val="462A00B0"/>
    <w:rsid w:val="462D264E"/>
    <w:rsid w:val="462F1C33"/>
    <w:rsid w:val="462F3918"/>
    <w:rsid w:val="46333408"/>
    <w:rsid w:val="46344E89"/>
    <w:rsid w:val="46366A55"/>
    <w:rsid w:val="46394BB5"/>
    <w:rsid w:val="463D2143"/>
    <w:rsid w:val="463D7C0A"/>
    <w:rsid w:val="463D7DE3"/>
    <w:rsid w:val="464253F9"/>
    <w:rsid w:val="46431460"/>
    <w:rsid w:val="464473C4"/>
    <w:rsid w:val="46470C62"/>
    <w:rsid w:val="4652776C"/>
    <w:rsid w:val="465313B5"/>
    <w:rsid w:val="46584C1D"/>
    <w:rsid w:val="465A6BE7"/>
    <w:rsid w:val="465E4B3A"/>
    <w:rsid w:val="465F5FAB"/>
    <w:rsid w:val="46601D24"/>
    <w:rsid w:val="466510E8"/>
    <w:rsid w:val="4666379B"/>
    <w:rsid w:val="466704B9"/>
    <w:rsid w:val="46671304"/>
    <w:rsid w:val="4669507C"/>
    <w:rsid w:val="466C2476"/>
    <w:rsid w:val="466C70B0"/>
    <w:rsid w:val="4670640B"/>
    <w:rsid w:val="46753A21"/>
    <w:rsid w:val="46794B93"/>
    <w:rsid w:val="467A1037"/>
    <w:rsid w:val="467C5DC4"/>
    <w:rsid w:val="46850939"/>
    <w:rsid w:val="4685178A"/>
    <w:rsid w:val="4689127A"/>
    <w:rsid w:val="468C0D6B"/>
    <w:rsid w:val="46903E9E"/>
    <w:rsid w:val="469043B7"/>
    <w:rsid w:val="469462AC"/>
    <w:rsid w:val="46977B86"/>
    <w:rsid w:val="469B0FAE"/>
    <w:rsid w:val="469B2D5C"/>
    <w:rsid w:val="469D6AD4"/>
    <w:rsid w:val="469E126A"/>
    <w:rsid w:val="469F0A9E"/>
    <w:rsid w:val="469F45FA"/>
    <w:rsid w:val="46A460B4"/>
    <w:rsid w:val="46A55988"/>
    <w:rsid w:val="46A600ED"/>
    <w:rsid w:val="46AE3F60"/>
    <w:rsid w:val="46B02CAB"/>
    <w:rsid w:val="46B34549"/>
    <w:rsid w:val="46B53E1D"/>
    <w:rsid w:val="46B61944"/>
    <w:rsid w:val="46BA58D8"/>
    <w:rsid w:val="46BC1650"/>
    <w:rsid w:val="46C04436"/>
    <w:rsid w:val="46CA3945"/>
    <w:rsid w:val="46CD560B"/>
    <w:rsid w:val="46D21AC8"/>
    <w:rsid w:val="46D324F5"/>
    <w:rsid w:val="46D53DA4"/>
    <w:rsid w:val="46D85D5E"/>
    <w:rsid w:val="46D87B0C"/>
    <w:rsid w:val="46D973C9"/>
    <w:rsid w:val="46DC75FC"/>
    <w:rsid w:val="46DD15C6"/>
    <w:rsid w:val="46DF0E9A"/>
    <w:rsid w:val="46DF533E"/>
    <w:rsid w:val="46E11293"/>
    <w:rsid w:val="46E666CD"/>
    <w:rsid w:val="46EE7152"/>
    <w:rsid w:val="46F012F9"/>
    <w:rsid w:val="46F06FEE"/>
    <w:rsid w:val="46F32B98"/>
    <w:rsid w:val="46F336A8"/>
    <w:rsid w:val="46FF153C"/>
    <w:rsid w:val="47017063"/>
    <w:rsid w:val="47046B53"/>
    <w:rsid w:val="47090486"/>
    <w:rsid w:val="4709474B"/>
    <w:rsid w:val="470B3A79"/>
    <w:rsid w:val="470D3C59"/>
    <w:rsid w:val="47136D96"/>
    <w:rsid w:val="47190850"/>
    <w:rsid w:val="471A6376"/>
    <w:rsid w:val="471F1BDF"/>
    <w:rsid w:val="4723347D"/>
    <w:rsid w:val="47262F6D"/>
    <w:rsid w:val="472745EF"/>
    <w:rsid w:val="47280D7A"/>
    <w:rsid w:val="472856E5"/>
    <w:rsid w:val="472B2331"/>
    <w:rsid w:val="472F1E22"/>
    <w:rsid w:val="473A07C7"/>
    <w:rsid w:val="47470193"/>
    <w:rsid w:val="47490A0A"/>
    <w:rsid w:val="474A6C5C"/>
    <w:rsid w:val="474B29D4"/>
    <w:rsid w:val="474D04FA"/>
    <w:rsid w:val="47503B46"/>
    <w:rsid w:val="47524A88"/>
    <w:rsid w:val="47525B10"/>
    <w:rsid w:val="47555600"/>
    <w:rsid w:val="475C698F"/>
    <w:rsid w:val="475E2EA5"/>
    <w:rsid w:val="47653A95"/>
    <w:rsid w:val="47655843"/>
    <w:rsid w:val="47694C08"/>
    <w:rsid w:val="476F66C2"/>
    <w:rsid w:val="47705F96"/>
    <w:rsid w:val="47723ABC"/>
    <w:rsid w:val="47737835"/>
    <w:rsid w:val="47741147"/>
    <w:rsid w:val="47767A51"/>
    <w:rsid w:val="477911B5"/>
    <w:rsid w:val="477E06B3"/>
    <w:rsid w:val="4780267D"/>
    <w:rsid w:val="478163F5"/>
    <w:rsid w:val="4783216D"/>
    <w:rsid w:val="47835CCA"/>
    <w:rsid w:val="47855EE6"/>
    <w:rsid w:val="47857C94"/>
    <w:rsid w:val="47877015"/>
    <w:rsid w:val="478832E0"/>
    <w:rsid w:val="478B23DE"/>
    <w:rsid w:val="478C11D2"/>
    <w:rsid w:val="478E2BD5"/>
    <w:rsid w:val="478F0B12"/>
    <w:rsid w:val="47924127"/>
    <w:rsid w:val="479779C7"/>
    <w:rsid w:val="479C563B"/>
    <w:rsid w:val="479E2B03"/>
    <w:rsid w:val="47A07BBB"/>
    <w:rsid w:val="47AA76FA"/>
    <w:rsid w:val="47AB6FCE"/>
    <w:rsid w:val="47AD2D46"/>
    <w:rsid w:val="47AF4D11"/>
    <w:rsid w:val="47B16CDB"/>
    <w:rsid w:val="47B448F0"/>
    <w:rsid w:val="47B6609F"/>
    <w:rsid w:val="47B71E17"/>
    <w:rsid w:val="47B76DB7"/>
    <w:rsid w:val="47B93F31"/>
    <w:rsid w:val="47C702AC"/>
    <w:rsid w:val="47C76C5A"/>
    <w:rsid w:val="47C85DD2"/>
    <w:rsid w:val="47C87B80"/>
    <w:rsid w:val="47CA38F8"/>
    <w:rsid w:val="47CD33E9"/>
    <w:rsid w:val="47DB4285"/>
    <w:rsid w:val="47DB5B06"/>
    <w:rsid w:val="47DD7AD0"/>
    <w:rsid w:val="47E2253F"/>
    <w:rsid w:val="47E50732"/>
    <w:rsid w:val="47E744AA"/>
    <w:rsid w:val="47ED5839"/>
    <w:rsid w:val="47ED75E7"/>
    <w:rsid w:val="47EF335F"/>
    <w:rsid w:val="47F210A1"/>
    <w:rsid w:val="47F34421"/>
    <w:rsid w:val="47F40041"/>
    <w:rsid w:val="47F60B91"/>
    <w:rsid w:val="47F92430"/>
    <w:rsid w:val="47F941DE"/>
    <w:rsid w:val="47F95F8C"/>
    <w:rsid w:val="47FC782A"/>
    <w:rsid w:val="48013092"/>
    <w:rsid w:val="48027536"/>
    <w:rsid w:val="48052B82"/>
    <w:rsid w:val="48066CAA"/>
    <w:rsid w:val="48066D69"/>
    <w:rsid w:val="480908C5"/>
    <w:rsid w:val="480C3F11"/>
    <w:rsid w:val="4812704D"/>
    <w:rsid w:val="48153C8D"/>
    <w:rsid w:val="48194880"/>
    <w:rsid w:val="48205C0E"/>
    <w:rsid w:val="48217291"/>
    <w:rsid w:val="48236291"/>
    <w:rsid w:val="48272AF9"/>
    <w:rsid w:val="4828061F"/>
    <w:rsid w:val="482C45B3"/>
    <w:rsid w:val="482E032B"/>
    <w:rsid w:val="483100AC"/>
    <w:rsid w:val="48346666"/>
    <w:rsid w:val="483671E0"/>
    <w:rsid w:val="4838292E"/>
    <w:rsid w:val="483925C3"/>
    <w:rsid w:val="48403BBB"/>
    <w:rsid w:val="48410CB9"/>
    <w:rsid w:val="48435459"/>
    <w:rsid w:val="48443BF6"/>
    <w:rsid w:val="48452B2F"/>
    <w:rsid w:val="484823A3"/>
    <w:rsid w:val="48486557"/>
    <w:rsid w:val="484A6384"/>
    <w:rsid w:val="4851401A"/>
    <w:rsid w:val="48545A7F"/>
    <w:rsid w:val="48547666"/>
    <w:rsid w:val="48550F4C"/>
    <w:rsid w:val="48567212"/>
    <w:rsid w:val="48577D5B"/>
    <w:rsid w:val="48584FE2"/>
    <w:rsid w:val="485E2293"/>
    <w:rsid w:val="485F6737"/>
    <w:rsid w:val="486331F4"/>
    <w:rsid w:val="486420C6"/>
    <w:rsid w:val="48644E50"/>
    <w:rsid w:val="48647785"/>
    <w:rsid w:val="48650DF8"/>
    <w:rsid w:val="48684EBF"/>
    <w:rsid w:val="486C0E54"/>
    <w:rsid w:val="486D1153"/>
    <w:rsid w:val="48735D3E"/>
    <w:rsid w:val="48743864"/>
    <w:rsid w:val="48763A80"/>
    <w:rsid w:val="48764197"/>
    <w:rsid w:val="48773972"/>
    <w:rsid w:val="487970CD"/>
    <w:rsid w:val="487B4BF3"/>
    <w:rsid w:val="487D096B"/>
    <w:rsid w:val="48802C4C"/>
    <w:rsid w:val="488340A3"/>
    <w:rsid w:val="48847F4B"/>
    <w:rsid w:val="48897310"/>
    <w:rsid w:val="488C32A4"/>
    <w:rsid w:val="489167A2"/>
    <w:rsid w:val="48945CB4"/>
    <w:rsid w:val="489E30D7"/>
    <w:rsid w:val="489E7916"/>
    <w:rsid w:val="489F24E0"/>
    <w:rsid w:val="48A04659"/>
    <w:rsid w:val="48A26623"/>
    <w:rsid w:val="48A759E8"/>
    <w:rsid w:val="48AE321A"/>
    <w:rsid w:val="48B3438D"/>
    <w:rsid w:val="48B40105"/>
    <w:rsid w:val="48B545A9"/>
    <w:rsid w:val="48B76708"/>
    <w:rsid w:val="48BB1E89"/>
    <w:rsid w:val="48BF2D31"/>
    <w:rsid w:val="48C20A74"/>
    <w:rsid w:val="48C22822"/>
    <w:rsid w:val="48C42A3E"/>
    <w:rsid w:val="48C52312"/>
    <w:rsid w:val="48D04F3E"/>
    <w:rsid w:val="48D11FCA"/>
    <w:rsid w:val="48D12A65"/>
    <w:rsid w:val="48D32C81"/>
    <w:rsid w:val="48D34A2F"/>
    <w:rsid w:val="48D6451F"/>
    <w:rsid w:val="48D80297"/>
    <w:rsid w:val="48D82045"/>
    <w:rsid w:val="48DA5DBD"/>
    <w:rsid w:val="48DC7D87"/>
    <w:rsid w:val="48E11FE9"/>
    <w:rsid w:val="48E1714C"/>
    <w:rsid w:val="48E409EA"/>
    <w:rsid w:val="48E7672C"/>
    <w:rsid w:val="48E82D4D"/>
    <w:rsid w:val="48E96000"/>
    <w:rsid w:val="48F055E1"/>
    <w:rsid w:val="48F7696F"/>
    <w:rsid w:val="48FC21D7"/>
    <w:rsid w:val="48FF3A76"/>
    <w:rsid w:val="48FF5824"/>
    <w:rsid w:val="4904108C"/>
    <w:rsid w:val="49051D27"/>
    <w:rsid w:val="49054987"/>
    <w:rsid w:val="49064E04"/>
    <w:rsid w:val="4907292A"/>
    <w:rsid w:val="49090450"/>
    <w:rsid w:val="490C7F41"/>
    <w:rsid w:val="490D6193"/>
    <w:rsid w:val="491325C4"/>
    <w:rsid w:val="49180694"/>
    <w:rsid w:val="49184B37"/>
    <w:rsid w:val="492139EC"/>
    <w:rsid w:val="492601CA"/>
    <w:rsid w:val="492852F0"/>
    <w:rsid w:val="49304650"/>
    <w:rsid w:val="49325BF9"/>
    <w:rsid w:val="4933371F"/>
    <w:rsid w:val="493556E9"/>
    <w:rsid w:val="49380D36"/>
    <w:rsid w:val="493A087A"/>
    <w:rsid w:val="493C0826"/>
    <w:rsid w:val="493C6A78"/>
    <w:rsid w:val="493D634C"/>
    <w:rsid w:val="493E4372"/>
    <w:rsid w:val="493F0316"/>
    <w:rsid w:val="49425710"/>
    <w:rsid w:val="49461447"/>
    <w:rsid w:val="49486249"/>
    <w:rsid w:val="4950607F"/>
    <w:rsid w:val="49521DF7"/>
    <w:rsid w:val="49566508"/>
    <w:rsid w:val="495711BC"/>
    <w:rsid w:val="496555C4"/>
    <w:rsid w:val="496702A5"/>
    <w:rsid w:val="49680B13"/>
    <w:rsid w:val="49696171"/>
    <w:rsid w:val="49791E13"/>
    <w:rsid w:val="497E13D0"/>
    <w:rsid w:val="497F6965"/>
    <w:rsid w:val="49804BB7"/>
    <w:rsid w:val="49836455"/>
    <w:rsid w:val="4989182E"/>
    <w:rsid w:val="4989333F"/>
    <w:rsid w:val="498A77E3"/>
    <w:rsid w:val="498D72D3"/>
    <w:rsid w:val="498E6BA8"/>
    <w:rsid w:val="49971F00"/>
    <w:rsid w:val="499917D4"/>
    <w:rsid w:val="499A72FA"/>
    <w:rsid w:val="499C7517"/>
    <w:rsid w:val="49A21DDA"/>
    <w:rsid w:val="49A34401"/>
    <w:rsid w:val="49A62143"/>
    <w:rsid w:val="49A85EBB"/>
    <w:rsid w:val="49A95790"/>
    <w:rsid w:val="49AA1C33"/>
    <w:rsid w:val="49AD702E"/>
    <w:rsid w:val="49BA2BF9"/>
    <w:rsid w:val="49BA799D"/>
    <w:rsid w:val="49C73B68"/>
    <w:rsid w:val="49CF169A"/>
    <w:rsid w:val="49CF3448"/>
    <w:rsid w:val="49D2118A"/>
    <w:rsid w:val="49D60C91"/>
    <w:rsid w:val="49D97E23"/>
    <w:rsid w:val="49E05655"/>
    <w:rsid w:val="49E113CD"/>
    <w:rsid w:val="49E36EF3"/>
    <w:rsid w:val="49E84459"/>
    <w:rsid w:val="49F27137"/>
    <w:rsid w:val="49F44C5D"/>
    <w:rsid w:val="49F509D5"/>
    <w:rsid w:val="49FA5FEB"/>
    <w:rsid w:val="49FC1D63"/>
    <w:rsid w:val="49FE1F7F"/>
    <w:rsid w:val="49FF7F76"/>
    <w:rsid w:val="4A001853"/>
    <w:rsid w:val="4A003601"/>
    <w:rsid w:val="4A02485B"/>
    <w:rsid w:val="4A037596"/>
    <w:rsid w:val="4A05330E"/>
    <w:rsid w:val="4A080708"/>
    <w:rsid w:val="4A0F1A96"/>
    <w:rsid w:val="4A113A61"/>
    <w:rsid w:val="4A190B67"/>
    <w:rsid w:val="4A1A5F35"/>
    <w:rsid w:val="4A1B4023"/>
    <w:rsid w:val="4A1D5D99"/>
    <w:rsid w:val="4A1E71A6"/>
    <w:rsid w:val="4A1E75C0"/>
    <w:rsid w:val="4A28673E"/>
    <w:rsid w:val="4A2D63C1"/>
    <w:rsid w:val="4A3239D7"/>
    <w:rsid w:val="4A3414FD"/>
    <w:rsid w:val="4A366656"/>
    <w:rsid w:val="4A3D2AA8"/>
    <w:rsid w:val="4A3E05CE"/>
    <w:rsid w:val="4A407EA2"/>
    <w:rsid w:val="4A442959"/>
    <w:rsid w:val="4A484FA8"/>
    <w:rsid w:val="4A4861AE"/>
    <w:rsid w:val="4A4D0811"/>
    <w:rsid w:val="4A4F6337"/>
    <w:rsid w:val="4A513E5D"/>
    <w:rsid w:val="4A547DF1"/>
    <w:rsid w:val="4A590F64"/>
    <w:rsid w:val="4A5E47CC"/>
    <w:rsid w:val="4A600544"/>
    <w:rsid w:val="4A623EAE"/>
    <w:rsid w:val="4A677B24"/>
    <w:rsid w:val="4A6873F9"/>
    <w:rsid w:val="4A6C0C97"/>
    <w:rsid w:val="4A6E0EB3"/>
    <w:rsid w:val="4A6F0787"/>
    <w:rsid w:val="4A712751"/>
    <w:rsid w:val="4A7162AD"/>
    <w:rsid w:val="4A746B40"/>
    <w:rsid w:val="4A756F9E"/>
    <w:rsid w:val="4A757163"/>
    <w:rsid w:val="4A7638C4"/>
    <w:rsid w:val="4A775DA4"/>
    <w:rsid w:val="4A7E7BF1"/>
    <w:rsid w:val="4A8204BA"/>
    <w:rsid w:val="4A82670C"/>
    <w:rsid w:val="4A83494B"/>
    <w:rsid w:val="4A8A3813"/>
    <w:rsid w:val="4A8C1339"/>
    <w:rsid w:val="4A8C30E7"/>
    <w:rsid w:val="4A9111A3"/>
    <w:rsid w:val="4A9326C8"/>
    <w:rsid w:val="4A9804CE"/>
    <w:rsid w:val="4A9F72BE"/>
    <w:rsid w:val="4AA2290B"/>
    <w:rsid w:val="4AA246B9"/>
    <w:rsid w:val="4AA64DBF"/>
    <w:rsid w:val="4AAB17DF"/>
    <w:rsid w:val="4AB12B4E"/>
    <w:rsid w:val="4AB83EDC"/>
    <w:rsid w:val="4AB915D4"/>
    <w:rsid w:val="4AC00E34"/>
    <w:rsid w:val="4AC26B09"/>
    <w:rsid w:val="4AC62BC0"/>
    <w:rsid w:val="4AC705C3"/>
    <w:rsid w:val="4AC76815"/>
    <w:rsid w:val="4ACA1E61"/>
    <w:rsid w:val="4ACC3B7D"/>
    <w:rsid w:val="4ACD77C9"/>
    <w:rsid w:val="4ACE7349"/>
    <w:rsid w:val="4AD131F0"/>
    <w:rsid w:val="4AD36F68"/>
    <w:rsid w:val="4AD66A58"/>
    <w:rsid w:val="4AD7075F"/>
    <w:rsid w:val="4ADA6548"/>
    <w:rsid w:val="4ADB1B7B"/>
    <w:rsid w:val="4ADB7BCB"/>
    <w:rsid w:val="4ADD1B95"/>
    <w:rsid w:val="4AE029E3"/>
    <w:rsid w:val="4AE20F59"/>
    <w:rsid w:val="4AE41175"/>
    <w:rsid w:val="4AE9678B"/>
    <w:rsid w:val="4AEE55F3"/>
    <w:rsid w:val="4AEE78FE"/>
    <w:rsid w:val="4AF73AD6"/>
    <w:rsid w:val="4AFC3011"/>
    <w:rsid w:val="4AFD2EF8"/>
    <w:rsid w:val="4B045373"/>
    <w:rsid w:val="4B09298A"/>
    <w:rsid w:val="4B0B04B0"/>
    <w:rsid w:val="4B0B4954"/>
    <w:rsid w:val="4B0B5621"/>
    <w:rsid w:val="4B0E1D4E"/>
    <w:rsid w:val="4B1530DD"/>
    <w:rsid w:val="4B1A05AF"/>
    <w:rsid w:val="4B217CD3"/>
    <w:rsid w:val="4B221C9D"/>
    <w:rsid w:val="4B241572"/>
    <w:rsid w:val="4B245A16"/>
    <w:rsid w:val="4B386DCB"/>
    <w:rsid w:val="4B3A55EB"/>
    <w:rsid w:val="4B3A746D"/>
    <w:rsid w:val="4B3C4B0D"/>
    <w:rsid w:val="4B3F45FD"/>
    <w:rsid w:val="4B3F63AB"/>
    <w:rsid w:val="4B427C4A"/>
    <w:rsid w:val="4B4A0B1E"/>
    <w:rsid w:val="4B4B73DD"/>
    <w:rsid w:val="4B4D48CE"/>
    <w:rsid w:val="4B4D6D1A"/>
    <w:rsid w:val="4B4F5ACD"/>
    <w:rsid w:val="4B5005B9"/>
    <w:rsid w:val="4B517E8D"/>
    <w:rsid w:val="4B5300A9"/>
    <w:rsid w:val="4B53748E"/>
    <w:rsid w:val="4B5447A1"/>
    <w:rsid w:val="4B5A4F93"/>
    <w:rsid w:val="4B5D2CD5"/>
    <w:rsid w:val="4B6202EC"/>
    <w:rsid w:val="4B645E12"/>
    <w:rsid w:val="4B675475"/>
    <w:rsid w:val="4B756271"/>
    <w:rsid w:val="4B7778F3"/>
    <w:rsid w:val="4B7854A6"/>
    <w:rsid w:val="4B797B0F"/>
    <w:rsid w:val="4B7A73E4"/>
    <w:rsid w:val="4B7D6C6A"/>
    <w:rsid w:val="4B803312"/>
    <w:rsid w:val="4B814C16"/>
    <w:rsid w:val="4B83098E"/>
    <w:rsid w:val="4B83273C"/>
    <w:rsid w:val="4B846F4F"/>
    <w:rsid w:val="4B851076"/>
    <w:rsid w:val="4B871B00"/>
    <w:rsid w:val="4B8A2BD1"/>
    <w:rsid w:val="4B8B339F"/>
    <w:rsid w:val="4B8B4870"/>
    <w:rsid w:val="4B8E10E1"/>
    <w:rsid w:val="4B9009B5"/>
    <w:rsid w:val="4B907E48"/>
    <w:rsid w:val="4B9366F7"/>
    <w:rsid w:val="4B9868B7"/>
    <w:rsid w:val="4BA91A77"/>
    <w:rsid w:val="4BB36023"/>
    <w:rsid w:val="4BB5041C"/>
    <w:rsid w:val="4BB943B0"/>
    <w:rsid w:val="4BB95A51"/>
    <w:rsid w:val="4BBC369E"/>
    <w:rsid w:val="4BBE3774"/>
    <w:rsid w:val="4BC30D8B"/>
    <w:rsid w:val="4BC36FDC"/>
    <w:rsid w:val="4BC845F3"/>
    <w:rsid w:val="4BCA036B"/>
    <w:rsid w:val="4BCC0FE5"/>
    <w:rsid w:val="4BD439FC"/>
    <w:rsid w:val="4BE233FC"/>
    <w:rsid w:val="4BE34975"/>
    <w:rsid w:val="4BE86A43"/>
    <w:rsid w:val="4BEF7DD1"/>
    <w:rsid w:val="4BF278C2"/>
    <w:rsid w:val="4BF52F0E"/>
    <w:rsid w:val="4BF61160"/>
    <w:rsid w:val="4BF87D30"/>
    <w:rsid w:val="4BFA6AB7"/>
    <w:rsid w:val="4BFE0015"/>
    <w:rsid w:val="4C001FDF"/>
    <w:rsid w:val="4C0118B3"/>
    <w:rsid w:val="4C0513A3"/>
    <w:rsid w:val="4C080E93"/>
    <w:rsid w:val="4C0B2731"/>
    <w:rsid w:val="4C0D64AA"/>
    <w:rsid w:val="4C107D48"/>
    <w:rsid w:val="4C116304"/>
    <w:rsid w:val="4C1524C5"/>
    <w:rsid w:val="4C1710D6"/>
    <w:rsid w:val="4C177328"/>
    <w:rsid w:val="4C1B0BC7"/>
    <w:rsid w:val="4C1B2975"/>
    <w:rsid w:val="4C1E0C2D"/>
    <w:rsid w:val="4C231829"/>
    <w:rsid w:val="4C242852"/>
    <w:rsid w:val="4C261319"/>
    <w:rsid w:val="4C263D9D"/>
    <w:rsid w:val="4C2832E3"/>
    <w:rsid w:val="4C285091"/>
    <w:rsid w:val="4C2A0E0A"/>
    <w:rsid w:val="4C2D26A8"/>
    <w:rsid w:val="4C303F46"/>
    <w:rsid w:val="4C343A36"/>
    <w:rsid w:val="4C3750D5"/>
    <w:rsid w:val="4C3F126C"/>
    <w:rsid w:val="4C40066C"/>
    <w:rsid w:val="4C404189"/>
    <w:rsid w:val="4C454024"/>
    <w:rsid w:val="4C4579F1"/>
    <w:rsid w:val="4C462BF6"/>
    <w:rsid w:val="4C485734"/>
    <w:rsid w:val="4C4874E2"/>
    <w:rsid w:val="4C4B0D80"/>
    <w:rsid w:val="4C4F6AC2"/>
    <w:rsid w:val="4C523EBC"/>
    <w:rsid w:val="4C5440D8"/>
    <w:rsid w:val="4C545E87"/>
    <w:rsid w:val="4C561BFF"/>
    <w:rsid w:val="4C583BC9"/>
    <w:rsid w:val="4C6247DB"/>
    <w:rsid w:val="4C673E0C"/>
    <w:rsid w:val="4C681932"/>
    <w:rsid w:val="4C6A56AA"/>
    <w:rsid w:val="4C6B4F7E"/>
    <w:rsid w:val="4C6C1422"/>
    <w:rsid w:val="4C6D6F48"/>
    <w:rsid w:val="4C6E0E52"/>
    <w:rsid w:val="4C7327B1"/>
    <w:rsid w:val="4C786019"/>
    <w:rsid w:val="4C7C718B"/>
    <w:rsid w:val="4C7E4CB1"/>
    <w:rsid w:val="4C800A2A"/>
    <w:rsid w:val="4C804ECE"/>
    <w:rsid w:val="4C820C46"/>
    <w:rsid w:val="4C83051A"/>
    <w:rsid w:val="4C891FD4"/>
    <w:rsid w:val="4C8C5620"/>
    <w:rsid w:val="4C8C73CE"/>
    <w:rsid w:val="4C9124AD"/>
    <w:rsid w:val="4C9444D5"/>
    <w:rsid w:val="4C975D73"/>
    <w:rsid w:val="4C991AEB"/>
    <w:rsid w:val="4C995102"/>
    <w:rsid w:val="4C995F8F"/>
    <w:rsid w:val="4CA42662"/>
    <w:rsid w:val="4CA46E0E"/>
    <w:rsid w:val="4CA87F80"/>
    <w:rsid w:val="4CB02408"/>
    <w:rsid w:val="4CB41CD6"/>
    <w:rsid w:val="4CB42DC9"/>
    <w:rsid w:val="4CB46925"/>
    <w:rsid w:val="4CB9218D"/>
    <w:rsid w:val="4CBA03DF"/>
    <w:rsid w:val="4CBE3B8B"/>
    <w:rsid w:val="4CBF2812"/>
    <w:rsid w:val="4CBF59F6"/>
    <w:rsid w:val="4CC27294"/>
    <w:rsid w:val="4CC36B68"/>
    <w:rsid w:val="4CC528E0"/>
    <w:rsid w:val="4CC56D84"/>
    <w:rsid w:val="4CC72AFC"/>
    <w:rsid w:val="4CC90623"/>
    <w:rsid w:val="4CCA439B"/>
    <w:rsid w:val="4CCF375F"/>
    <w:rsid w:val="4CCF550D"/>
    <w:rsid w:val="4CD15729"/>
    <w:rsid w:val="4CD4593A"/>
    <w:rsid w:val="4CD55219"/>
    <w:rsid w:val="4CD6689C"/>
    <w:rsid w:val="4CD86AB8"/>
    <w:rsid w:val="4CD97E11"/>
    <w:rsid w:val="4CDD1363"/>
    <w:rsid w:val="4CE1708E"/>
    <w:rsid w:val="4CE90CC5"/>
    <w:rsid w:val="4CE94821"/>
    <w:rsid w:val="4CEC2563"/>
    <w:rsid w:val="4CF03E01"/>
    <w:rsid w:val="4CF124D7"/>
    <w:rsid w:val="4CF136D5"/>
    <w:rsid w:val="4CF431C6"/>
    <w:rsid w:val="4CF84A64"/>
    <w:rsid w:val="4CFA1B21"/>
    <w:rsid w:val="4CFA6A2E"/>
    <w:rsid w:val="4CFE5DF2"/>
    <w:rsid w:val="4D005E2E"/>
    <w:rsid w:val="4D007DBC"/>
    <w:rsid w:val="4D0C050F"/>
    <w:rsid w:val="4D0C138D"/>
    <w:rsid w:val="4D0F1DAD"/>
    <w:rsid w:val="4D0F61C4"/>
    <w:rsid w:val="4D185106"/>
    <w:rsid w:val="4D1A1D0C"/>
    <w:rsid w:val="4D1C074A"/>
    <w:rsid w:val="4D244F88"/>
    <w:rsid w:val="4D267823"/>
    <w:rsid w:val="4D2A6BE7"/>
    <w:rsid w:val="4D2B23EF"/>
    <w:rsid w:val="4D3006A2"/>
    <w:rsid w:val="4D322037"/>
    <w:rsid w:val="4D331F40"/>
    <w:rsid w:val="4D386DDA"/>
    <w:rsid w:val="4D387556"/>
    <w:rsid w:val="4D38766A"/>
    <w:rsid w:val="4D3D691B"/>
    <w:rsid w:val="4D405E8D"/>
    <w:rsid w:val="4D44414D"/>
    <w:rsid w:val="4D4E01F5"/>
    <w:rsid w:val="4D5123C6"/>
    <w:rsid w:val="4D534390"/>
    <w:rsid w:val="4D555CC4"/>
    <w:rsid w:val="4D572760"/>
    <w:rsid w:val="4D5D3C89"/>
    <w:rsid w:val="4D6420F9"/>
    <w:rsid w:val="4D671BE9"/>
    <w:rsid w:val="4D695962"/>
    <w:rsid w:val="4D6B4B4B"/>
    <w:rsid w:val="4D6C0FAE"/>
    <w:rsid w:val="4D6E11CA"/>
    <w:rsid w:val="4D6E6C73"/>
    <w:rsid w:val="4D782FD9"/>
    <w:rsid w:val="4D785BA5"/>
    <w:rsid w:val="4D79174D"/>
    <w:rsid w:val="4D7F6F33"/>
    <w:rsid w:val="4D7F7022"/>
    <w:rsid w:val="4D812CAB"/>
    <w:rsid w:val="4D821B8C"/>
    <w:rsid w:val="4D886C44"/>
    <w:rsid w:val="4D8C324F"/>
    <w:rsid w:val="4D8E7176"/>
    <w:rsid w:val="4D911D44"/>
    <w:rsid w:val="4D9643D3"/>
    <w:rsid w:val="4D987FF5"/>
    <w:rsid w:val="4D9B0602"/>
    <w:rsid w:val="4D9C0FDC"/>
    <w:rsid w:val="4D9C7C8B"/>
    <w:rsid w:val="4D9E1AAF"/>
    <w:rsid w:val="4DA370C6"/>
    <w:rsid w:val="4DA60964"/>
    <w:rsid w:val="4DA62CD8"/>
    <w:rsid w:val="4DAB1AD6"/>
    <w:rsid w:val="4DAB41CC"/>
    <w:rsid w:val="4DAB5F7A"/>
    <w:rsid w:val="4DB766CD"/>
    <w:rsid w:val="4DBC5B34"/>
    <w:rsid w:val="4DC06044"/>
    <w:rsid w:val="4DC31516"/>
    <w:rsid w:val="4DC808DA"/>
    <w:rsid w:val="4DC86B2C"/>
    <w:rsid w:val="4DCB03CA"/>
    <w:rsid w:val="4DCB3F26"/>
    <w:rsid w:val="4DCB5631"/>
    <w:rsid w:val="4DCD7C9F"/>
    <w:rsid w:val="4DD27745"/>
    <w:rsid w:val="4DD3102D"/>
    <w:rsid w:val="4DD8512C"/>
    <w:rsid w:val="4DDC4386"/>
    <w:rsid w:val="4DDC6134"/>
    <w:rsid w:val="4DE14C7E"/>
    <w:rsid w:val="4DE374C2"/>
    <w:rsid w:val="4DE4148C"/>
    <w:rsid w:val="4DE6024A"/>
    <w:rsid w:val="4DEE4A39"/>
    <w:rsid w:val="4DF01BDF"/>
    <w:rsid w:val="4DF01E53"/>
    <w:rsid w:val="4DF0398D"/>
    <w:rsid w:val="4DF74D1B"/>
    <w:rsid w:val="4DFC67D6"/>
    <w:rsid w:val="4DFF1E22"/>
    <w:rsid w:val="4E00263F"/>
    <w:rsid w:val="4E035DB6"/>
    <w:rsid w:val="4E045131"/>
    <w:rsid w:val="4E0A0EF3"/>
    <w:rsid w:val="4E0B6496"/>
    <w:rsid w:val="4E0F02B7"/>
    <w:rsid w:val="4E10402F"/>
    <w:rsid w:val="4E141D71"/>
    <w:rsid w:val="4E1545A9"/>
    <w:rsid w:val="4E157897"/>
    <w:rsid w:val="4E184ECF"/>
    <w:rsid w:val="4E18612D"/>
    <w:rsid w:val="4E192EE4"/>
    <w:rsid w:val="4E1A4EAE"/>
    <w:rsid w:val="4E1A6C5C"/>
    <w:rsid w:val="4E1C6E78"/>
    <w:rsid w:val="4E1E499E"/>
    <w:rsid w:val="4E200716"/>
    <w:rsid w:val="4E223A1D"/>
    <w:rsid w:val="4E231FB4"/>
    <w:rsid w:val="4E2822AD"/>
    <w:rsid w:val="4E2D4BE1"/>
    <w:rsid w:val="4E2F0959"/>
    <w:rsid w:val="4E30022D"/>
    <w:rsid w:val="4E30647F"/>
    <w:rsid w:val="4E345F70"/>
    <w:rsid w:val="4E3715BC"/>
    <w:rsid w:val="4E3C4E24"/>
    <w:rsid w:val="4E3C4FB1"/>
    <w:rsid w:val="4E402B66"/>
    <w:rsid w:val="4E41243B"/>
    <w:rsid w:val="4E446BEC"/>
    <w:rsid w:val="4E481A1B"/>
    <w:rsid w:val="4E4837C9"/>
    <w:rsid w:val="4E487C6D"/>
    <w:rsid w:val="4E4A12EF"/>
    <w:rsid w:val="4E4C2032"/>
    <w:rsid w:val="4E4D7031"/>
    <w:rsid w:val="4E5263F6"/>
    <w:rsid w:val="4E5377DA"/>
    <w:rsid w:val="4E5403C0"/>
    <w:rsid w:val="4E556430"/>
    <w:rsid w:val="4E606D65"/>
    <w:rsid w:val="4E654842"/>
    <w:rsid w:val="4E683E6B"/>
    <w:rsid w:val="4E6920B3"/>
    <w:rsid w:val="4E6D1482"/>
    <w:rsid w:val="4E6E3563"/>
    <w:rsid w:val="4E6F4101"/>
    <w:rsid w:val="4E6F6FA8"/>
    <w:rsid w:val="4E7C09F9"/>
    <w:rsid w:val="4E8567CB"/>
    <w:rsid w:val="4E8B0A28"/>
    <w:rsid w:val="4E8C1327"/>
    <w:rsid w:val="4E8C7B5A"/>
    <w:rsid w:val="4E8F31A6"/>
    <w:rsid w:val="4E944C60"/>
    <w:rsid w:val="4E975330"/>
    <w:rsid w:val="4E984750"/>
    <w:rsid w:val="4EA00746"/>
    <w:rsid w:val="4EA1206A"/>
    <w:rsid w:val="4EA2112B"/>
    <w:rsid w:val="4EA3285D"/>
    <w:rsid w:val="4EA34EA3"/>
    <w:rsid w:val="4EB26E94"/>
    <w:rsid w:val="4EB51578"/>
    <w:rsid w:val="4EB64BD7"/>
    <w:rsid w:val="4EB70E3E"/>
    <w:rsid w:val="4EBD5F65"/>
    <w:rsid w:val="4EBF33BF"/>
    <w:rsid w:val="4EC01F05"/>
    <w:rsid w:val="4EC05A55"/>
    <w:rsid w:val="4EC12B91"/>
    <w:rsid w:val="4EC2357B"/>
    <w:rsid w:val="4EC45545"/>
    <w:rsid w:val="4EC54E1A"/>
    <w:rsid w:val="4EC76DE4"/>
    <w:rsid w:val="4EC92B5C"/>
    <w:rsid w:val="4ECC61A8"/>
    <w:rsid w:val="4ED03843"/>
    <w:rsid w:val="4ED079B5"/>
    <w:rsid w:val="4ED24BC6"/>
    <w:rsid w:val="4ED27537"/>
    <w:rsid w:val="4ED4505D"/>
    <w:rsid w:val="4EE02FF7"/>
    <w:rsid w:val="4EE47996"/>
    <w:rsid w:val="4EE50468"/>
    <w:rsid w:val="4EE74081"/>
    <w:rsid w:val="4EF07467"/>
    <w:rsid w:val="4EF13E61"/>
    <w:rsid w:val="4EF179BD"/>
    <w:rsid w:val="4EF456FF"/>
    <w:rsid w:val="4EF65EE6"/>
    <w:rsid w:val="4EF86F9D"/>
    <w:rsid w:val="4EF94AC3"/>
    <w:rsid w:val="4EFB6A8D"/>
    <w:rsid w:val="4F02606E"/>
    <w:rsid w:val="4F027E1C"/>
    <w:rsid w:val="4F032DA5"/>
    <w:rsid w:val="4F037C1C"/>
    <w:rsid w:val="4F073684"/>
    <w:rsid w:val="4F0911AA"/>
    <w:rsid w:val="4F0A10D5"/>
    <w:rsid w:val="4F11005F"/>
    <w:rsid w:val="4F111E0D"/>
    <w:rsid w:val="4F132029"/>
    <w:rsid w:val="4F194B69"/>
    <w:rsid w:val="4F1A0BCA"/>
    <w:rsid w:val="4F1B712F"/>
    <w:rsid w:val="4F2608AE"/>
    <w:rsid w:val="4F271D3E"/>
    <w:rsid w:val="4F2C1D3F"/>
    <w:rsid w:val="4F31425D"/>
    <w:rsid w:val="4F3A75B6"/>
    <w:rsid w:val="4F3B50DC"/>
    <w:rsid w:val="4F3D2C02"/>
    <w:rsid w:val="4F3F1455"/>
    <w:rsid w:val="4F4026F2"/>
    <w:rsid w:val="4F42290E"/>
    <w:rsid w:val="4F45117A"/>
    <w:rsid w:val="4F457D08"/>
    <w:rsid w:val="4F4977F9"/>
    <w:rsid w:val="4F4C72E9"/>
    <w:rsid w:val="4F4F0B87"/>
    <w:rsid w:val="4F505507"/>
    <w:rsid w:val="4F506DD9"/>
    <w:rsid w:val="4F52414B"/>
    <w:rsid w:val="4F55619D"/>
    <w:rsid w:val="4F5B577E"/>
    <w:rsid w:val="4F5F526E"/>
    <w:rsid w:val="4F602D94"/>
    <w:rsid w:val="4F6603AB"/>
    <w:rsid w:val="4F672375"/>
    <w:rsid w:val="4F674123"/>
    <w:rsid w:val="4F6F15E1"/>
    <w:rsid w:val="4F756840"/>
    <w:rsid w:val="4F764366"/>
    <w:rsid w:val="4F77327D"/>
    <w:rsid w:val="4F7800DE"/>
    <w:rsid w:val="4F7A3E56"/>
    <w:rsid w:val="4F7B372A"/>
    <w:rsid w:val="4F7D74A2"/>
    <w:rsid w:val="4F801F1C"/>
    <w:rsid w:val="4F806F93"/>
    <w:rsid w:val="4F807D78"/>
    <w:rsid w:val="4F813436"/>
    <w:rsid w:val="4F8E16AF"/>
    <w:rsid w:val="4F90367A"/>
    <w:rsid w:val="4F960564"/>
    <w:rsid w:val="4F9922E8"/>
    <w:rsid w:val="4F9B5B7A"/>
    <w:rsid w:val="4FA42C81"/>
    <w:rsid w:val="4FA61921"/>
    <w:rsid w:val="4FAD422B"/>
    <w:rsid w:val="4FAF16B5"/>
    <w:rsid w:val="4FB1539E"/>
    <w:rsid w:val="4FB31116"/>
    <w:rsid w:val="4FB37368"/>
    <w:rsid w:val="4FB8497E"/>
    <w:rsid w:val="4FBC446F"/>
    <w:rsid w:val="4FC357FD"/>
    <w:rsid w:val="4FC8279A"/>
    <w:rsid w:val="4FCA3333"/>
    <w:rsid w:val="4FD01CC8"/>
    <w:rsid w:val="4FD2395D"/>
    <w:rsid w:val="4FD25A40"/>
    <w:rsid w:val="4FD535CD"/>
    <w:rsid w:val="4FD94922"/>
    <w:rsid w:val="4FD95020"/>
    <w:rsid w:val="4FE25169"/>
    <w:rsid w:val="4FE63299"/>
    <w:rsid w:val="4FEA6D37"/>
    <w:rsid w:val="4FFA4F97"/>
    <w:rsid w:val="50010F5D"/>
    <w:rsid w:val="50016554"/>
    <w:rsid w:val="50041972"/>
    <w:rsid w:val="50091D29"/>
    <w:rsid w:val="501047BA"/>
    <w:rsid w:val="501301BD"/>
    <w:rsid w:val="50141FA4"/>
    <w:rsid w:val="5015592D"/>
    <w:rsid w:val="501778F7"/>
    <w:rsid w:val="5019366F"/>
    <w:rsid w:val="501E0EA8"/>
    <w:rsid w:val="501F6277"/>
    <w:rsid w:val="502352E1"/>
    <w:rsid w:val="50243DC2"/>
    <w:rsid w:val="50265D8C"/>
    <w:rsid w:val="502838B2"/>
    <w:rsid w:val="502D757B"/>
    <w:rsid w:val="502D7C51"/>
    <w:rsid w:val="502E4997"/>
    <w:rsid w:val="502F4C40"/>
    <w:rsid w:val="503009B9"/>
    <w:rsid w:val="50306C0B"/>
    <w:rsid w:val="5031142E"/>
    <w:rsid w:val="5032028D"/>
    <w:rsid w:val="50324731"/>
    <w:rsid w:val="503404A9"/>
    <w:rsid w:val="503A35E5"/>
    <w:rsid w:val="503C7AAB"/>
    <w:rsid w:val="503E4E84"/>
    <w:rsid w:val="503F3AD0"/>
    <w:rsid w:val="50406E4E"/>
    <w:rsid w:val="50433E79"/>
    <w:rsid w:val="50447FC0"/>
    <w:rsid w:val="50463D38"/>
    <w:rsid w:val="50483F54"/>
    <w:rsid w:val="50487AB0"/>
    <w:rsid w:val="504F52E3"/>
    <w:rsid w:val="504F7091"/>
    <w:rsid w:val="5052092F"/>
    <w:rsid w:val="505226DD"/>
    <w:rsid w:val="505446A7"/>
    <w:rsid w:val="5055041F"/>
    <w:rsid w:val="50574197"/>
    <w:rsid w:val="50575F45"/>
    <w:rsid w:val="50597F0F"/>
    <w:rsid w:val="505F4DFA"/>
    <w:rsid w:val="50691B4D"/>
    <w:rsid w:val="506F7733"/>
    <w:rsid w:val="50724B2D"/>
    <w:rsid w:val="507A1C34"/>
    <w:rsid w:val="507C1E50"/>
    <w:rsid w:val="507E1724"/>
    <w:rsid w:val="5080549C"/>
    <w:rsid w:val="50810B36"/>
    <w:rsid w:val="50812FC2"/>
    <w:rsid w:val="50893447"/>
    <w:rsid w:val="508A631B"/>
    <w:rsid w:val="508D49F6"/>
    <w:rsid w:val="508D7BB9"/>
    <w:rsid w:val="50923421"/>
    <w:rsid w:val="50940F47"/>
    <w:rsid w:val="5095081C"/>
    <w:rsid w:val="509B0528"/>
    <w:rsid w:val="509E3B74"/>
    <w:rsid w:val="50A00F4B"/>
    <w:rsid w:val="50A05B3E"/>
    <w:rsid w:val="50A218B6"/>
    <w:rsid w:val="50A373DC"/>
    <w:rsid w:val="50A54F03"/>
    <w:rsid w:val="50AA42C7"/>
    <w:rsid w:val="50AC6291"/>
    <w:rsid w:val="50B415EA"/>
    <w:rsid w:val="50BD049E"/>
    <w:rsid w:val="50C23D07"/>
    <w:rsid w:val="50C335DB"/>
    <w:rsid w:val="50C86E43"/>
    <w:rsid w:val="50CA30CD"/>
    <w:rsid w:val="50CA3508"/>
    <w:rsid w:val="50CB7569"/>
    <w:rsid w:val="50CC09F9"/>
    <w:rsid w:val="50CC6933"/>
    <w:rsid w:val="50CD6207"/>
    <w:rsid w:val="50CE26AB"/>
    <w:rsid w:val="50CE6F9F"/>
    <w:rsid w:val="50D91050"/>
    <w:rsid w:val="50D94BAC"/>
    <w:rsid w:val="50DA0833"/>
    <w:rsid w:val="50DB6B76"/>
    <w:rsid w:val="50DB7A39"/>
    <w:rsid w:val="50E0418D"/>
    <w:rsid w:val="50E05F3B"/>
    <w:rsid w:val="50E7254E"/>
    <w:rsid w:val="50EA0B67"/>
    <w:rsid w:val="50EA6DB9"/>
    <w:rsid w:val="50ED7D32"/>
    <w:rsid w:val="50EE4AFC"/>
    <w:rsid w:val="50F25C6E"/>
    <w:rsid w:val="50F43794"/>
    <w:rsid w:val="50F639B0"/>
    <w:rsid w:val="50FD6AED"/>
    <w:rsid w:val="5100482F"/>
    <w:rsid w:val="51023F76"/>
    <w:rsid w:val="51044B29"/>
    <w:rsid w:val="510507A1"/>
    <w:rsid w:val="510559A1"/>
    <w:rsid w:val="510A1DF1"/>
    <w:rsid w:val="510D2AA8"/>
    <w:rsid w:val="510F1C3C"/>
    <w:rsid w:val="511030CC"/>
    <w:rsid w:val="51111E2A"/>
    <w:rsid w:val="51136310"/>
    <w:rsid w:val="51143E36"/>
    <w:rsid w:val="51156A77"/>
    <w:rsid w:val="5116195C"/>
    <w:rsid w:val="51165E00"/>
    <w:rsid w:val="511B3417"/>
    <w:rsid w:val="511C421F"/>
    <w:rsid w:val="511D718F"/>
    <w:rsid w:val="511F2F07"/>
    <w:rsid w:val="51220301"/>
    <w:rsid w:val="51234079"/>
    <w:rsid w:val="512651A9"/>
    <w:rsid w:val="51275918"/>
    <w:rsid w:val="51281690"/>
    <w:rsid w:val="512D6CA6"/>
    <w:rsid w:val="512F6EC2"/>
    <w:rsid w:val="513149E8"/>
    <w:rsid w:val="5133250E"/>
    <w:rsid w:val="513A1AEF"/>
    <w:rsid w:val="513C0BD2"/>
    <w:rsid w:val="513F5357"/>
    <w:rsid w:val="51422751"/>
    <w:rsid w:val="51426BF5"/>
    <w:rsid w:val="514351EF"/>
    <w:rsid w:val="51453FF0"/>
    <w:rsid w:val="514A5AAA"/>
    <w:rsid w:val="514F30C0"/>
    <w:rsid w:val="515406D7"/>
    <w:rsid w:val="515801C7"/>
    <w:rsid w:val="51597A9B"/>
    <w:rsid w:val="515D3A2F"/>
    <w:rsid w:val="515D57DD"/>
    <w:rsid w:val="515E0E17"/>
    <w:rsid w:val="516052CE"/>
    <w:rsid w:val="51625545"/>
    <w:rsid w:val="5164091A"/>
    <w:rsid w:val="51654692"/>
    <w:rsid w:val="51656440"/>
    <w:rsid w:val="516A1CA8"/>
    <w:rsid w:val="516A3A56"/>
    <w:rsid w:val="516C5A20"/>
    <w:rsid w:val="516C77CE"/>
    <w:rsid w:val="516E3547"/>
    <w:rsid w:val="516F72BF"/>
    <w:rsid w:val="51701F58"/>
    <w:rsid w:val="51706C86"/>
    <w:rsid w:val="51711289"/>
    <w:rsid w:val="517148AA"/>
    <w:rsid w:val="517320C3"/>
    <w:rsid w:val="517A638F"/>
    <w:rsid w:val="517D5E7F"/>
    <w:rsid w:val="517F5754"/>
    <w:rsid w:val="51850890"/>
    <w:rsid w:val="518906F0"/>
    <w:rsid w:val="518C60C3"/>
    <w:rsid w:val="51915487"/>
    <w:rsid w:val="51945C61"/>
    <w:rsid w:val="5199716D"/>
    <w:rsid w:val="519B6306"/>
    <w:rsid w:val="519C5ECC"/>
    <w:rsid w:val="51A67184"/>
    <w:rsid w:val="51AC5E5D"/>
    <w:rsid w:val="51AE6039"/>
    <w:rsid w:val="51AE7211"/>
    <w:rsid w:val="51AF4F86"/>
    <w:rsid w:val="51B178D7"/>
    <w:rsid w:val="51B86EB8"/>
    <w:rsid w:val="51C13FBE"/>
    <w:rsid w:val="51C159B6"/>
    <w:rsid w:val="51C2088C"/>
    <w:rsid w:val="51C27D36"/>
    <w:rsid w:val="51C4585C"/>
    <w:rsid w:val="51C70EA9"/>
    <w:rsid w:val="51C8234F"/>
    <w:rsid w:val="51C904BB"/>
    <w:rsid w:val="51CF19F5"/>
    <w:rsid w:val="51CF6F3E"/>
    <w:rsid w:val="51D07D5D"/>
    <w:rsid w:val="51D57A6A"/>
    <w:rsid w:val="51DA5080"/>
    <w:rsid w:val="51DB6702"/>
    <w:rsid w:val="51DD247A"/>
    <w:rsid w:val="51DF61F2"/>
    <w:rsid w:val="51E25CE3"/>
    <w:rsid w:val="51E4360B"/>
    <w:rsid w:val="51E67581"/>
    <w:rsid w:val="51EE28D9"/>
    <w:rsid w:val="51F55A16"/>
    <w:rsid w:val="51F83758"/>
    <w:rsid w:val="51FF4AE6"/>
    <w:rsid w:val="5201085F"/>
    <w:rsid w:val="5201260D"/>
    <w:rsid w:val="52036385"/>
    <w:rsid w:val="52075749"/>
    <w:rsid w:val="5208399B"/>
    <w:rsid w:val="5209326F"/>
    <w:rsid w:val="5214298C"/>
    <w:rsid w:val="52171E30"/>
    <w:rsid w:val="521B6C41"/>
    <w:rsid w:val="521C11F4"/>
    <w:rsid w:val="521C7446"/>
    <w:rsid w:val="521F2A93"/>
    <w:rsid w:val="522105B9"/>
    <w:rsid w:val="52285DEB"/>
    <w:rsid w:val="52293911"/>
    <w:rsid w:val="52326C6A"/>
    <w:rsid w:val="523924E1"/>
    <w:rsid w:val="523B7711"/>
    <w:rsid w:val="523F3135"/>
    <w:rsid w:val="5242431B"/>
    <w:rsid w:val="524349D3"/>
    <w:rsid w:val="5248023B"/>
    <w:rsid w:val="52541382"/>
    <w:rsid w:val="5256161C"/>
    <w:rsid w:val="5257047F"/>
    <w:rsid w:val="52592449"/>
    <w:rsid w:val="525B3FFE"/>
    <w:rsid w:val="525C7843"/>
    <w:rsid w:val="525E35BB"/>
    <w:rsid w:val="525F10E1"/>
    <w:rsid w:val="525F5585"/>
    <w:rsid w:val="52650DED"/>
    <w:rsid w:val="52716224"/>
    <w:rsid w:val="527171A4"/>
    <w:rsid w:val="52725202"/>
    <w:rsid w:val="527458E8"/>
    <w:rsid w:val="527728CF"/>
    <w:rsid w:val="52777721"/>
    <w:rsid w:val="527A416D"/>
    <w:rsid w:val="528154FB"/>
    <w:rsid w:val="52825B1B"/>
    <w:rsid w:val="52862B12"/>
    <w:rsid w:val="528F19C6"/>
    <w:rsid w:val="528F408F"/>
    <w:rsid w:val="528F5E6A"/>
    <w:rsid w:val="528F7C18"/>
    <w:rsid w:val="52946FDD"/>
    <w:rsid w:val="529D3DB1"/>
    <w:rsid w:val="529E7E5B"/>
    <w:rsid w:val="529F5982"/>
    <w:rsid w:val="52A00349"/>
    <w:rsid w:val="52A26B1F"/>
    <w:rsid w:val="52A336C4"/>
    <w:rsid w:val="52B0193D"/>
    <w:rsid w:val="52B256B5"/>
    <w:rsid w:val="52B2639C"/>
    <w:rsid w:val="52B437F7"/>
    <w:rsid w:val="52BA27BB"/>
    <w:rsid w:val="52BB1129"/>
    <w:rsid w:val="52BC29D7"/>
    <w:rsid w:val="52C33D66"/>
    <w:rsid w:val="52C6187C"/>
    <w:rsid w:val="52CB6777"/>
    <w:rsid w:val="52CB6E2F"/>
    <w:rsid w:val="52D40E84"/>
    <w:rsid w:val="52D90E94"/>
    <w:rsid w:val="52DB2E5E"/>
    <w:rsid w:val="52E02222"/>
    <w:rsid w:val="52E73786"/>
    <w:rsid w:val="52E8648C"/>
    <w:rsid w:val="52E87329"/>
    <w:rsid w:val="52EB49DD"/>
    <w:rsid w:val="52EF487C"/>
    <w:rsid w:val="52F42171"/>
    <w:rsid w:val="52F60E0C"/>
    <w:rsid w:val="52F97788"/>
    <w:rsid w:val="52FB3500"/>
    <w:rsid w:val="52FC4B82"/>
    <w:rsid w:val="52FC57CF"/>
    <w:rsid w:val="53000B16"/>
    <w:rsid w:val="5302663C"/>
    <w:rsid w:val="530323D9"/>
    <w:rsid w:val="53035F10"/>
    <w:rsid w:val="53073C53"/>
    <w:rsid w:val="530879CB"/>
    <w:rsid w:val="530C74BB"/>
    <w:rsid w:val="5311092D"/>
    <w:rsid w:val="53117559"/>
    <w:rsid w:val="531E0F9C"/>
    <w:rsid w:val="5322283B"/>
    <w:rsid w:val="532F4F57"/>
    <w:rsid w:val="53315D89"/>
    <w:rsid w:val="533662E6"/>
    <w:rsid w:val="5338205E"/>
    <w:rsid w:val="53394028"/>
    <w:rsid w:val="533B7DA0"/>
    <w:rsid w:val="53430A03"/>
    <w:rsid w:val="53452EE6"/>
    <w:rsid w:val="53456529"/>
    <w:rsid w:val="5349426B"/>
    <w:rsid w:val="534B0014"/>
    <w:rsid w:val="53507E24"/>
    <w:rsid w:val="53542C10"/>
    <w:rsid w:val="535449BE"/>
    <w:rsid w:val="5356205A"/>
    <w:rsid w:val="53565F15"/>
    <w:rsid w:val="53566988"/>
    <w:rsid w:val="53591FD4"/>
    <w:rsid w:val="535E045A"/>
    <w:rsid w:val="535F3A8F"/>
    <w:rsid w:val="535F717D"/>
    <w:rsid w:val="536270DB"/>
    <w:rsid w:val="5363629A"/>
    <w:rsid w:val="53650979"/>
    <w:rsid w:val="53654B22"/>
    <w:rsid w:val="53662E9D"/>
    <w:rsid w:val="536E5A80"/>
    <w:rsid w:val="53721D2E"/>
    <w:rsid w:val="5373753A"/>
    <w:rsid w:val="53740BBC"/>
    <w:rsid w:val="53764934"/>
    <w:rsid w:val="537806AC"/>
    <w:rsid w:val="537868FE"/>
    <w:rsid w:val="537B63EF"/>
    <w:rsid w:val="538232D9"/>
    <w:rsid w:val="53837051"/>
    <w:rsid w:val="5385101B"/>
    <w:rsid w:val="538A26DB"/>
    <w:rsid w:val="538A6632"/>
    <w:rsid w:val="538D4809"/>
    <w:rsid w:val="538F6092"/>
    <w:rsid w:val="53986FA1"/>
    <w:rsid w:val="53990A5B"/>
    <w:rsid w:val="539B25ED"/>
    <w:rsid w:val="539D601D"/>
    <w:rsid w:val="53A04DAC"/>
    <w:rsid w:val="53A05E55"/>
    <w:rsid w:val="53A07C03"/>
    <w:rsid w:val="53A45945"/>
    <w:rsid w:val="53A771E4"/>
    <w:rsid w:val="53A96AB8"/>
    <w:rsid w:val="53AC0356"/>
    <w:rsid w:val="53B079A2"/>
    <w:rsid w:val="53B12890"/>
    <w:rsid w:val="53B13BBE"/>
    <w:rsid w:val="53BF0089"/>
    <w:rsid w:val="53BF452D"/>
    <w:rsid w:val="53C41B44"/>
    <w:rsid w:val="53C47D96"/>
    <w:rsid w:val="53C51418"/>
    <w:rsid w:val="53C5246A"/>
    <w:rsid w:val="53C71634"/>
    <w:rsid w:val="53C77F81"/>
    <w:rsid w:val="53CC09F8"/>
    <w:rsid w:val="53CE651E"/>
    <w:rsid w:val="53CF54F2"/>
    <w:rsid w:val="53D22156"/>
    <w:rsid w:val="53DA3115"/>
    <w:rsid w:val="53DC242E"/>
    <w:rsid w:val="53DD2C05"/>
    <w:rsid w:val="53E144A4"/>
    <w:rsid w:val="53E45D42"/>
    <w:rsid w:val="53E45EA3"/>
    <w:rsid w:val="53EB36A7"/>
    <w:rsid w:val="53EE4E13"/>
    <w:rsid w:val="53F1045F"/>
    <w:rsid w:val="53F64465"/>
    <w:rsid w:val="53F817ED"/>
    <w:rsid w:val="53FD5056"/>
    <w:rsid w:val="53FF0DCE"/>
    <w:rsid w:val="54014B46"/>
    <w:rsid w:val="540168F4"/>
    <w:rsid w:val="54040192"/>
    <w:rsid w:val="54061D8D"/>
    <w:rsid w:val="54063F0A"/>
    <w:rsid w:val="54093709"/>
    <w:rsid w:val="540939FA"/>
    <w:rsid w:val="540C7047"/>
    <w:rsid w:val="540D20E2"/>
    <w:rsid w:val="54102FDB"/>
    <w:rsid w:val="54166797"/>
    <w:rsid w:val="541D3002"/>
    <w:rsid w:val="542425E2"/>
    <w:rsid w:val="54266BF4"/>
    <w:rsid w:val="54271E31"/>
    <w:rsid w:val="542919A7"/>
    <w:rsid w:val="542B3971"/>
    <w:rsid w:val="542B571F"/>
    <w:rsid w:val="542E4991"/>
    <w:rsid w:val="54302D35"/>
    <w:rsid w:val="54305A86"/>
    <w:rsid w:val="543071D9"/>
    <w:rsid w:val="54316AAD"/>
    <w:rsid w:val="5435127D"/>
    <w:rsid w:val="543C3DD0"/>
    <w:rsid w:val="543C5B7E"/>
    <w:rsid w:val="544113E6"/>
    <w:rsid w:val="54444A33"/>
    <w:rsid w:val="54482775"/>
    <w:rsid w:val="54484523"/>
    <w:rsid w:val="544E58B1"/>
    <w:rsid w:val="54516500"/>
    <w:rsid w:val="54517DF8"/>
    <w:rsid w:val="545473CA"/>
    <w:rsid w:val="54556C40"/>
    <w:rsid w:val="545A24A8"/>
    <w:rsid w:val="54624EB9"/>
    <w:rsid w:val="5463135D"/>
    <w:rsid w:val="54640C31"/>
    <w:rsid w:val="546724CF"/>
    <w:rsid w:val="54703A7A"/>
    <w:rsid w:val="54741EC7"/>
    <w:rsid w:val="54754BEC"/>
    <w:rsid w:val="5477021B"/>
    <w:rsid w:val="547C67AB"/>
    <w:rsid w:val="547E09F5"/>
    <w:rsid w:val="547F7730"/>
    <w:rsid w:val="548E5CAE"/>
    <w:rsid w:val="54917C49"/>
    <w:rsid w:val="54920562"/>
    <w:rsid w:val="54921C42"/>
    <w:rsid w:val="54931516"/>
    <w:rsid w:val="549332C4"/>
    <w:rsid w:val="54947768"/>
    <w:rsid w:val="549A036C"/>
    <w:rsid w:val="549F1A7B"/>
    <w:rsid w:val="54A454D1"/>
    <w:rsid w:val="54A6749B"/>
    <w:rsid w:val="54AA6EBE"/>
    <w:rsid w:val="54AC2F51"/>
    <w:rsid w:val="54AE00FE"/>
    <w:rsid w:val="54B13782"/>
    <w:rsid w:val="54B25E40"/>
    <w:rsid w:val="54B35714"/>
    <w:rsid w:val="54B61E08"/>
    <w:rsid w:val="54B716A8"/>
    <w:rsid w:val="54B73456"/>
    <w:rsid w:val="54BB183C"/>
    <w:rsid w:val="54C47534"/>
    <w:rsid w:val="54C70CF8"/>
    <w:rsid w:val="54C81203"/>
    <w:rsid w:val="54C87412"/>
    <w:rsid w:val="54CB6F02"/>
    <w:rsid w:val="54CC5154"/>
    <w:rsid w:val="54CD2C7A"/>
    <w:rsid w:val="54CD4A28"/>
    <w:rsid w:val="54CE266B"/>
    <w:rsid w:val="54CF3934"/>
    <w:rsid w:val="54D2203E"/>
    <w:rsid w:val="54D23DEC"/>
    <w:rsid w:val="54D50C36"/>
    <w:rsid w:val="54D77655"/>
    <w:rsid w:val="54D93EFE"/>
    <w:rsid w:val="54D9507B"/>
    <w:rsid w:val="54DC4C6B"/>
    <w:rsid w:val="54DE4E87"/>
    <w:rsid w:val="54E22DEA"/>
    <w:rsid w:val="54EF45FD"/>
    <w:rsid w:val="54F062A2"/>
    <w:rsid w:val="55020B76"/>
    <w:rsid w:val="55023F28"/>
    <w:rsid w:val="55052414"/>
    <w:rsid w:val="55067F3A"/>
    <w:rsid w:val="55083CB2"/>
    <w:rsid w:val="550A17D8"/>
    <w:rsid w:val="5511706B"/>
    <w:rsid w:val="551268DF"/>
    <w:rsid w:val="55175CA3"/>
    <w:rsid w:val="551E34D6"/>
    <w:rsid w:val="551E7032"/>
    <w:rsid w:val="55256612"/>
    <w:rsid w:val="5527238A"/>
    <w:rsid w:val="55275A0F"/>
    <w:rsid w:val="55295C69"/>
    <w:rsid w:val="55304C19"/>
    <w:rsid w:val="553255F1"/>
    <w:rsid w:val="553B5E36"/>
    <w:rsid w:val="553E22FA"/>
    <w:rsid w:val="553E5926"/>
    <w:rsid w:val="5542457E"/>
    <w:rsid w:val="55434CEA"/>
    <w:rsid w:val="55452810"/>
    <w:rsid w:val="55456CB4"/>
    <w:rsid w:val="554967A4"/>
    <w:rsid w:val="554A030E"/>
    <w:rsid w:val="554A7E27"/>
    <w:rsid w:val="554C3B9F"/>
    <w:rsid w:val="554C7D7D"/>
    <w:rsid w:val="554E24EC"/>
    <w:rsid w:val="555111B5"/>
    <w:rsid w:val="55560EC1"/>
    <w:rsid w:val="55572544"/>
    <w:rsid w:val="555869E7"/>
    <w:rsid w:val="555C7B5A"/>
    <w:rsid w:val="556422EE"/>
    <w:rsid w:val="55652EB2"/>
    <w:rsid w:val="556741A0"/>
    <w:rsid w:val="55684751"/>
    <w:rsid w:val="55693404"/>
    <w:rsid w:val="556C09CA"/>
    <w:rsid w:val="556C2493"/>
    <w:rsid w:val="557032EB"/>
    <w:rsid w:val="557355CF"/>
    <w:rsid w:val="55760C1C"/>
    <w:rsid w:val="55767585"/>
    <w:rsid w:val="5577646D"/>
    <w:rsid w:val="557931CB"/>
    <w:rsid w:val="55794BB0"/>
    <w:rsid w:val="5579695E"/>
    <w:rsid w:val="557B0928"/>
    <w:rsid w:val="557B33C0"/>
    <w:rsid w:val="557D644E"/>
    <w:rsid w:val="557E5D22"/>
    <w:rsid w:val="557F47C0"/>
    <w:rsid w:val="5587107B"/>
    <w:rsid w:val="558863EB"/>
    <w:rsid w:val="55911EF9"/>
    <w:rsid w:val="55915A56"/>
    <w:rsid w:val="55935C72"/>
    <w:rsid w:val="559519EA"/>
    <w:rsid w:val="559B4B26"/>
    <w:rsid w:val="559D43FA"/>
    <w:rsid w:val="559F4616"/>
    <w:rsid w:val="55A57753"/>
    <w:rsid w:val="55A90FF1"/>
    <w:rsid w:val="55AC6E9D"/>
    <w:rsid w:val="55AD05A3"/>
    <w:rsid w:val="55AF05D2"/>
    <w:rsid w:val="55B313A7"/>
    <w:rsid w:val="55B42837"/>
    <w:rsid w:val="55B47996"/>
    <w:rsid w:val="55B55F10"/>
    <w:rsid w:val="55BD1053"/>
    <w:rsid w:val="55C0458D"/>
    <w:rsid w:val="55C71477"/>
    <w:rsid w:val="55C73B6D"/>
    <w:rsid w:val="55C844F0"/>
    <w:rsid w:val="55C951EF"/>
    <w:rsid w:val="55CA0F67"/>
    <w:rsid w:val="55CC08C4"/>
    <w:rsid w:val="55CC1183"/>
    <w:rsid w:val="55CE5FAF"/>
    <w:rsid w:val="55CF47D0"/>
    <w:rsid w:val="55D05E26"/>
    <w:rsid w:val="55D1679A"/>
    <w:rsid w:val="55D63DB0"/>
    <w:rsid w:val="55D65B5E"/>
    <w:rsid w:val="55D7191A"/>
    <w:rsid w:val="55D87B28"/>
    <w:rsid w:val="55D909B9"/>
    <w:rsid w:val="55DA564E"/>
    <w:rsid w:val="55DB3175"/>
    <w:rsid w:val="55E11FCA"/>
    <w:rsid w:val="55E31575"/>
    <w:rsid w:val="55E42029"/>
    <w:rsid w:val="55E464CD"/>
    <w:rsid w:val="55E97640"/>
    <w:rsid w:val="55F04E72"/>
    <w:rsid w:val="55F06C20"/>
    <w:rsid w:val="55F10BEA"/>
    <w:rsid w:val="55F54D3B"/>
    <w:rsid w:val="55F61D5C"/>
    <w:rsid w:val="55FA184D"/>
    <w:rsid w:val="560162DD"/>
    <w:rsid w:val="56051FA0"/>
    <w:rsid w:val="560E3442"/>
    <w:rsid w:val="561072C2"/>
    <w:rsid w:val="561346BC"/>
    <w:rsid w:val="561C5C67"/>
    <w:rsid w:val="561D1AA7"/>
    <w:rsid w:val="56204D1B"/>
    <w:rsid w:val="56226FF5"/>
    <w:rsid w:val="56232843"/>
    <w:rsid w:val="562763BA"/>
    <w:rsid w:val="56292132"/>
    <w:rsid w:val="562A237D"/>
    <w:rsid w:val="562C598F"/>
    <w:rsid w:val="562C5B54"/>
    <w:rsid w:val="562D159C"/>
    <w:rsid w:val="562E70CC"/>
    <w:rsid w:val="563A60ED"/>
    <w:rsid w:val="563D3E2F"/>
    <w:rsid w:val="563F226F"/>
    <w:rsid w:val="5640122A"/>
    <w:rsid w:val="56407A11"/>
    <w:rsid w:val="56410EA1"/>
    <w:rsid w:val="56461469"/>
    <w:rsid w:val="56464A92"/>
    <w:rsid w:val="564B20A8"/>
    <w:rsid w:val="565166AD"/>
    <w:rsid w:val="565306E5"/>
    <w:rsid w:val="565432B3"/>
    <w:rsid w:val="565847C5"/>
    <w:rsid w:val="565A05B8"/>
    <w:rsid w:val="565F437A"/>
    <w:rsid w:val="56665134"/>
    <w:rsid w:val="56680EAC"/>
    <w:rsid w:val="566E5D97"/>
    <w:rsid w:val="56725887"/>
    <w:rsid w:val="56761C39"/>
    <w:rsid w:val="56777341"/>
    <w:rsid w:val="56796828"/>
    <w:rsid w:val="567B233F"/>
    <w:rsid w:val="567F7FA4"/>
    <w:rsid w:val="56814E3E"/>
    <w:rsid w:val="5681771D"/>
    <w:rsid w:val="56876E58"/>
    <w:rsid w:val="568F468B"/>
    <w:rsid w:val="5697353F"/>
    <w:rsid w:val="569752EE"/>
    <w:rsid w:val="56982E14"/>
    <w:rsid w:val="56993F21"/>
    <w:rsid w:val="569E667C"/>
    <w:rsid w:val="56A27718"/>
    <w:rsid w:val="56A54D17"/>
    <w:rsid w:val="56AC7030"/>
    <w:rsid w:val="56B20379"/>
    <w:rsid w:val="56B23ED5"/>
    <w:rsid w:val="56B37C4E"/>
    <w:rsid w:val="56B51C18"/>
    <w:rsid w:val="56B714EC"/>
    <w:rsid w:val="56B80FD4"/>
    <w:rsid w:val="56BC2FA6"/>
    <w:rsid w:val="56BC6214"/>
    <w:rsid w:val="56BD287A"/>
    <w:rsid w:val="56C836F9"/>
    <w:rsid w:val="56C854A7"/>
    <w:rsid w:val="56CA56C3"/>
    <w:rsid w:val="56CD0D0F"/>
    <w:rsid w:val="56CD6F61"/>
    <w:rsid w:val="56CF1FD9"/>
    <w:rsid w:val="56CF2CD9"/>
    <w:rsid w:val="56D20B13"/>
    <w:rsid w:val="56D54068"/>
    <w:rsid w:val="56D57BC4"/>
    <w:rsid w:val="56D95906"/>
    <w:rsid w:val="56DA342C"/>
    <w:rsid w:val="56DC53F6"/>
    <w:rsid w:val="56DE2F1C"/>
    <w:rsid w:val="56E04EE6"/>
    <w:rsid w:val="56E216D1"/>
    <w:rsid w:val="56E85B49"/>
    <w:rsid w:val="56ED13B1"/>
    <w:rsid w:val="56F16594"/>
    <w:rsid w:val="56F269C8"/>
    <w:rsid w:val="56F42740"/>
    <w:rsid w:val="56F91B04"/>
    <w:rsid w:val="56FB3ACE"/>
    <w:rsid w:val="57016C0B"/>
    <w:rsid w:val="57034731"/>
    <w:rsid w:val="570566FB"/>
    <w:rsid w:val="57087F99"/>
    <w:rsid w:val="570A5ABF"/>
    <w:rsid w:val="570B1838"/>
    <w:rsid w:val="570F757A"/>
    <w:rsid w:val="57106E4E"/>
    <w:rsid w:val="5712700E"/>
    <w:rsid w:val="57184072"/>
    <w:rsid w:val="57253D43"/>
    <w:rsid w:val="572A6725"/>
    <w:rsid w:val="572B451F"/>
    <w:rsid w:val="572F19CA"/>
    <w:rsid w:val="572F3778"/>
    <w:rsid w:val="57315742"/>
    <w:rsid w:val="573174F0"/>
    <w:rsid w:val="57364B06"/>
    <w:rsid w:val="57390153"/>
    <w:rsid w:val="57396991"/>
    <w:rsid w:val="573B036F"/>
    <w:rsid w:val="573D370B"/>
    <w:rsid w:val="57405985"/>
    <w:rsid w:val="57407733"/>
    <w:rsid w:val="574134AB"/>
    <w:rsid w:val="574216FD"/>
    <w:rsid w:val="57437223"/>
    <w:rsid w:val="574A05B2"/>
    <w:rsid w:val="574B60D8"/>
    <w:rsid w:val="57534858"/>
    <w:rsid w:val="575371C8"/>
    <w:rsid w:val="57566F57"/>
    <w:rsid w:val="57574A7D"/>
    <w:rsid w:val="575C534A"/>
    <w:rsid w:val="57600001"/>
    <w:rsid w:val="57603931"/>
    <w:rsid w:val="57623B4D"/>
    <w:rsid w:val="57652917"/>
    <w:rsid w:val="57686C8A"/>
    <w:rsid w:val="576E2576"/>
    <w:rsid w:val="576E3115"/>
    <w:rsid w:val="576E6AFE"/>
    <w:rsid w:val="5770468E"/>
    <w:rsid w:val="57723665"/>
    <w:rsid w:val="57770C7B"/>
    <w:rsid w:val="57782CA7"/>
    <w:rsid w:val="57790E97"/>
    <w:rsid w:val="577C44E3"/>
    <w:rsid w:val="577D0987"/>
    <w:rsid w:val="577D3248"/>
    <w:rsid w:val="577D4062"/>
    <w:rsid w:val="577E64AD"/>
    <w:rsid w:val="57802226"/>
    <w:rsid w:val="5780751F"/>
    <w:rsid w:val="57835EA0"/>
    <w:rsid w:val="578515EA"/>
    <w:rsid w:val="57862E29"/>
    <w:rsid w:val="57875362"/>
    <w:rsid w:val="578A6E9D"/>
    <w:rsid w:val="578C0BCA"/>
    <w:rsid w:val="579655A5"/>
    <w:rsid w:val="579D4B86"/>
    <w:rsid w:val="579F66F9"/>
    <w:rsid w:val="57A35F14"/>
    <w:rsid w:val="57B0377C"/>
    <w:rsid w:val="57B179A7"/>
    <w:rsid w:val="57B40121"/>
    <w:rsid w:val="57B43C7D"/>
    <w:rsid w:val="57CB2D12"/>
    <w:rsid w:val="57D63BF4"/>
    <w:rsid w:val="57D8796C"/>
    <w:rsid w:val="57DD1426"/>
    <w:rsid w:val="57DE10B6"/>
    <w:rsid w:val="57E04A72"/>
    <w:rsid w:val="57E207EA"/>
    <w:rsid w:val="57E26A3C"/>
    <w:rsid w:val="57E72C95"/>
    <w:rsid w:val="57E83927"/>
    <w:rsid w:val="57E9601D"/>
    <w:rsid w:val="57FA1966"/>
    <w:rsid w:val="57FB7AFE"/>
    <w:rsid w:val="58003366"/>
    <w:rsid w:val="58006EC2"/>
    <w:rsid w:val="5804270C"/>
    <w:rsid w:val="58056B37"/>
    <w:rsid w:val="58070251"/>
    <w:rsid w:val="580B5F93"/>
    <w:rsid w:val="580F7106"/>
    <w:rsid w:val="58112E7E"/>
    <w:rsid w:val="58133665"/>
    <w:rsid w:val="58163104"/>
    <w:rsid w:val="581B1F4E"/>
    <w:rsid w:val="58226E39"/>
    <w:rsid w:val="58240E03"/>
    <w:rsid w:val="58254B7B"/>
    <w:rsid w:val="58256929"/>
    <w:rsid w:val="5829466B"/>
    <w:rsid w:val="583067EF"/>
    <w:rsid w:val="58351494"/>
    <w:rsid w:val="58366D88"/>
    <w:rsid w:val="583D1EC5"/>
    <w:rsid w:val="583E300F"/>
    <w:rsid w:val="58443253"/>
    <w:rsid w:val="58450D79"/>
    <w:rsid w:val="58474AF1"/>
    <w:rsid w:val="5847689F"/>
    <w:rsid w:val="58482C7F"/>
    <w:rsid w:val="584C5771"/>
    <w:rsid w:val="584C64D4"/>
    <w:rsid w:val="584D3288"/>
    <w:rsid w:val="584D4CEE"/>
    <w:rsid w:val="584E40D2"/>
    <w:rsid w:val="58535244"/>
    <w:rsid w:val="5855720E"/>
    <w:rsid w:val="58565659"/>
    <w:rsid w:val="58573625"/>
    <w:rsid w:val="58586CFE"/>
    <w:rsid w:val="585B5A65"/>
    <w:rsid w:val="585D2567"/>
    <w:rsid w:val="585F3F16"/>
    <w:rsid w:val="58670CF0"/>
    <w:rsid w:val="586A6A88"/>
    <w:rsid w:val="586C27AA"/>
    <w:rsid w:val="586C6306"/>
    <w:rsid w:val="58704048"/>
    <w:rsid w:val="58710E2D"/>
    <w:rsid w:val="58782EFD"/>
    <w:rsid w:val="587A0A23"/>
    <w:rsid w:val="58842427"/>
    <w:rsid w:val="588440C7"/>
    <w:rsid w:val="588850A8"/>
    <w:rsid w:val="588C69A8"/>
    <w:rsid w:val="58920462"/>
    <w:rsid w:val="5895585D"/>
    <w:rsid w:val="589715D5"/>
    <w:rsid w:val="589A2E73"/>
    <w:rsid w:val="589C308F"/>
    <w:rsid w:val="58A77AFF"/>
    <w:rsid w:val="58A837E2"/>
    <w:rsid w:val="58A957AC"/>
    <w:rsid w:val="58AB5080"/>
    <w:rsid w:val="58AB6E2E"/>
    <w:rsid w:val="58AC2BA6"/>
    <w:rsid w:val="58AD0DF8"/>
    <w:rsid w:val="58B02697"/>
    <w:rsid w:val="58B32187"/>
    <w:rsid w:val="58B702DB"/>
    <w:rsid w:val="58BA31BA"/>
    <w:rsid w:val="58BC07AC"/>
    <w:rsid w:val="58BC728D"/>
    <w:rsid w:val="58BE6386"/>
    <w:rsid w:val="58C104BC"/>
    <w:rsid w:val="58C425E6"/>
    <w:rsid w:val="58C61EBA"/>
    <w:rsid w:val="58C77D96"/>
    <w:rsid w:val="58C919AA"/>
    <w:rsid w:val="58C93758"/>
    <w:rsid w:val="58C93772"/>
    <w:rsid w:val="58CA7BFC"/>
    <w:rsid w:val="58CE6FC1"/>
    <w:rsid w:val="58D07DF4"/>
    <w:rsid w:val="58D2260D"/>
    <w:rsid w:val="58D267BC"/>
    <w:rsid w:val="58D26AB1"/>
    <w:rsid w:val="58D97E3F"/>
    <w:rsid w:val="58DE7204"/>
    <w:rsid w:val="58E10AA2"/>
    <w:rsid w:val="58E32A6C"/>
    <w:rsid w:val="58E40592"/>
    <w:rsid w:val="58EA204C"/>
    <w:rsid w:val="58ED38EB"/>
    <w:rsid w:val="58F447DB"/>
    <w:rsid w:val="58FB7741"/>
    <w:rsid w:val="58FD5D9D"/>
    <w:rsid w:val="59034B0E"/>
    <w:rsid w:val="59060509"/>
    <w:rsid w:val="590617C1"/>
    <w:rsid w:val="590649AC"/>
    <w:rsid w:val="59066C26"/>
    <w:rsid w:val="590824D3"/>
    <w:rsid w:val="590B1FC3"/>
    <w:rsid w:val="590B22B6"/>
    <w:rsid w:val="590B3D71"/>
    <w:rsid w:val="590D7AE9"/>
    <w:rsid w:val="59103135"/>
    <w:rsid w:val="591075D9"/>
    <w:rsid w:val="59123351"/>
    <w:rsid w:val="59140E77"/>
    <w:rsid w:val="59162E41"/>
    <w:rsid w:val="591A7294"/>
    <w:rsid w:val="591B63F2"/>
    <w:rsid w:val="591F781C"/>
    <w:rsid w:val="59213594"/>
    <w:rsid w:val="59221701"/>
    <w:rsid w:val="592D1D9B"/>
    <w:rsid w:val="592D1F39"/>
    <w:rsid w:val="593C217C"/>
    <w:rsid w:val="593E58F0"/>
    <w:rsid w:val="593F3A1A"/>
    <w:rsid w:val="594159E5"/>
    <w:rsid w:val="59464DA9"/>
    <w:rsid w:val="5947124D"/>
    <w:rsid w:val="59484FC5"/>
    <w:rsid w:val="594D4389"/>
    <w:rsid w:val="594E3CA4"/>
    <w:rsid w:val="5955323E"/>
    <w:rsid w:val="595C45CC"/>
    <w:rsid w:val="596733BB"/>
    <w:rsid w:val="59680B5D"/>
    <w:rsid w:val="596A4F3B"/>
    <w:rsid w:val="596D67DA"/>
    <w:rsid w:val="596F26C8"/>
    <w:rsid w:val="596F4300"/>
    <w:rsid w:val="596F510D"/>
    <w:rsid w:val="5971703E"/>
    <w:rsid w:val="59723DF0"/>
    <w:rsid w:val="597436C4"/>
    <w:rsid w:val="597631FE"/>
    <w:rsid w:val="5976568E"/>
    <w:rsid w:val="59766ED3"/>
    <w:rsid w:val="59777658"/>
    <w:rsid w:val="597D18F3"/>
    <w:rsid w:val="597D4C6F"/>
    <w:rsid w:val="597E4543"/>
    <w:rsid w:val="5980475F"/>
    <w:rsid w:val="59822285"/>
    <w:rsid w:val="59843637"/>
    <w:rsid w:val="59851D75"/>
    <w:rsid w:val="59861649"/>
    <w:rsid w:val="59883613"/>
    <w:rsid w:val="598B6C60"/>
    <w:rsid w:val="5991500E"/>
    <w:rsid w:val="599B50F5"/>
    <w:rsid w:val="599C2C1B"/>
    <w:rsid w:val="599F37FD"/>
    <w:rsid w:val="59A321FB"/>
    <w:rsid w:val="59A55F73"/>
    <w:rsid w:val="59A65848"/>
    <w:rsid w:val="59A73A9A"/>
    <w:rsid w:val="59AA17DC"/>
    <w:rsid w:val="59AD307A"/>
    <w:rsid w:val="59B20BFD"/>
    <w:rsid w:val="59B47F65"/>
    <w:rsid w:val="59B57CBC"/>
    <w:rsid w:val="59B9557B"/>
    <w:rsid w:val="59BC4885"/>
    <w:rsid w:val="59BD660D"/>
    <w:rsid w:val="59BF753B"/>
    <w:rsid w:val="59C14B78"/>
    <w:rsid w:val="59C21551"/>
    <w:rsid w:val="59C77C52"/>
    <w:rsid w:val="59CF2FF0"/>
    <w:rsid w:val="59CF4D9E"/>
    <w:rsid w:val="59D2663D"/>
    <w:rsid w:val="59D93E6F"/>
    <w:rsid w:val="59DB1995"/>
    <w:rsid w:val="59DB7BE7"/>
    <w:rsid w:val="59DE1886"/>
    <w:rsid w:val="59E00D5A"/>
    <w:rsid w:val="59E06FAB"/>
    <w:rsid w:val="59E208A7"/>
    <w:rsid w:val="59E35ED0"/>
    <w:rsid w:val="59E940B2"/>
    <w:rsid w:val="59EF5395"/>
    <w:rsid w:val="59EF5441"/>
    <w:rsid w:val="59EF71EF"/>
    <w:rsid w:val="59F1740B"/>
    <w:rsid w:val="59F20A8D"/>
    <w:rsid w:val="59F36CDF"/>
    <w:rsid w:val="59F44805"/>
    <w:rsid w:val="59F51775"/>
    <w:rsid w:val="59F519C7"/>
    <w:rsid w:val="59F91E1B"/>
    <w:rsid w:val="59FA28A1"/>
    <w:rsid w:val="59FC3C55"/>
    <w:rsid w:val="5A0013FC"/>
    <w:rsid w:val="5A0031AA"/>
    <w:rsid w:val="5A04713E"/>
    <w:rsid w:val="5A0A4028"/>
    <w:rsid w:val="5A0E1D6B"/>
    <w:rsid w:val="5A0F163F"/>
    <w:rsid w:val="5A1350B0"/>
    <w:rsid w:val="5A1530F9"/>
    <w:rsid w:val="5A1D0200"/>
    <w:rsid w:val="5A1D1FAE"/>
    <w:rsid w:val="5A250854"/>
    <w:rsid w:val="5A2570B4"/>
    <w:rsid w:val="5A2A46CB"/>
    <w:rsid w:val="5A344EA3"/>
    <w:rsid w:val="5A3572F7"/>
    <w:rsid w:val="5A3617D9"/>
    <w:rsid w:val="5A3665E1"/>
    <w:rsid w:val="5A366BCB"/>
    <w:rsid w:val="5A380B96"/>
    <w:rsid w:val="5A382944"/>
    <w:rsid w:val="5A4532B2"/>
    <w:rsid w:val="5A461504"/>
    <w:rsid w:val="5A47527D"/>
    <w:rsid w:val="5A47702B"/>
    <w:rsid w:val="5A4B6B1B"/>
    <w:rsid w:val="5A4D76B3"/>
    <w:rsid w:val="5A4F7C8D"/>
    <w:rsid w:val="5A513A05"/>
    <w:rsid w:val="5A5359CF"/>
    <w:rsid w:val="5A5654C0"/>
    <w:rsid w:val="5A601E9A"/>
    <w:rsid w:val="5A643739"/>
    <w:rsid w:val="5A647BDD"/>
    <w:rsid w:val="5A6776CD"/>
    <w:rsid w:val="5A6B1B59"/>
    <w:rsid w:val="5A6B2D19"/>
    <w:rsid w:val="5A701946"/>
    <w:rsid w:val="5A7046F8"/>
    <w:rsid w:val="5A715E71"/>
    <w:rsid w:val="5A7B0A82"/>
    <w:rsid w:val="5A7C4F26"/>
    <w:rsid w:val="5A845CF1"/>
    <w:rsid w:val="5A8913F1"/>
    <w:rsid w:val="5A89319F"/>
    <w:rsid w:val="5A8935B7"/>
    <w:rsid w:val="5A8A2017"/>
    <w:rsid w:val="5A8D7133"/>
    <w:rsid w:val="5A902780"/>
    <w:rsid w:val="5A913507"/>
    <w:rsid w:val="5A99726A"/>
    <w:rsid w:val="5A9A53AC"/>
    <w:rsid w:val="5A9D2A59"/>
    <w:rsid w:val="5A9F6E67"/>
    <w:rsid w:val="5AA1498D"/>
    <w:rsid w:val="5AA24261"/>
    <w:rsid w:val="5AAB1367"/>
    <w:rsid w:val="5AAC584A"/>
    <w:rsid w:val="5AAD1584"/>
    <w:rsid w:val="5AAF5D14"/>
    <w:rsid w:val="5ABA5A4E"/>
    <w:rsid w:val="5AC10B8B"/>
    <w:rsid w:val="5AC60A34"/>
    <w:rsid w:val="5AC62645"/>
    <w:rsid w:val="5ACB37B8"/>
    <w:rsid w:val="5ACE14FA"/>
    <w:rsid w:val="5ACF1675"/>
    <w:rsid w:val="5AD1390C"/>
    <w:rsid w:val="5AD240D0"/>
    <w:rsid w:val="5AD3266C"/>
    <w:rsid w:val="5AD54636"/>
    <w:rsid w:val="5AD73617"/>
    <w:rsid w:val="5AD92379"/>
    <w:rsid w:val="5ADB4394"/>
    <w:rsid w:val="5ADF54B5"/>
    <w:rsid w:val="5AE14981"/>
    <w:rsid w:val="5AE34FA5"/>
    <w:rsid w:val="5AE445AB"/>
    <w:rsid w:val="5AE57473"/>
    <w:rsid w:val="5AE825BC"/>
    <w:rsid w:val="5AED1980"/>
    <w:rsid w:val="5AEF41DC"/>
    <w:rsid w:val="5AF008CF"/>
    <w:rsid w:val="5AF078D1"/>
    <w:rsid w:val="5AF251E8"/>
    <w:rsid w:val="5AF365A6"/>
    <w:rsid w:val="5AF56A87"/>
    <w:rsid w:val="5AF7469F"/>
    <w:rsid w:val="5AFB7C61"/>
    <w:rsid w:val="5AFD15E4"/>
    <w:rsid w:val="5AFF16B3"/>
    <w:rsid w:val="5AFF7905"/>
    <w:rsid w:val="5B04316E"/>
    <w:rsid w:val="5B060C94"/>
    <w:rsid w:val="5B0867BA"/>
    <w:rsid w:val="5B0D3DD0"/>
    <w:rsid w:val="5B0E4CE8"/>
    <w:rsid w:val="5B150ED7"/>
    <w:rsid w:val="5B15555B"/>
    <w:rsid w:val="5B16743A"/>
    <w:rsid w:val="5B174656"/>
    <w:rsid w:val="5B18349B"/>
    <w:rsid w:val="5B1E5FDD"/>
    <w:rsid w:val="5B1F1D55"/>
    <w:rsid w:val="5B2058CD"/>
    <w:rsid w:val="5B21215C"/>
    <w:rsid w:val="5B231356"/>
    <w:rsid w:val="5B231846"/>
    <w:rsid w:val="5B2348F0"/>
    <w:rsid w:val="5B2863F4"/>
    <w:rsid w:val="5B295620"/>
    <w:rsid w:val="5B2A3D99"/>
    <w:rsid w:val="5B2A416F"/>
    <w:rsid w:val="5B2D6220"/>
    <w:rsid w:val="5B303F63"/>
    <w:rsid w:val="5B305D11"/>
    <w:rsid w:val="5B33135D"/>
    <w:rsid w:val="5B340130"/>
    <w:rsid w:val="5B340651"/>
    <w:rsid w:val="5B3475AF"/>
    <w:rsid w:val="5B37709F"/>
    <w:rsid w:val="5B394BC5"/>
    <w:rsid w:val="5B3D3F8A"/>
    <w:rsid w:val="5B413A7A"/>
    <w:rsid w:val="5B427303"/>
    <w:rsid w:val="5B44356A"/>
    <w:rsid w:val="5B5C08B4"/>
    <w:rsid w:val="5B5C6B06"/>
    <w:rsid w:val="5B5F2152"/>
    <w:rsid w:val="5B613BBD"/>
    <w:rsid w:val="5B61411C"/>
    <w:rsid w:val="5B637E94"/>
    <w:rsid w:val="5B687259"/>
    <w:rsid w:val="5B6D0D13"/>
    <w:rsid w:val="5B6D2AC1"/>
    <w:rsid w:val="5B745BFD"/>
    <w:rsid w:val="5B761E9C"/>
    <w:rsid w:val="5B7756EE"/>
    <w:rsid w:val="5B7857A8"/>
    <w:rsid w:val="5B7B3430"/>
    <w:rsid w:val="5B7C2D04"/>
    <w:rsid w:val="5B7C71A8"/>
    <w:rsid w:val="5B8322E4"/>
    <w:rsid w:val="5B8A5421"/>
    <w:rsid w:val="5B8A78EA"/>
    <w:rsid w:val="5B8C2D50"/>
    <w:rsid w:val="5B8D4F11"/>
    <w:rsid w:val="5B8D6CBF"/>
    <w:rsid w:val="5B8E56FB"/>
    <w:rsid w:val="5B915EEE"/>
    <w:rsid w:val="5B9242D5"/>
    <w:rsid w:val="5B9444F1"/>
    <w:rsid w:val="5B962018"/>
    <w:rsid w:val="5B981FE8"/>
    <w:rsid w:val="5B9B13DC"/>
    <w:rsid w:val="5BA04C44"/>
    <w:rsid w:val="5BA364E3"/>
    <w:rsid w:val="5BAC2376"/>
    <w:rsid w:val="5BAD7361"/>
    <w:rsid w:val="5BB436C1"/>
    <w:rsid w:val="5BBD4F0B"/>
    <w:rsid w:val="5BBE331C"/>
    <w:rsid w:val="5BBF7D40"/>
    <w:rsid w:val="5BC07095"/>
    <w:rsid w:val="5BC70423"/>
    <w:rsid w:val="5BC92803"/>
    <w:rsid w:val="5BD33445"/>
    <w:rsid w:val="5BDD5DA4"/>
    <w:rsid w:val="5BDE39BF"/>
    <w:rsid w:val="5BE2525D"/>
    <w:rsid w:val="5BEA7272"/>
    <w:rsid w:val="5BEB0156"/>
    <w:rsid w:val="5BFA246A"/>
    <w:rsid w:val="5BFB1E7B"/>
    <w:rsid w:val="5C0056E3"/>
    <w:rsid w:val="5C073450"/>
    <w:rsid w:val="5C084598"/>
    <w:rsid w:val="5C0A0310"/>
    <w:rsid w:val="5C0E0CC2"/>
    <w:rsid w:val="5C0F3B78"/>
    <w:rsid w:val="5C1A24BE"/>
    <w:rsid w:val="5C1D6295"/>
    <w:rsid w:val="5C1E200D"/>
    <w:rsid w:val="5C217E2B"/>
    <w:rsid w:val="5C2238AB"/>
    <w:rsid w:val="5C292E8C"/>
    <w:rsid w:val="5C381321"/>
    <w:rsid w:val="5C384E7D"/>
    <w:rsid w:val="5C392AD6"/>
    <w:rsid w:val="5C3D6937"/>
    <w:rsid w:val="5C430981"/>
    <w:rsid w:val="5C473312"/>
    <w:rsid w:val="5C4750C0"/>
    <w:rsid w:val="5C4837B2"/>
    <w:rsid w:val="5C4A4BB0"/>
    <w:rsid w:val="5C4B6CC8"/>
    <w:rsid w:val="5C4C26D6"/>
    <w:rsid w:val="5C4E0C1B"/>
    <w:rsid w:val="5C4E28F2"/>
    <w:rsid w:val="5C58551F"/>
    <w:rsid w:val="5C5B500F"/>
    <w:rsid w:val="5C5B6DBD"/>
    <w:rsid w:val="5C5D2B35"/>
    <w:rsid w:val="5C643EC4"/>
    <w:rsid w:val="5C673B45"/>
    <w:rsid w:val="5C693288"/>
    <w:rsid w:val="5C69772C"/>
    <w:rsid w:val="5C6A5252"/>
    <w:rsid w:val="5C6B60E0"/>
    <w:rsid w:val="5C6E089F"/>
    <w:rsid w:val="5C706FAD"/>
    <w:rsid w:val="5C725121"/>
    <w:rsid w:val="5C735EB5"/>
    <w:rsid w:val="5C761E49"/>
    <w:rsid w:val="5C7A36E7"/>
    <w:rsid w:val="5C7B276E"/>
    <w:rsid w:val="5C8207EE"/>
    <w:rsid w:val="5C8C51C9"/>
    <w:rsid w:val="5C8C6F77"/>
    <w:rsid w:val="5C930305"/>
    <w:rsid w:val="5C9347A9"/>
    <w:rsid w:val="5C966047"/>
    <w:rsid w:val="5C9A1694"/>
    <w:rsid w:val="5CA02A22"/>
    <w:rsid w:val="5CA4759E"/>
    <w:rsid w:val="5CAA3CE0"/>
    <w:rsid w:val="5CAC13C7"/>
    <w:rsid w:val="5CB00D05"/>
    <w:rsid w:val="5CB00EB7"/>
    <w:rsid w:val="5CB5471F"/>
    <w:rsid w:val="5CB87D6C"/>
    <w:rsid w:val="5CBC5AAE"/>
    <w:rsid w:val="5CBD1826"/>
    <w:rsid w:val="5CC10AD7"/>
    <w:rsid w:val="5CC83DC7"/>
    <w:rsid w:val="5CC9164A"/>
    <w:rsid w:val="5CCE758F"/>
    <w:rsid w:val="5CD01559"/>
    <w:rsid w:val="5CD665A4"/>
    <w:rsid w:val="5CDC4CC6"/>
    <w:rsid w:val="5CDC6150"/>
    <w:rsid w:val="5CE04865"/>
    <w:rsid w:val="5CE605C8"/>
    <w:rsid w:val="5CE648D9"/>
    <w:rsid w:val="5CE70651"/>
    <w:rsid w:val="5CEC55E4"/>
    <w:rsid w:val="5CEE19DF"/>
    <w:rsid w:val="5CF35248"/>
    <w:rsid w:val="5CF52D6E"/>
    <w:rsid w:val="5CF86C73"/>
    <w:rsid w:val="5CFA65D6"/>
    <w:rsid w:val="5D017965"/>
    <w:rsid w:val="5D064F7B"/>
    <w:rsid w:val="5D07484F"/>
    <w:rsid w:val="5D0D455B"/>
    <w:rsid w:val="5D0E3E30"/>
    <w:rsid w:val="5D150CA6"/>
    <w:rsid w:val="5D1C3105"/>
    <w:rsid w:val="5D276544"/>
    <w:rsid w:val="5D2D2508"/>
    <w:rsid w:val="5D310D37"/>
    <w:rsid w:val="5D323FC2"/>
    <w:rsid w:val="5D385794"/>
    <w:rsid w:val="5D3B7AC8"/>
    <w:rsid w:val="5D3C4DB4"/>
    <w:rsid w:val="5D3F66DF"/>
    <w:rsid w:val="5D4930BA"/>
    <w:rsid w:val="5D4B0BE0"/>
    <w:rsid w:val="5D4D2BAA"/>
    <w:rsid w:val="5D5850AB"/>
    <w:rsid w:val="5D5E4DB7"/>
    <w:rsid w:val="5D656145"/>
    <w:rsid w:val="5D6B74D4"/>
    <w:rsid w:val="5D6F0D72"/>
    <w:rsid w:val="5D74605B"/>
    <w:rsid w:val="5D74628C"/>
    <w:rsid w:val="5D746389"/>
    <w:rsid w:val="5D7739CD"/>
    <w:rsid w:val="5D7874FB"/>
    <w:rsid w:val="5D79399F"/>
    <w:rsid w:val="5D79574D"/>
    <w:rsid w:val="5D7E2D63"/>
    <w:rsid w:val="5D810FF7"/>
    <w:rsid w:val="5D8205DF"/>
    <w:rsid w:val="5D850596"/>
    <w:rsid w:val="5D8660BC"/>
    <w:rsid w:val="5D891708"/>
    <w:rsid w:val="5D8B31E3"/>
    <w:rsid w:val="5D8F5802"/>
    <w:rsid w:val="5D8F6D1E"/>
    <w:rsid w:val="5D900CE9"/>
    <w:rsid w:val="5D915A0E"/>
    <w:rsid w:val="5D92680F"/>
    <w:rsid w:val="5D972077"/>
    <w:rsid w:val="5D9B663A"/>
    <w:rsid w:val="5DA56542"/>
    <w:rsid w:val="5DA64068"/>
    <w:rsid w:val="5DA778E4"/>
    <w:rsid w:val="5DAB78D0"/>
    <w:rsid w:val="5DAC0C7A"/>
    <w:rsid w:val="5DAF116F"/>
    <w:rsid w:val="5DB03139"/>
    <w:rsid w:val="5DB449D7"/>
    <w:rsid w:val="5DB53927"/>
    <w:rsid w:val="5DB9327E"/>
    <w:rsid w:val="5DBC388C"/>
    <w:rsid w:val="5DC310BE"/>
    <w:rsid w:val="5DC42740"/>
    <w:rsid w:val="5DC472D4"/>
    <w:rsid w:val="5DCA7D57"/>
    <w:rsid w:val="5DCB3ACF"/>
    <w:rsid w:val="5DD047C5"/>
    <w:rsid w:val="5DD04BD2"/>
    <w:rsid w:val="5DD230AF"/>
    <w:rsid w:val="5DD24E5D"/>
    <w:rsid w:val="5DD40BD5"/>
    <w:rsid w:val="5DDA5439"/>
    <w:rsid w:val="5DDE1552"/>
    <w:rsid w:val="5DE030A9"/>
    <w:rsid w:val="5DE132F2"/>
    <w:rsid w:val="5DE30E18"/>
    <w:rsid w:val="5DE43D51"/>
    <w:rsid w:val="5DED7EE9"/>
    <w:rsid w:val="5DFB2606"/>
    <w:rsid w:val="5DFD6560"/>
    <w:rsid w:val="5E007C1C"/>
    <w:rsid w:val="5E0303E5"/>
    <w:rsid w:val="5E03770C"/>
    <w:rsid w:val="5E04332E"/>
    <w:rsid w:val="5E064172"/>
    <w:rsid w:val="5E091947"/>
    <w:rsid w:val="5E127950"/>
    <w:rsid w:val="5E1611EE"/>
    <w:rsid w:val="5E176D14"/>
    <w:rsid w:val="5E192A8C"/>
    <w:rsid w:val="5E1B2CA8"/>
    <w:rsid w:val="5E1B6804"/>
    <w:rsid w:val="5E1D124D"/>
    <w:rsid w:val="5E20206C"/>
    <w:rsid w:val="5E2077EC"/>
    <w:rsid w:val="5E211941"/>
    <w:rsid w:val="5E225DE5"/>
    <w:rsid w:val="5E27164D"/>
    <w:rsid w:val="5E2A4C99"/>
    <w:rsid w:val="5E2C0A11"/>
    <w:rsid w:val="5E2E3482"/>
    <w:rsid w:val="5E2E58FB"/>
    <w:rsid w:val="5E2F3662"/>
    <w:rsid w:val="5E3133D3"/>
    <w:rsid w:val="5E315F82"/>
    <w:rsid w:val="5E316028"/>
    <w:rsid w:val="5E345B18"/>
    <w:rsid w:val="5E355D93"/>
    <w:rsid w:val="5E39312E"/>
    <w:rsid w:val="5E3C677A"/>
    <w:rsid w:val="5E413D91"/>
    <w:rsid w:val="5E4A70E9"/>
    <w:rsid w:val="5E4B23E2"/>
    <w:rsid w:val="5E4D0988"/>
    <w:rsid w:val="5E4F4700"/>
    <w:rsid w:val="5E51429A"/>
    <w:rsid w:val="5E5B4E53"/>
    <w:rsid w:val="5E5D50D2"/>
    <w:rsid w:val="5E604B5F"/>
    <w:rsid w:val="5E6463FD"/>
    <w:rsid w:val="5E692E96"/>
    <w:rsid w:val="5E6A153A"/>
    <w:rsid w:val="5E6C3504"/>
    <w:rsid w:val="5E6E2DD8"/>
    <w:rsid w:val="5E736640"/>
    <w:rsid w:val="5E744166"/>
    <w:rsid w:val="5E766130"/>
    <w:rsid w:val="5E783C56"/>
    <w:rsid w:val="5E785D0C"/>
    <w:rsid w:val="5E7B7098"/>
    <w:rsid w:val="5E7E0E34"/>
    <w:rsid w:val="5E7F3237"/>
    <w:rsid w:val="5E802B0B"/>
    <w:rsid w:val="5E836CBA"/>
    <w:rsid w:val="5E856373"/>
    <w:rsid w:val="5E873E9A"/>
    <w:rsid w:val="5E895E64"/>
    <w:rsid w:val="5E8C7702"/>
    <w:rsid w:val="5E8E5228"/>
    <w:rsid w:val="5E8E6FD6"/>
    <w:rsid w:val="5E934044"/>
    <w:rsid w:val="5E937ADD"/>
    <w:rsid w:val="5E9D3AC8"/>
    <w:rsid w:val="5E9F11E3"/>
    <w:rsid w:val="5EA0677E"/>
    <w:rsid w:val="5EA762EA"/>
    <w:rsid w:val="5EA902B4"/>
    <w:rsid w:val="5EAB6C27"/>
    <w:rsid w:val="5EAE1426"/>
    <w:rsid w:val="5EAE58CA"/>
    <w:rsid w:val="5EAE6EA2"/>
    <w:rsid w:val="5EB047E0"/>
    <w:rsid w:val="5EB6652D"/>
    <w:rsid w:val="5EBA601D"/>
    <w:rsid w:val="5EBB1D95"/>
    <w:rsid w:val="5EBB2DEA"/>
    <w:rsid w:val="5EBB3B43"/>
    <w:rsid w:val="5EC37085"/>
    <w:rsid w:val="5EC549C2"/>
    <w:rsid w:val="5EC56770"/>
    <w:rsid w:val="5EC93EDE"/>
    <w:rsid w:val="5ECF75EF"/>
    <w:rsid w:val="5ED03A93"/>
    <w:rsid w:val="5ED05841"/>
    <w:rsid w:val="5ED13367"/>
    <w:rsid w:val="5ED15115"/>
    <w:rsid w:val="5ED510A9"/>
    <w:rsid w:val="5ED66BCF"/>
    <w:rsid w:val="5EE148FA"/>
    <w:rsid w:val="5EE17A4E"/>
    <w:rsid w:val="5EE25574"/>
    <w:rsid w:val="5EE368DD"/>
    <w:rsid w:val="5EE370C8"/>
    <w:rsid w:val="5EE44E48"/>
    <w:rsid w:val="5EE72758"/>
    <w:rsid w:val="5EEB267A"/>
    <w:rsid w:val="5EEC63F2"/>
    <w:rsid w:val="5EEE5CC7"/>
    <w:rsid w:val="5EF86B45"/>
    <w:rsid w:val="5EFA0523"/>
    <w:rsid w:val="5EFD0600"/>
    <w:rsid w:val="5F011E9E"/>
    <w:rsid w:val="5F0454EA"/>
    <w:rsid w:val="5F08322C"/>
    <w:rsid w:val="5F096FA4"/>
    <w:rsid w:val="5F100333"/>
    <w:rsid w:val="5F105C3D"/>
    <w:rsid w:val="5F196760"/>
    <w:rsid w:val="5F1C0A86"/>
    <w:rsid w:val="5F1C6CD8"/>
    <w:rsid w:val="5F1D47FE"/>
    <w:rsid w:val="5F1D65AC"/>
    <w:rsid w:val="5F1F2324"/>
    <w:rsid w:val="5F2008E0"/>
    <w:rsid w:val="5F230066"/>
    <w:rsid w:val="5F295B30"/>
    <w:rsid w:val="5F296CFF"/>
    <w:rsid w:val="5F2D3AFE"/>
    <w:rsid w:val="5F2E484C"/>
    <w:rsid w:val="5F304531"/>
    <w:rsid w:val="5F3131CD"/>
    <w:rsid w:val="5F3202A9"/>
    <w:rsid w:val="5F322812"/>
    <w:rsid w:val="5F335DCF"/>
    <w:rsid w:val="5F3758C0"/>
    <w:rsid w:val="5F3A53B0"/>
    <w:rsid w:val="5F3F29C6"/>
    <w:rsid w:val="5F42509B"/>
    <w:rsid w:val="5F427DC1"/>
    <w:rsid w:val="5F443B39"/>
    <w:rsid w:val="5F4F0E5B"/>
    <w:rsid w:val="5F507610"/>
    <w:rsid w:val="5F5521EA"/>
    <w:rsid w:val="5F553F98"/>
    <w:rsid w:val="5F585836"/>
    <w:rsid w:val="5F5A15AE"/>
    <w:rsid w:val="5F5A6691"/>
    <w:rsid w:val="5F630463"/>
    <w:rsid w:val="5F6661A5"/>
    <w:rsid w:val="5F6830DC"/>
    <w:rsid w:val="5F6B7317"/>
    <w:rsid w:val="5F700DD2"/>
    <w:rsid w:val="5F720D05"/>
    <w:rsid w:val="5F724B4A"/>
    <w:rsid w:val="5F7E34EF"/>
    <w:rsid w:val="5F813C55"/>
    <w:rsid w:val="5F8623A3"/>
    <w:rsid w:val="5F880A83"/>
    <w:rsid w:val="5F881C77"/>
    <w:rsid w:val="5F8B6CA4"/>
    <w:rsid w:val="5F8E3006"/>
    <w:rsid w:val="5F8F52CB"/>
    <w:rsid w:val="5F944E8A"/>
    <w:rsid w:val="5F953183"/>
    <w:rsid w:val="5F9E5AEE"/>
    <w:rsid w:val="5F9E76ED"/>
    <w:rsid w:val="5FA016B7"/>
    <w:rsid w:val="5FA41DAE"/>
    <w:rsid w:val="5FA42829"/>
    <w:rsid w:val="5FA840C8"/>
    <w:rsid w:val="5FA97E40"/>
    <w:rsid w:val="5FAA1A62"/>
    <w:rsid w:val="5FAD3EA6"/>
    <w:rsid w:val="5FAE4872"/>
    <w:rsid w:val="5FAF541F"/>
    <w:rsid w:val="5FBA3DFB"/>
    <w:rsid w:val="5FBB4DA3"/>
    <w:rsid w:val="5FC1162D"/>
    <w:rsid w:val="5FC5111D"/>
    <w:rsid w:val="5FC71BCD"/>
    <w:rsid w:val="5FC8476A"/>
    <w:rsid w:val="5FCB6008"/>
    <w:rsid w:val="5FCF5AF8"/>
    <w:rsid w:val="5FD27396"/>
    <w:rsid w:val="5FD41360"/>
    <w:rsid w:val="5FD819E0"/>
    <w:rsid w:val="5FDE21DF"/>
    <w:rsid w:val="5FDE3F8D"/>
    <w:rsid w:val="5FE231E0"/>
    <w:rsid w:val="5FE33B7B"/>
    <w:rsid w:val="5FEA46E0"/>
    <w:rsid w:val="5FEB2206"/>
    <w:rsid w:val="5FEC289C"/>
    <w:rsid w:val="5FED5F7E"/>
    <w:rsid w:val="5FF437B1"/>
    <w:rsid w:val="5FF4730D"/>
    <w:rsid w:val="5FF53085"/>
    <w:rsid w:val="5FF5332F"/>
    <w:rsid w:val="5FF94438"/>
    <w:rsid w:val="5FFC2665"/>
    <w:rsid w:val="60002155"/>
    <w:rsid w:val="60011A2A"/>
    <w:rsid w:val="6008663C"/>
    <w:rsid w:val="600B0A7A"/>
    <w:rsid w:val="600F05EB"/>
    <w:rsid w:val="60171F35"/>
    <w:rsid w:val="60182CB2"/>
    <w:rsid w:val="60194FC5"/>
    <w:rsid w:val="60196D73"/>
    <w:rsid w:val="601B0D3D"/>
    <w:rsid w:val="601B1B71"/>
    <w:rsid w:val="601C6864"/>
    <w:rsid w:val="60310561"/>
    <w:rsid w:val="603242D9"/>
    <w:rsid w:val="60343BAD"/>
    <w:rsid w:val="60396BAB"/>
    <w:rsid w:val="60397415"/>
    <w:rsid w:val="603E4A2C"/>
    <w:rsid w:val="603F2C27"/>
    <w:rsid w:val="604069F6"/>
    <w:rsid w:val="60427C5D"/>
    <w:rsid w:val="60430294"/>
    <w:rsid w:val="604527A6"/>
    <w:rsid w:val="604751DF"/>
    <w:rsid w:val="604C0EF7"/>
    <w:rsid w:val="6051475F"/>
    <w:rsid w:val="60534318"/>
    <w:rsid w:val="60542072"/>
    <w:rsid w:val="605424A1"/>
    <w:rsid w:val="60567FC7"/>
    <w:rsid w:val="605E5565"/>
    <w:rsid w:val="606049A2"/>
    <w:rsid w:val="60636240"/>
    <w:rsid w:val="6066482C"/>
    <w:rsid w:val="60712CDB"/>
    <w:rsid w:val="60771CEC"/>
    <w:rsid w:val="607829F8"/>
    <w:rsid w:val="607A0954"/>
    <w:rsid w:val="607B17DC"/>
    <w:rsid w:val="607E321C"/>
    <w:rsid w:val="60805044"/>
    <w:rsid w:val="60822B6A"/>
    <w:rsid w:val="6082700E"/>
    <w:rsid w:val="608B2917"/>
    <w:rsid w:val="608E3692"/>
    <w:rsid w:val="608E7761"/>
    <w:rsid w:val="608F34D9"/>
    <w:rsid w:val="60912DAE"/>
    <w:rsid w:val="609603C4"/>
    <w:rsid w:val="609F196E"/>
    <w:rsid w:val="60A056E7"/>
    <w:rsid w:val="60A2320D"/>
    <w:rsid w:val="60AA20C1"/>
    <w:rsid w:val="60AF592A"/>
    <w:rsid w:val="60B116A2"/>
    <w:rsid w:val="60B151FE"/>
    <w:rsid w:val="60B44CEE"/>
    <w:rsid w:val="60BD3BA3"/>
    <w:rsid w:val="60C413D5"/>
    <w:rsid w:val="60C427F5"/>
    <w:rsid w:val="60C546D6"/>
    <w:rsid w:val="60C56EFB"/>
    <w:rsid w:val="60C63929"/>
    <w:rsid w:val="60D64C64"/>
    <w:rsid w:val="60DB04CD"/>
    <w:rsid w:val="60DD4245"/>
    <w:rsid w:val="60DD5FF3"/>
    <w:rsid w:val="60E0197E"/>
    <w:rsid w:val="60E16353"/>
    <w:rsid w:val="60E17538"/>
    <w:rsid w:val="60E43825"/>
    <w:rsid w:val="60EA6962"/>
    <w:rsid w:val="60EE0200"/>
    <w:rsid w:val="60EE6214"/>
    <w:rsid w:val="60EF6A3B"/>
    <w:rsid w:val="60F021CA"/>
    <w:rsid w:val="60F668A1"/>
    <w:rsid w:val="60FF240D"/>
    <w:rsid w:val="61001CE1"/>
    <w:rsid w:val="610213CF"/>
    <w:rsid w:val="61021EFD"/>
    <w:rsid w:val="6105554A"/>
    <w:rsid w:val="61112C38"/>
    <w:rsid w:val="611539DF"/>
    <w:rsid w:val="61167757"/>
    <w:rsid w:val="611759A9"/>
    <w:rsid w:val="611834CF"/>
    <w:rsid w:val="611A0EA3"/>
    <w:rsid w:val="611A0FF5"/>
    <w:rsid w:val="61241E74"/>
    <w:rsid w:val="61271964"/>
    <w:rsid w:val="612754C0"/>
    <w:rsid w:val="61281730"/>
    <w:rsid w:val="61300818"/>
    <w:rsid w:val="61330309"/>
    <w:rsid w:val="61355E2F"/>
    <w:rsid w:val="613D1187"/>
    <w:rsid w:val="61493688"/>
    <w:rsid w:val="614B11AE"/>
    <w:rsid w:val="614D0B2B"/>
    <w:rsid w:val="614E0C9F"/>
    <w:rsid w:val="614E6EF1"/>
    <w:rsid w:val="614F39EC"/>
    <w:rsid w:val="61536800"/>
    <w:rsid w:val="6155202D"/>
    <w:rsid w:val="61565DA5"/>
    <w:rsid w:val="615D5386"/>
    <w:rsid w:val="615E6BC8"/>
    <w:rsid w:val="616044A2"/>
    <w:rsid w:val="61671D60"/>
    <w:rsid w:val="61686BC3"/>
    <w:rsid w:val="616B7AA3"/>
    <w:rsid w:val="616C3E03"/>
    <w:rsid w:val="616D55C9"/>
    <w:rsid w:val="616E30EF"/>
    <w:rsid w:val="616F44C9"/>
    <w:rsid w:val="617050B9"/>
    <w:rsid w:val="617478C1"/>
    <w:rsid w:val="6175447D"/>
    <w:rsid w:val="617701F5"/>
    <w:rsid w:val="617866B8"/>
    <w:rsid w:val="617A1A94"/>
    <w:rsid w:val="617A388F"/>
    <w:rsid w:val="617A7CE6"/>
    <w:rsid w:val="617E77D6"/>
    <w:rsid w:val="617F354E"/>
    <w:rsid w:val="61824E34"/>
    <w:rsid w:val="61826B9A"/>
    <w:rsid w:val="61860438"/>
    <w:rsid w:val="61882403"/>
    <w:rsid w:val="61891CD7"/>
    <w:rsid w:val="61897F29"/>
    <w:rsid w:val="6192502F"/>
    <w:rsid w:val="61932B55"/>
    <w:rsid w:val="61942BFF"/>
    <w:rsid w:val="619459BA"/>
    <w:rsid w:val="619743F4"/>
    <w:rsid w:val="619B7808"/>
    <w:rsid w:val="619C7C5C"/>
    <w:rsid w:val="619F599E"/>
    <w:rsid w:val="61A22D98"/>
    <w:rsid w:val="61A27381"/>
    <w:rsid w:val="61A30FEA"/>
    <w:rsid w:val="61A52B04"/>
    <w:rsid w:val="61A66D2D"/>
    <w:rsid w:val="61A67AA2"/>
    <w:rsid w:val="61A94127"/>
    <w:rsid w:val="61B431F8"/>
    <w:rsid w:val="61B50D1E"/>
    <w:rsid w:val="61BE5E24"/>
    <w:rsid w:val="61C022D5"/>
    <w:rsid w:val="61C24DE8"/>
    <w:rsid w:val="61C359D6"/>
    <w:rsid w:val="61C471B3"/>
    <w:rsid w:val="61C62F2B"/>
    <w:rsid w:val="61C80A51"/>
    <w:rsid w:val="61CA6B5B"/>
    <w:rsid w:val="61D373F6"/>
    <w:rsid w:val="61D54F1C"/>
    <w:rsid w:val="61D75138"/>
    <w:rsid w:val="61DC44FC"/>
    <w:rsid w:val="61DF5D9B"/>
    <w:rsid w:val="61E055B5"/>
    <w:rsid w:val="61E31E84"/>
    <w:rsid w:val="61E45946"/>
    <w:rsid w:val="61E643A1"/>
    <w:rsid w:val="61E7706B"/>
    <w:rsid w:val="61EB26C7"/>
    <w:rsid w:val="61ED6709"/>
    <w:rsid w:val="61F01D56"/>
    <w:rsid w:val="61F45CEA"/>
    <w:rsid w:val="61F555BE"/>
    <w:rsid w:val="61FC06FB"/>
    <w:rsid w:val="6200468F"/>
    <w:rsid w:val="6202723B"/>
    <w:rsid w:val="62065F65"/>
    <w:rsid w:val="6208709F"/>
    <w:rsid w:val="620B4DE2"/>
    <w:rsid w:val="620F48D2"/>
    <w:rsid w:val="62106C7C"/>
    <w:rsid w:val="62143C96"/>
    <w:rsid w:val="62175534"/>
    <w:rsid w:val="621912AD"/>
    <w:rsid w:val="62195750"/>
    <w:rsid w:val="621F43E9"/>
    <w:rsid w:val="6220088D"/>
    <w:rsid w:val="62285198"/>
    <w:rsid w:val="622A6484"/>
    <w:rsid w:val="622B0FE0"/>
    <w:rsid w:val="622B10BD"/>
    <w:rsid w:val="622E2F59"/>
    <w:rsid w:val="622F3C7D"/>
    <w:rsid w:val="62312A9A"/>
    <w:rsid w:val="62353C0D"/>
    <w:rsid w:val="62377985"/>
    <w:rsid w:val="623B56C7"/>
    <w:rsid w:val="623D4B40"/>
    <w:rsid w:val="623F0640"/>
    <w:rsid w:val="623F0BA1"/>
    <w:rsid w:val="62417EFE"/>
    <w:rsid w:val="62467BC8"/>
    <w:rsid w:val="624A069A"/>
    <w:rsid w:val="624A590A"/>
    <w:rsid w:val="624E2FF1"/>
    <w:rsid w:val="624F1172"/>
    <w:rsid w:val="625642AF"/>
    <w:rsid w:val="62590CC8"/>
    <w:rsid w:val="62595B4D"/>
    <w:rsid w:val="625B18C5"/>
    <w:rsid w:val="625C73EB"/>
    <w:rsid w:val="625E13B5"/>
    <w:rsid w:val="626003B8"/>
    <w:rsid w:val="62600C89"/>
    <w:rsid w:val="626369CC"/>
    <w:rsid w:val="626A7D5A"/>
    <w:rsid w:val="626B762E"/>
    <w:rsid w:val="626D15F8"/>
    <w:rsid w:val="626E3B17"/>
    <w:rsid w:val="626F35C2"/>
    <w:rsid w:val="626F5370"/>
    <w:rsid w:val="62791D4B"/>
    <w:rsid w:val="628030DA"/>
    <w:rsid w:val="62843025"/>
    <w:rsid w:val="62853336"/>
    <w:rsid w:val="62867EBF"/>
    <w:rsid w:val="628726BA"/>
    <w:rsid w:val="628870E6"/>
    <w:rsid w:val="628A5D32"/>
    <w:rsid w:val="628C1A7E"/>
    <w:rsid w:val="628D57F7"/>
    <w:rsid w:val="629341F9"/>
    <w:rsid w:val="62966DA1"/>
    <w:rsid w:val="629B43B7"/>
    <w:rsid w:val="62A3326C"/>
    <w:rsid w:val="62A55DE6"/>
    <w:rsid w:val="62A72D5C"/>
    <w:rsid w:val="62AC3ECF"/>
    <w:rsid w:val="62AF1C11"/>
    <w:rsid w:val="62AF39BF"/>
    <w:rsid w:val="62B31701"/>
    <w:rsid w:val="62B463B4"/>
    <w:rsid w:val="62B62F9F"/>
    <w:rsid w:val="62BB2364"/>
    <w:rsid w:val="62BB6808"/>
    <w:rsid w:val="62C423F5"/>
    <w:rsid w:val="62C51434"/>
    <w:rsid w:val="62CA25A7"/>
    <w:rsid w:val="62D81168"/>
    <w:rsid w:val="62D82F16"/>
    <w:rsid w:val="62DF24F6"/>
    <w:rsid w:val="62E278F0"/>
    <w:rsid w:val="62E80C7F"/>
    <w:rsid w:val="62EA49F7"/>
    <w:rsid w:val="62ED7408"/>
    <w:rsid w:val="62EF200D"/>
    <w:rsid w:val="62EF64B1"/>
    <w:rsid w:val="62F15D85"/>
    <w:rsid w:val="62F37D50"/>
    <w:rsid w:val="62FA10DE"/>
    <w:rsid w:val="62FC3808"/>
    <w:rsid w:val="63015C1A"/>
    <w:rsid w:val="63021D41"/>
    <w:rsid w:val="63036478"/>
    <w:rsid w:val="63043F0F"/>
    <w:rsid w:val="630C0E11"/>
    <w:rsid w:val="631101D6"/>
    <w:rsid w:val="63123525"/>
    <w:rsid w:val="631877B6"/>
    <w:rsid w:val="631A52DC"/>
    <w:rsid w:val="631B72A6"/>
    <w:rsid w:val="631F6D97"/>
    <w:rsid w:val="63224191"/>
    <w:rsid w:val="632443AD"/>
    <w:rsid w:val="63253C81"/>
    <w:rsid w:val="632717A7"/>
    <w:rsid w:val="632B0CD5"/>
    <w:rsid w:val="632E6FDA"/>
    <w:rsid w:val="63304B00"/>
    <w:rsid w:val="63316ACA"/>
    <w:rsid w:val="63352116"/>
    <w:rsid w:val="633635FA"/>
    <w:rsid w:val="633B5253"/>
    <w:rsid w:val="633D721D"/>
    <w:rsid w:val="633E4CE0"/>
    <w:rsid w:val="633F11E7"/>
    <w:rsid w:val="63402869"/>
    <w:rsid w:val="63424833"/>
    <w:rsid w:val="6349032F"/>
    <w:rsid w:val="634C7460"/>
    <w:rsid w:val="63500C1D"/>
    <w:rsid w:val="635527B8"/>
    <w:rsid w:val="635C4675"/>
    <w:rsid w:val="63626C83"/>
    <w:rsid w:val="63660521"/>
    <w:rsid w:val="63696264"/>
    <w:rsid w:val="636B5B38"/>
    <w:rsid w:val="636E387A"/>
    <w:rsid w:val="637013A0"/>
    <w:rsid w:val="637075F2"/>
    <w:rsid w:val="63736E25"/>
    <w:rsid w:val="637473B8"/>
    <w:rsid w:val="63750765"/>
    <w:rsid w:val="637B1AF3"/>
    <w:rsid w:val="637B3E8F"/>
    <w:rsid w:val="637F3391"/>
    <w:rsid w:val="638B442C"/>
    <w:rsid w:val="638C3D00"/>
    <w:rsid w:val="638D1F52"/>
    <w:rsid w:val="63901A42"/>
    <w:rsid w:val="639037F0"/>
    <w:rsid w:val="6390559E"/>
    <w:rsid w:val="6392476A"/>
    <w:rsid w:val="63927568"/>
    <w:rsid w:val="63936E3D"/>
    <w:rsid w:val="639826A5"/>
    <w:rsid w:val="639C2195"/>
    <w:rsid w:val="639F3A33"/>
    <w:rsid w:val="63A1155A"/>
    <w:rsid w:val="63A454EE"/>
    <w:rsid w:val="63A57A90"/>
    <w:rsid w:val="63A948B2"/>
    <w:rsid w:val="63AA3442"/>
    <w:rsid w:val="63B32720"/>
    <w:rsid w:val="63B43683"/>
    <w:rsid w:val="63BE65AF"/>
    <w:rsid w:val="63C17E4E"/>
    <w:rsid w:val="63C80FC1"/>
    <w:rsid w:val="63C90AB0"/>
    <w:rsid w:val="63C96D02"/>
    <w:rsid w:val="63CB65D6"/>
    <w:rsid w:val="63CC234F"/>
    <w:rsid w:val="63CE4319"/>
    <w:rsid w:val="63D23E09"/>
    <w:rsid w:val="63D7141F"/>
    <w:rsid w:val="63D731CD"/>
    <w:rsid w:val="63DA2CBD"/>
    <w:rsid w:val="63DD455C"/>
    <w:rsid w:val="63E1229E"/>
    <w:rsid w:val="63E37DC4"/>
    <w:rsid w:val="63E43B3C"/>
    <w:rsid w:val="63E56E61"/>
    <w:rsid w:val="63E63410"/>
    <w:rsid w:val="63E678B4"/>
    <w:rsid w:val="63E91153"/>
    <w:rsid w:val="63EB0A27"/>
    <w:rsid w:val="63ED07DB"/>
    <w:rsid w:val="63ED479F"/>
    <w:rsid w:val="63F10007"/>
    <w:rsid w:val="63F26395"/>
    <w:rsid w:val="63F27C99"/>
    <w:rsid w:val="63FB4795"/>
    <w:rsid w:val="63FC0E86"/>
    <w:rsid w:val="63FF0976"/>
    <w:rsid w:val="6408782B"/>
    <w:rsid w:val="64122457"/>
    <w:rsid w:val="64137F7D"/>
    <w:rsid w:val="6415549C"/>
    <w:rsid w:val="64191A38"/>
    <w:rsid w:val="641A755E"/>
    <w:rsid w:val="641C32D6"/>
    <w:rsid w:val="641E0DFC"/>
    <w:rsid w:val="64243F39"/>
    <w:rsid w:val="642503DD"/>
    <w:rsid w:val="642A1C4A"/>
    <w:rsid w:val="642D7291"/>
    <w:rsid w:val="642F3009"/>
    <w:rsid w:val="642F4DB7"/>
    <w:rsid w:val="643E4FFA"/>
    <w:rsid w:val="64414AEB"/>
    <w:rsid w:val="64422EE1"/>
    <w:rsid w:val="64440394"/>
    <w:rsid w:val="64446389"/>
    <w:rsid w:val="644665A5"/>
    <w:rsid w:val="64470E7C"/>
    <w:rsid w:val="6448464F"/>
    <w:rsid w:val="64487C27"/>
    <w:rsid w:val="644A1BF1"/>
    <w:rsid w:val="644B15DB"/>
    <w:rsid w:val="644C3BBB"/>
    <w:rsid w:val="644D5289"/>
    <w:rsid w:val="6454481E"/>
    <w:rsid w:val="64552344"/>
    <w:rsid w:val="64590086"/>
    <w:rsid w:val="64591E34"/>
    <w:rsid w:val="645A5BAC"/>
    <w:rsid w:val="645B0956"/>
    <w:rsid w:val="64602371"/>
    <w:rsid w:val="646031C3"/>
    <w:rsid w:val="64622E98"/>
    <w:rsid w:val="64664551"/>
    <w:rsid w:val="646709F5"/>
    <w:rsid w:val="646C4FF0"/>
    <w:rsid w:val="646D34E5"/>
    <w:rsid w:val="646F5DDE"/>
    <w:rsid w:val="64721148"/>
    <w:rsid w:val="64722EF6"/>
    <w:rsid w:val="64754794"/>
    <w:rsid w:val="6476379D"/>
    <w:rsid w:val="647C3D75"/>
    <w:rsid w:val="64813139"/>
    <w:rsid w:val="648D5F82"/>
    <w:rsid w:val="64970BAF"/>
    <w:rsid w:val="649A32C7"/>
    <w:rsid w:val="649C5F21"/>
    <w:rsid w:val="649D4417"/>
    <w:rsid w:val="64A31301"/>
    <w:rsid w:val="64AA6B34"/>
    <w:rsid w:val="64AC465A"/>
    <w:rsid w:val="64AC6408"/>
    <w:rsid w:val="64AE0E8C"/>
    <w:rsid w:val="64AF414A"/>
    <w:rsid w:val="64B4350F"/>
    <w:rsid w:val="64B74DAD"/>
    <w:rsid w:val="64C00108"/>
    <w:rsid w:val="64C42DBE"/>
    <w:rsid w:val="64C5571C"/>
    <w:rsid w:val="64C86FBA"/>
    <w:rsid w:val="64D12312"/>
    <w:rsid w:val="64D265D3"/>
    <w:rsid w:val="64D70FAB"/>
    <w:rsid w:val="64D75934"/>
    <w:rsid w:val="64D911C7"/>
    <w:rsid w:val="64DB4F3F"/>
    <w:rsid w:val="64DE616D"/>
    <w:rsid w:val="64E02555"/>
    <w:rsid w:val="64E10284"/>
    <w:rsid w:val="64E21E2A"/>
    <w:rsid w:val="64E53367"/>
    <w:rsid w:val="64E536C8"/>
    <w:rsid w:val="64E97686"/>
    <w:rsid w:val="64EC0EFA"/>
    <w:rsid w:val="64EE4C72"/>
    <w:rsid w:val="64EF2799"/>
    <w:rsid w:val="64F031D4"/>
    <w:rsid w:val="64F25DE5"/>
    <w:rsid w:val="64F32289"/>
    <w:rsid w:val="64F47DAF"/>
    <w:rsid w:val="64F56864"/>
    <w:rsid w:val="64F56A29"/>
    <w:rsid w:val="64F8164D"/>
    <w:rsid w:val="64FB113D"/>
    <w:rsid w:val="6501769D"/>
    <w:rsid w:val="6502427A"/>
    <w:rsid w:val="65046244"/>
    <w:rsid w:val="65053D6A"/>
    <w:rsid w:val="650A312E"/>
    <w:rsid w:val="650D2C1F"/>
    <w:rsid w:val="650E0E71"/>
    <w:rsid w:val="650E70C3"/>
    <w:rsid w:val="651D5558"/>
    <w:rsid w:val="651E4C38"/>
    <w:rsid w:val="6522491C"/>
    <w:rsid w:val="652266CA"/>
    <w:rsid w:val="652341F0"/>
    <w:rsid w:val="65285B05"/>
    <w:rsid w:val="652C5AFB"/>
    <w:rsid w:val="652C7549"/>
    <w:rsid w:val="652D1B5C"/>
    <w:rsid w:val="652E506F"/>
    <w:rsid w:val="653308D7"/>
    <w:rsid w:val="65363F24"/>
    <w:rsid w:val="65377536"/>
    <w:rsid w:val="653A1C66"/>
    <w:rsid w:val="65406257"/>
    <w:rsid w:val="65426D6C"/>
    <w:rsid w:val="65450A41"/>
    <w:rsid w:val="6546685C"/>
    <w:rsid w:val="65472B37"/>
    <w:rsid w:val="65493C57"/>
    <w:rsid w:val="6549634D"/>
    <w:rsid w:val="654C1999"/>
    <w:rsid w:val="65515201"/>
    <w:rsid w:val="65534AD5"/>
    <w:rsid w:val="65566374"/>
    <w:rsid w:val="6558033E"/>
    <w:rsid w:val="655D5954"/>
    <w:rsid w:val="655F16CC"/>
    <w:rsid w:val="65622F6B"/>
    <w:rsid w:val="65626E56"/>
    <w:rsid w:val="65646CE3"/>
    <w:rsid w:val="656661C8"/>
    <w:rsid w:val="656960A7"/>
    <w:rsid w:val="65736F26"/>
    <w:rsid w:val="657C227E"/>
    <w:rsid w:val="657D6AE4"/>
    <w:rsid w:val="6582360D"/>
    <w:rsid w:val="658630FD"/>
    <w:rsid w:val="658D65D9"/>
    <w:rsid w:val="658F0577"/>
    <w:rsid w:val="658F5EAE"/>
    <w:rsid w:val="65907AD8"/>
    <w:rsid w:val="65931376"/>
    <w:rsid w:val="659A0956"/>
    <w:rsid w:val="659B0B9A"/>
    <w:rsid w:val="659B647C"/>
    <w:rsid w:val="659F09EE"/>
    <w:rsid w:val="65A2780B"/>
    <w:rsid w:val="65AD2209"/>
    <w:rsid w:val="65AE7F5E"/>
    <w:rsid w:val="65B15345"/>
    <w:rsid w:val="65B433A9"/>
    <w:rsid w:val="65B6730B"/>
    <w:rsid w:val="65BB267B"/>
    <w:rsid w:val="65BC0577"/>
    <w:rsid w:val="65BD4645"/>
    <w:rsid w:val="65BE41D5"/>
    <w:rsid w:val="65BF03BD"/>
    <w:rsid w:val="65BF660F"/>
    <w:rsid w:val="65C07D27"/>
    <w:rsid w:val="65C14135"/>
    <w:rsid w:val="65C459D3"/>
    <w:rsid w:val="65CB0B10"/>
    <w:rsid w:val="65D35C16"/>
    <w:rsid w:val="65D3619D"/>
    <w:rsid w:val="65D80B7F"/>
    <w:rsid w:val="65D86017"/>
    <w:rsid w:val="65E11CB1"/>
    <w:rsid w:val="65E16585"/>
    <w:rsid w:val="65E362B1"/>
    <w:rsid w:val="65E9368C"/>
    <w:rsid w:val="65EC4433"/>
    <w:rsid w:val="65EF46DD"/>
    <w:rsid w:val="65F90E7C"/>
    <w:rsid w:val="65FC6F1B"/>
    <w:rsid w:val="65FD355F"/>
    <w:rsid w:val="66062D44"/>
    <w:rsid w:val="66065FEC"/>
    <w:rsid w:val="66081D64"/>
    <w:rsid w:val="66091638"/>
    <w:rsid w:val="660979AD"/>
    <w:rsid w:val="660C1A49"/>
    <w:rsid w:val="661108C1"/>
    <w:rsid w:val="661632D0"/>
    <w:rsid w:val="661A0911"/>
    <w:rsid w:val="66236B9E"/>
    <w:rsid w:val="6626043C"/>
    <w:rsid w:val="662D3578"/>
    <w:rsid w:val="662E109F"/>
    <w:rsid w:val="662F5543"/>
    <w:rsid w:val="66303069"/>
    <w:rsid w:val="66326DE1"/>
    <w:rsid w:val="66377785"/>
    <w:rsid w:val="66395563"/>
    <w:rsid w:val="663A30CA"/>
    <w:rsid w:val="663A5C95"/>
    <w:rsid w:val="663C1A0D"/>
    <w:rsid w:val="663F32AC"/>
    <w:rsid w:val="663F505A"/>
    <w:rsid w:val="66432D9C"/>
    <w:rsid w:val="664408C2"/>
    <w:rsid w:val="6646463A"/>
    <w:rsid w:val="664856F2"/>
    <w:rsid w:val="664B39FF"/>
    <w:rsid w:val="664B7EA3"/>
    <w:rsid w:val="664C2FA5"/>
    <w:rsid w:val="664D3C1B"/>
    <w:rsid w:val="664D7777"/>
    <w:rsid w:val="6650370B"/>
    <w:rsid w:val="66551CC6"/>
    <w:rsid w:val="665925BF"/>
    <w:rsid w:val="665C20B0"/>
    <w:rsid w:val="665C5C0C"/>
    <w:rsid w:val="665D44C4"/>
    <w:rsid w:val="66615387"/>
    <w:rsid w:val="66664368"/>
    <w:rsid w:val="66680A54"/>
    <w:rsid w:val="666B22F3"/>
    <w:rsid w:val="66707FEA"/>
    <w:rsid w:val="667271DD"/>
    <w:rsid w:val="6679056C"/>
    <w:rsid w:val="667967BE"/>
    <w:rsid w:val="667A42E4"/>
    <w:rsid w:val="667C1E0A"/>
    <w:rsid w:val="667C4500"/>
    <w:rsid w:val="667F5A9A"/>
    <w:rsid w:val="6683763C"/>
    <w:rsid w:val="668533B4"/>
    <w:rsid w:val="6685680F"/>
    <w:rsid w:val="66884C53"/>
    <w:rsid w:val="66886A01"/>
    <w:rsid w:val="66897775"/>
    <w:rsid w:val="66901E43"/>
    <w:rsid w:val="66903B07"/>
    <w:rsid w:val="6692787F"/>
    <w:rsid w:val="669435F8"/>
    <w:rsid w:val="6694497A"/>
    <w:rsid w:val="669811DF"/>
    <w:rsid w:val="669E0B12"/>
    <w:rsid w:val="669F2EC7"/>
    <w:rsid w:val="66A00B1A"/>
    <w:rsid w:val="66A82BFF"/>
    <w:rsid w:val="66A84C39"/>
    <w:rsid w:val="66AB0941"/>
    <w:rsid w:val="66AB26EF"/>
    <w:rsid w:val="66AC6B93"/>
    <w:rsid w:val="66B141AA"/>
    <w:rsid w:val="66B47C99"/>
    <w:rsid w:val="66B90C2B"/>
    <w:rsid w:val="66BA2932"/>
    <w:rsid w:val="66C37A39"/>
    <w:rsid w:val="66C537B1"/>
    <w:rsid w:val="66C814F3"/>
    <w:rsid w:val="66C8643E"/>
    <w:rsid w:val="66CC6405"/>
    <w:rsid w:val="66CE1496"/>
    <w:rsid w:val="66D24120"/>
    <w:rsid w:val="66D32372"/>
    <w:rsid w:val="66D439F4"/>
    <w:rsid w:val="66DE0D17"/>
    <w:rsid w:val="66E005EB"/>
    <w:rsid w:val="66E107AF"/>
    <w:rsid w:val="66E57795"/>
    <w:rsid w:val="66EA76BB"/>
    <w:rsid w:val="66EC2DE8"/>
    <w:rsid w:val="66EC2F44"/>
    <w:rsid w:val="66ED0F5A"/>
    <w:rsid w:val="66EF6A80"/>
    <w:rsid w:val="66F2031E"/>
    <w:rsid w:val="66F45E44"/>
    <w:rsid w:val="66FB71D3"/>
    <w:rsid w:val="66FE4F15"/>
    <w:rsid w:val="67000C8D"/>
    <w:rsid w:val="67006EDF"/>
    <w:rsid w:val="6700790A"/>
    <w:rsid w:val="670215DF"/>
    <w:rsid w:val="670A5668"/>
    <w:rsid w:val="670B6618"/>
    <w:rsid w:val="670D6F06"/>
    <w:rsid w:val="670F2C7E"/>
    <w:rsid w:val="67114C48"/>
    <w:rsid w:val="6712451C"/>
    <w:rsid w:val="671309C0"/>
    <w:rsid w:val="671367B5"/>
    <w:rsid w:val="67140294"/>
    <w:rsid w:val="671D35ED"/>
    <w:rsid w:val="671E1113"/>
    <w:rsid w:val="671E7365"/>
    <w:rsid w:val="67222094"/>
    <w:rsid w:val="6723175B"/>
    <w:rsid w:val="6723497B"/>
    <w:rsid w:val="67237D4A"/>
    <w:rsid w:val="67242BCD"/>
    <w:rsid w:val="6727621A"/>
    <w:rsid w:val="67283D40"/>
    <w:rsid w:val="672A7AB8"/>
    <w:rsid w:val="67310E46"/>
    <w:rsid w:val="673426E5"/>
    <w:rsid w:val="673821D5"/>
    <w:rsid w:val="67395F4D"/>
    <w:rsid w:val="673B3A73"/>
    <w:rsid w:val="673F4CC4"/>
    <w:rsid w:val="6740552D"/>
    <w:rsid w:val="674072DB"/>
    <w:rsid w:val="67430B7A"/>
    <w:rsid w:val="67446DCC"/>
    <w:rsid w:val="67542D87"/>
    <w:rsid w:val="67550FD9"/>
    <w:rsid w:val="67564D51"/>
    <w:rsid w:val="675B2367"/>
    <w:rsid w:val="676A6106"/>
    <w:rsid w:val="676B07FC"/>
    <w:rsid w:val="676D025A"/>
    <w:rsid w:val="676E209B"/>
    <w:rsid w:val="676E5BF7"/>
    <w:rsid w:val="67762CFD"/>
    <w:rsid w:val="6777664F"/>
    <w:rsid w:val="67825B46"/>
    <w:rsid w:val="6782764B"/>
    <w:rsid w:val="678418BE"/>
    <w:rsid w:val="67852F40"/>
    <w:rsid w:val="67874F0A"/>
    <w:rsid w:val="67890C82"/>
    <w:rsid w:val="678B616D"/>
    <w:rsid w:val="678C2521"/>
    <w:rsid w:val="678E0047"/>
    <w:rsid w:val="678E0566"/>
    <w:rsid w:val="6790177A"/>
    <w:rsid w:val="67937902"/>
    <w:rsid w:val="679413D5"/>
    <w:rsid w:val="67966EFB"/>
    <w:rsid w:val="67980EC5"/>
    <w:rsid w:val="679F6EB4"/>
    <w:rsid w:val="67A1421E"/>
    <w:rsid w:val="67A63A9A"/>
    <w:rsid w:val="67AE06E9"/>
    <w:rsid w:val="67B0620F"/>
    <w:rsid w:val="67B83316"/>
    <w:rsid w:val="67BA0E3C"/>
    <w:rsid w:val="67BC1058"/>
    <w:rsid w:val="67C036F4"/>
    <w:rsid w:val="67CC6DC1"/>
    <w:rsid w:val="67CE0D8B"/>
    <w:rsid w:val="67D068B1"/>
    <w:rsid w:val="67D16185"/>
    <w:rsid w:val="67D31EFE"/>
    <w:rsid w:val="67D53EC8"/>
    <w:rsid w:val="67D75E41"/>
    <w:rsid w:val="67DA7730"/>
    <w:rsid w:val="67DD4B2A"/>
    <w:rsid w:val="67DF4D46"/>
    <w:rsid w:val="67E97973"/>
    <w:rsid w:val="67EC1211"/>
    <w:rsid w:val="67ED1A09"/>
    <w:rsid w:val="67F027BB"/>
    <w:rsid w:val="67F307F2"/>
    <w:rsid w:val="67F500C6"/>
    <w:rsid w:val="67FA7D4C"/>
    <w:rsid w:val="67FC1454"/>
    <w:rsid w:val="67FC6A66"/>
    <w:rsid w:val="67FD51CC"/>
    <w:rsid w:val="67FD6528"/>
    <w:rsid w:val="67FE01D8"/>
    <w:rsid w:val="680622D3"/>
    <w:rsid w:val="68077DF9"/>
    <w:rsid w:val="680848B9"/>
    <w:rsid w:val="680C5BF3"/>
    <w:rsid w:val="680E73DA"/>
    <w:rsid w:val="68104F00"/>
    <w:rsid w:val="681432BF"/>
    <w:rsid w:val="68180E35"/>
    <w:rsid w:val="681E586F"/>
    <w:rsid w:val="681F15E7"/>
    <w:rsid w:val="681F5BC7"/>
    <w:rsid w:val="68260162"/>
    <w:rsid w:val="68264723"/>
    <w:rsid w:val="68277C2A"/>
    <w:rsid w:val="6828049B"/>
    <w:rsid w:val="682D3D04"/>
    <w:rsid w:val="6832131A"/>
    <w:rsid w:val="68336E40"/>
    <w:rsid w:val="68376930"/>
    <w:rsid w:val="68420E31"/>
    <w:rsid w:val="684626D0"/>
    <w:rsid w:val="684D3A5E"/>
    <w:rsid w:val="685017A0"/>
    <w:rsid w:val="68511B1C"/>
    <w:rsid w:val="68520577"/>
    <w:rsid w:val="68523A33"/>
    <w:rsid w:val="68553916"/>
    <w:rsid w:val="68570D81"/>
    <w:rsid w:val="68572B2F"/>
    <w:rsid w:val="68585D79"/>
    <w:rsid w:val="685C1EF3"/>
    <w:rsid w:val="685E5C6B"/>
    <w:rsid w:val="686007CB"/>
    <w:rsid w:val="68625CD8"/>
    <w:rsid w:val="68692862"/>
    <w:rsid w:val="686A0AB4"/>
    <w:rsid w:val="686B0388"/>
    <w:rsid w:val="68725BBA"/>
    <w:rsid w:val="68785E71"/>
    <w:rsid w:val="687C07E7"/>
    <w:rsid w:val="687F0310"/>
    <w:rsid w:val="687F107F"/>
    <w:rsid w:val="68863414"/>
    <w:rsid w:val="688A4CB2"/>
    <w:rsid w:val="68923B67"/>
    <w:rsid w:val="68975621"/>
    <w:rsid w:val="689E706D"/>
    <w:rsid w:val="68AD09A1"/>
    <w:rsid w:val="68AD1056"/>
    <w:rsid w:val="68AD6BF3"/>
    <w:rsid w:val="68AF16DD"/>
    <w:rsid w:val="68AF4719"/>
    <w:rsid w:val="68B202C6"/>
    <w:rsid w:val="68B57855"/>
    <w:rsid w:val="68B910F3"/>
    <w:rsid w:val="68B9168D"/>
    <w:rsid w:val="68BC6E36"/>
    <w:rsid w:val="68C06926"/>
    <w:rsid w:val="68C21D29"/>
    <w:rsid w:val="68C33D20"/>
    <w:rsid w:val="68D26659"/>
    <w:rsid w:val="68D423D1"/>
    <w:rsid w:val="68D51CA5"/>
    <w:rsid w:val="68DB550E"/>
    <w:rsid w:val="68DD74D8"/>
    <w:rsid w:val="68DE6DAC"/>
    <w:rsid w:val="68E36170"/>
    <w:rsid w:val="68E36491"/>
    <w:rsid w:val="68E550C3"/>
    <w:rsid w:val="68E5638C"/>
    <w:rsid w:val="68E72104"/>
    <w:rsid w:val="68EA5751"/>
    <w:rsid w:val="68ED6FEF"/>
    <w:rsid w:val="68EF720B"/>
    <w:rsid w:val="68F00A95"/>
    <w:rsid w:val="69020CEC"/>
    <w:rsid w:val="69021082"/>
    <w:rsid w:val="69036813"/>
    <w:rsid w:val="69076303"/>
    <w:rsid w:val="690F0C92"/>
    <w:rsid w:val="69132EFA"/>
    <w:rsid w:val="69146C72"/>
    <w:rsid w:val="691722BE"/>
    <w:rsid w:val="69196EEA"/>
    <w:rsid w:val="691C6F33"/>
    <w:rsid w:val="6920000C"/>
    <w:rsid w:val="69201173"/>
    <w:rsid w:val="69232A11"/>
    <w:rsid w:val="69236EB5"/>
    <w:rsid w:val="69274C15"/>
    <w:rsid w:val="69280027"/>
    <w:rsid w:val="692844CB"/>
    <w:rsid w:val="692C5D69"/>
    <w:rsid w:val="692C7B17"/>
    <w:rsid w:val="692D0C83"/>
    <w:rsid w:val="692F13B6"/>
    <w:rsid w:val="692F61D9"/>
    <w:rsid w:val="693764BC"/>
    <w:rsid w:val="69380883"/>
    <w:rsid w:val="69390486"/>
    <w:rsid w:val="693B3BE9"/>
    <w:rsid w:val="693B7D5A"/>
    <w:rsid w:val="693C3AD3"/>
    <w:rsid w:val="693D709C"/>
    <w:rsid w:val="693E5A9D"/>
    <w:rsid w:val="69401815"/>
    <w:rsid w:val="69470DF5"/>
    <w:rsid w:val="69490DE0"/>
    <w:rsid w:val="694C640B"/>
    <w:rsid w:val="69513A22"/>
    <w:rsid w:val="6953779A"/>
    <w:rsid w:val="695452C0"/>
    <w:rsid w:val="69603C65"/>
    <w:rsid w:val="69633987"/>
    <w:rsid w:val="6965127B"/>
    <w:rsid w:val="69692B1A"/>
    <w:rsid w:val="696C43B8"/>
    <w:rsid w:val="696E6382"/>
    <w:rsid w:val="69733998"/>
    <w:rsid w:val="697C309E"/>
    <w:rsid w:val="698060B5"/>
    <w:rsid w:val="69823BDB"/>
    <w:rsid w:val="69882D82"/>
    <w:rsid w:val="69886D18"/>
    <w:rsid w:val="698B7FC2"/>
    <w:rsid w:val="698F62F8"/>
    <w:rsid w:val="6993437B"/>
    <w:rsid w:val="699833FF"/>
    <w:rsid w:val="699B0FC8"/>
    <w:rsid w:val="699B2EEF"/>
    <w:rsid w:val="699B4C9D"/>
    <w:rsid w:val="699D6C67"/>
    <w:rsid w:val="69A2602B"/>
    <w:rsid w:val="69A41DA4"/>
    <w:rsid w:val="69A91168"/>
    <w:rsid w:val="69AB1384"/>
    <w:rsid w:val="69AC2A06"/>
    <w:rsid w:val="69B0699A"/>
    <w:rsid w:val="69B144C0"/>
    <w:rsid w:val="69B31FE7"/>
    <w:rsid w:val="69B33D95"/>
    <w:rsid w:val="69B55D5F"/>
    <w:rsid w:val="69B8584F"/>
    <w:rsid w:val="69BA15C7"/>
    <w:rsid w:val="69BF098B"/>
    <w:rsid w:val="69C2222A"/>
    <w:rsid w:val="69C35833"/>
    <w:rsid w:val="69C441F4"/>
    <w:rsid w:val="69C53AC8"/>
    <w:rsid w:val="69C935B8"/>
    <w:rsid w:val="69D02B99"/>
    <w:rsid w:val="69D1246D"/>
    <w:rsid w:val="69D25B4D"/>
    <w:rsid w:val="69D72179"/>
    <w:rsid w:val="69DD3414"/>
    <w:rsid w:val="69E421A0"/>
    <w:rsid w:val="69EA09DE"/>
    <w:rsid w:val="69EA352F"/>
    <w:rsid w:val="69EE4313"/>
    <w:rsid w:val="69F4587B"/>
    <w:rsid w:val="69F53287"/>
    <w:rsid w:val="69F54D2E"/>
    <w:rsid w:val="69F66377"/>
    <w:rsid w:val="69FA0715"/>
    <w:rsid w:val="69FA7C16"/>
    <w:rsid w:val="69FB017C"/>
    <w:rsid w:val="69FB573C"/>
    <w:rsid w:val="69FF18D3"/>
    <w:rsid w:val="69FF347E"/>
    <w:rsid w:val="6A0171F6"/>
    <w:rsid w:val="6A070584"/>
    <w:rsid w:val="6A0A597F"/>
    <w:rsid w:val="6A0D4150"/>
    <w:rsid w:val="6A10568B"/>
    <w:rsid w:val="6A124842"/>
    <w:rsid w:val="6A1A02B8"/>
    <w:rsid w:val="6A1B047E"/>
    <w:rsid w:val="6A1D1C45"/>
    <w:rsid w:val="6A1D56B2"/>
    <w:rsid w:val="6A222CC8"/>
    <w:rsid w:val="6A22716C"/>
    <w:rsid w:val="6A227D0E"/>
    <w:rsid w:val="6A266C5C"/>
    <w:rsid w:val="6A2D7FEB"/>
    <w:rsid w:val="6A303637"/>
    <w:rsid w:val="6A350C4E"/>
    <w:rsid w:val="6A3B3D8A"/>
    <w:rsid w:val="6A3C022E"/>
    <w:rsid w:val="6A3C1FDC"/>
    <w:rsid w:val="6A3F1ACC"/>
    <w:rsid w:val="6A426CC9"/>
    <w:rsid w:val="6A460CA7"/>
    <w:rsid w:val="6A4610AD"/>
    <w:rsid w:val="6A484E25"/>
    <w:rsid w:val="6A486BD3"/>
    <w:rsid w:val="6A4D41E9"/>
    <w:rsid w:val="6A4E61B3"/>
    <w:rsid w:val="6A4E7F61"/>
    <w:rsid w:val="6A5135AE"/>
    <w:rsid w:val="6A54261C"/>
    <w:rsid w:val="6A585D0E"/>
    <w:rsid w:val="6A5A06B4"/>
    <w:rsid w:val="6A5D1B9C"/>
    <w:rsid w:val="6A5F5CCB"/>
    <w:rsid w:val="6A635FA8"/>
    <w:rsid w:val="6A6427BB"/>
    <w:rsid w:val="6A6E23B2"/>
    <w:rsid w:val="6A707ED8"/>
    <w:rsid w:val="6A7115D6"/>
    <w:rsid w:val="6A745C1A"/>
    <w:rsid w:val="6A767F57"/>
    <w:rsid w:val="6A793230"/>
    <w:rsid w:val="6A7B27A9"/>
    <w:rsid w:val="6A7D43A3"/>
    <w:rsid w:val="6A8120E5"/>
    <w:rsid w:val="6A845731"/>
    <w:rsid w:val="6A876FCF"/>
    <w:rsid w:val="6A894958"/>
    <w:rsid w:val="6A8B4D12"/>
    <w:rsid w:val="6A902328"/>
    <w:rsid w:val="6A9040D6"/>
    <w:rsid w:val="6A941E18"/>
    <w:rsid w:val="6A9811DC"/>
    <w:rsid w:val="6A99742E"/>
    <w:rsid w:val="6A9A4F55"/>
    <w:rsid w:val="6A9A6D03"/>
    <w:rsid w:val="6A9C0CCD"/>
    <w:rsid w:val="6A9E3B91"/>
    <w:rsid w:val="6AA45DD3"/>
    <w:rsid w:val="6AA638F9"/>
    <w:rsid w:val="6AA87672"/>
    <w:rsid w:val="6AA95BC6"/>
    <w:rsid w:val="6AAA163C"/>
    <w:rsid w:val="6AAB1A19"/>
    <w:rsid w:val="6AAF0A00"/>
    <w:rsid w:val="6AB204F0"/>
    <w:rsid w:val="6AB26742"/>
    <w:rsid w:val="6AB35899"/>
    <w:rsid w:val="6AB778B5"/>
    <w:rsid w:val="6AB9187F"/>
    <w:rsid w:val="6AB9362D"/>
    <w:rsid w:val="6ABA55F7"/>
    <w:rsid w:val="6AC26F41"/>
    <w:rsid w:val="6AC33DB7"/>
    <w:rsid w:val="6AC56475"/>
    <w:rsid w:val="6AC63F9C"/>
    <w:rsid w:val="6ACA583A"/>
    <w:rsid w:val="6ACC2C9C"/>
    <w:rsid w:val="6AD05313"/>
    <w:rsid w:val="6AD466B8"/>
    <w:rsid w:val="6AD77F57"/>
    <w:rsid w:val="6AD8071A"/>
    <w:rsid w:val="6AE023C2"/>
    <w:rsid w:val="6AE306AA"/>
    <w:rsid w:val="6AE52674"/>
    <w:rsid w:val="6AE61F48"/>
    <w:rsid w:val="6AEA5EDC"/>
    <w:rsid w:val="6AEB57B0"/>
    <w:rsid w:val="6AED1528"/>
    <w:rsid w:val="6AED777A"/>
    <w:rsid w:val="6AEF52A0"/>
    <w:rsid w:val="6AEF704E"/>
    <w:rsid w:val="6AF136B5"/>
    <w:rsid w:val="6AF9611F"/>
    <w:rsid w:val="6AFB1E97"/>
    <w:rsid w:val="6AFF300A"/>
    <w:rsid w:val="6B014FD4"/>
    <w:rsid w:val="6B016D82"/>
    <w:rsid w:val="6B030D4C"/>
    <w:rsid w:val="6B040620"/>
    <w:rsid w:val="6B080110"/>
    <w:rsid w:val="6B0C26B5"/>
    <w:rsid w:val="6B1116BB"/>
    <w:rsid w:val="6B1271E1"/>
    <w:rsid w:val="6B1765A5"/>
    <w:rsid w:val="6B1860D6"/>
    <w:rsid w:val="6B19056F"/>
    <w:rsid w:val="6B19231D"/>
    <w:rsid w:val="6B1B42E7"/>
    <w:rsid w:val="6B1C1E0E"/>
    <w:rsid w:val="6B1E157D"/>
    <w:rsid w:val="6B1E2C4D"/>
    <w:rsid w:val="6B2034A7"/>
    <w:rsid w:val="6B2313EE"/>
    <w:rsid w:val="6B264A3A"/>
    <w:rsid w:val="6B272FFA"/>
    <w:rsid w:val="6B2A0087"/>
    <w:rsid w:val="6B301415"/>
    <w:rsid w:val="6B340F05"/>
    <w:rsid w:val="6B39200D"/>
    <w:rsid w:val="6B39476E"/>
    <w:rsid w:val="6B3C600C"/>
    <w:rsid w:val="6B3D24B0"/>
    <w:rsid w:val="6B3E3B32"/>
    <w:rsid w:val="6B457CC4"/>
    <w:rsid w:val="6B476E8A"/>
    <w:rsid w:val="6B4A0729"/>
    <w:rsid w:val="6B4A697B"/>
    <w:rsid w:val="6B511AB7"/>
    <w:rsid w:val="6B563571"/>
    <w:rsid w:val="6B592977"/>
    <w:rsid w:val="6B5947EC"/>
    <w:rsid w:val="6B594E10"/>
    <w:rsid w:val="6B5A2FD8"/>
    <w:rsid w:val="6B5E2426"/>
    <w:rsid w:val="6B623CC4"/>
    <w:rsid w:val="6B630500"/>
    <w:rsid w:val="6B685053"/>
    <w:rsid w:val="6B686E01"/>
    <w:rsid w:val="6B6C4B43"/>
    <w:rsid w:val="6B712159"/>
    <w:rsid w:val="6B761553"/>
    <w:rsid w:val="6B7632CC"/>
    <w:rsid w:val="6B7C2964"/>
    <w:rsid w:val="6B7C51E5"/>
    <w:rsid w:val="6B7D28AC"/>
    <w:rsid w:val="6B8005EE"/>
    <w:rsid w:val="6B836E07"/>
    <w:rsid w:val="6B841E74"/>
    <w:rsid w:val="6B842A13"/>
    <w:rsid w:val="6B854729"/>
    <w:rsid w:val="6B863F8C"/>
    <w:rsid w:val="6B8C2426"/>
    <w:rsid w:val="6B8E7776"/>
    <w:rsid w:val="6B8F25DF"/>
    <w:rsid w:val="6B947BF6"/>
    <w:rsid w:val="6B99520C"/>
    <w:rsid w:val="6B9B0F84"/>
    <w:rsid w:val="6B9F6960"/>
    <w:rsid w:val="6BA234A1"/>
    <w:rsid w:val="6BA350A4"/>
    <w:rsid w:val="6BA46CEF"/>
    <w:rsid w:val="6BA53BB1"/>
    <w:rsid w:val="6BA8544F"/>
    <w:rsid w:val="6BAA7419"/>
    <w:rsid w:val="6BAC4F3F"/>
    <w:rsid w:val="6BAE0CB8"/>
    <w:rsid w:val="6BAF2C82"/>
    <w:rsid w:val="6BB107A8"/>
    <w:rsid w:val="6BB35604"/>
    <w:rsid w:val="6BB661EC"/>
    <w:rsid w:val="6BB70F10"/>
    <w:rsid w:val="6BBB1626"/>
    <w:rsid w:val="6BBB33D4"/>
    <w:rsid w:val="6BBD539F"/>
    <w:rsid w:val="6BBE4C73"/>
    <w:rsid w:val="6BC06C3D"/>
    <w:rsid w:val="6BC57F00"/>
    <w:rsid w:val="6BC73B27"/>
    <w:rsid w:val="6BCF6E80"/>
    <w:rsid w:val="6BD050D2"/>
    <w:rsid w:val="6BD3071E"/>
    <w:rsid w:val="6BD821D8"/>
    <w:rsid w:val="6BDB5825"/>
    <w:rsid w:val="6BDF5315"/>
    <w:rsid w:val="6BE467D1"/>
    <w:rsid w:val="6BE65489"/>
    <w:rsid w:val="6BE73BFE"/>
    <w:rsid w:val="6BE741CA"/>
    <w:rsid w:val="6BE96194"/>
    <w:rsid w:val="6BEC17E0"/>
    <w:rsid w:val="6BEC7A32"/>
    <w:rsid w:val="6BF07522"/>
    <w:rsid w:val="6BF25356"/>
    <w:rsid w:val="6BF44EAF"/>
    <w:rsid w:val="6BF6265F"/>
    <w:rsid w:val="6BF66731"/>
    <w:rsid w:val="6BFF3C0B"/>
    <w:rsid w:val="6C083EDD"/>
    <w:rsid w:val="6C0B610A"/>
    <w:rsid w:val="6C0C1250"/>
    <w:rsid w:val="6C0E5BFA"/>
    <w:rsid w:val="6C0F0DFC"/>
    <w:rsid w:val="6C136D6D"/>
    <w:rsid w:val="6C141D47"/>
    <w:rsid w:val="6C150D37"/>
    <w:rsid w:val="6C164AAF"/>
    <w:rsid w:val="6C1672C1"/>
    <w:rsid w:val="6C17459F"/>
    <w:rsid w:val="6C180827"/>
    <w:rsid w:val="6C1F3963"/>
    <w:rsid w:val="6C2076DB"/>
    <w:rsid w:val="6C264CF2"/>
    <w:rsid w:val="6C270246"/>
    <w:rsid w:val="6C2B1DC9"/>
    <w:rsid w:val="6C2C7E2E"/>
    <w:rsid w:val="6C2E004A"/>
    <w:rsid w:val="6C327B3B"/>
    <w:rsid w:val="6C3513D9"/>
    <w:rsid w:val="6C375151"/>
    <w:rsid w:val="6C3C4515"/>
    <w:rsid w:val="6C3D64DF"/>
    <w:rsid w:val="6C417D7E"/>
    <w:rsid w:val="6C423CA9"/>
    <w:rsid w:val="6C4537CF"/>
    <w:rsid w:val="6C457946"/>
    <w:rsid w:val="6C4B4A70"/>
    <w:rsid w:val="6C4C04D0"/>
    <w:rsid w:val="6C4D3E71"/>
    <w:rsid w:val="6C515AE7"/>
    <w:rsid w:val="6C5706BC"/>
    <w:rsid w:val="6C5775A1"/>
    <w:rsid w:val="6C580C23"/>
    <w:rsid w:val="6C586E75"/>
    <w:rsid w:val="6C5B4ADD"/>
    <w:rsid w:val="6C5B7766"/>
    <w:rsid w:val="6C5C11C9"/>
    <w:rsid w:val="6C5D26DE"/>
    <w:rsid w:val="6C5D448C"/>
    <w:rsid w:val="6C6972D4"/>
    <w:rsid w:val="6C6A16B7"/>
    <w:rsid w:val="6C6B6BA9"/>
    <w:rsid w:val="6C6B6C2A"/>
    <w:rsid w:val="6C6E6699"/>
    <w:rsid w:val="6C702411"/>
    <w:rsid w:val="6C72227A"/>
    <w:rsid w:val="6C757A27"/>
    <w:rsid w:val="6C7672FB"/>
    <w:rsid w:val="6C7A3290"/>
    <w:rsid w:val="6C81017A"/>
    <w:rsid w:val="6C815AC2"/>
    <w:rsid w:val="6C823EF2"/>
    <w:rsid w:val="6C845EBC"/>
    <w:rsid w:val="6C885039"/>
    <w:rsid w:val="6C8859AD"/>
    <w:rsid w:val="6C8A6B02"/>
    <w:rsid w:val="6C8C6B1F"/>
    <w:rsid w:val="6C90660F"/>
    <w:rsid w:val="6C9205D9"/>
    <w:rsid w:val="6C97174C"/>
    <w:rsid w:val="6C9A123C"/>
    <w:rsid w:val="6C9A56E0"/>
    <w:rsid w:val="6C9F4AA4"/>
    <w:rsid w:val="6CA4030D"/>
    <w:rsid w:val="6CAB7E55"/>
    <w:rsid w:val="6CB5251A"/>
    <w:rsid w:val="6CB56076"/>
    <w:rsid w:val="6CB87914"/>
    <w:rsid w:val="6CBA0FE1"/>
    <w:rsid w:val="6CBE317C"/>
    <w:rsid w:val="6CC14A1B"/>
    <w:rsid w:val="6CC22541"/>
    <w:rsid w:val="6CC27C76"/>
    <w:rsid w:val="6CC30793"/>
    <w:rsid w:val="6CC354FC"/>
    <w:rsid w:val="6CC462B9"/>
    <w:rsid w:val="6CC938CF"/>
    <w:rsid w:val="6CCA2B90"/>
    <w:rsid w:val="6CD209D6"/>
    <w:rsid w:val="6CD306F8"/>
    <w:rsid w:val="6CD81D64"/>
    <w:rsid w:val="6CD97FB6"/>
    <w:rsid w:val="6CDC3602"/>
    <w:rsid w:val="6CDD60A6"/>
    <w:rsid w:val="6CDE737B"/>
    <w:rsid w:val="6CE30E35"/>
    <w:rsid w:val="6CE4695B"/>
    <w:rsid w:val="6CE81FA7"/>
    <w:rsid w:val="6CE8644B"/>
    <w:rsid w:val="6CE93F71"/>
    <w:rsid w:val="6CEB1A97"/>
    <w:rsid w:val="6CED3A62"/>
    <w:rsid w:val="6CF04751"/>
    <w:rsid w:val="6CF22E26"/>
    <w:rsid w:val="6CF52916"/>
    <w:rsid w:val="6CFA617E"/>
    <w:rsid w:val="6CFC5A53"/>
    <w:rsid w:val="6CFE7A1D"/>
    <w:rsid w:val="6D0019E7"/>
    <w:rsid w:val="6D035033"/>
    <w:rsid w:val="6D0509B6"/>
    <w:rsid w:val="6D090170"/>
    <w:rsid w:val="6D0A4613"/>
    <w:rsid w:val="6D0B3EE8"/>
    <w:rsid w:val="6D0F4D11"/>
    <w:rsid w:val="6D107750"/>
    <w:rsid w:val="6D1234C8"/>
    <w:rsid w:val="6D1E3C1B"/>
    <w:rsid w:val="6D1F412E"/>
    <w:rsid w:val="6D266F73"/>
    <w:rsid w:val="6D2B458A"/>
    <w:rsid w:val="6D2B6338"/>
    <w:rsid w:val="6D34343E"/>
    <w:rsid w:val="6D3451EC"/>
    <w:rsid w:val="6D350F65"/>
    <w:rsid w:val="6D3978A6"/>
    <w:rsid w:val="6D3A5127"/>
    <w:rsid w:val="6D3E02D9"/>
    <w:rsid w:val="6D3E06C9"/>
    <w:rsid w:val="6D3E250F"/>
    <w:rsid w:val="6D3F7117"/>
    <w:rsid w:val="6D4213AC"/>
    <w:rsid w:val="6D467052"/>
    <w:rsid w:val="6D4E3543"/>
    <w:rsid w:val="6D4F0278"/>
    <w:rsid w:val="6D4F2026"/>
    <w:rsid w:val="6D505D9E"/>
    <w:rsid w:val="6D512242"/>
    <w:rsid w:val="6D513FF0"/>
    <w:rsid w:val="6D521B17"/>
    <w:rsid w:val="6D5238C5"/>
    <w:rsid w:val="6D561607"/>
    <w:rsid w:val="6D570025"/>
    <w:rsid w:val="6D5B4E6F"/>
    <w:rsid w:val="6D5B6C1D"/>
    <w:rsid w:val="6D611D5A"/>
    <w:rsid w:val="6D616AB2"/>
    <w:rsid w:val="6D617FAC"/>
    <w:rsid w:val="6D642862"/>
    <w:rsid w:val="6D657A9C"/>
    <w:rsid w:val="6D667370"/>
    <w:rsid w:val="6D6B5FE5"/>
    <w:rsid w:val="6D6D6950"/>
    <w:rsid w:val="6D745F31"/>
    <w:rsid w:val="6D747729"/>
    <w:rsid w:val="6D747CDF"/>
    <w:rsid w:val="6D7952F5"/>
    <w:rsid w:val="6D7A61C9"/>
    <w:rsid w:val="6D832679"/>
    <w:rsid w:val="6D8617C0"/>
    <w:rsid w:val="6D8F4B19"/>
    <w:rsid w:val="6D91263F"/>
    <w:rsid w:val="6D942381"/>
    <w:rsid w:val="6D9D7236"/>
    <w:rsid w:val="6D9E4D5C"/>
    <w:rsid w:val="6DA51372"/>
    <w:rsid w:val="6DA700B4"/>
    <w:rsid w:val="6DAC1227"/>
    <w:rsid w:val="6DAC2834"/>
    <w:rsid w:val="6DAD4F9F"/>
    <w:rsid w:val="6DB1683D"/>
    <w:rsid w:val="6DB225B5"/>
    <w:rsid w:val="6DB35745"/>
    <w:rsid w:val="6DBA39B1"/>
    <w:rsid w:val="6DBC2D09"/>
    <w:rsid w:val="6DBC51E2"/>
    <w:rsid w:val="6DBE53FE"/>
    <w:rsid w:val="6DC21DEE"/>
    <w:rsid w:val="6DC81DD9"/>
    <w:rsid w:val="6DC9002B"/>
    <w:rsid w:val="6DC9627D"/>
    <w:rsid w:val="6DD135E5"/>
    <w:rsid w:val="6DD32C57"/>
    <w:rsid w:val="6DD442E6"/>
    <w:rsid w:val="6DD864C0"/>
    <w:rsid w:val="6DD93FE6"/>
    <w:rsid w:val="6DD95C8D"/>
    <w:rsid w:val="6DDD3AD6"/>
    <w:rsid w:val="6DE05CD4"/>
    <w:rsid w:val="6DE24C48"/>
    <w:rsid w:val="6DE309C1"/>
    <w:rsid w:val="6DE5298B"/>
    <w:rsid w:val="6DE85FD7"/>
    <w:rsid w:val="6DE9247B"/>
    <w:rsid w:val="6DEC3D19"/>
    <w:rsid w:val="6DED3309"/>
    <w:rsid w:val="6DEE7A91"/>
    <w:rsid w:val="6DEF3809"/>
    <w:rsid w:val="6DF36E56"/>
    <w:rsid w:val="6DF42BCE"/>
    <w:rsid w:val="6DF606F4"/>
    <w:rsid w:val="6DF64282"/>
    <w:rsid w:val="6DF80910"/>
    <w:rsid w:val="6DF901E4"/>
    <w:rsid w:val="6DFA4688"/>
    <w:rsid w:val="6DFB3F5C"/>
    <w:rsid w:val="6DFF4B3E"/>
    <w:rsid w:val="6DFF5B12"/>
    <w:rsid w:val="6E02353D"/>
    <w:rsid w:val="6E0659AC"/>
    <w:rsid w:val="6E096679"/>
    <w:rsid w:val="6E0C6169"/>
    <w:rsid w:val="6E105EB1"/>
    <w:rsid w:val="6E1312A6"/>
    <w:rsid w:val="6E176DA8"/>
    <w:rsid w:val="6E184B0E"/>
    <w:rsid w:val="6E1D0376"/>
    <w:rsid w:val="6E1F7C4B"/>
    <w:rsid w:val="6E201C15"/>
    <w:rsid w:val="6E223498"/>
    <w:rsid w:val="6E22773B"/>
    <w:rsid w:val="6E263B15"/>
    <w:rsid w:val="6E2A4841"/>
    <w:rsid w:val="6E2E4332"/>
    <w:rsid w:val="6E3000AA"/>
    <w:rsid w:val="6E3D4575"/>
    <w:rsid w:val="6E4B6C92"/>
    <w:rsid w:val="6E4C0396"/>
    <w:rsid w:val="6E522CAD"/>
    <w:rsid w:val="6E5377EC"/>
    <w:rsid w:val="6E565636"/>
    <w:rsid w:val="6E5A5127"/>
    <w:rsid w:val="6E5C19CE"/>
    <w:rsid w:val="6E5F273D"/>
    <w:rsid w:val="6E62342C"/>
    <w:rsid w:val="6E6733A0"/>
    <w:rsid w:val="6E6B10E2"/>
    <w:rsid w:val="6E6D676C"/>
    <w:rsid w:val="6E6E472E"/>
    <w:rsid w:val="6E7A0843"/>
    <w:rsid w:val="6E7B6E4B"/>
    <w:rsid w:val="6E7D0E15"/>
    <w:rsid w:val="6E804461"/>
    <w:rsid w:val="6E810905"/>
    <w:rsid w:val="6E8126B3"/>
    <w:rsid w:val="6E82642B"/>
    <w:rsid w:val="6E89335C"/>
    <w:rsid w:val="6E895A0C"/>
    <w:rsid w:val="6E8A03A5"/>
    <w:rsid w:val="6E8C40E8"/>
    <w:rsid w:val="6E91041D"/>
    <w:rsid w:val="6E91558C"/>
    <w:rsid w:val="6E922B12"/>
    <w:rsid w:val="6E941653"/>
    <w:rsid w:val="6E9879FD"/>
    <w:rsid w:val="6E9E14B7"/>
    <w:rsid w:val="6EA25D30"/>
    <w:rsid w:val="6EAD16FA"/>
    <w:rsid w:val="6EB10C80"/>
    <w:rsid w:val="6EB365E5"/>
    <w:rsid w:val="6EB60DF0"/>
    <w:rsid w:val="6EB8009F"/>
    <w:rsid w:val="6EB84305"/>
    <w:rsid w:val="6EB93430"/>
    <w:rsid w:val="6EC24A7A"/>
    <w:rsid w:val="6EC32CCC"/>
    <w:rsid w:val="6EC4452A"/>
    <w:rsid w:val="6EC67DFF"/>
    <w:rsid w:val="6EC9405A"/>
    <w:rsid w:val="6ECA36D3"/>
    <w:rsid w:val="6ECC76A7"/>
    <w:rsid w:val="6ECD2716"/>
    <w:rsid w:val="6ECE55DC"/>
    <w:rsid w:val="6ED053E9"/>
    <w:rsid w:val="6ED44ED9"/>
    <w:rsid w:val="6EE51CFE"/>
    <w:rsid w:val="6EE64C0C"/>
    <w:rsid w:val="6EE82E45"/>
    <w:rsid w:val="6EEB2223"/>
    <w:rsid w:val="6EEE586F"/>
    <w:rsid w:val="6EF00DC8"/>
    <w:rsid w:val="6EF56BFD"/>
    <w:rsid w:val="6EF8049C"/>
    <w:rsid w:val="6EFA4214"/>
    <w:rsid w:val="6EFD09F1"/>
    <w:rsid w:val="6EFE3D04"/>
    <w:rsid w:val="6EFF7A7C"/>
    <w:rsid w:val="6F0230C8"/>
    <w:rsid w:val="6F0357BE"/>
    <w:rsid w:val="6F0440B7"/>
    <w:rsid w:val="6F084B83"/>
    <w:rsid w:val="6F0A08FB"/>
    <w:rsid w:val="6F143527"/>
    <w:rsid w:val="6F16554D"/>
    <w:rsid w:val="6F190B3E"/>
    <w:rsid w:val="6F1928EC"/>
    <w:rsid w:val="6F1E43A6"/>
    <w:rsid w:val="6F213E96"/>
    <w:rsid w:val="6F215C44"/>
    <w:rsid w:val="6F255735"/>
    <w:rsid w:val="6F26325B"/>
    <w:rsid w:val="6F2861E7"/>
    <w:rsid w:val="6F2B261F"/>
    <w:rsid w:val="6F2B3057"/>
    <w:rsid w:val="6F2C5FF8"/>
    <w:rsid w:val="6F2D283B"/>
    <w:rsid w:val="6F2F210F"/>
    <w:rsid w:val="6F340B5E"/>
    <w:rsid w:val="6F345978"/>
    <w:rsid w:val="6F392D68"/>
    <w:rsid w:val="6F3C5AED"/>
    <w:rsid w:val="6F40431D"/>
    <w:rsid w:val="6F437969"/>
    <w:rsid w:val="6F441EB0"/>
    <w:rsid w:val="6F466764"/>
    <w:rsid w:val="6F481423"/>
    <w:rsid w:val="6F4B4A6F"/>
    <w:rsid w:val="6F4B7F29"/>
    <w:rsid w:val="6F51652A"/>
    <w:rsid w:val="6F547DC8"/>
    <w:rsid w:val="6F563B40"/>
    <w:rsid w:val="6F571666"/>
    <w:rsid w:val="6F5778B8"/>
    <w:rsid w:val="6F5C6C7D"/>
    <w:rsid w:val="6F5D12B3"/>
    <w:rsid w:val="6F5D1A70"/>
    <w:rsid w:val="6F6049BF"/>
    <w:rsid w:val="6F60676D"/>
    <w:rsid w:val="6F62223F"/>
    <w:rsid w:val="6F6618A9"/>
    <w:rsid w:val="6F683873"/>
    <w:rsid w:val="6F6840AB"/>
    <w:rsid w:val="6F6A1399"/>
    <w:rsid w:val="6F6A5F99"/>
    <w:rsid w:val="6F6D49E6"/>
    <w:rsid w:val="6F6E3364"/>
    <w:rsid w:val="6F6F075E"/>
    <w:rsid w:val="6F710E60"/>
    <w:rsid w:val="6F7264A0"/>
    <w:rsid w:val="6F742218"/>
    <w:rsid w:val="6F773AB6"/>
    <w:rsid w:val="6F7E3097"/>
    <w:rsid w:val="6F83245B"/>
    <w:rsid w:val="6F8C7562"/>
    <w:rsid w:val="6F8D27C3"/>
    <w:rsid w:val="6F8D3F04"/>
    <w:rsid w:val="6F8D6E36"/>
    <w:rsid w:val="6F9401C4"/>
    <w:rsid w:val="6F9603E0"/>
    <w:rsid w:val="6F966EFB"/>
    <w:rsid w:val="6F9C6257"/>
    <w:rsid w:val="6F9E54E7"/>
    <w:rsid w:val="6FA06B69"/>
    <w:rsid w:val="6FA128E1"/>
    <w:rsid w:val="6FA523D2"/>
    <w:rsid w:val="6FA7614A"/>
    <w:rsid w:val="6FA81A3C"/>
    <w:rsid w:val="6FAF14A2"/>
    <w:rsid w:val="6FB10D76"/>
    <w:rsid w:val="6FB16FC8"/>
    <w:rsid w:val="6FB22D40"/>
    <w:rsid w:val="6FB2689C"/>
    <w:rsid w:val="6FB35C1F"/>
    <w:rsid w:val="6FB67229"/>
    <w:rsid w:val="6FC14D32"/>
    <w:rsid w:val="6FC447D3"/>
    <w:rsid w:val="6FC84312"/>
    <w:rsid w:val="6FC9117A"/>
    <w:rsid w:val="6FCA008A"/>
    <w:rsid w:val="6FCD1928"/>
    <w:rsid w:val="6FCE7B7A"/>
    <w:rsid w:val="6FCF38F2"/>
    <w:rsid w:val="6FD40F09"/>
    <w:rsid w:val="6FD44A65"/>
    <w:rsid w:val="6FD736E6"/>
    <w:rsid w:val="6FDC1B6B"/>
    <w:rsid w:val="6FDD1EA3"/>
    <w:rsid w:val="6FE0165C"/>
    <w:rsid w:val="6FE4739E"/>
    <w:rsid w:val="6FE50A20"/>
    <w:rsid w:val="6FE54EC4"/>
    <w:rsid w:val="6FE74798"/>
    <w:rsid w:val="6FE80510"/>
    <w:rsid w:val="6FEA3A6A"/>
    <w:rsid w:val="6FEB7D36"/>
    <w:rsid w:val="6FED5B27"/>
    <w:rsid w:val="6FEF189F"/>
    <w:rsid w:val="6FF003F1"/>
    <w:rsid w:val="6FF173C5"/>
    <w:rsid w:val="6FF17956"/>
    <w:rsid w:val="6FF3138F"/>
    <w:rsid w:val="6FF46EB5"/>
    <w:rsid w:val="6FF70753"/>
    <w:rsid w:val="6FFA2E4B"/>
    <w:rsid w:val="6FFB46E7"/>
    <w:rsid w:val="7003534A"/>
    <w:rsid w:val="70061528"/>
    <w:rsid w:val="700C2451"/>
    <w:rsid w:val="700D682A"/>
    <w:rsid w:val="700E441B"/>
    <w:rsid w:val="70115CB9"/>
    <w:rsid w:val="70117A67"/>
    <w:rsid w:val="701337DF"/>
    <w:rsid w:val="701557A9"/>
    <w:rsid w:val="70230A50"/>
    <w:rsid w:val="702A6D7B"/>
    <w:rsid w:val="702C48A1"/>
    <w:rsid w:val="702F613F"/>
    <w:rsid w:val="70310109"/>
    <w:rsid w:val="70313C65"/>
    <w:rsid w:val="70390D6C"/>
    <w:rsid w:val="70390E66"/>
    <w:rsid w:val="70393D95"/>
    <w:rsid w:val="703C3572"/>
    <w:rsid w:val="703D6AAE"/>
    <w:rsid w:val="7040659E"/>
    <w:rsid w:val="704716DB"/>
    <w:rsid w:val="7047792D"/>
    <w:rsid w:val="70485CE6"/>
    <w:rsid w:val="704C0A9F"/>
    <w:rsid w:val="704C6CF1"/>
    <w:rsid w:val="704D78C3"/>
    <w:rsid w:val="7053007F"/>
    <w:rsid w:val="70562E59"/>
    <w:rsid w:val="705838E8"/>
    <w:rsid w:val="705878A5"/>
    <w:rsid w:val="705C54C7"/>
    <w:rsid w:val="705D0EFE"/>
    <w:rsid w:val="705D2CAC"/>
    <w:rsid w:val="70624A53"/>
    <w:rsid w:val="70657DB3"/>
    <w:rsid w:val="70695446"/>
    <w:rsid w:val="706F1805"/>
    <w:rsid w:val="70741DA4"/>
    <w:rsid w:val="70765B1C"/>
    <w:rsid w:val="707A560C"/>
    <w:rsid w:val="707D50FC"/>
    <w:rsid w:val="7080244B"/>
    <w:rsid w:val="7080699B"/>
    <w:rsid w:val="70814BED"/>
    <w:rsid w:val="708C533F"/>
    <w:rsid w:val="708D657F"/>
    <w:rsid w:val="70916390"/>
    <w:rsid w:val="70983692"/>
    <w:rsid w:val="70A07186"/>
    <w:rsid w:val="70A628A5"/>
    <w:rsid w:val="70A94143"/>
    <w:rsid w:val="70AF6D48"/>
    <w:rsid w:val="70B054D2"/>
    <w:rsid w:val="70BA01A5"/>
    <w:rsid w:val="70BB79D3"/>
    <w:rsid w:val="70BC134B"/>
    <w:rsid w:val="70C04FE9"/>
    <w:rsid w:val="70C1148D"/>
    <w:rsid w:val="70C152B0"/>
    <w:rsid w:val="70C42D2B"/>
    <w:rsid w:val="70C60851"/>
    <w:rsid w:val="70C64CF5"/>
    <w:rsid w:val="70C745CA"/>
    <w:rsid w:val="70C8271B"/>
    <w:rsid w:val="70C920F0"/>
    <w:rsid w:val="70D016D0"/>
    <w:rsid w:val="70D25448"/>
    <w:rsid w:val="70D31FDB"/>
    <w:rsid w:val="70DC7DEA"/>
    <w:rsid w:val="70DE203F"/>
    <w:rsid w:val="70DF7B65"/>
    <w:rsid w:val="70E138DD"/>
    <w:rsid w:val="70E64CAA"/>
    <w:rsid w:val="70E87D2E"/>
    <w:rsid w:val="70E92792"/>
    <w:rsid w:val="70EB650A"/>
    <w:rsid w:val="70ED2282"/>
    <w:rsid w:val="70EE0E01"/>
    <w:rsid w:val="70EF6AC6"/>
    <w:rsid w:val="70F25AEA"/>
    <w:rsid w:val="70F31F92"/>
    <w:rsid w:val="70F33611"/>
    <w:rsid w:val="70F520ED"/>
    <w:rsid w:val="70F52EE5"/>
    <w:rsid w:val="70F65EBA"/>
    <w:rsid w:val="70F73101"/>
    <w:rsid w:val="70F7672F"/>
    <w:rsid w:val="70FA674D"/>
    <w:rsid w:val="70FC0717"/>
    <w:rsid w:val="7101667B"/>
    <w:rsid w:val="71035221"/>
    <w:rsid w:val="710B2708"/>
    <w:rsid w:val="710D6480"/>
    <w:rsid w:val="711041C2"/>
    <w:rsid w:val="711200BC"/>
    <w:rsid w:val="7113780F"/>
    <w:rsid w:val="71152AE8"/>
    <w:rsid w:val="71153587"/>
    <w:rsid w:val="711D243B"/>
    <w:rsid w:val="7121200D"/>
    <w:rsid w:val="71213827"/>
    <w:rsid w:val="71245578"/>
    <w:rsid w:val="712573E8"/>
    <w:rsid w:val="712612F0"/>
    <w:rsid w:val="712832BA"/>
    <w:rsid w:val="712864D5"/>
    <w:rsid w:val="712A5284"/>
    <w:rsid w:val="71332BBF"/>
    <w:rsid w:val="713734FD"/>
    <w:rsid w:val="713752AB"/>
    <w:rsid w:val="713C0B14"/>
    <w:rsid w:val="713C53B2"/>
    <w:rsid w:val="71436346"/>
    <w:rsid w:val="71494FDF"/>
    <w:rsid w:val="714B51FB"/>
    <w:rsid w:val="714F0C57"/>
    <w:rsid w:val="714F6A99"/>
    <w:rsid w:val="71566079"/>
    <w:rsid w:val="715A543E"/>
    <w:rsid w:val="715E1BEB"/>
    <w:rsid w:val="7166007F"/>
    <w:rsid w:val="716770E4"/>
    <w:rsid w:val="716A5681"/>
    <w:rsid w:val="716D33C3"/>
    <w:rsid w:val="716E686F"/>
    <w:rsid w:val="716F0EE9"/>
    <w:rsid w:val="716F2C97"/>
    <w:rsid w:val="717007BD"/>
    <w:rsid w:val="71706A0F"/>
    <w:rsid w:val="71725BB0"/>
    <w:rsid w:val="71731C06"/>
    <w:rsid w:val="71771B4C"/>
    <w:rsid w:val="717804FA"/>
    <w:rsid w:val="717B788E"/>
    <w:rsid w:val="717C7162"/>
    <w:rsid w:val="718A5D23"/>
    <w:rsid w:val="71900E5F"/>
    <w:rsid w:val="71922E29"/>
    <w:rsid w:val="71940950"/>
    <w:rsid w:val="719646C8"/>
    <w:rsid w:val="71995F66"/>
    <w:rsid w:val="719C7804"/>
    <w:rsid w:val="71A072F4"/>
    <w:rsid w:val="71A2244A"/>
    <w:rsid w:val="71A41A51"/>
    <w:rsid w:val="71A42811"/>
    <w:rsid w:val="71A861A9"/>
    <w:rsid w:val="71AA0173"/>
    <w:rsid w:val="71AB5C99"/>
    <w:rsid w:val="71B047FB"/>
    <w:rsid w:val="71B15784"/>
    <w:rsid w:val="71B20DD6"/>
    <w:rsid w:val="71B21F4E"/>
    <w:rsid w:val="71B2527A"/>
    <w:rsid w:val="71B44B4E"/>
    <w:rsid w:val="71B72890"/>
    <w:rsid w:val="71BC7EA6"/>
    <w:rsid w:val="71C01745"/>
    <w:rsid w:val="71C07997"/>
    <w:rsid w:val="71C31235"/>
    <w:rsid w:val="71C72AD3"/>
    <w:rsid w:val="71C867F5"/>
    <w:rsid w:val="71CA376C"/>
    <w:rsid w:val="71CD3E62"/>
    <w:rsid w:val="71D13952"/>
    <w:rsid w:val="71D1444C"/>
    <w:rsid w:val="71D64AC4"/>
    <w:rsid w:val="71DC5E53"/>
    <w:rsid w:val="71DE0782"/>
    <w:rsid w:val="71DE1BCB"/>
    <w:rsid w:val="71E03B95"/>
    <w:rsid w:val="71E847F7"/>
    <w:rsid w:val="71EC253A"/>
    <w:rsid w:val="71F238C8"/>
    <w:rsid w:val="71F4319C"/>
    <w:rsid w:val="71F633B8"/>
    <w:rsid w:val="71F9130C"/>
    <w:rsid w:val="71FE226D"/>
    <w:rsid w:val="72007D93"/>
    <w:rsid w:val="720553A9"/>
    <w:rsid w:val="720C6738"/>
    <w:rsid w:val="7215759C"/>
    <w:rsid w:val="721B697B"/>
    <w:rsid w:val="7220374A"/>
    <w:rsid w:val="722241AD"/>
    <w:rsid w:val="72256230"/>
    <w:rsid w:val="72273572"/>
    <w:rsid w:val="722C0B88"/>
    <w:rsid w:val="722C6DDA"/>
    <w:rsid w:val="722E4900"/>
    <w:rsid w:val="722F2426"/>
    <w:rsid w:val="722F68CA"/>
    <w:rsid w:val="72304797"/>
    <w:rsid w:val="7231619E"/>
    <w:rsid w:val="72395053"/>
    <w:rsid w:val="723D0FE7"/>
    <w:rsid w:val="723F6274"/>
    <w:rsid w:val="72442376"/>
    <w:rsid w:val="7245773D"/>
    <w:rsid w:val="724834E8"/>
    <w:rsid w:val="7249040E"/>
    <w:rsid w:val="724C4D86"/>
    <w:rsid w:val="724E4FA2"/>
    <w:rsid w:val="72536115"/>
    <w:rsid w:val="72555F92"/>
    <w:rsid w:val="72565C05"/>
    <w:rsid w:val="72604CD6"/>
    <w:rsid w:val="726522EC"/>
    <w:rsid w:val="7265409A"/>
    <w:rsid w:val="726739D4"/>
    <w:rsid w:val="726E11A1"/>
    <w:rsid w:val="7270316B"/>
    <w:rsid w:val="727047CE"/>
    <w:rsid w:val="72712A3F"/>
    <w:rsid w:val="727367B7"/>
    <w:rsid w:val="72750781"/>
    <w:rsid w:val="7275252F"/>
    <w:rsid w:val="727A5D97"/>
    <w:rsid w:val="727B1B10"/>
    <w:rsid w:val="72824C4C"/>
    <w:rsid w:val="728409C4"/>
    <w:rsid w:val="7284346E"/>
    <w:rsid w:val="72850298"/>
    <w:rsid w:val="728564EA"/>
    <w:rsid w:val="728C6806"/>
    <w:rsid w:val="728C7879"/>
    <w:rsid w:val="728D72D4"/>
    <w:rsid w:val="728F1117"/>
    <w:rsid w:val="72936E59"/>
    <w:rsid w:val="7295118A"/>
    <w:rsid w:val="72955A66"/>
    <w:rsid w:val="7298446F"/>
    <w:rsid w:val="729B5D0E"/>
    <w:rsid w:val="729D1A86"/>
    <w:rsid w:val="729D3834"/>
    <w:rsid w:val="72A252EE"/>
    <w:rsid w:val="72A5093A"/>
    <w:rsid w:val="72A63904"/>
    <w:rsid w:val="72A66B8C"/>
    <w:rsid w:val="72A9042B"/>
    <w:rsid w:val="72AC1CC9"/>
    <w:rsid w:val="72AE2AAD"/>
    <w:rsid w:val="72B017B9"/>
    <w:rsid w:val="72B90194"/>
    <w:rsid w:val="72BA43E6"/>
    <w:rsid w:val="72BD7A32"/>
    <w:rsid w:val="72BF19FC"/>
    <w:rsid w:val="72C2329A"/>
    <w:rsid w:val="72CC4119"/>
    <w:rsid w:val="72CE5BB2"/>
    <w:rsid w:val="72CE60E3"/>
    <w:rsid w:val="72D6565A"/>
    <w:rsid w:val="72DB610A"/>
    <w:rsid w:val="72DC25AE"/>
    <w:rsid w:val="72DE2C3D"/>
    <w:rsid w:val="72DF5BFA"/>
    <w:rsid w:val="72E27499"/>
    <w:rsid w:val="72E70F53"/>
    <w:rsid w:val="72E927FF"/>
    <w:rsid w:val="72EB27F1"/>
    <w:rsid w:val="72EC0317"/>
    <w:rsid w:val="72EC65AF"/>
    <w:rsid w:val="72ED217D"/>
    <w:rsid w:val="72EE22E1"/>
    <w:rsid w:val="72F80E64"/>
    <w:rsid w:val="72F912A8"/>
    <w:rsid w:val="73012015"/>
    <w:rsid w:val="73043513"/>
    <w:rsid w:val="730613D9"/>
    <w:rsid w:val="7306587D"/>
    <w:rsid w:val="730B2E93"/>
    <w:rsid w:val="730B69EF"/>
    <w:rsid w:val="730C2768"/>
    <w:rsid w:val="730D09BA"/>
    <w:rsid w:val="730F1287"/>
    <w:rsid w:val="730F44AC"/>
    <w:rsid w:val="731358A4"/>
    <w:rsid w:val="73171838"/>
    <w:rsid w:val="731F249B"/>
    <w:rsid w:val="731F2D71"/>
    <w:rsid w:val="73201B9F"/>
    <w:rsid w:val="73217FC1"/>
    <w:rsid w:val="73231CF3"/>
    <w:rsid w:val="732D105C"/>
    <w:rsid w:val="733034AE"/>
    <w:rsid w:val="73306456"/>
    <w:rsid w:val="73335F46"/>
    <w:rsid w:val="7334649C"/>
    <w:rsid w:val="73351CBE"/>
    <w:rsid w:val="73396415"/>
    <w:rsid w:val="733C304D"/>
    <w:rsid w:val="733E17AF"/>
    <w:rsid w:val="733F48EB"/>
    <w:rsid w:val="734819F2"/>
    <w:rsid w:val="734939BC"/>
    <w:rsid w:val="734D525A"/>
    <w:rsid w:val="73506AF8"/>
    <w:rsid w:val="73530396"/>
    <w:rsid w:val="73566CAF"/>
    <w:rsid w:val="73571880"/>
    <w:rsid w:val="735760D9"/>
    <w:rsid w:val="735859AD"/>
    <w:rsid w:val="735C36EF"/>
    <w:rsid w:val="735C724B"/>
    <w:rsid w:val="735E1215"/>
    <w:rsid w:val="736425A4"/>
    <w:rsid w:val="73644352"/>
    <w:rsid w:val="736507F6"/>
    <w:rsid w:val="73661E78"/>
    <w:rsid w:val="736B3932"/>
    <w:rsid w:val="736B748E"/>
    <w:rsid w:val="736D3206"/>
    <w:rsid w:val="736E51D0"/>
    <w:rsid w:val="737067CE"/>
    <w:rsid w:val="7370719A"/>
    <w:rsid w:val="7375655F"/>
    <w:rsid w:val="73766299"/>
    <w:rsid w:val="73770529"/>
    <w:rsid w:val="737722D7"/>
    <w:rsid w:val="7379604F"/>
    <w:rsid w:val="73797DFD"/>
    <w:rsid w:val="737A3B75"/>
    <w:rsid w:val="737C1488"/>
    <w:rsid w:val="737C169B"/>
    <w:rsid w:val="737E6763"/>
    <w:rsid w:val="73842D8A"/>
    <w:rsid w:val="73856327"/>
    <w:rsid w:val="738644F9"/>
    <w:rsid w:val="73893DB8"/>
    <w:rsid w:val="738B18DE"/>
    <w:rsid w:val="738B7B30"/>
    <w:rsid w:val="73944C37"/>
    <w:rsid w:val="73966C01"/>
    <w:rsid w:val="73A00CA7"/>
    <w:rsid w:val="73A3131E"/>
    <w:rsid w:val="73AB01D2"/>
    <w:rsid w:val="73AB1B34"/>
    <w:rsid w:val="73AC6367"/>
    <w:rsid w:val="73AF1A71"/>
    <w:rsid w:val="73AF515A"/>
    <w:rsid w:val="73B057E9"/>
    <w:rsid w:val="73B1065D"/>
    <w:rsid w:val="73B13A3B"/>
    <w:rsid w:val="73B250BD"/>
    <w:rsid w:val="73B452D9"/>
    <w:rsid w:val="73B47087"/>
    <w:rsid w:val="73BC418E"/>
    <w:rsid w:val="73BE1CB4"/>
    <w:rsid w:val="73C27AB3"/>
    <w:rsid w:val="73C33969"/>
    <w:rsid w:val="73C372CA"/>
    <w:rsid w:val="73C66DBA"/>
    <w:rsid w:val="73C84DFA"/>
    <w:rsid w:val="73CA0659"/>
    <w:rsid w:val="73CC5F32"/>
    <w:rsid w:val="73CD1EF7"/>
    <w:rsid w:val="73D03795"/>
    <w:rsid w:val="73D9089C"/>
    <w:rsid w:val="73D96AEE"/>
    <w:rsid w:val="73DA4614"/>
    <w:rsid w:val="73E00E2F"/>
    <w:rsid w:val="73E6120B"/>
    <w:rsid w:val="73EF4563"/>
    <w:rsid w:val="73EF6311"/>
    <w:rsid w:val="73F6144E"/>
    <w:rsid w:val="73F90F3E"/>
    <w:rsid w:val="740050F0"/>
    <w:rsid w:val="74014E45"/>
    <w:rsid w:val="74026044"/>
    <w:rsid w:val="74065409"/>
    <w:rsid w:val="7407365B"/>
    <w:rsid w:val="74081181"/>
    <w:rsid w:val="740873D3"/>
    <w:rsid w:val="740A4EF9"/>
    <w:rsid w:val="740D49E9"/>
    <w:rsid w:val="740D6797"/>
    <w:rsid w:val="74143FCA"/>
    <w:rsid w:val="74147B26"/>
    <w:rsid w:val="7416564C"/>
    <w:rsid w:val="74192A9B"/>
    <w:rsid w:val="74205599"/>
    <w:rsid w:val="74277859"/>
    <w:rsid w:val="742D385E"/>
    <w:rsid w:val="742F2BB2"/>
    <w:rsid w:val="74367A9C"/>
    <w:rsid w:val="743774E1"/>
    <w:rsid w:val="743A4358"/>
    <w:rsid w:val="743C5BB1"/>
    <w:rsid w:val="7442098B"/>
    <w:rsid w:val="74435A84"/>
    <w:rsid w:val="74471CA9"/>
    <w:rsid w:val="74477EFB"/>
    <w:rsid w:val="74485A21"/>
    <w:rsid w:val="744A1799"/>
    <w:rsid w:val="744C3764"/>
    <w:rsid w:val="744F5002"/>
    <w:rsid w:val="74534AF2"/>
    <w:rsid w:val="74546174"/>
    <w:rsid w:val="745C0AF6"/>
    <w:rsid w:val="745C662B"/>
    <w:rsid w:val="74654825"/>
    <w:rsid w:val="74674561"/>
    <w:rsid w:val="746A1E3C"/>
    <w:rsid w:val="746C5BB4"/>
    <w:rsid w:val="746D0255"/>
    <w:rsid w:val="746F26E3"/>
    <w:rsid w:val="74704AA1"/>
    <w:rsid w:val="747131CA"/>
    <w:rsid w:val="7480205F"/>
    <w:rsid w:val="7487654A"/>
    <w:rsid w:val="748A428C"/>
    <w:rsid w:val="748A7DE8"/>
    <w:rsid w:val="748C1DB2"/>
    <w:rsid w:val="748D0ADA"/>
    <w:rsid w:val="748F3650"/>
    <w:rsid w:val="7491561A"/>
    <w:rsid w:val="74934EEE"/>
    <w:rsid w:val="74943E9C"/>
    <w:rsid w:val="749D5D6D"/>
    <w:rsid w:val="749D7B1B"/>
    <w:rsid w:val="74A0585D"/>
    <w:rsid w:val="74A62C0B"/>
    <w:rsid w:val="74AC4D85"/>
    <w:rsid w:val="74AF784E"/>
    <w:rsid w:val="74B11819"/>
    <w:rsid w:val="74B35591"/>
    <w:rsid w:val="74B3733F"/>
    <w:rsid w:val="74B51309"/>
    <w:rsid w:val="74C14349"/>
    <w:rsid w:val="74C27582"/>
    <w:rsid w:val="74C3319E"/>
    <w:rsid w:val="74C4154C"/>
    <w:rsid w:val="74C5589B"/>
    <w:rsid w:val="74C72DEA"/>
    <w:rsid w:val="74CA4688"/>
    <w:rsid w:val="74CC5BBB"/>
    <w:rsid w:val="74D20D69"/>
    <w:rsid w:val="74D6127F"/>
    <w:rsid w:val="74D97F76"/>
    <w:rsid w:val="74DA0950"/>
    <w:rsid w:val="74DC4AE7"/>
    <w:rsid w:val="74DD0860"/>
    <w:rsid w:val="74E05C5A"/>
    <w:rsid w:val="74E219D2"/>
    <w:rsid w:val="74E25198"/>
    <w:rsid w:val="74E403D4"/>
    <w:rsid w:val="74E63744"/>
    <w:rsid w:val="74E92D60"/>
    <w:rsid w:val="74E97204"/>
    <w:rsid w:val="74F00593"/>
    <w:rsid w:val="74F23177"/>
    <w:rsid w:val="74F31E31"/>
    <w:rsid w:val="74F51B52"/>
    <w:rsid w:val="74F55BA9"/>
    <w:rsid w:val="74F6722B"/>
    <w:rsid w:val="74FA4F6E"/>
    <w:rsid w:val="74FD05BA"/>
    <w:rsid w:val="74FF2584"/>
    <w:rsid w:val="74FF4B63"/>
    <w:rsid w:val="75047B9A"/>
    <w:rsid w:val="750758DC"/>
    <w:rsid w:val="75091655"/>
    <w:rsid w:val="750D7D7F"/>
    <w:rsid w:val="751029E3"/>
    <w:rsid w:val="75127B90"/>
    <w:rsid w:val="7513273D"/>
    <w:rsid w:val="7513602F"/>
    <w:rsid w:val="75153B55"/>
    <w:rsid w:val="7519760D"/>
    <w:rsid w:val="751D21C1"/>
    <w:rsid w:val="75241FEA"/>
    <w:rsid w:val="752913AF"/>
    <w:rsid w:val="752D5343"/>
    <w:rsid w:val="753007A1"/>
    <w:rsid w:val="75327179"/>
    <w:rsid w:val="75373201"/>
    <w:rsid w:val="753871DF"/>
    <w:rsid w:val="753B196C"/>
    <w:rsid w:val="753C37D8"/>
    <w:rsid w:val="753F36F1"/>
    <w:rsid w:val="753F6E24"/>
    <w:rsid w:val="75502DDF"/>
    <w:rsid w:val="75510906"/>
    <w:rsid w:val="75530B22"/>
    <w:rsid w:val="75556648"/>
    <w:rsid w:val="755B49B2"/>
    <w:rsid w:val="755E5AEA"/>
    <w:rsid w:val="756578D8"/>
    <w:rsid w:val="75671015"/>
    <w:rsid w:val="75671ED7"/>
    <w:rsid w:val="7568637B"/>
    <w:rsid w:val="75695C4F"/>
    <w:rsid w:val="756B19C7"/>
    <w:rsid w:val="757132D1"/>
    <w:rsid w:val="75720FA8"/>
    <w:rsid w:val="7577036C"/>
    <w:rsid w:val="757765BE"/>
    <w:rsid w:val="75790588"/>
    <w:rsid w:val="757C1E26"/>
    <w:rsid w:val="758331B5"/>
    <w:rsid w:val="75856EB5"/>
    <w:rsid w:val="758B206A"/>
    <w:rsid w:val="758D193E"/>
    <w:rsid w:val="758D4498"/>
    <w:rsid w:val="759206C7"/>
    <w:rsid w:val="75931266"/>
    <w:rsid w:val="75954C96"/>
    <w:rsid w:val="75956A44"/>
    <w:rsid w:val="759B5BFF"/>
    <w:rsid w:val="759F5B15"/>
    <w:rsid w:val="75A44ED9"/>
    <w:rsid w:val="75A66E6C"/>
    <w:rsid w:val="75AB44BA"/>
    <w:rsid w:val="75B07D22"/>
    <w:rsid w:val="75B46F90"/>
    <w:rsid w:val="75B65E96"/>
    <w:rsid w:val="75B73ED4"/>
    <w:rsid w:val="75BC4A71"/>
    <w:rsid w:val="75BC5722"/>
    <w:rsid w:val="75C12BF5"/>
    <w:rsid w:val="75C17839"/>
    <w:rsid w:val="75C72748"/>
    <w:rsid w:val="75CE0FA0"/>
    <w:rsid w:val="75D21A46"/>
    <w:rsid w:val="75D752AF"/>
    <w:rsid w:val="75DE488F"/>
    <w:rsid w:val="75E4177A"/>
    <w:rsid w:val="75E672A0"/>
    <w:rsid w:val="75E91A34"/>
    <w:rsid w:val="75EB48B6"/>
    <w:rsid w:val="75F06371"/>
    <w:rsid w:val="75F32F93"/>
    <w:rsid w:val="75F73F89"/>
    <w:rsid w:val="75F75951"/>
    <w:rsid w:val="75F776FF"/>
    <w:rsid w:val="75FC2F67"/>
    <w:rsid w:val="75FE5C0C"/>
    <w:rsid w:val="76004806"/>
    <w:rsid w:val="76011BC9"/>
    <w:rsid w:val="760140DA"/>
    <w:rsid w:val="76052D17"/>
    <w:rsid w:val="76091264"/>
    <w:rsid w:val="760F0C13"/>
    <w:rsid w:val="7610256F"/>
    <w:rsid w:val="761262E7"/>
    <w:rsid w:val="7614205F"/>
    <w:rsid w:val="76157B85"/>
    <w:rsid w:val="76173158"/>
    <w:rsid w:val="761B163F"/>
    <w:rsid w:val="761D53B8"/>
    <w:rsid w:val="761D637E"/>
    <w:rsid w:val="761E4C8C"/>
    <w:rsid w:val="76235D60"/>
    <w:rsid w:val="762A53DF"/>
    <w:rsid w:val="762A7AD4"/>
    <w:rsid w:val="762B1157"/>
    <w:rsid w:val="76326989"/>
    <w:rsid w:val="76366479"/>
    <w:rsid w:val="763B75EC"/>
    <w:rsid w:val="763E70DC"/>
    <w:rsid w:val="76404C02"/>
    <w:rsid w:val="76432944"/>
    <w:rsid w:val="764811BC"/>
    <w:rsid w:val="764A782F"/>
    <w:rsid w:val="76504CBE"/>
    <w:rsid w:val="76515061"/>
    <w:rsid w:val="765320E5"/>
    <w:rsid w:val="76544B51"/>
    <w:rsid w:val="765468FF"/>
    <w:rsid w:val="765661D4"/>
    <w:rsid w:val="76592168"/>
    <w:rsid w:val="765A3553"/>
    <w:rsid w:val="765B5EE0"/>
    <w:rsid w:val="765C5EF1"/>
    <w:rsid w:val="765D7381"/>
    <w:rsid w:val="76607052"/>
    <w:rsid w:val="7662101C"/>
    <w:rsid w:val="76654669"/>
    <w:rsid w:val="766667E0"/>
    <w:rsid w:val="76676633"/>
    <w:rsid w:val="766823AB"/>
    <w:rsid w:val="766A6E7D"/>
    <w:rsid w:val="76740D50"/>
    <w:rsid w:val="76746FA2"/>
    <w:rsid w:val="7677439C"/>
    <w:rsid w:val="76790114"/>
    <w:rsid w:val="7681460D"/>
    <w:rsid w:val="768371E5"/>
    <w:rsid w:val="7688173A"/>
    <w:rsid w:val="7689645A"/>
    <w:rsid w:val="768F7938"/>
    <w:rsid w:val="76960CC6"/>
    <w:rsid w:val="76962A74"/>
    <w:rsid w:val="769709D0"/>
    <w:rsid w:val="76982C90"/>
    <w:rsid w:val="76992564"/>
    <w:rsid w:val="769942BD"/>
    <w:rsid w:val="76A333E3"/>
    <w:rsid w:val="76A72ED3"/>
    <w:rsid w:val="76AC04E9"/>
    <w:rsid w:val="76AF17F9"/>
    <w:rsid w:val="76AF3B36"/>
    <w:rsid w:val="76B13D52"/>
    <w:rsid w:val="76B15B00"/>
    <w:rsid w:val="76B178AE"/>
    <w:rsid w:val="76B26CEA"/>
    <w:rsid w:val="76B35133"/>
    <w:rsid w:val="76B4114C"/>
    <w:rsid w:val="76B850E0"/>
    <w:rsid w:val="76B86E8E"/>
    <w:rsid w:val="76B92C06"/>
    <w:rsid w:val="76B949B4"/>
    <w:rsid w:val="76BD26F7"/>
    <w:rsid w:val="76C42ACB"/>
    <w:rsid w:val="76C53359"/>
    <w:rsid w:val="76C577FD"/>
    <w:rsid w:val="76C70E7F"/>
    <w:rsid w:val="76C75323"/>
    <w:rsid w:val="76C9109B"/>
    <w:rsid w:val="76C96E16"/>
    <w:rsid w:val="76CC0B8C"/>
    <w:rsid w:val="76CC0D21"/>
    <w:rsid w:val="76CD220E"/>
    <w:rsid w:val="76D10663"/>
    <w:rsid w:val="76D55C89"/>
    <w:rsid w:val="76D66663"/>
    <w:rsid w:val="76DC0816"/>
    <w:rsid w:val="76DD5309"/>
    <w:rsid w:val="76DF3B1A"/>
    <w:rsid w:val="76E21799"/>
    <w:rsid w:val="76E62CF0"/>
    <w:rsid w:val="76ED481A"/>
    <w:rsid w:val="76EE5C21"/>
    <w:rsid w:val="76F22A3C"/>
    <w:rsid w:val="76F31C74"/>
    <w:rsid w:val="76F61765"/>
    <w:rsid w:val="76F8372F"/>
    <w:rsid w:val="76F8469E"/>
    <w:rsid w:val="76FC05B4"/>
    <w:rsid w:val="770164D0"/>
    <w:rsid w:val="77057BFA"/>
    <w:rsid w:val="77071BC4"/>
    <w:rsid w:val="77075720"/>
    <w:rsid w:val="770D60E9"/>
    <w:rsid w:val="770E2F52"/>
    <w:rsid w:val="77101B8D"/>
    <w:rsid w:val="771542E1"/>
    <w:rsid w:val="7715608F"/>
    <w:rsid w:val="77170059"/>
    <w:rsid w:val="771A36A5"/>
    <w:rsid w:val="771C566F"/>
    <w:rsid w:val="771F673E"/>
    <w:rsid w:val="771F6F0D"/>
    <w:rsid w:val="7722255A"/>
    <w:rsid w:val="77297D8C"/>
    <w:rsid w:val="772A140E"/>
    <w:rsid w:val="772C64B4"/>
    <w:rsid w:val="7730111A"/>
    <w:rsid w:val="77356731"/>
    <w:rsid w:val="7737771B"/>
    <w:rsid w:val="77383B2B"/>
    <w:rsid w:val="773D3837"/>
    <w:rsid w:val="77420E4E"/>
    <w:rsid w:val="77422BFC"/>
    <w:rsid w:val="77433F56"/>
    <w:rsid w:val="77440722"/>
    <w:rsid w:val="7746169E"/>
    <w:rsid w:val="77476464"/>
    <w:rsid w:val="774A4354"/>
    <w:rsid w:val="774B1AB0"/>
    <w:rsid w:val="774C5829"/>
    <w:rsid w:val="77505319"/>
    <w:rsid w:val="77513458"/>
    <w:rsid w:val="775C313C"/>
    <w:rsid w:val="775D3592"/>
    <w:rsid w:val="776143DD"/>
    <w:rsid w:val="7762504C"/>
    <w:rsid w:val="77626DFA"/>
    <w:rsid w:val="7767181A"/>
    <w:rsid w:val="77691D85"/>
    <w:rsid w:val="776963DA"/>
    <w:rsid w:val="776B5CAF"/>
    <w:rsid w:val="776E49BD"/>
    <w:rsid w:val="77701517"/>
    <w:rsid w:val="77754D7F"/>
    <w:rsid w:val="777A05E8"/>
    <w:rsid w:val="777C4360"/>
    <w:rsid w:val="777F364F"/>
    <w:rsid w:val="777F5BFE"/>
    <w:rsid w:val="777F79AC"/>
    <w:rsid w:val="7783749C"/>
    <w:rsid w:val="77843214"/>
    <w:rsid w:val="77876861"/>
    <w:rsid w:val="778C10EB"/>
    <w:rsid w:val="778D20C9"/>
    <w:rsid w:val="77925931"/>
    <w:rsid w:val="7794726C"/>
    <w:rsid w:val="7795357A"/>
    <w:rsid w:val="77955421"/>
    <w:rsid w:val="7798554B"/>
    <w:rsid w:val="779A30DE"/>
    <w:rsid w:val="779A44A7"/>
    <w:rsid w:val="779A47E6"/>
    <w:rsid w:val="779D6084"/>
    <w:rsid w:val="779D7E32"/>
    <w:rsid w:val="779F1DFC"/>
    <w:rsid w:val="779F6E07"/>
    <w:rsid w:val="77A15B74"/>
    <w:rsid w:val="77A45665"/>
    <w:rsid w:val="77A6318B"/>
    <w:rsid w:val="77A86F03"/>
    <w:rsid w:val="77A93E46"/>
    <w:rsid w:val="77A967D7"/>
    <w:rsid w:val="77AF64E3"/>
    <w:rsid w:val="77B070F5"/>
    <w:rsid w:val="77B227F5"/>
    <w:rsid w:val="77B27D81"/>
    <w:rsid w:val="77B37656"/>
    <w:rsid w:val="77B5517C"/>
    <w:rsid w:val="77B74817"/>
    <w:rsid w:val="77B84C6C"/>
    <w:rsid w:val="77BA09E4"/>
    <w:rsid w:val="77BD2282"/>
    <w:rsid w:val="77C35AEB"/>
    <w:rsid w:val="77C45C0E"/>
    <w:rsid w:val="77C6655A"/>
    <w:rsid w:val="77C70EBD"/>
    <w:rsid w:val="77CB0E43"/>
    <w:rsid w:val="77D01FB6"/>
    <w:rsid w:val="77D1684F"/>
    <w:rsid w:val="77D575CC"/>
    <w:rsid w:val="77D71596"/>
    <w:rsid w:val="77DA1086"/>
    <w:rsid w:val="77DE1622"/>
    <w:rsid w:val="77E441F4"/>
    <w:rsid w:val="77E73A77"/>
    <w:rsid w:val="77EA683A"/>
    <w:rsid w:val="77EB0615"/>
    <w:rsid w:val="77EB7A4D"/>
    <w:rsid w:val="77ED2B68"/>
    <w:rsid w:val="77F162D0"/>
    <w:rsid w:val="77F17064"/>
    <w:rsid w:val="77F42148"/>
    <w:rsid w:val="77F51A1C"/>
    <w:rsid w:val="77F9775E"/>
    <w:rsid w:val="780350F4"/>
    <w:rsid w:val="7805128C"/>
    <w:rsid w:val="78061E7B"/>
    <w:rsid w:val="780649BD"/>
    <w:rsid w:val="780835EF"/>
    <w:rsid w:val="78085BF3"/>
    <w:rsid w:val="780F06C0"/>
    <w:rsid w:val="780F6F82"/>
    <w:rsid w:val="781379F5"/>
    <w:rsid w:val="781400F4"/>
    <w:rsid w:val="78174088"/>
    <w:rsid w:val="781E371F"/>
    <w:rsid w:val="781F63BA"/>
    <w:rsid w:val="7820118F"/>
    <w:rsid w:val="7820259C"/>
    <w:rsid w:val="78212811"/>
    <w:rsid w:val="78216CB5"/>
    <w:rsid w:val="78224195"/>
    <w:rsid w:val="782642CC"/>
    <w:rsid w:val="78270007"/>
    <w:rsid w:val="782765AD"/>
    <w:rsid w:val="782A0E50"/>
    <w:rsid w:val="782A2DB5"/>
    <w:rsid w:val="7836450F"/>
    <w:rsid w:val="78372035"/>
    <w:rsid w:val="783764D9"/>
    <w:rsid w:val="78393FFF"/>
    <w:rsid w:val="783B7D77"/>
    <w:rsid w:val="783E33C3"/>
    <w:rsid w:val="78454752"/>
    <w:rsid w:val="78465777"/>
    <w:rsid w:val="78482494"/>
    <w:rsid w:val="78490394"/>
    <w:rsid w:val="784A5D07"/>
    <w:rsid w:val="784F55D0"/>
    <w:rsid w:val="78511348"/>
    <w:rsid w:val="78535B94"/>
    <w:rsid w:val="78536178"/>
    <w:rsid w:val="785726D7"/>
    <w:rsid w:val="78572CA3"/>
    <w:rsid w:val="785B5D23"/>
    <w:rsid w:val="785D5F3F"/>
    <w:rsid w:val="785E4C0A"/>
    <w:rsid w:val="786064CE"/>
    <w:rsid w:val="78615304"/>
    <w:rsid w:val="78632E2A"/>
    <w:rsid w:val="78650950"/>
    <w:rsid w:val="78670B6C"/>
    <w:rsid w:val="7868692A"/>
    <w:rsid w:val="78727511"/>
    <w:rsid w:val="787B63C5"/>
    <w:rsid w:val="787D5FEB"/>
    <w:rsid w:val="78801C2E"/>
    <w:rsid w:val="78845416"/>
    <w:rsid w:val="788648E1"/>
    <w:rsid w:val="788650FD"/>
    <w:rsid w:val="78874D6A"/>
    <w:rsid w:val="788A6608"/>
    <w:rsid w:val="78967146"/>
    <w:rsid w:val="78986F77"/>
    <w:rsid w:val="789B6A68"/>
    <w:rsid w:val="78A05E2C"/>
    <w:rsid w:val="78B35B5F"/>
    <w:rsid w:val="78B673FD"/>
    <w:rsid w:val="78B83176"/>
    <w:rsid w:val="78BC253A"/>
    <w:rsid w:val="78BD69DE"/>
    <w:rsid w:val="78C22246"/>
    <w:rsid w:val="78C65643"/>
    <w:rsid w:val="78CF6711"/>
    <w:rsid w:val="78D12489"/>
    <w:rsid w:val="78D43D28"/>
    <w:rsid w:val="78DB58DC"/>
    <w:rsid w:val="78DC699B"/>
    <w:rsid w:val="78DE0702"/>
    <w:rsid w:val="78E421BD"/>
    <w:rsid w:val="78EC1071"/>
    <w:rsid w:val="78F47F26"/>
    <w:rsid w:val="78FA1EA3"/>
    <w:rsid w:val="78FB7506"/>
    <w:rsid w:val="78FD2652"/>
    <w:rsid w:val="78FD327E"/>
    <w:rsid w:val="79002D6F"/>
    <w:rsid w:val="79022643"/>
    <w:rsid w:val="790463BB"/>
    <w:rsid w:val="790740FD"/>
    <w:rsid w:val="790E2D96"/>
    <w:rsid w:val="790E7239"/>
    <w:rsid w:val="790F4D60"/>
    <w:rsid w:val="79110AD8"/>
    <w:rsid w:val="79134850"/>
    <w:rsid w:val="79181E66"/>
    <w:rsid w:val="79183C14"/>
    <w:rsid w:val="791D3F2D"/>
    <w:rsid w:val="79200D1B"/>
    <w:rsid w:val="79202AC9"/>
    <w:rsid w:val="79231957"/>
    <w:rsid w:val="7923254F"/>
    <w:rsid w:val="79240BAB"/>
    <w:rsid w:val="79273E57"/>
    <w:rsid w:val="792A1003"/>
    <w:rsid w:val="792C76C0"/>
    <w:rsid w:val="792D7857"/>
    <w:rsid w:val="79330A4E"/>
    <w:rsid w:val="79334EF2"/>
    <w:rsid w:val="79346574"/>
    <w:rsid w:val="793A002E"/>
    <w:rsid w:val="793E2FB5"/>
    <w:rsid w:val="79462067"/>
    <w:rsid w:val="7947274B"/>
    <w:rsid w:val="794830FC"/>
    <w:rsid w:val="794E14FB"/>
    <w:rsid w:val="794E5888"/>
    <w:rsid w:val="794F33AE"/>
    <w:rsid w:val="7950014D"/>
    <w:rsid w:val="795135CA"/>
    <w:rsid w:val="7956298E"/>
    <w:rsid w:val="79570BE0"/>
    <w:rsid w:val="795804B5"/>
    <w:rsid w:val="79592461"/>
    <w:rsid w:val="795B1D53"/>
    <w:rsid w:val="795B7FA5"/>
    <w:rsid w:val="795E27B4"/>
    <w:rsid w:val="795F38C7"/>
    <w:rsid w:val="796055BB"/>
    <w:rsid w:val="79610FB7"/>
    <w:rsid w:val="796432FD"/>
    <w:rsid w:val="796450AB"/>
    <w:rsid w:val="79646E59"/>
    <w:rsid w:val="796926C2"/>
    <w:rsid w:val="796C5D0E"/>
    <w:rsid w:val="796E1A86"/>
    <w:rsid w:val="79701CA2"/>
    <w:rsid w:val="797057FE"/>
    <w:rsid w:val="79773031"/>
    <w:rsid w:val="797846B3"/>
    <w:rsid w:val="797A48CF"/>
    <w:rsid w:val="797A667D"/>
    <w:rsid w:val="797D43BF"/>
    <w:rsid w:val="79807AE3"/>
    <w:rsid w:val="798205F9"/>
    <w:rsid w:val="79865022"/>
    <w:rsid w:val="79870D9A"/>
    <w:rsid w:val="798A5143"/>
    <w:rsid w:val="798F5890"/>
    <w:rsid w:val="799040F2"/>
    <w:rsid w:val="79954710"/>
    <w:rsid w:val="799F60E4"/>
    <w:rsid w:val="79A656C4"/>
    <w:rsid w:val="79A66F05"/>
    <w:rsid w:val="79AC0800"/>
    <w:rsid w:val="79AD6A52"/>
    <w:rsid w:val="79B274E9"/>
    <w:rsid w:val="79B3354A"/>
    <w:rsid w:val="79B3393D"/>
    <w:rsid w:val="79B50A3B"/>
    <w:rsid w:val="79BF6786"/>
    <w:rsid w:val="79C36276"/>
    <w:rsid w:val="79C478F8"/>
    <w:rsid w:val="79C6083B"/>
    <w:rsid w:val="79C618C2"/>
    <w:rsid w:val="79C773E8"/>
    <w:rsid w:val="79C85CD9"/>
    <w:rsid w:val="79C913B2"/>
    <w:rsid w:val="79CA0341"/>
    <w:rsid w:val="79D42567"/>
    <w:rsid w:val="79D54FEF"/>
    <w:rsid w:val="79D833A4"/>
    <w:rsid w:val="79DA536E"/>
    <w:rsid w:val="79E166FC"/>
    <w:rsid w:val="79E306C6"/>
    <w:rsid w:val="79E3753B"/>
    <w:rsid w:val="79E47F9A"/>
    <w:rsid w:val="79E81839"/>
    <w:rsid w:val="79EB108E"/>
    <w:rsid w:val="79EB1329"/>
    <w:rsid w:val="79EE3136"/>
    <w:rsid w:val="79F20909"/>
    <w:rsid w:val="79F503F9"/>
    <w:rsid w:val="79F75F20"/>
    <w:rsid w:val="79F91C98"/>
    <w:rsid w:val="79FC7092"/>
    <w:rsid w:val="79FE105C"/>
    <w:rsid w:val="79FF4DD4"/>
    <w:rsid w:val="7A025901"/>
    <w:rsid w:val="7A04063C"/>
    <w:rsid w:val="7A0423EA"/>
    <w:rsid w:val="7A067F11"/>
    <w:rsid w:val="7A070125"/>
    <w:rsid w:val="7A080AFF"/>
    <w:rsid w:val="7A083C89"/>
    <w:rsid w:val="7A0A5C53"/>
    <w:rsid w:val="7A0C6902"/>
    <w:rsid w:val="7A0E5017"/>
    <w:rsid w:val="7A1B7E60"/>
    <w:rsid w:val="7A2025CB"/>
    <w:rsid w:val="7A230AC3"/>
    <w:rsid w:val="7A2455EA"/>
    <w:rsid w:val="7A2465E9"/>
    <w:rsid w:val="7A2921ED"/>
    <w:rsid w:val="7A293BFF"/>
    <w:rsid w:val="7A3525A4"/>
    <w:rsid w:val="7A3A5E0C"/>
    <w:rsid w:val="7A3D7DFA"/>
    <w:rsid w:val="7A3E3B4E"/>
    <w:rsid w:val="7A41363F"/>
    <w:rsid w:val="7A432F13"/>
    <w:rsid w:val="7A456C8B"/>
    <w:rsid w:val="7A4A24F3"/>
    <w:rsid w:val="7A4A42A1"/>
    <w:rsid w:val="7A4F70AE"/>
    <w:rsid w:val="7A505630"/>
    <w:rsid w:val="7A5213A8"/>
    <w:rsid w:val="7A523156"/>
    <w:rsid w:val="7A546ECE"/>
    <w:rsid w:val="7A5549F4"/>
    <w:rsid w:val="7A601D17"/>
    <w:rsid w:val="7A611EC9"/>
    <w:rsid w:val="7A6443AD"/>
    <w:rsid w:val="7A652E89"/>
    <w:rsid w:val="7A6B15C4"/>
    <w:rsid w:val="7A6B4218"/>
    <w:rsid w:val="7A74131E"/>
    <w:rsid w:val="7A772BBC"/>
    <w:rsid w:val="7A772DBA"/>
    <w:rsid w:val="7A7C6425"/>
    <w:rsid w:val="7A7F2DCF"/>
    <w:rsid w:val="7A810FFC"/>
    <w:rsid w:val="7A8552D9"/>
    <w:rsid w:val="7A8772A3"/>
    <w:rsid w:val="7A8A0B42"/>
    <w:rsid w:val="7A8A28F0"/>
    <w:rsid w:val="7A9674E6"/>
    <w:rsid w:val="7A9719D9"/>
    <w:rsid w:val="7A980FBD"/>
    <w:rsid w:val="7A993CB5"/>
    <w:rsid w:val="7A9B2D4F"/>
    <w:rsid w:val="7A9B68AB"/>
    <w:rsid w:val="7AA339B1"/>
    <w:rsid w:val="7AA36941"/>
    <w:rsid w:val="7AA80FC8"/>
    <w:rsid w:val="7AA8546C"/>
    <w:rsid w:val="7AAD4830"/>
    <w:rsid w:val="7AB12572"/>
    <w:rsid w:val="7ABB6F4D"/>
    <w:rsid w:val="7AC04563"/>
    <w:rsid w:val="7AC06311"/>
    <w:rsid w:val="7AC3005A"/>
    <w:rsid w:val="7ACF29F8"/>
    <w:rsid w:val="7AD07CBE"/>
    <w:rsid w:val="7AD1051F"/>
    <w:rsid w:val="7AD3663F"/>
    <w:rsid w:val="7AD36F66"/>
    <w:rsid w:val="7AD5178A"/>
    <w:rsid w:val="7AD5360C"/>
    <w:rsid w:val="7ADD5115"/>
    <w:rsid w:val="7ADF4BE2"/>
    <w:rsid w:val="7AE21CA9"/>
    <w:rsid w:val="7AEC5D56"/>
    <w:rsid w:val="7AEC7106"/>
    <w:rsid w:val="7AEE2205"/>
    <w:rsid w:val="7AF4420D"/>
    <w:rsid w:val="7AF81F4F"/>
    <w:rsid w:val="7AFD57B8"/>
    <w:rsid w:val="7B000E04"/>
    <w:rsid w:val="7B024B7C"/>
    <w:rsid w:val="7B043FDD"/>
    <w:rsid w:val="7B05641A"/>
    <w:rsid w:val="7B0C1557"/>
    <w:rsid w:val="7B160627"/>
    <w:rsid w:val="7B1623D5"/>
    <w:rsid w:val="7B174702"/>
    <w:rsid w:val="7B1E74DC"/>
    <w:rsid w:val="7B1F572E"/>
    <w:rsid w:val="7B1F767D"/>
    <w:rsid w:val="7B252618"/>
    <w:rsid w:val="7B256ABC"/>
    <w:rsid w:val="7B265853"/>
    <w:rsid w:val="7B2C1BF9"/>
    <w:rsid w:val="7B312C81"/>
    <w:rsid w:val="7B326164"/>
    <w:rsid w:val="7B3459C8"/>
    <w:rsid w:val="7B38059E"/>
    <w:rsid w:val="7B395539"/>
    <w:rsid w:val="7B396001"/>
    <w:rsid w:val="7B4038F6"/>
    <w:rsid w:val="7B424F78"/>
    <w:rsid w:val="7B430CF1"/>
    <w:rsid w:val="7B4E7DC1"/>
    <w:rsid w:val="7B4F58E7"/>
    <w:rsid w:val="7B51340D"/>
    <w:rsid w:val="7B564EC8"/>
    <w:rsid w:val="7B5A2BED"/>
    <w:rsid w:val="7B5B428C"/>
    <w:rsid w:val="7B6018A2"/>
    <w:rsid w:val="7B656EB9"/>
    <w:rsid w:val="7B6969A9"/>
    <w:rsid w:val="7B6E3FBF"/>
    <w:rsid w:val="7B6F1AE6"/>
    <w:rsid w:val="7B6F4892"/>
    <w:rsid w:val="7B71246B"/>
    <w:rsid w:val="7B7F481D"/>
    <w:rsid w:val="7B7F61CD"/>
    <w:rsid w:val="7B826C46"/>
    <w:rsid w:val="7B861AB8"/>
    <w:rsid w:val="7B871525"/>
    <w:rsid w:val="7B8749B6"/>
    <w:rsid w:val="7B893F18"/>
    <w:rsid w:val="7B8B2DC3"/>
    <w:rsid w:val="7B8B4B71"/>
    <w:rsid w:val="7B8F3F36"/>
    <w:rsid w:val="7B9003DA"/>
    <w:rsid w:val="7B900EAA"/>
    <w:rsid w:val="7B902188"/>
    <w:rsid w:val="7B95779E"/>
    <w:rsid w:val="7B98728E"/>
    <w:rsid w:val="7B9A21F0"/>
    <w:rsid w:val="7B9F061D"/>
    <w:rsid w:val="7B9F23CB"/>
    <w:rsid w:val="7BA2010D"/>
    <w:rsid w:val="7BA7127F"/>
    <w:rsid w:val="7BAB6FC2"/>
    <w:rsid w:val="7BAE55A6"/>
    <w:rsid w:val="7BAE67AF"/>
    <w:rsid w:val="7BB10350"/>
    <w:rsid w:val="7BB309E9"/>
    <w:rsid w:val="7BB31FE0"/>
    <w:rsid w:val="7BB514DD"/>
    <w:rsid w:val="7BBA3565"/>
    <w:rsid w:val="7BBC11CF"/>
    <w:rsid w:val="7BC260B9"/>
    <w:rsid w:val="7BC27D34"/>
    <w:rsid w:val="7BC50C8F"/>
    <w:rsid w:val="7BCB31C0"/>
    <w:rsid w:val="7BCC6F38"/>
    <w:rsid w:val="7BCD518A"/>
    <w:rsid w:val="7BCF5287"/>
    <w:rsid w:val="7BD1454E"/>
    <w:rsid w:val="7BD16399"/>
    <w:rsid w:val="7BD227A0"/>
    <w:rsid w:val="7BD323FA"/>
    <w:rsid w:val="7BD4388A"/>
    <w:rsid w:val="7BD57E03"/>
    <w:rsid w:val="7BD61B65"/>
    <w:rsid w:val="7BDC361F"/>
    <w:rsid w:val="7BDC53CD"/>
    <w:rsid w:val="7BDD1145"/>
    <w:rsid w:val="7BDF338E"/>
    <w:rsid w:val="7BE20509"/>
    <w:rsid w:val="7BE527D1"/>
    <w:rsid w:val="7BE91898"/>
    <w:rsid w:val="7BE92EDF"/>
    <w:rsid w:val="7BE94A5A"/>
    <w:rsid w:val="7BEB5B24"/>
    <w:rsid w:val="7BEC3136"/>
    <w:rsid w:val="7BF2699E"/>
    <w:rsid w:val="7BF86B05"/>
    <w:rsid w:val="7BFA5EE7"/>
    <w:rsid w:val="7BFC3D4D"/>
    <w:rsid w:val="7BFD3595"/>
    <w:rsid w:val="7C02295A"/>
    <w:rsid w:val="7C084414"/>
    <w:rsid w:val="7C0C570E"/>
    <w:rsid w:val="7C0E12FE"/>
    <w:rsid w:val="7C1032C9"/>
    <w:rsid w:val="7C134B67"/>
    <w:rsid w:val="7C183F2B"/>
    <w:rsid w:val="7C1C7EBF"/>
    <w:rsid w:val="7C262AEC"/>
    <w:rsid w:val="7C26489A"/>
    <w:rsid w:val="7C2B0102"/>
    <w:rsid w:val="7C2B1EB0"/>
    <w:rsid w:val="7C2E5873"/>
    <w:rsid w:val="7C321491"/>
    <w:rsid w:val="7C336FB7"/>
    <w:rsid w:val="7C352C27"/>
    <w:rsid w:val="7C3859AC"/>
    <w:rsid w:val="7C3C5E6C"/>
    <w:rsid w:val="7C4116D4"/>
    <w:rsid w:val="7C414BA4"/>
    <w:rsid w:val="7C43369E"/>
    <w:rsid w:val="7C466CEA"/>
    <w:rsid w:val="7C484810"/>
    <w:rsid w:val="7C4D62CB"/>
    <w:rsid w:val="7C532BE5"/>
    <w:rsid w:val="7C5331B5"/>
    <w:rsid w:val="7C5533D1"/>
    <w:rsid w:val="7C55517F"/>
    <w:rsid w:val="7C5D4691"/>
    <w:rsid w:val="7C5E077A"/>
    <w:rsid w:val="7C5E4034"/>
    <w:rsid w:val="7C5F566E"/>
    <w:rsid w:val="7C624DBC"/>
    <w:rsid w:val="7C63789C"/>
    <w:rsid w:val="7C655D5E"/>
    <w:rsid w:val="7C6B04FF"/>
    <w:rsid w:val="7C6F7FEF"/>
    <w:rsid w:val="7C716A88"/>
    <w:rsid w:val="7C7216E7"/>
    <w:rsid w:val="7C745605"/>
    <w:rsid w:val="7C75137E"/>
    <w:rsid w:val="7C7575D0"/>
    <w:rsid w:val="7C7E6484"/>
    <w:rsid w:val="7C80044E"/>
    <w:rsid w:val="7C86358B"/>
    <w:rsid w:val="7C887303"/>
    <w:rsid w:val="7C8B7BB3"/>
    <w:rsid w:val="7C9020F0"/>
    <w:rsid w:val="7C943EFA"/>
    <w:rsid w:val="7C9B7036"/>
    <w:rsid w:val="7C9B7203"/>
    <w:rsid w:val="7C9C3264"/>
    <w:rsid w:val="7CA0289E"/>
    <w:rsid w:val="7CA22801"/>
    <w:rsid w:val="7CA3339F"/>
    <w:rsid w:val="7CAE47CA"/>
    <w:rsid w:val="7CB50753"/>
    <w:rsid w:val="7CBE2D25"/>
    <w:rsid w:val="7CBE4AD3"/>
    <w:rsid w:val="7CBF48B5"/>
    <w:rsid w:val="7CC84A54"/>
    <w:rsid w:val="7CCA791B"/>
    <w:rsid w:val="7CCC5441"/>
    <w:rsid w:val="7CCD4D16"/>
    <w:rsid w:val="7CCD740C"/>
    <w:rsid w:val="7CD12A58"/>
    <w:rsid w:val="7CD47820"/>
    <w:rsid w:val="7CD561F5"/>
    <w:rsid w:val="7CD67752"/>
    <w:rsid w:val="7CD67C72"/>
    <w:rsid w:val="7CD824D6"/>
    <w:rsid w:val="7CDB7433"/>
    <w:rsid w:val="7CE22E28"/>
    <w:rsid w:val="7CE24C65"/>
    <w:rsid w:val="7CE315D5"/>
    <w:rsid w:val="7CE46E89"/>
    <w:rsid w:val="7CEC1640"/>
    <w:rsid w:val="7CED360A"/>
    <w:rsid w:val="7CEF2EDE"/>
    <w:rsid w:val="7CF7272E"/>
    <w:rsid w:val="7CF77FE5"/>
    <w:rsid w:val="7D050953"/>
    <w:rsid w:val="7D0C7F34"/>
    <w:rsid w:val="7D0D7525"/>
    <w:rsid w:val="7D11554A"/>
    <w:rsid w:val="7D1172F8"/>
    <w:rsid w:val="7D142945"/>
    <w:rsid w:val="7D197F5B"/>
    <w:rsid w:val="7D1A586A"/>
    <w:rsid w:val="7D23702C"/>
    <w:rsid w:val="7D252DA4"/>
    <w:rsid w:val="7D2A2168"/>
    <w:rsid w:val="7D2C4132"/>
    <w:rsid w:val="7D341239"/>
    <w:rsid w:val="7D366C7B"/>
    <w:rsid w:val="7D3923AB"/>
    <w:rsid w:val="7D39684F"/>
    <w:rsid w:val="7D3E3E65"/>
    <w:rsid w:val="7D484972"/>
    <w:rsid w:val="7D4D20CE"/>
    <w:rsid w:val="7D4D5E56"/>
    <w:rsid w:val="7D5471E5"/>
    <w:rsid w:val="7D567401"/>
    <w:rsid w:val="7D625F21"/>
    <w:rsid w:val="7D63567A"/>
    <w:rsid w:val="7D675200"/>
    <w:rsid w:val="7D676FBC"/>
    <w:rsid w:val="7D6A07B6"/>
    <w:rsid w:val="7D717D97"/>
    <w:rsid w:val="7D7243AD"/>
    <w:rsid w:val="7D733B0F"/>
    <w:rsid w:val="7D7653AD"/>
    <w:rsid w:val="7D777879"/>
    <w:rsid w:val="7D7F0706"/>
    <w:rsid w:val="7D821FA4"/>
    <w:rsid w:val="7D822167"/>
    <w:rsid w:val="7D8C4BD1"/>
    <w:rsid w:val="7D8E0949"/>
    <w:rsid w:val="7D9121E7"/>
    <w:rsid w:val="7D9237C6"/>
    <w:rsid w:val="7D9615AC"/>
    <w:rsid w:val="7D985324"/>
    <w:rsid w:val="7D9A5540"/>
    <w:rsid w:val="7D9D0B8C"/>
    <w:rsid w:val="7D9D293A"/>
    <w:rsid w:val="7D9F168F"/>
    <w:rsid w:val="7D9F2B56"/>
    <w:rsid w:val="7DA168CE"/>
    <w:rsid w:val="7DA16BFB"/>
    <w:rsid w:val="7DA43CC8"/>
    <w:rsid w:val="7DA57A41"/>
    <w:rsid w:val="7DA912DF"/>
    <w:rsid w:val="7DA95783"/>
    <w:rsid w:val="7DAD1B95"/>
    <w:rsid w:val="7DAE0FEB"/>
    <w:rsid w:val="7DAF3A78"/>
    <w:rsid w:val="7DB14637"/>
    <w:rsid w:val="7DB303AF"/>
    <w:rsid w:val="7DC1794C"/>
    <w:rsid w:val="7DC26844"/>
    <w:rsid w:val="7DC336BA"/>
    <w:rsid w:val="7DC4436B"/>
    <w:rsid w:val="7DC477E3"/>
    <w:rsid w:val="7DC538DA"/>
    <w:rsid w:val="7DD33150"/>
    <w:rsid w:val="7DDA1DE0"/>
    <w:rsid w:val="7DDB020A"/>
    <w:rsid w:val="7DDC1631"/>
    <w:rsid w:val="7DE1316F"/>
    <w:rsid w:val="7DE44A0D"/>
    <w:rsid w:val="7DE74A45"/>
    <w:rsid w:val="7DE84635"/>
    <w:rsid w:val="7DEA4547"/>
    <w:rsid w:val="7DEE6EE1"/>
    <w:rsid w:val="7DF52776"/>
    <w:rsid w:val="7DF804B8"/>
    <w:rsid w:val="7DF82266"/>
    <w:rsid w:val="7DF84EB1"/>
    <w:rsid w:val="7DFA4230"/>
    <w:rsid w:val="7DFB58B2"/>
    <w:rsid w:val="7E00216C"/>
    <w:rsid w:val="7E01736D"/>
    <w:rsid w:val="7E096221"/>
    <w:rsid w:val="7E0B01EB"/>
    <w:rsid w:val="7E0D3F64"/>
    <w:rsid w:val="7E124581"/>
    <w:rsid w:val="7E1621A7"/>
    <w:rsid w:val="7E1C7D03"/>
    <w:rsid w:val="7E266DD3"/>
    <w:rsid w:val="7E287508"/>
    <w:rsid w:val="7E292420"/>
    <w:rsid w:val="7E2A06FB"/>
    <w:rsid w:val="7E2D0162"/>
    <w:rsid w:val="7E2D1F10"/>
    <w:rsid w:val="7E327526"/>
    <w:rsid w:val="7E357016"/>
    <w:rsid w:val="7E3F2791"/>
    <w:rsid w:val="7E3F60E7"/>
    <w:rsid w:val="7E4B05E8"/>
    <w:rsid w:val="7E4B4A8C"/>
    <w:rsid w:val="7E4B683A"/>
    <w:rsid w:val="7E4C610E"/>
    <w:rsid w:val="7E4D4360"/>
    <w:rsid w:val="7E4F49A7"/>
    <w:rsid w:val="7E527BC8"/>
    <w:rsid w:val="7E532EA4"/>
    <w:rsid w:val="7E535DCD"/>
    <w:rsid w:val="7E5576B9"/>
    <w:rsid w:val="7E5C0A47"/>
    <w:rsid w:val="7E633B84"/>
    <w:rsid w:val="7E6478FC"/>
    <w:rsid w:val="7E6A7C63"/>
    <w:rsid w:val="7E6B23A3"/>
    <w:rsid w:val="7E6B47E6"/>
    <w:rsid w:val="7E6D4A02"/>
    <w:rsid w:val="7E725B75"/>
    <w:rsid w:val="7E7318ED"/>
    <w:rsid w:val="7E77762F"/>
    <w:rsid w:val="7E81400A"/>
    <w:rsid w:val="7E891110"/>
    <w:rsid w:val="7E8B30DA"/>
    <w:rsid w:val="7E8D29AE"/>
    <w:rsid w:val="7E9006F1"/>
    <w:rsid w:val="7E90249F"/>
    <w:rsid w:val="7E927FC5"/>
    <w:rsid w:val="7E941F8F"/>
    <w:rsid w:val="7E991353"/>
    <w:rsid w:val="7E9C0E44"/>
    <w:rsid w:val="7E9C2A65"/>
    <w:rsid w:val="7E9F624D"/>
    <w:rsid w:val="7EA146AC"/>
    <w:rsid w:val="7EA62CDF"/>
    <w:rsid w:val="7EA67F14"/>
    <w:rsid w:val="7EA72608"/>
    <w:rsid w:val="7EA83C8C"/>
    <w:rsid w:val="7EAA3560"/>
    <w:rsid w:val="7EAD3051"/>
    <w:rsid w:val="7EB10D93"/>
    <w:rsid w:val="7EB22415"/>
    <w:rsid w:val="7EB42631"/>
    <w:rsid w:val="7EB517AA"/>
    <w:rsid w:val="7EB64B61"/>
    <w:rsid w:val="7EB81876"/>
    <w:rsid w:val="7EBA751C"/>
    <w:rsid w:val="7EBC7738"/>
    <w:rsid w:val="7EC34622"/>
    <w:rsid w:val="7EC35CD5"/>
    <w:rsid w:val="7EC42148"/>
    <w:rsid w:val="7EC55299"/>
    <w:rsid w:val="7ECA3C03"/>
    <w:rsid w:val="7ECB1729"/>
    <w:rsid w:val="7ECF0F9A"/>
    <w:rsid w:val="7ECF7888"/>
    <w:rsid w:val="7ED625A7"/>
    <w:rsid w:val="7ED92098"/>
    <w:rsid w:val="7EDA196C"/>
    <w:rsid w:val="7EE30820"/>
    <w:rsid w:val="7EF24F07"/>
    <w:rsid w:val="7EF742CC"/>
    <w:rsid w:val="7EF96296"/>
    <w:rsid w:val="7EFB3DBC"/>
    <w:rsid w:val="7EFC5948"/>
    <w:rsid w:val="7EFC5D86"/>
    <w:rsid w:val="7EFE1AFE"/>
    <w:rsid w:val="7F0013D2"/>
    <w:rsid w:val="7F037115"/>
    <w:rsid w:val="7F0B394B"/>
    <w:rsid w:val="7F0E027B"/>
    <w:rsid w:val="7F0F5AB9"/>
    <w:rsid w:val="7F0F7867"/>
    <w:rsid w:val="7F1135E0"/>
    <w:rsid w:val="7F141322"/>
    <w:rsid w:val="7F1906E6"/>
    <w:rsid w:val="7F192494"/>
    <w:rsid w:val="7F207CC7"/>
    <w:rsid w:val="7F233313"/>
    <w:rsid w:val="7F2D4191"/>
    <w:rsid w:val="7F30482A"/>
    <w:rsid w:val="7F3177DE"/>
    <w:rsid w:val="7F343772"/>
    <w:rsid w:val="7F361298"/>
    <w:rsid w:val="7F385010"/>
    <w:rsid w:val="7F3B240A"/>
    <w:rsid w:val="7F3D15CE"/>
    <w:rsid w:val="7F402117"/>
    <w:rsid w:val="7F460DAF"/>
    <w:rsid w:val="7F482D79"/>
    <w:rsid w:val="7F4D0390"/>
    <w:rsid w:val="7F4F4108"/>
    <w:rsid w:val="7F596D35"/>
    <w:rsid w:val="7F5B3A4C"/>
    <w:rsid w:val="7F5B485B"/>
    <w:rsid w:val="7F5E259D"/>
    <w:rsid w:val="7F604567"/>
    <w:rsid w:val="7F6573DA"/>
    <w:rsid w:val="7F6A37A6"/>
    <w:rsid w:val="7F6B7807"/>
    <w:rsid w:val="7F6C7FA9"/>
    <w:rsid w:val="7F7160D4"/>
    <w:rsid w:val="7F765B38"/>
    <w:rsid w:val="7F840255"/>
    <w:rsid w:val="7F8B5460"/>
    <w:rsid w:val="7F8C7F60"/>
    <w:rsid w:val="7F8D69DE"/>
    <w:rsid w:val="7F8E0DA1"/>
    <w:rsid w:val="7F8E2E82"/>
    <w:rsid w:val="7F911521"/>
    <w:rsid w:val="7F923FF5"/>
    <w:rsid w:val="7F930498"/>
    <w:rsid w:val="7F932E5A"/>
    <w:rsid w:val="7F9562A7"/>
    <w:rsid w:val="7F956761"/>
    <w:rsid w:val="7F9A2B41"/>
    <w:rsid w:val="7F9B10FB"/>
    <w:rsid w:val="7F9B559F"/>
    <w:rsid w:val="7F9B734D"/>
    <w:rsid w:val="7F9F5B66"/>
    <w:rsid w:val="7FA2248A"/>
    <w:rsid w:val="7FA93818"/>
    <w:rsid w:val="7FAA7590"/>
    <w:rsid w:val="7FAB3A34"/>
    <w:rsid w:val="7FB1091F"/>
    <w:rsid w:val="7FBA072D"/>
    <w:rsid w:val="7FBA3C77"/>
    <w:rsid w:val="7FBC2E67"/>
    <w:rsid w:val="7FC40652"/>
    <w:rsid w:val="7FC543CA"/>
    <w:rsid w:val="7FC56178"/>
    <w:rsid w:val="7FC76394"/>
    <w:rsid w:val="7FCA0AE5"/>
    <w:rsid w:val="7FD13DE3"/>
    <w:rsid w:val="7FD178C3"/>
    <w:rsid w:val="7FD55335"/>
    <w:rsid w:val="7FDA65D6"/>
    <w:rsid w:val="7FDC7EA8"/>
    <w:rsid w:val="7FDD5BB8"/>
    <w:rsid w:val="7FE231CE"/>
    <w:rsid w:val="7FE505C8"/>
    <w:rsid w:val="7FE83B07"/>
    <w:rsid w:val="7FEC6AD2"/>
    <w:rsid w:val="7FF151BF"/>
    <w:rsid w:val="7FF30F37"/>
    <w:rsid w:val="7FF35CED"/>
    <w:rsid w:val="7FF56A5D"/>
    <w:rsid w:val="7FFE4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3"/>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autoRedefine/>
    <w:unhideWhenUsed/>
    <w:qFormat/>
    <w:uiPriority w:val="0"/>
    <w:pPr>
      <w:ind w:firstLine="420"/>
    </w:pPr>
    <w:rPr>
      <w:szCs w:val="20"/>
    </w:rPr>
  </w:style>
  <w:style w:type="paragraph" w:styleId="7">
    <w:name w:val="annotation text"/>
    <w:basedOn w:val="1"/>
    <w:link w:val="55"/>
    <w:qFormat/>
    <w:uiPriority w:val="0"/>
    <w:pPr>
      <w:jc w:val="left"/>
    </w:pPr>
  </w:style>
  <w:style w:type="paragraph" w:styleId="8">
    <w:name w:val="Body Text"/>
    <w:basedOn w:val="1"/>
    <w:next w:val="9"/>
    <w:autoRedefine/>
    <w:qFormat/>
    <w:uiPriority w:val="0"/>
    <w:pPr>
      <w:widowControl/>
      <w:snapToGrid w:val="0"/>
      <w:spacing w:before="60" w:after="160" w:line="259" w:lineRule="auto"/>
      <w:ind w:right="113"/>
    </w:pPr>
    <w:rPr>
      <w:kern w:val="0"/>
      <w:sz w:val="18"/>
      <w:szCs w:val="20"/>
    </w:rPr>
  </w:style>
  <w:style w:type="paragraph" w:styleId="9">
    <w:name w:val="Date"/>
    <w:basedOn w:val="1"/>
    <w:next w:val="1"/>
    <w:qFormat/>
    <w:uiPriority w:val="0"/>
    <w:rPr>
      <w:sz w:val="28"/>
    </w:rPr>
  </w:style>
  <w:style w:type="paragraph" w:styleId="10">
    <w:name w:val="Body Text Indent"/>
    <w:basedOn w:val="1"/>
    <w:next w:val="11"/>
    <w:autoRedefine/>
    <w:qFormat/>
    <w:uiPriority w:val="0"/>
    <w:pPr>
      <w:spacing w:after="120"/>
      <w:ind w:left="420" w:leftChars="200"/>
    </w:pPr>
    <w:rPr>
      <w:kern w:val="0"/>
      <w:sz w:val="24"/>
      <w:szCs w:val="20"/>
    </w:rPr>
  </w:style>
  <w:style w:type="paragraph" w:styleId="11">
    <w:name w:val="envelope return"/>
    <w:basedOn w:val="1"/>
    <w:qFormat/>
    <w:uiPriority w:val="0"/>
    <w:pPr>
      <w:snapToGrid w:val="0"/>
      <w:spacing w:line="480" w:lineRule="exact"/>
    </w:pPr>
    <w:rPr>
      <w:rFonts w:ascii="Arial" w:hAnsi="Arial" w:cs="Arial"/>
    </w:rPr>
  </w:style>
  <w:style w:type="paragraph" w:styleId="12">
    <w:name w:val="toc 3"/>
    <w:basedOn w:val="1"/>
    <w:next w:val="1"/>
    <w:qFormat/>
    <w:uiPriority w:val="39"/>
    <w:pPr>
      <w:ind w:left="840" w:leftChars="400"/>
    </w:pPr>
  </w:style>
  <w:style w:type="paragraph" w:styleId="13">
    <w:name w:val="Plain Text"/>
    <w:basedOn w:val="1"/>
    <w:autoRedefine/>
    <w:unhideWhenUsed/>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styleId="14">
    <w:name w:val="footer"/>
    <w:basedOn w:val="1"/>
    <w:autoRedefine/>
    <w:qFormat/>
    <w:uiPriority w:val="99"/>
    <w:pPr>
      <w:tabs>
        <w:tab w:val="center" w:pos="4153"/>
        <w:tab w:val="right" w:pos="8306"/>
      </w:tabs>
      <w:snapToGrid w:val="0"/>
      <w:jc w:val="left"/>
    </w:pPr>
    <w:rPr>
      <w:kern w:val="0"/>
      <w:sz w:val="18"/>
      <w:szCs w:val="20"/>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qFormat/>
    <w:uiPriority w:val="39"/>
  </w:style>
  <w:style w:type="paragraph" w:styleId="17">
    <w:name w:val="List"/>
    <w:basedOn w:val="1"/>
    <w:unhideWhenUsed/>
    <w:qFormat/>
    <w:uiPriority w:val="99"/>
    <w:pPr>
      <w:ind w:left="200" w:hanging="200" w:hangingChars="200"/>
      <w:contextualSpacing/>
    </w:pPr>
  </w:style>
  <w:style w:type="paragraph" w:styleId="18">
    <w:name w:val="toc 2"/>
    <w:basedOn w:val="1"/>
    <w:next w:val="1"/>
    <w:qFormat/>
    <w:uiPriority w:val="39"/>
    <w:pPr>
      <w:ind w:left="420" w:leftChars="200"/>
    </w:pPr>
  </w:style>
  <w:style w:type="paragraph" w:styleId="19">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0">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7"/>
    <w:next w:val="7"/>
    <w:link w:val="56"/>
    <w:qFormat/>
    <w:uiPriority w:val="0"/>
    <w:rPr>
      <w:b/>
      <w:bCs/>
    </w:rPr>
  </w:style>
  <w:style w:type="paragraph" w:styleId="22">
    <w:name w:val="Body Text First Indent 2"/>
    <w:basedOn w:val="10"/>
    <w:next w:val="1"/>
    <w:autoRedefine/>
    <w:unhideWhenUsed/>
    <w:qFormat/>
    <w:uiPriority w:val="0"/>
    <w:pPr>
      <w:ind w:firstLine="420" w:firstLineChars="200"/>
    </w:pPr>
    <w:rPr>
      <w:kern w:val="2"/>
      <w:sz w:val="21"/>
      <w:szCs w:val="24"/>
    </w:rPr>
  </w:style>
  <w:style w:type="table" w:styleId="24">
    <w:name w:val="Table Grid"/>
    <w:basedOn w:val="2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basedOn w:val="25"/>
    <w:autoRedefine/>
    <w:qFormat/>
    <w:uiPriority w:val="0"/>
  </w:style>
  <w:style w:type="character" w:styleId="28">
    <w:name w:val="Emphasis"/>
    <w:basedOn w:val="25"/>
    <w:autoRedefine/>
    <w:qFormat/>
    <w:uiPriority w:val="20"/>
    <w:rPr>
      <w:i/>
      <w:iCs/>
    </w:rPr>
  </w:style>
  <w:style w:type="character" w:styleId="29">
    <w:name w:val="Hyperlink"/>
    <w:basedOn w:val="25"/>
    <w:autoRedefine/>
    <w:unhideWhenUsed/>
    <w:qFormat/>
    <w:uiPriority w:val="99"/>
    <w:rPr>
      <w:color w:val="0000FF"/>
      <w:u w:val="single"/>
    </w:rPr>
  </w:style>
  <w:style w:type="character" w:styleId="30">
    <w:name w:val="annotation reference"/>
    <w:basedOn w:val="25"/>
    <w:qFormat/>
    <w:uiPriority w:val="0"/>
    <w:rPr>
      <w:sz w:val="21"/>
      <w:szCs w:val="21"/>
    </w:rPr>
  </w:style>
  <w:style w:type="character" w:customStyle="1" w:styleId="31">
    <w:name w:val="fontstyle01"/>
    <w:basedOn w:val="25"/>
    <w:autoRedefine/>
    <w:qFormat/>
    <w:uiPriority w:val="0"/>
    <w:rPr>
      <w:rFonts w:hint="eastAsia" w:ascii="宋体" w:hAnsi="宋体" w:eastAsia="宋体"/>
      <w:color w:val="000000"/>
      <w:sz w:val="24"/>
      <w:szCs w:val="24"/>
    </w:rPr>
  </w:style>
  <w:style w:type="character" w:customStyle="1" w:styleId="32">
    <w:name w:val="fontstyle11"/>
    <w:basedOn w:val="25"/>
    <w:autoRedefine/>
    <w:qFormat/>
    <w:uiPriority w:val="0"/>
    <w:rPr>
      <w:rFonts w:hint="default" w:ascii="TimesNewRoman" w:hAnsi="TimesNewRoman"/>
      <w:color w:val="000000"/>
      <w:sz w:val="24"/>
      <w:szCs w:val="24"/>
    </w:rPr>
  </w:style>
  <w:style w:type="character" w:customStyle="1" w:styleId="33">
    <w:name w:val="fontstyle21"/>
    <w:basedOn w:val="25"/>
    <w:autoRedefine/>
    <w:qFormat/>
    <w:uiPriority w:val="0"/>
    <w:rPr>
      <w:rFonts w:hint="default" w:ascii="TimesNewRoman" w:hAnsi="TimesNewRoman"/>
      <w:color w:val="000000"/>
      <w:sz w:val="24"/>
      <w:szCs w:val="24"/>
    </w:rPr>
  </w:style>
  <w:style w:type="character" w:customStyle="1" w:styleId="34">
    <w:name w:val="font11"/>
    <w:basedOn w:val="25"/>
    <w:autoRedefine/>
    <w:qFormat/>
    <w:uiPriority w:val="0"/>
    <w:rPr>
      <w:rFonts w:hint="eastAsia" w:ascii="宋体" w:hAnsi="宋体" w:eastAsia="宋体" w:cs="宋体"/>
      <w:color w:val="000000"/>
      <w:sz w:val="21"/>
      <w:szCs w:val="21"/>
      <w:u w:val="none"/>
    </w:rPr>
  </w:style>
  <w:style w:type="character" w:customStyle="1" w:styleId="35">
    <w:name w:val="font41"/>
    <w:basedOn w:val="25"/>
    <w:autoRedefine/>
    <w:qFormat/>
    <w:uiPriority w:val="0"/>
    <w:rPr>
      <w:rFonts w:hint="default" w:ascii="Times New Roman" w:hAnsi="Times New Roman" w:cs="Times New Roman"/>
      <w:color w:val="000000"/>
      <w:sz w:val="21"/>
      <w:szCs w:val="21"/>
      <w:u w:val="none"/>
    </w:rPr>
  </w:style>
  <w:style w:type="character" w:customStyle="1" w:styleId="36">
    <w:name w:val="font21"/>
    <w:basedOn w:val="25"/>
    <w:autoRedefine/>
    <w:qFormat/>
    <w:uiPriority w:val="0"/>
    <w:rPr>
      <w:rFonts w:hint="eastAsia" w:ascii="宋体" w:hAnsi="宋体" w:eastAsia="宋体" w:cs="宋体"/>
      <w:color w:val="000000"/>
      <w:sz w:val="21"/>
      <w:szCs w:val="21"/>
      <w:u w:val="none"/>
    </w:rPr>
  </w:style>
  <w:style w:type="paragraph" w:customStyle="1" w:styleId="37">
    <w:name w:val="表文"/>
    <w:basedOn w:val="1"/>
    <w:autoRedefine/>
    <w:qFormat/>
    <w:uiPriority w:val="0"/>
    <w:pPr>
      <w:jc w:val="center"/>
    </w:pPr>
    <w:rPr>
      <w:rFonts w:ascii="仿宋" w:hAnsi="仿宋" w:eastAsia="仿宋"/>
      <w:szCs w:val="21"/>
    </w:rPr>
  </w:style>
  <w:style w:type="paragraph" w:customStyle="1" w:styleId="38">
    <w:name w:val="正文东铝"/>
    <w:basedOn w:val="1"/>
    <w:autoRedefine/>
    <w:qFormat/>
    <w:uiPriority w:val="0"/>
    <w:pPr>
      <w:spacing w:line="520" w:lineRule="exact"/>
      <w:ind w:firstLine="200" w:firstLineChars="200"/>
      <w:jc w:val="left"/>
    </w:pPr>
    <w:rPr>
      <w:color w:val="000000"/>
      <w:sz w:val="24"/>
    </w:rPr>
  </w:style>
  <w:style w:type="paragraph" w:styleId="39">
    <w:name w:val="List Paragraph"/>
    <w:basedOn w:val="1"/>
    <w:autoRedefine/>
    <w:qFormat/>
    <w:uiPriority w:val="34"/>
    <w:pPr>
      <w:widowControl/>
      <w:adjustRightInd w:val="0"/>
      <w:snapToGrid w:val="0"/>
      <w:spacing w:after="200"/>
      <w:ind w:firstLine="420" w:firstLineChars="200"/>
      <w:jc w:val="left"/>
    </w:pPr>
    <w:rPr>
      <w:rFonts w:ascii="Tahoma" w:hAnsi="Tahoma"/>
      <w:kern w:val="0"/>
      <w:sz w:val="22"/>
      <w:szCs w:val="22"/>
    </w:rPr>
  </w:style>
  <w:style w:type="paragraph" w:customStyle="1" w:styleId="40">
    <w:name w:val="其他标题"/>
    <w:basedOn w:val="1"/>
    <w:autoRedefine/>
    <w:qFormat/>
    <w:uiPriority w:val="0"/>
    <w:pPr>
      <w:tabs>
        <w:tab w:val="left" w:pos="2757"/>
      </w:tabs>
      <w:spacing w:beforeLines="50" w:line="360" w:lineRule="auto"/>
      <w:jc w:val="left"/>
    </w:pPr>
    <w:rPr>
      <w:rFonts w:ascii="宋体" w:hAnsi="宋体"/>
      <w:b/>
      <w:sz w:val="28"/>
    </w:rPr>
  </w:style>
  <w:style w:type="paragraph" w:customStyle="1" w:styleId="41">
    <w:name w:val="表格文字"/>
    <w:basedOn w:val="1"/>
    <w:autoRedefine/>
    <w:qFormat/>
    <w:uiPriority w:val="0"/>
    <w:pPr>
      <w:spacing w:line="280" w:lineRule="exact"/>
    </w:pPr>
    <w:rPr>
      <w:rFonts w:ascii="宋体" w:hAnsi="宋体" w:eastAsiaTheme="minorEastAsia" w:cstheme="minorBidi"/>
      <w:sz w:val="18"/>
      <w:szCs w:val="18"/>
    </w:rPr>
  </w:style>
  <w:style w:type="paragraph" w:customStyle="1" w:styleId="42">
    <w:name w:val="正文文本 21"/>
    <w:basedOn w:val="1"/>
    <w:autoRedefine/>
    <w:qFormat/>
    <w:uiPriority w:val="0"/>
    <w:pPr>
      <w:overflowPunct w:val="0"/>
      <w:autoSpaceDE w:val="0"/>
      <w:autoSpaceDN w:val="0"/>
      <w:adjustRightInd w:val="0"/>
      <w:spacing w:line="360" w:lineRule="auto"/>
      <w:ind w:firstLine="425"/>
    </w:pPr>
    <w:rPr>
      <w:sz w:val="24"/>
      <w:szCs w:val="20"/>
    </w:rPr>
  </w:style>
  <w:style w:type="character" w:customStyle="1" w:styleId="43">
    <w:name w:val="标题 1 字符"/>
    <w:basedOn w:val="25"/>
    <w:link w:val="2"/>
    <w:autoRedefine/>
    <w:qFormat/>
    <w:uiPriority w:val="99"/>
    <w:rPr>
      <w:rFonts w:eastAsia="黑体"/>
      <w:b/>
      <w:bCs/>
      <w:color w:val="000000"/>
      <w:kern w:val="44"/>
      <w:sz w:val="30"/>
      <w:szCs w:val="30"/>
    </w:rPr>
  </w:style>
  <w:style w:type="paragraph" w:customStyle="1" w:styleId="44">
    <w:name w:val="表格"/>
    <w:basedOn w:val="1"/>
    <w:autoRedefine/>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paragraph" w:customStyle="1" w:styleId="45">
    <w:name w:val="Other|1"/>
    <w:basedOn w:val="1"/>
    <w:autoRedefine/>
    <w:qFormat/>
    <w:uiPriority w:val="0"/>
    <w:pPr>
      <w:jc w:val="center"/>
    </w:pPr>
    <w:rPr>
      <w:rFonts w:ascii="宋体" w:hAnsi="宋体" w:cs="宋体"/>
      <w:sz w:val="20"/>
      <w:szCs w:val="20"/>
      <w:lang w:val="zh-TW" w:eastAsia="zh-TW" w:bidi="zh-TW"/>
    </w:rPr>
  </w:style>
  <w:style w:type="character" w:customStyle="1" w:styleId="46">
    <w:name w:val="font01"/>
    <w:basedOn w:val="25"/>
    <w:autoRedefine/>
    <w:qFormat/>
    <w:uiPriority w:val="0"/>
    <w:rPr>
      <w:rFonts w:hint="eastAsia" w:ascii="宋体" w:hAnsi="宋体" w:eastAsia="宋体" w:cs="宋体"/>
      <w:color w:val="000000"/>
      <w:sz w:val="22"/>
      <w:szCs w:val="22"/>
      <w:u w:val="none"/>
    </w:rPr>
  </w:style>
  <w:style w:type="paragraph" w:customStyle="1" w:styleId="47">
    <w:name w:val="Default"/>
    <w:autoRedefine/>
    <w:qFormat/>
    <w:uiPriority w:val="0"/>
    <w:pPr>
      <w:widowControl w:val="0"/>
      <w:autoSpaceDE w:val="0"/>
      <w:autoSpaceDN w:val="0"/>
      <w:adjustRightInd w:val="0"/>
    </w:pPr>
    <w:rPr>
      <w:rFonts w:ascii="宋体" w:hAnsi="宋体" w:eastAsia="宋体" w:cs="Times New Roman"/>
      <w:color w:val="000000"/>
      <w:sz w:val="24"/>
      <w:szCs w:val="24"/>
      <w:lang w:val="en-US" w:eastAsia="zh-CN" w:bidi="ar-SA"/>
    </w:rPr>
  </w:style>
  <w:style w:type="paragraph" w:customStyle="1" w:styleId="48">
    <w:name w:val="Table Paragraph"/>
    <w:basedOn w:val="1"/>
    <w:autoRedefine/>
    <w:qFormat/>
    <w:uiPriority w:val="1"/>
    <w:pPr>
      <w:spacing w:before="22"/>
      <w:jc w:val="center"/>
    </w:pPr>
    <w:rPr>
      <w:rFonts w:ascii="宋体" w:hAnsi="宋体" w:cs="宋体"/>
      <w:lang w:val="zh-CN" w:bidi="zh-CN"/>
    </w:rPr>
  </w:style>
  <w:style w:type="paragraph" w:customStyle="1" w:styleId="49">
    <w:name w:val="Table Text"/>
    <w:basedOn w:val="1"/>
    <w:semiHidden/>
    <w:qFormat/>
    <w:uiPriority w:val="0"/>
    <w:rPr>
      <w:rFonts w:ascii="宋体" w:hAnsi="宋体" w:cs="宋体"/>
      <w:sz w:val="20"/>
      <w:szCs w:val="20"/>
      <w:lang w:eastAsia="en-US"/>
    </w:rPr>
  </w:style>
  <w:style w:type="table" w:customStyle="1" w:styleId="50">
    <w:name w:val="Table Normal"/>
    <w:semiHidden/>
    <w:unhideWhenUsed/>
    <w:qFormat/>
    <w:uiPriority w:val="0"/>
    <w:tblPr>
      <w:tblCellMar>
        <w:top w:w="0" w:type="dxa"/>
        <w:left w:w="0" w:type="dxa"/>
        <w:bottom w:w="0" w:type="dxa"/>
        <w:right w:w="0" w:type="dxa"/>
      </w:tblCellMar>
    </w:tblPr>
  </w:style>
  <w:style w:type="character" w:customStyle="1" w:styleId="51">
    <w:name w:val="font31"/>
    <w:basedOn w:val="25"/>
    <w:qFormat/>
    <w:uiPriority w:val="0"/>
    <w:rPr>
      <w:rFonts w:hint="eastAsia" w:ascii="宋体" w:hAnsi="宋体" w:eastAsia="宋体" w:cs="宋体"/>
      <w:color w:val="000000"/>
      <w:sz w:val="21"/>
      <w:szCs w:val="21"/>
      <w:u w:val="none"/>
    </w:rPr>
  </w:style>
  <w:style w:type="character" w:customStyle="1" w:styleId="52">
    <w:name w:val="font81"/>
    <w:basedOn w:val="25"/>
    <w:qFormat/>
    <w:uiPriority w:val="0"/>
    <w:rPr>
      <w:rFonts w:hint="eastAsia" w:ascii="宋体" w:hAnsi="宋体" w:eastAsia="宋体" w:cs="宋体"/>
      <w:color w:val="000000"/>
      <w:sz w:val="20"/>
      <w:szCs w:val="20"/>
      <w:u w:val="none"/>
    </w:rPr>
  </w:style>
  <w:style w:type="character" w:customStyle="1" w:styleId="53">
    <w:name w:val="font61"/>
    <w:basedOn w:val="25"/>
    <w:qFormat/>
    <w:uiPriority w:val="0"/>
    <w:rPr>
      <w:rFonts w:hint="eastAsia" w:ascii="宋体" w:hAnsi="宋体" w:eastAsia="宋体" w:cs="宋体"/>
      <w:b/>
      <w:bCs/>
      <w:color w:val="000000"/>
      <w:sz w:val="20"/>
      <w:szCs w:val="20"/>
      <w:u w:val="none"/>
    </w:rPr>
  </w:style>
  <w:style w:type="character" w:customStyle="1" w:styleId="54">
    <w:name w:val="font71"/>
    <w:basedOn w:val="25"/>
    <w:qFormat/>
    <w:uiPriority w:val="0"/>
    <w:rPr>
      <w:rFonts w:hint="default" w:ascii="Times New Roman" w:hAnsi="Times New Roman" w:cs="Times New Roman"/>
      <w:b/>
      <w:bCs/>
      <w:color w:val="000000"/>
      <w:sz w:val="20"/>
      <w:szCs w:val="20"/>
      <w:u w:val="none"/>
      <w:vertAlign w:val="superscript"/>
    </w:rPr>
  </w:style>
  <w:style w:type="character" w:customStyle="1" w:styleId="55">
    <w:name w:val="批注文字 字符"/>
    <w:basedOn w:val="25"/>
    <w:link w:val="7"/>
    <w:qFormat/>
    <w:uiPriority w:val="0"/>
    <w:rPr>
      <w:kern w:val="2"/>
      <w:sz w:val="21"/>
      <w:szCs w:val="24"/>
    </w:rPr>
  </w:style>
  <w:style w:type="character" w:customStyle="1" w:styleId="56">
    <w:name w:val="批注主题 字符"/>
    <w:basedOn w:val="55"/>
    <w:link w:val="21"/>
    <w:qFormat/>
    <w:uiPriority w:val="0"/>
    <w:rPr>
      <w:b/>
      <w:bCs/>
      <w:kern w:val="2"/>
      <w:sz w:val="21"/>
      <w:szCs w:val="24"/>
    </w:rPr>
  </w:style>
  <w:style w:type="character" w:customStyle="1" w:styleId="57">
    <w:name w:val="font51"/>
    <w:basedOn w:val="25"/>
    <w:qFormat/>
    <w:uiPriority w:val="0"/>
    <w:rPr>
      <w:rFonts w:hint="eastAsia" w:ascii="宋体" w:hAnsi="宋体" w:eastAsia="宋体" w:cs="宋体"/>
      <w:b/>
      <w:bCs/>
      <w:color w:val="000000"/>
      <w:sz w:val="21"/>
      <w:szCs w:val="21"/>
      <w:u w:val="none"/>
    </w:rPr>
  </w:style>
  <w:style w:type="paragraph" w:customStyle="1" w:styleId="58">
    <w:name w:val="表格文本"/>
    <w:basedOn w:val="1"/>
    <w:next w:val="1"/>
    <w:qFormat/>
    <w:uiPriority w:val="0"/>
    <w:pPr>
      <w:spacing w:line="288" w:lineRule="auto"/>
      <w:ind w:firstLine="0" w:firstLineChars="0"/>
      <w:jc w:val="center"/>
    </w:pPr>
    <w:rPr>
      <w:rFonts w:ascii="Times New Roman" w:hAnsi="Times New Roman" w:eastAsia="宋体"/>
      <w:sz w:val="21"/>
    </w:rPr>
  </w:style>
  <w:style w:type="paragraph" w:customStyle="1" w:styleId="59">
    <w:name w:val="表注图注"/>
    <w:basedOn w:val="1"/>
    <w:qFormat/>
    <w:uiPriority w:val="0"/>
    <w:pPr>
      <w:ind w:firstLine="0" w:firstLineChars="0"/>
      <w:jc w:val="center"/>
    </w:pPr>
    <w:rPr>
      <w:b/>
      <w:bCs/>
      <w:sz w:val="21"/>
      <w:szCs w:val="21"/>
    </w:rPr>
  </w:style>
  <w:style w:type="paragraph" w:customStyle="1" w:styleId="60">
    <w:name w:val="ENN正文0"/>
    <w:basedOn w:val="1"/>
    <w:autoRedefine/>
    <w:qFormat/>
    <w:uiPriority w:val="0"/>
    <w:pPr>
      <w:autoSpaceDE w:val="0"/>
      <w:autoSpaceDN w:val="0"/>
      <w:spacing w:line="360" w:lineRule="auto"/>
      <w:ind w:firstLine="200" w:firstLineChars="200"/>
    </w:pPr>
    <w:rPr>
      <w:rFonts w:eastAsia="仿宋_GB2312"/>
      <w:kern w:val="0"/>
      <w:sz w:val="24"/>
      <w:szCs w:val="26"/>
      <w:lang w:val="zh-CN"/>
    </w:rPr>
  </w:style>
  <w:style w:type="paragraph" w:customStyle="1" w:styleId="61">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2">
    <w:name w:val="a表内格式zzzzzzz"/>
    <w:basedOn w:val="1"/>
    <w:next w:val="1"/>
    <w:qFormat/>
    <w:uiPriority w:val="0"/>
    <w:pPr>
      <w:spacing w:line="300" w:lineRule="exact"/>
      <w:jc w:val="center"/>
    </w:pPr>
    <w:rPr>
      <w:kern w:val="0"/>
      <w:szCs w:val="20"/>
    </w:rPr>
  </w:style>
  <w:style w:type="paragraph" w:customStyle="1" w:styleId="63">
    <w:name w:val="表格内容"/>
    <w:basedOn w:val="17"/>
    <w:next w:val="64"/>
    <w:qFormat/>
    <w:uiPriority w:val="0"/>
    <w:pPr>
      <w:autoSpaceDE w:val="0"/>
      <w:autoSpaceDN w:val="0"/>
      <w:adjustRightInd w:val="0"/>
      <w:jc w:val="center"/>
      <w:textAlignment w:val="center"/>
    </w:pPr>
    <w:rPr>
      <w:kern w:val="0"/>
      <w:szCs w:val="21"/>
    </w:rPr>
  </w:style>
  <w:style w:type="paragraph" w:customStyle="1" w:styleId="64">
    <w:name w:val="A-z正文"/>
    <w:basedOn w:val="1"/>
    <w:qFormat/>
    <w:uiPriority w:val="0"/>
    <w:pPr>
      <w:ind w:firstLine="200" w:firstLine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Administrator/AppData/Roaming/Tencent/Users/106562794/QQ/WinTemp/RichOle/3%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5bHA_)5@93(CJOQJQ(ZBZ59.png" TargetMode="External"/><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wmf"/><Relationship Id="rId28" Type="http://schemas.openxmlformats.org/officeDocument/2006/relationships/oleObject" Target="embeddings/oleObject5.bin"/><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emf"/><Relationship Id="rId23" Type="http://schemas.openxmlformats.org/officeDocument/2006/relationships/oleObject" Target="embeddings/oleObject4.bin"/><Relationship Id="rId22" Type="http://schemas.openxmlformats.org/officeDocument/2006/relationships/image" Target="media/image14.emf"/><Relationship Id="rId21" Type="http://schemas.openxmlformats.org/officeDocument/2006/relationships/oleObject" Target="embeddings/oleObject3.bin"/><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emf"/><Relationship Id="rId14" Type="http://schemas.openxmlformats.org/officeDocument/2006/relationships/oleObject" Target="embeddings/oleObject2.bin"/><Relationship Id="rId13" Type="http://schemas.openxmlformats.org/officeDocument/2006/relationships/image" Target="media/image7.emf"/><Relationship Id="rId12" Type="http://schemas.openxmlformats.org/officeDocument/2006/relationships/oleObject" Target="embeddings/oleObject1.bin"/><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1026" textRotate="1"/>
  </customShpExts>
  <extobjs>
    <extobj name="ECB019B1-382A-4266-B25C-5B523AA43C14-1">
      <extobjdata type="ECB019B1-382A-4266-B25C-5B523AA43C14" data="ewoJIkZpbGVJZCIgOiAiMzUwNDU1OTQ1NjA5IiwKCSJHcm91cElkIiA6ICIzMzYxMzI3MzkiLAoJIkltYWdlIiA6ICJpVkJPUncwS0dnb0FBQUFOU1VoRVVnQUFBMGNBQUFFUkNBWUFBQUN3OHR4QUFBQUFBWE5TUjBJQXJzNGM2UUFBSUFCSlJFRlVlSnpzM1hsOEZQWDlQL0RYZTJhVGJFSUNoRXZVV0tPR2drdU9uVTI5cW1pMTNrcTFvclZGV3crODhTZW9yVlZyYTYwSDBnSWVwZDZpRmtWcnJiYlVBeFcxQ2xZOHNyTTVES0RSUm9rZ0VrRWhrRTJ5TysvZkg5bk5kNU5za2czazJ1VDFmRHg4c0puNXpHZmVpMHgyM3pPZnovc0RF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OZmYvV1orUTA2WG5hbDhBQUFBQVNVVk9SSzVDWUlJ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72</Pages>
  <Words>7423</Words>
  <Characters>7812</Characters>
  <Lines>526</Lines>
  <Paragraphs>148</Paragraphs>
  <TotalTime>9</TotalTime>
  <ScaleCrop>false</ScaleCrop>
  <LinksUpToDate>false</LinksUpToDate>
  <CharactersWithSpaces>7812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2023-02-22T05:08:00Z</dcterms:created>
  <dc:creator>Administrator</dc:creator>
  <cp:lastModifiedBy>碧水蓝天</cp:lastModifiedBy>
  <cp:lastPrinted>2025-12-17T09:35:00Z</cp:lastPrinted>
  <dcterms:modified xsi:type="dcterms:W3CDTF">2026-01-04T08:14:56Z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2AB71BF38B5B47E99DC82C18539D25CE_13</vt:lpwstr>
  </property>
  <property fmtid="{D5CDD505-2E9C-101B-9397-08002B2CF9AE}" pid="4" name="KSOTemplateDocerSaveRecord">
    <vt:lpwstr>eyJoZGlkIjoiMTZjYzBmYjFhNTNhOWU5YWExOGQxZWIyY2JkMzU0ZGQiLCJ1c2VySWQiOiI1OTQ0Nzk4OTIifQ==</vt:lpwstr>
  </property>
  <property fmtid="{D5CDD505-2E9C-101B-9397-08002B2CF9AE}" pid="5" name="_IPGFID">
    <vt:lpwstr>[DocID]=9CD1F02A-9F42-4C76-A2E7-6B19E35009CD</vt:lpwstr>
  </property>
</Properties>
</file>