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3293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sz w:val="24"/>
          <w:szCs w:val="24"/>
          <w:lang w:eastAsia="zh-CN"/>
        </w:rPr>
      </w:pPr>
    </w:p>
    <w:p w14:paraId="6B9C02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6D5EFDC0">
      <w:pPr>
        <w:rPr>
          <w:rFonts w:hint="eastAsia"/>
          <w:color w:val="auto"/>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14:paraId="4B632287">
      <w:pPr>
        <w:pStyle w:val="2"/>
        <w:bidi w:val="0"/>
        <w:rPr>
          <w:rFonts w:hint="default"/>
          <w:color w:val="auto"/>
          <w:lang w:val="en-US" w:eastAsia="zh-CN"/>
        </w:rPr>
      </w:pPr>
      <w:r>
        <w:rPr>
          <w:rFonts w:hint="eastAsia"/>
          <w:color w:val="auto"/>
          <w:lang w:val="en-US" w:eastAsia="zh-CN"/>
        </w:rPr>
        <w:t>一、建设项目基本情况</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691"/>
        <w:gridCol w:w="1866"/>
        <w:gridCol w:w="3241"/>
      </w:tblGrid>
      <w:tr w14:paraId="23A1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115BF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建设项目</w:t>
            </w:r>
          </w:p>
          <w:p w14:paraId="3E5A5C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名称</w:t>
            </w:r>
          </w:p>
        </w:tc>
        <w:tc>
          <w:tcPr>
            <w:tcW w:w="6798" w:type="dxa"/>
            <w:gridSpan w:val="3"/>
            <w:vAlign w:val="center"/>
          </w:tcPr>
          <w:p w14:paraId="416C96E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r>
              <w:rPr>
                <w:rFonts w:hint="eastAsia"/>
                <w:color w:val="auto"/>
                <w:lang w:val="en-US" w:eastAsia="zh-CN"/>
              </w:rPr>
              <w:t>昂领免疫诊断技术实验室建设项目</w:t>
            </w:r>
          </w:p>
        </w:tc>
      </w:tr>
      <w:tr w14:paraId="6D7E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19D83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项目代码</w:t>
            </w:r>
          </w:p>
        </w:tc>
        <w:tc>
          <w:tcPr>
            <w:tcW w:w="6798" w:type="dxa"/>
            <w:gridSpan w:val="3"/>
            <w:vAlign w:val="center"/>
          </w:tcPr>
          <w:p w14:paraId="60B33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w:t>
            </w:r>
          </w:p>
        </w:tc>
      </w:tr>
      <w:tr w14:paraId="5902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2150" w:type="dxa"/>
            <w:vAlign w:val="center"/>
          </w:tcPr>
          <w:p w14:paraId="6863B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建设单位</w:t>
            </w:r>
          </w:p>
          <w:p w14:paraId="30700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联系人</w:t>
            </w:r>
          </w:p>
        </w:tc>
        <w:tc>
          <w:tcPr>
            <w:tcW w:w="1691" w:type="dxa"/>
            <w:vAlign w:val="center"/>
          </w:tcPr>
          <w:p w14:paraId="65D62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vertAlign w:val="baseline"/>
              </w:rPr>
            </w:pPr>
            <w:r>
              <w:rPr>
                <w:rFonts w:hint="eastAsia" w:eastAsia="宋体"/>
                <w:lang w:val="en-US" w:eastAsia="zh-CN"/>
              </w:rPr>
              <w:t>孟俨</w:t>
            </w:r>
          </w:p>
        </w:tc>
        <w:tc>
          <w:tcPr>
            <w:tcW w:w="1866" w:type="dxa"/>
            <w:vAlign w:val="center"/>
          </w:tcPr>
          <w:p w14:paraId="414DA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联系方式</w:t>
            </w:r>
          </w:p>
        </w:tc>
        <w:tc>
          <w:tcPr>
            <w:tcW w:w="3241" w:type="dxa"/>
            <w:vAlign w:val="center"/>
          </w:tcPr>
          <w:p w14:paraId="3EEF3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vertAlign w:val="baseline"/>
              </w:rPr>
            </w:pPr>
            <w:r>
              <w:rPr>
                <w:rFonts w:hint="eastAsia"/>
                <w:lang w:val="en-US" w:eastAsia="zh-CN"/>
              </w:rPr>
              <w:t>18610719608</w:t>
            </w:r>
          </w:p>
        </w:tc>
      </w:tr>
      <w:tr w14:paraId="371A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21C9E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建设地点</w:t>
            </w:r>
          </w:p>
        </w:tc>
        <w:tc>
          <w:tcPr>
            <w:tcW w:w="6798" w:type="dxa"/>
            <w:gridSpan w:val="3"/>
            <w:vAlign w:val="center"/>
          </w:tcPr>
          <w:p w14:paraId="031F73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vertAlign w:val="baseline"/>
              </w:rPr>
            </w:pPr>
            <w:r>
              <w:rPr>
                <w:rFonts w:hint="eastAsia"/>
                <w:color w:val="auto"/>
                <w:vertAlign w:val="baseline"/>
              </w:rPr>
              <w:t>北京经济技术开发区科创十三街18号院5号楼3层0301室</w:t>
            </w:r>
          </w:p>
        </w:tc>
      </w:tr>
      <w:tr w14:paraId="21E7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344A5F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地理坐标</w:t>
            </w:r>
          </w:p>
        </w:tc>
        <w:tc>
          <w:tcPr>
            <w:tcW w:w="6798" w:type="dxa"/>
            <w:gridSpan w:val="3"/>
            <w:vAlign w:val="center"/>
          </w:tcPr>
          <w:p w14:paraId="69E9F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vertAlign w:val="baseline"/>
              </w:rPr>
            </w:pPr>
            <w:r>
              <w:rPr>
                <w:rFonts w:hint="eastAsia"/>
                <w:color w:val="auto"/>
                <w:highlight w:val="none"/>
                <w:vertAlign w:val="baseline"/>
              </w:rPr>
              <w:t>N39°46′53.104″，</w:t>
            </w:r>
            <w:bookmarkStart w:id="2" w:name="_GoBack"/>
            <w:r>
              <w:rPr>
                <w:rFonts w:hint="eastAsia"/>
                <w:color w:val="auto"/>
                <w:highlight w:val="none"/>
                <w:vertAlign w:val="baseline"/>
              </w:rPr>
              <w:t>E116°33′47.516″</w:t>
            </w:r>
            <w:bookmarkEnd w:id="2"/>
          </w:p>
        </w:tc>
      </w:tr>
      <w:tr w14:paraId="626F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57B0D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国民经济</w:t>
            </w:r>
          </w:p>
          <w:p w14:paraId="423544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行业类别</w:t>
            </w:r>
          </w:p>
        </w:tc>
        <w:tc>
          <w:tcPr>
            <w:tcW w:w="1691" w:type="dxa"/>
            <w:vAlign w:val="center"/>
          </w:tcPr>
          <w:p w14:paraId="255FC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rPr>
              <w:t>M7340医学研究和试验发展</w:t>
            </w:r>
          </w:p>
        </w:tc>
        <w:tc>
          <w:tcPr>
            <w:tcW w:w="1866" w:type="dxa"/>
            <w:vAlign w:val="center"/>
          </w:tcPr>
          <w:p w14:paraId="3FE3B1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建设项目行业类别</w:t>
            </w:r>
          </w:p>
        </w:tc>
        <w:tc>
          <w:tcPr>
            <w:tcW w:w="3241" w:type="dxa"/>
            <w:vAlign w:val="center"/>
          </w:tcPr>
          <w:p w14:paraId="7CC263D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color w:val="auto"/>
                <w:vertAlign w:val="baseline"/>
                <w:lang w:eastAsia="zh-CN"/>
              </w:rPr>
            </w:pPr>
            <w:r>
              <w:rPr>
                <w:rFonts w:hint="eastAsia"/>
                <w:color w:val="auto"/>
                <w:vertAlign w:val="baseline"/>
              </w:rPr>
              <w:t>四十五、研究和试验发展：专业实验室、研发（试验）基地-其他（不产生实验废气、废水、危险废物的除外）</w:t>
            </w:r>
          </w:p>
        </w:tc>
      </w:tr>
      <w:tr w14:paraId="0533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16FBA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建设性质</w:t>
            </w:r>
          </w:p>
        </w:tc>
        <w:tc>
          <w:tcPr>
            <w:tcW w:w="1691" w:type="dxa"/>
            <w:vAlign w:val="center"/>
          </w:tcPr>
          <w:p w14:paraId="72F34B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vertAlign w:val="baseline"/>
              </w:rPr>
            </w:pPr>
            <w:r>
              <w:rPr>
                <w:rFonts w:hint="eastAsia"/>
                <w:color w:val="auto"/>
                <w:vertAlign w:val="baseline"/>
              </w:rPr>
              <w:sym w:font="Wingdings" w:char="00FE"/>
            </w:r>
            <w:r>
              <w:rPr>
                <w:rFonts w:hint="eastAsia"/>
                <w:color w:val="auto"/>
                <w:vertAlign w:val="baseline"/>
              </w:rPr>
              <w:t>新建（迁建）</w:t>
            </w:r>
          </w:p>
          <w:p w14:paraId="53A7D0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vertAlign w:val="baseline"/>
              </w:rPr>
            </w:pPr>
            <w:r>
              <w:rPr>
                <w:rFonts w:hint="eastAsia"/>
                <w:color w:val="auto"/>
                <w:vertAlign w:val="baseline"/>
              </w:rPr>
              <w:sym w:font="Wingdings" w:char="00A8"/>
            </w:r>
            <w:r>
              <w:rPr>
                <w:rFonts w:hint="eastAsia"/>
                <w:color w:val="auto"/>
                <w:vertAlign w:val="baseline"/>
              </w:rPr>
              <w:t>改建</w:t>
            </w:r>
          </w:p>
          <w:p w14:paraId="55C6543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vertAlign w:val="baseline"/>
              </w:rPr>
            </w:pPr>
            <w:r>
              <w:rPr>
                <w:rFonts w:hint="eastAsia"/>
                <w:color w:val="auto"/>
                <w:vertAlign w:val="baseline"/>
              </w:rPr>
              <w:sym w:font="Wingdings" w:char="00A8"/>
            </w:r>
            <w:r>
              <w:rPr>
                <w:rFonts w:hint="eastAsia"/>
                <w:color w:val="auto"/>
                <w:vertAlign w:val="baseline"/>
              </w:rPr>
              <w:t>扩建</w:t>
            </w:r>
          </w:p>
          <w:p w14:paraId="0809ADB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auto"/>
                <w:vertAlign w:val="baseline"/>
              </w:rPr>
            </w:pPr>
            <w:r>
              <w:rPr>
                <w:rFonts w:hint="eastAsia"/>
                <w:color w:val="auto"/>
                <w:vertAlign w:val="baseline"/>
              </w:rPr>
              <w:sym w:font="Wingdings" w:char="00A8"/>
            </w:r>
            <w:r>
              <w:rPr>
                <w:rFonts w:hint="eastAsia"/>
                <w:color w:val="auto"/>
                <w:vertAlign w:val="baseline"/>
              </w:rPr>
              <w:t>技术改造</w:t>
            </w:r>
          </w:p>
        </w:tc>
        <w:tc>
          <w:tcPr>
            <w:tcW w:w="1866" w:type="dxa"/>
            <w:vAlign w:val="center"/>
          </w:tcPr>
          <w:p w14:paraId="4E1AF0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建设项目申报情形</w:t>
            </w:r>
          </w:p>
        </w:tc>
        <w:tc>
          <w:tcPr>
            <w:tcW w:w="3241" w:type="dxa"/>
            <w:vAlign w:val="center"/>
          </w:tcPr>
          <w:p w14:paraId="20ABED9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vertAlign w:val="baseline"/>
              </w:rPr>
            </w:pPr>
            <w:r>
              <w:rPr>
                <w:rFonts w:hint="eastAsia"/>
                <w:color w:val="auto"/>
                <w:vertAlign w:val="baseline"/>
              </w:rPr>
              <w:sym w:font="Wingdings" w:char="00FE"/>
            </w:r>
            <w:r>
              <w:rPr>
                <w:rFonts w:hint="eastAsia"/>
                <w:color w:val="auto"/>
                <w:vertAlign w:val="baseline"/>
              </w:rPr>
              <w:t>首次申报项目</w:t>
            </w:r>
          </w:p>
          <w:p w14:paraId="52F460F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vertAlign w:val="baseline"/>
              </w:rPr>
            </w:pPr>
            <w:r>
              <w:rPr>
                <w:rFonts w:hint="eastAsia"/>
                <w:color w:val="auto"/>
                <w:vertAlign w:val="baseline"/>
              </w:rPr>
              <w:sym w:font="Wingdings" w:char="00A8"/>
            </w:r>
            <w:r>
              <w:rPr>
                <w:rFonts w:hint="eastAsia"/>
                <w:color w:val="auto"/>
                <w:vertAlign w:val="baseline"/>
              </w:rPr>
              <w:t>不予批准后再次申报项目</w:t>
            </w:r>
          </w:p>
          <w:p w14:paraId="660892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vertAlign w:val="baseline"/>
              </w:rPr>
            </w:pPr>
            <w:r>
              <w:rPr>
                <w:rFonts w:hint="eastAsia"/>
                <w:color w:val="auto"/>
                <w:vertAlign w:val="baseline"/>
              </w:rPr>
              <w:sym w:font="Wingdings" w:char="00A8"/>
            </w:r>
            <w:r>
              <w:rPr>
                <w:rFonts w:hint="eastAsia"/>
                <w:color w:val="auto"/>
                <w:vertAlign w:val="baseline"/>
              </w:rPr>
              <w:t>超五年重新审核项目</w:t>
            </w:r>
          </w:p>
          <w:p w14:paraId="2020D6E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auto"/>
                <w:vertAlign w:val="baseline"/>
              </w:rPr>
            </w:pPr>
            <w:r>
              <w:rPr>
                <w:rFonts w:hint="eastAsia"/>
                <w:color w:val="auto"/>
                <w:vertAlign w:val="baseline"/>
              </w:rPr>
              <w:sym w:font="Wingdings" w:char="00A8"/>
            </w:r>
            <w:r>
              <w:rPr>
                <w:rFonts w:hint="eastAsia"/>
                <w:color w:val="auto"/>
                <w:vertAlign w:val="baseline"/>
              </w:rPr>
              <w:t>重大变动重新报批项目</w:t>
            </w:r>
          </w:p>
        </w:tc>
      </w:tr>
      <w:tr w14:paraId="2757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69312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项目审批（核准/备案）部门（选填）</w:t>
            </w:r>
          </w:p>
        </w:tc>
        <w:tc>
          <w:tcPr>
            <w:tcW w:w="1691" w:type="dxa"/>
            <w:vAlign w:val="center"/>
          </w:tcPr>
          <w:p w14:paraId="751BE3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w:t>
            </w:r>
          </w:p>
        </w:tc>
        <w:tc>
          <w:tcPr>
            <w:tcW w:w="1866" w:type="dxa"/>
            <w:vAlign w:val="center"/>
          </w:tcPr>
          <w:p w14:paraId="627CA8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项目审批（核准/备案）文号（选填）</w:t>
            </w:r>
          </w:p>
        </w:tc>
        <w:tc>
          <w:tcPr>
            <w:tcW w:w="3241" w:type="dxa"/>
            <w:vAlign w:val="center"/>
          </w:tcPr>
          <w:p w14:paraId="48BC00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w:t>
            </w:r>
          </w:p>
        </w:tc>
      </w:tr>
      <w:tr w14:paraId="1A27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4A971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总投资（万元）</w:t>
            </w:r>
          </w:p>
        </w:tc>
        <w:tc>
          <w:tcPr>
            <w:tcW w:w="1691" w:type="dxa"/>
            <w:vAlign w:val="center"/>
          </w:tcPr>
          <w:p w14:paraId="7E357D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100</w:t>
            </w:r>
          </w:p>
        </w:tc>
        <w:tc>
          <w:tcPr>
            <w:tcW w:w="1866" w:type="dxa"/>
            <w:vAlign w:val="center"/>
          </w:tcPr>
          <w:p w14:paraId="7E486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环保投资（万元）</w:t>
            </w:r>
          </w:p>
        </w:tc>
        <w:tc>
          <w:tcPr>
            <w:tcW w:w="3241" w:type="dxa"/>
            <w:vAlign w:val="center"/>
          </w:tcPr>
          <w:p w14:paraId="78F06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10</w:t>
            </w:r>
          </w:p>
        </w:tc>
      </w:tr>
      <w:tr w14:paraId="1F4E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090D1C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vertAlign w:val="baseline"/>
                <w:lang w:val="en-US" w:eastAsia="zh-CN"/>
              </w:rPr>
            </w:pPr>
            <w:r>
              <w:rPr>
                <w:rFonts w:hint="eastAsia"/>
                <w:color w:val="auto"/>
                <w:vertAlign w:val="baseline"/>
                <w:lang w:val="en-US" w:eastAsia="zh-CN"/>
              </w:rPr>
              <w:t>环保投资占比（%）</w:t>
            </w:r>
          </w:p>
        </w:tc>
        <w:tc>
          <w:tcPr>
            <w:tcW w:w="1691" w:type="dxa"/>
            <w:vAlign w:val="center"/>
          </w:tcPr>
          <w:p w14:paraId="5C6CB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10%</w:t>
            </w:r>
          </w:p>
        </w:tc>
        <w:tc>
          <w:tcPr>
            <w:tcW w:w="1866" w:type="dxa"/>
            <w:vAlign w:val="center"/>
          </w:tcPr>
          <w:p w14:paraId="001B51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vertAlign w:val="baseline"/>
                <w:lang w:val="en-US" w:eastAsia="zh-CN"/>
              </w:rPr>
            </w:pPr>
            <w:r>
              <w:rPr>
                <w:rFonts w:hint="eastAsia"/>
                <w:color w:val="auto"/>
                <w:vertAlign w:val="baseline"/>
                <w:lang w:val="en-US" w:eastAsia="zh-CN"/>
              </w:rPr>
              <w:t>施工工期</w:t>
            </w:r>
          </w:p>
        </w:tc>
        <w:tc>
          <w:tcPr>
            <w:tcW w:w="3241" w:type="dxa"/>
            <w:vAlign w:val="center"/>
          </w:tcPr>
          <w:p w14:paraId="01F4A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1个月</w:t>
            </w:r>
          </w:p>
        </w:tc>
      </w:tr>
      <w:tr w14:paraId="687C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75114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是否开工建设</w:t>
            </w:r>
          </w:p>
        </w:tc>
        <w:tc>
          <w:tcPr>
            <w:tcW w:w="1691" w:type="dxa"/>
            <w:vAlign w:val="center"/>
          </w:tcPr>
          <w:p w14:paraId="400CAC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vertAlign w:val="baseline"/>
                <w:lang w:val="en-US" w:eastAsia="zh-CN"/>
              </w:rPr>
            </w:pPr>
            <w:r>
              <w:rPr>
                <w:rFonts w:hint="eastAsia"/>
                <w:color w:val="auto"/>
                <w:vertAlign w:val="baseline"/>
              </w:rPr>
              <w:sym w:font="Wingdings" w:char="00FE"/>
            </w:r>
            <w:r>
              <w:rPr>
                <w:rFonts w:hint="eastAsia"/>
                <w:color w:val="auto"/>
                <w:vertAlign w:val="baseline"/>
                <w:lang w:val="en-US" w:eastAsia="zh-CN"/>
              </w:rPr>
              <w:t>否：</w:t>
            </w:r>
          </w:p>
          <w:p w14:paraId="0F8E57D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color w:val="auto"/>
                <w:vertAlign w:val="baseline"/>
                <w:lang w:val="en-US" w:eastAsia="zh-CN"/>
              </w:rPr>
            </w:pPr>
            <w:r>
              <w:rPr>
                <w:rFonts w:hint="eastAsia"/>
                <w:color w:val="auto"/>
                <w:vertAlign w:val="baseline"/>
              </w:rPr>
              <w:sym w:font="Wingdings" w:char="00A8"/>
            </w:r>
            <w:r>
              <w:rPr>
                <w:rFonts w:hint="eastAsia"/>
                <w:color w:val="auto"/>
                <w:vertAlign w:val="baseline"/>
                <w:lang w:val="en-US" w:eastAsia="zh-CN"/>
              </w:rPr>
              <w:t>是：</w:t>
            </w:r>
          </w:p>
        </w:tc>
        <w:tc>
          <w:tcPr>
            <w:tcW w:w="1866" w:type="dxa"/>
            <w:vAlign w:val="center"/>
          </w:tcPr>
          <w:p w14:paraId="76057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用地（用海）面积（m</w:t>
            </w:r>
            <w:r>
              <w:rPr>
                <w:rFonts w:hint="eastAsia"/>
                <w:color w:val="auto"/>
                <w:vertAlign w:val="superscript"/>
                <w:lang w:val="en-US" w:eastAsia="zh-CN"/>
              </w:rPr>
              <w:t>2</w:t>
            </w:r>
            <w:r>
              <w:rPr>
                <w:rFonts w:hint="eastAsia"/>
                <w:color w:val="auto"/>
                <w:vertAlign w:val="baseline"/>
                <w:lang w:val="en-US" w:eastAsia="zh-CN"/>
              </w:rPr>
              <w:t>）</w:t>
            </w:r>
          </w:p>
        </w:tc>
        <w:tc>
          <w:tcPr>
            <w:tcW w:w="3241" w:type="dxa"/>
            <w:vAlign w:val="center"/>
          </w:tcPr>
          <w:p w14:paraId="049FB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333.3</w:t>
            </w:r>
          </w:p>
        </w:tc>
      </w:tr>
      <w:tr w14:paraId="0399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68F060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专项评价</w:t>
            </w:r>
          </w:p>
          <w:p w14:paraId="71653E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设置情况</w:t>
            </w:r>
          </w:p>
        </w:tc>
        <w:tc>
          <w:tcPr>
            <w:tcW w:w="6798" w:type="dxa"/>
            <w:gridSpan w:val="3"/>
            <w:vAlign w:val="center"/>
          </w:tcPr>
          <w:p w14:paraId="254EEBA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both"/>
              <w:textAlignment w:val="auto"/>
              <w:rPr>
                <w:rFonts w:hint="eastAsia" w:eastAsia="宋体"/>
                <w:color w:val="auto"/>
                <w:vertAlign w:val="baseline"/>
                <w:lang w:eastAsia="zh-CN"/>
              </w:rPr>
            </w:pPr>
            <w:r>
              <w:rPr>
                <w:rFonts w:hint="eastAsia"/>
                <w:color w:val="auto"/>
                <w:highlight w:val="none"/>
                <w:vertAlign w:val="baseline"/>
                <w:lang w:val="en-US" w:eastAsia="zh-CN"/>
              </w:rPr>
              <w:t>无</w:t>
            </w:r>
          </w:p>
        </w:tc>
      </w:tr>
      <w:tr w14:paraId="164B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2E52C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规划情况</w:t>
            </w:r>
          </w:p>
        </w:tc>
        <w:tc>
          <w:tcPr>
            <w:tcW w:w="6798" w:type="dxa"/>
            <w:gridSpan w:val="3"/>
            <w:vAlign w:val="center"/>
          </w:tcPr>
          <w:p w14:paraId="176D5F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1、规划名称</w:t>
            </w:r>
            <w:r>
              <w:rPr>
                <w:rFonts w:hint="eastAsia"/>
                <w:color w:val="auto"/>
                <w:vertAlign w:val="baseline"/>
                <w:lang w:eastAsia="zh-CN"/>
              </w:rPr>
              <w:t>：</w:t>
            </w:r>
            <w:r>
              <w:rPr>
                <w:rFonts w:hint="eastAsia"/>
                <w:color w:val="auto"/>
                <w:vertAlign w:val="baseline"/>
              </w:rPr>
              <w:t>《亦庄新城规划（国土空间规划）（2017年-2035年）》</w:t>
            </w:r>
          </w:p>
          <w:p w14:paraId="6E1076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审批机关：北京市人民政府</w:t>
            </w:r>
          </w:p>
          <w:p w14:paraId="72B47F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审批文件名称：《北京市人民政府关于对＜亦庄新城规划（国土空间规划）（2017年-2035年）＞的批复》（2019.11.20）</w:t>
            </w:r>
          </w:p>
          <w:p w14:paraId="2F90C1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2、规划名称：《落实“三区三线”＜亦庄新城规划（国土空间规划）（2017年-2035年）＞修改成果》</w:t>
            </w:r>
          </w:p>
          <w:p w14:paraId="36346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审批机关：北京市人民政府</w:t>
            </w:r>
          </w:p>
          <w:p w14:paraId="06668B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审批文件名称：《北京市人民政府关于对朝阳等13个区分区规划及亦庄新城规划修改方案的批复》（2023.3.25）</w:t>
            </w:r>
          </w:p>
          <w:p w14:paraId="1634B9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3、规划名称：《“十四五”时期北京经济技术开发区发展建设和二〇三五年远景目标规划》</w:t>
            </w:r>
          </w:p>
          <w:p w14:paraId="3AE4F1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vertAlign w:val="baseline"/>
              </w:rPr>
            </w:pPr>
            <w:r>
              <w:rPr>
                <w:rFonts w:hint="eastAsia"/>
                <w:color w:val="auto"/>
                <w:vertAlign w:val="baseline"/>
              </w:rPr>
              <w:t>发布单位：北京经济技术开发区管理委员会</w:t>
            </w:r>
          </w:p>
        </w:tc>
      </w:tr>
      <w:tr w14:paraId="6676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55A34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规划环境影响评价情况</w:t>
            </w:r>
          </w:p>
        </w:tc>
        <w:tc>
          <w:tcPr>
            <w:tcW w:w="6798" w:type="dxa"/>
            <w:gridSpan w:val="3"/>
            <w:vAlign w:val="center"/>
          </w:tcPr>
          <w:p w14:paraId="1C4D5F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vertAlign w:val="baseline"/>
                <w:lang w:val="en-US" w:eastAsia="zh-CN"/>
              </w:rPr>
            </w:pPr>
            <w:r>
              <w:rPr>
                <w:rFonts w:hint="eastAsia"/>
                <w:color w:val="auto"/>
                <w:highlight w:val="none"/>
                <w:vertAlign w:val="baseline"/>
                <w:lang w:val="en-US" w:eastAsia="zh-CN"/>
              </w:rPr>
              <w:t>1、《北京经济技术开发区区域环境影响报告书》；</w:t>
            </w:r>
          </w:p>
          <w:p w14:paraId="247F1B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vertAlign w:val="baseline"/>
                <w:lang w:val="en-US" w:eastAsia="zh-CN"/>
              </w:rPr>
            </w:pPr>
            <w:r>
              <w:rPr>
                <w:rFonts w:hint="eastAsia"/>
                <w:color w:val="auto"/>
                <w:highlight w:val="none"/>
                <w:vertAlign w:val="baseline"/>
                <w:lang w:val="en-US" w:eastAsia="zh-CN"/>
              </w:rPr>
              <w:t>召集审查机关：中华人民共和国生态环境部（原国家环境保护总局）</w:t>
            </w:r>
          </w:p>
          <w:p w14:paraId="3170E7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vertAlign w:val="baseline"/>
                <w:lang w:val="en-US" w:eastAsia="zh-CN"/>
              </w:rPr>
            </w:pPr>
            <w:r>
              <w:rPr>
                <w:rFonts w:hint="eastAsia"/>
                <w:color w:val="auto"/>
                <w:highlight w:val="none"/>
                <w:vertAlign w:val="baseline"/>
                <w:lang w:val="en-US" w:eastAsia="zh-CN"/>
              </w:rPr>
              <w:t>审查文件及文号：《关于北京经济技术开发区区域环境影响报告书审查意见的复函》（环审[2005]535号）</w:t>
            </w:r>
          </w:p>
          <w:p w14:paraId="6D43ED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lang w:val="en-US" w:eastAsia="zh-CN"/>
              </w:rPr>
            </w:pPr>
            <w:r>
              <w:rPr>
                <w:rFonts w:hint="eastAsia"/>
                <w:color w:val="auto"/>
                <w:highlight w:val="none"/>
                <w:vertAlign w:val="baseline"/>
                <w:lang w:val="en-US" w:eastAsia="zh-CN"/>
              </w:rPr>
              <w:t>2、《北京经济技术开发区“十三五”时期创新发展规划环境影响篇章》（北京市环境保护科学研究院，2016年11月编制）</w:t>
            </w:r>
          </w:p>
        </w:tc>
      </w:tr>
      <w:tr w14:paraId="5AD3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23E6B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规划及规划环境影响评价符合性分析</w:t>
            </w:r>
          </w:p>
        </w:tc>
        <w:tc>
          <w:tcPr>
            <w:tcW w:w="6798" w:type="dxa"/>
            <w:gridSpan w:val="3"/>
            <w:vAlign w:val="center"/>
          </w:tcPr>
          <w:p w14:paraId="3A279943">
            <w:pPr>
              <w:widowControl/>
              <w:numPr>
                <w:ilvl w:val="0"/>
                <w:numId w:val="1"/>
              </w:numPr>
              <w:spacing w:line="360" w:lineRule="auto"/>
              <w:ind w:firstLine="482" w:firstLineChars="200"/>
              <w:jc w:val="left"/>
              <w:rPr>
                <w:rFonts w:eastAsiaTheme="minorEastAsia"/>
                <w:b/>
                <w:bCs/>
                <w:kern w:val="0"/>
                <w:sz w:val="24"/>
                <w:highlight w:val="none"/>
                <w:lang w:bidi="ar"/>
              </w:rPr>
            </w:pPr>
            <w:r>
              <w:rPr>
                <w:rFonts w:hint="eastAsia" w:eastAsiaTheme="minorEastAsia"/>
                <w:b/>
                <w:bCs/>
                <w:kern w:val="0"/>
                <w:sz w:val="24"/>
                <w:highlight w:val="none"/>
                <w:lang w:bidi="ar"/>
              </w:rPr>
              <w:t>与《亦庄新城规划（国土空间规划）》（2017年-2035年）、《落实“三区三线”&lt;亦庄新城规划（国土空间规划）（2017 年-2035 年）&gt;修改成果》及其批复的符合性分析</w:t>
            </w:r>
          </w:p>
          <w:p w14:paraId="1C2F67CC">
            <w:pPr>
              <w:widowControl/>
              <w:spacing w:line="360" w:lineRule="auto"/>
              <w:ind w:firstLine="480" w:firstLineChars="200"/>
              <w:jc w:val="left"/>
              <w:rPr>
                <w:rFonts w:eastAsiaTheme="minorEastAsia"/>
                <w:kern w:val="0"/>
                <w:sz w:val="24"/>
                <w:highlight w:val="none"/>
                <w:lang w:bidi="ar"/>
              </w:rPr>
            </w:pPr>
            <w:r>
              <w:rPr>
                <w:rFonts w:hint="eastAsia" w:eastAsiaTheme="minorEastAsia"/>
                <w:kern w:val="0"/>
                <w:sz w:val="24"/>
                <w:highlight w:val="none"/>
                <w:lang w:bidi="ar"/>
              </w:rPr>
              <w:t>根据《亦庄新城分区规划（2017年-2035年）》，亦庄新城功能定位是建设具有全球影响力的创新型产业集群和科技服务中心；首都东南部区域创新发展协同区；战略性新兴产业基地及制造业转型升级示范区；宜业宜居绿色城区。</w:t>
            </w:r>
          </w:p>
          <w:p w14:paraId="61ADC962">
            <w:pPr>
              <w:widowControl/>
              <w:spacing w:line="360" w:lineRule="auto"/>
              <w:ind w:firstLine="480" w:firstLineChars="200"/>
              <w:jc w:val="left"/>
              <w:rPr>
                <w:rFonts w:eastAsiaTheme="minorEastAsia"/>
                <w:kern w:val="0"/>
                <w:sz w:val="24"/>
                <w:highlight w:val="none"/>
                <w:lang w:bidi="ar"/>
              </w:rPr>
            </w:pPr>
            <w:r>
              <w:rPr>
                <w:rFonts w:hint="eastAsia" w:eastAsiaTheme="minorEastAsia"/>
                <w:kern w:val="0"/>
                <w:sz w:val="24"/>
                <w:highlight w:val="none"/>
                <w:lang w:bidi="ar"/>
              </w:rPr>
              <w:t>其中产业规划中提出聚焦四大产业集群，强化自主创新能力：发挥科技创新引领作用，提高优势产业发展水平，围绕四大主导产业打造前沿技术创新中心，加强应用基础研究，建立以企业为主体的技术创新体系。推动产学研深度融合和创新链协同，努力实现颠覆性技术创新，在更高层次、更大范围发挥科技创新的引领作用。</w:t>
            </w:r>
          </w:p>
          <w:p w14:paraId="6313B15B">
            <w:pPr>
              <w:widowControl/>
              <w:spacing w:line="360" w:lineRule="auto"/>
              <w:ind w:firstLine="480" w:firstLineChars="200"/>
              <w:jc w:val="left"/>
              <w:rPr>
                <w:rFonts w:eastAsiaTheme="minorEastAsia"/>
                <w:kern w:val="0"/>
                <w:sz w:val="24"/>
                <w:highlight w:val="none"/>
                <w:lang w:bidi="ar"/>
              </w:rPr>
            </w:pPr>
            <w:r>
              <w:rPr>
                <w:rFonts w:hint="eastAsia" w:eastAsiaTheme="minorEastAsia"/>
                <w:kern w:val="0"/>
                <w:sz w:val="24"/>
                <w:highlight w:val="none"/>
                <w:lang w:bidi="ar"/>
              </w:rPr>
              <w:t>产业集群中规划内容为：推进融合发展，打造具有世界影响力的新一代健康诊疗与服务产业集群。提升医药产业技术创新能力，加快医疗器械产业集聚发展，促进医药医疗融合发展，完善健康产业创新生态建设，打造具有世界影响力的新一代健康诊疗与服务产业集群。聚焦生物技术、高端医疗器械、医学健康服务等重点领域，推动生物技术和大健康产业智能化、服务化、生态化、高端化发展，在分子诊断和分子影像、生物信息、中医药现代化等产业前沿方向进行技术探索，持续培育百亿元规模的龙头企业，持续培育年收入超过10亿元的先进产品。</w:t>
            </w:r>
          </w:p>
          <w:p w14:paraId="0587DA76">
            <w:pPr>
              <w:widowControl/>
              <w:spacing w:line="360" w:lineRule="auto"/>
              <w:ind w:firstLine="480" w:firstLineChars="200"/>
              <w:jc w:val="left"/>
              <w:rPr>
                <w:rFonts w:eastAsiaTheme="minorEastAsia"/>
                <w:kern w:val="0"/>
                <w:sz w:val="24"/>
                <w:highlight w:val="none"/>
                <w:lang w:bidi="ar"/>
              </w:rPr>
            </w:pPr>
            <w:r>
              <w:rPr>
                <w:rFonts w:hint="eastAsia" w:eastAsiaTheme="minorEastAsia"/>
                <w:kern w:val="0"/>
                <w:sz w:val="24"/>
                <w:highlight w:val="none"/>
                <w:lang w:bidi="ar"/>
              </w:rPr>
              <w:t>空间管控内容提出</w:t>
            </w:r>
            <w:r>
              <w:rPr>
                <w:rFonts w:hint="eastAsia" w:eastAsiaTheme="minorEastAsia"/>
                <w:kern w:val="0"/>
                <w:sz w:val="24"/>
                <w:highlight w:val="none"/>
                <w:lang w:eastAsia="zh-CN" w:bidi="ar"/>
              </w:rPr>
              <w:t>：</w:t>
            </w:r>
            <w:r>
              <w:rPr>
                <w:rFonts w:hint="eastAsia" w:eastAsiaTheme="minorEastAsia"/>
                <w:kern w:val="0"/>
                <w:sz w:val="24"/>
                <w:highlight w:val="none"/>
                <w:lang w:bidi="ar"/>
              </w:rPr>
              <w:t>将全区划分为集中建设区，限制建设区和生态控制区，以实现两线三区的全域空间管制，遏制城市摊大饼发展。</w:t>
            </w:r>
          </w:p>
          <w:p w14:paraId="47D491A5">
            <w:pPr>
              <w:widowControl/>
              <w:spacing w:line="360" w:lineRule="auto"/>
              <w:ind w:firstLine="480" w:firstLineChars="200"/>
              <w:jc w:val="left"/>
              <w:rPr>
                <w:rFonts w:hint="eastAsia" w:eastAsiaTheme="minorEastAsia"/>
                <w:kern w:val="0"/>
                <w:sz w:val="24"/>
                <w:highlight w:val="none"/>
                <w:lang w:bidi="ar"/>
              </w:rPr>
            </w:pPr>
            <w:r>
              <w:rPr>
                <w:rFonts w:hint="eastAsia" w:eastAsiaTheme="minorEastAsia"/>
                <w:kern w:val="0"/>
                <w:sz w:val="24"/>
                <w:highlight w:val="none"/>
                <w:lang w:bidi="ar"/>
              </w:rPr>
              <w:t>本项目位于新城核心地区，建设</w:t>
            </w:r>
            <w:r>
              <w:rPr>
                <w:rFonts w:hint="eastAsia" w:ascii="Times New Roman" w:hAnsi="Times New Roman" w:eastAsiaTheme="minorEastAsia"/>
                <w:kern w:val="0"/>
                <w:sz w:val="24"/>
                <w:highlight w:val="none"/>
                <w:lang w:val="en-US" w:eastAsia="zh-CN" w:bidi="ar"/>
              </w:rPr>
              <w:t>免疫诊断技术实验室</w:t>
            </w:r>
            <w:r>
              <w:rPr>
                <w:rFonts w:hint="eastAsia" w:ascii="Times New Roman" w:hAnsi="Times New Roman" w:eastAsiaTheme="minorEastAsia"/>
                <w:kern w:val="0"/>
                <w:sz w:val="24"/>
                <w:highlight w:val="none"/>
                <w:lang w:bidi="ar"/>
              </w:rPr>
              <w:t>，符合新城核心地区发展定位，符合《亦庄新城规划（国土空间规</w:t>
            </w:r>
            <w:r>
              <w:rPr>
                <w:rFonts w:hint="eastAsia" w:eastAsiaTheme="minorEastAsia"/>
                <w:kern w:val="0"/>
                <w:sz w:val="24"/>
                <w:highlight w:val="none"/>
                <w:lang w:bidi="ar"/>
              </w:rPr>
              <w:t>划）（2017 年-2035 年）》、《落实“三区三线”&lt;亦庄新城规划（国土空间规划）（2017 年-2035 年）&gt;修改成果》及其批复的要求。本项目不涉及生态红线，位于集中建设区，符合两线三区规划图（修改后）要求。项目在亦庄新城规划（国土空间规划）（2017年-2035 年）修改后两线三区关系图中的位置见</w:t>
            </w:r>
            <w:r>
              <w:rPr>
                <w:rFonts w:hint="eastAsia" w:eastAsiaTheme="minorEastAsia"/>
                <w:kern w:val="0"/>
                <w:sz w:val="24"/>
                <w:highlight w:val="none"/>
                <w:lang w:val="en-US" w:eastAsia="zh-CN" w:bidi="ar"/>
              </w:rPr>
              <w:t>下</w:t>
            </w:r>
            <w:r>
              <w:rPr>
                <w:rFonts w:hint="eastAsia" w:eastAsiaTheme="minorEastAsia"/>
                <w:kern w:val="0"/>
                <w:sz w:val="24"/>
                <w:highlight w:val="none"/>
                <w:lang w:bidi="ar"/>
              </w:rPr>
              <w:t xml:space="preserve">图。 </w:t>
            </w:r>
          </w:p>
          <w:p w14:paraId="41728DCE">
            <w:pPr>
              <w:widowControl/>
              <w:spacing w:line="360" w:lineRule="auto"/>
              <w:ind w:firstLine="480" w:firstLineChars="200"/>
              <w:jc w:val="left"/>
              <w:rPr>
                <w:rFonts w:eastAsiaTheme="minorEastAsia"/>
                <w:b/>
                <w:bCs/>
                <w:kern w:val="0"/>
                <w:sz w:val="24"/>
                <w:highlight w:val="none"/>
                <w:lang w:bidi="ar"/>
              </w:rPr>
            </w:pPr>
            <w:r>
              <w:drawing>
                <wp:inline distT="0" distB="0" distL="114300" distR="114300">
                  <wp:extent cx="3368040" cy="4930140"/>
                  <wp:effectExtent l="0" t="0" r="0" b="762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7"/>
                          <a:stretch>
                            <a:fillRect/>
                          </a:stretch>
                        </pic:blipFill>
                        <pic:spPr>
                          <a:xfrm>
                            <a:off x="0" y="0"/>
                            <a:ext cx="3368040" cy="4930140"/>
                          </a:xfrm>
                          <a:prstGeom prst="rect">
                            <a:avLst/>
                          </a:prstGeom>
                          <a:noFill/>
                          <a:ln>
                            <a:noFill/>
                          </a:ln>
                        </pic:spPr>
                      </pic:pic>
                    </a:graphicData>
                  </a:graphic>
                </wp:inline>
              </w:drawing>
            </w:r>
          </w:p>
          <w:p w14:paraId="40E44A4C">
            <w:pPr>
              <w:widowControl/>
              <w:numPr>
                <w:ilvl w:val="0"/>
                <w:numId w:val="2"/>
              </w:numPr>
              <w:spacing w:line="360" w:lineRule="auto"/>
              <w:ind w:left="425" w:leftChars="0" w:hanging="425" w:firstLineChars="0"/>
              <w:jc w:val="center"/>
              <w:rPr>
                <w:rFonts w:eastAsiaTheme="minorEastAsia"/>
                <w:b/>
                <w:bCs/>
                <w:kern w:val="0"/>
                <w:sz w:val="24"/>
                <w:highlight w:val="none"/>
                <w:lang w:bidi="ar"/>
              </w:rPr>
            </w:pPr>
            <w:r>
              <w:rPr>
                <w:rFonts w:eastAsiaTheme="minorEastAsia"/>
                <w:b/>
                <w:bCs/>
                <w:kern w:val="0"/>
                <w:sz w:val="24"/>
                <w:highlight w:val="none"/>
                <w:lang w:bidi="ar"/>
              </w:rPr>
              <w:t>本项目与两线三区规划图（修改后）位置关系图</w:t>
            </w:r>
          </w:p>
          <w:p w14:paraId="110319E8">
            <w:pPr>
              <w:widowControl/>
              <w:spacing w:line="360" w:lineRule="auto"/>
              <w:ind w:firstLine="480" w:firstLineChars="200"/>
              <w:jc w:val="left"/>
              <w:rPr>
                <w:rFonts w:eastAsiaTheme="minorEastAsia"/>
                <w:kern w:val="0"/>
                <w:sz w:val="24"/>
                <w:highlight w:val="none"/>
                <w:lang w:bidi="ar"/>
              </w:rPr>
            </w:pPr>
            <w:r>
              <w:rPr>
                <w:rFonts w:eastAsiaTheme="minorEastAsia"/>
                <w:kern w:val="0"/>
                <w:sz w:val="24"/>
                <w:highlight w:val="none"/>
                <w:lang w:bidi="ar"/>
              </w:rPr>
              <w:t>项目用地类型为城镇建设用地，符合亦庄新城国土空间规划分区的要求，本项目在亦庄新城国土空间规划分区图中的位置见</w:t>
            </w:r>
            <w:r>
              <w:rPr>
                <w:rFonts w:hint="eastAsia" w:eastAsiaTheme="minorEastAsia"/>
                <w:kern w:val="0"/>
                <w:sz w:val="24"/>
                <w:highlight w:val="none"/>
                <w:lang w:val="en-US" w:eastAsia="zh-CN" w:bidi="ar"/>
              </w:rPr>
              <w:t>下</w:t>
            </w:r>
            <w:r>
              <w:rPr>
                <w:rFonts w:eastAsiaTheme="minorEastAsia"/>
                <w:kern w:val="0"/>
                <w:sz w:val="24"/>
                <w:highlight w:val="none"/>
                <w:lang w:bidi="ar"/>
              </w:rPr>
              <w:t>图。</w:t>
            </w:r>
          </w:p>
          <w:p w14:paraId="73F9FB7B">
            <w:pPr>
              <w:widowControl/>
              <w:spacing w:line="360" w:lineRule="auto"/>
              <w:ind w:firstLine="480" w:firstLineChars="200"/>
              <w:jc w:val="left"/>
              <w:rPr>
                <w:rFonts w:eastAsiaTheme="minorEastAsia"/>
                <w:kern w:val="0"/>
                <w:sz w:val="24"/>
                <w:highlight w:val="none"/>
                <w:lang w:bidi="ar"/>
              </w:rPr>
            </w:pPr>
            <w:r>
              <w:drawing>
                <wp:inline distT="0" distB="0" distL="114300" distR="114300">
                  <wp:extent cx="3368040" cy="4907280"/>
                  <wp:effectExtent l="0" t="0" r="0" b="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8"/>
                          <a:stretch>
                            <a:fillRect/>
                          </a:stretch>
                        </pic:blipFill>
                        <pic:spPr>
                          <a:xfrm>
                            <a:off x="0" y="0"/>
                            <a:ext cx="3368040" cy="4907280"/>
                          </a:xfrm>
                          <a:prstGeom prst="rect">
                            <a:avLst/>
                          </a:prstGeom>
                          <a:noFill/>
                          <a:ln>
                            <a:noFill/>
                          </a:ln>
                        </pic:spPr>
                      </pic:pic>
                    </a:graphicData>
                  </a:graphic>
                </wp:inline>
              </w:drawing>
            </w:r>
          </w:p>
          <w:p w14:paraId="3F059A05">
            <w:pPr>
              <w:widowControl/>
              <w:numPr>
                <w:ilvl w:val="0"/>
                <w:numId w:val="2"/>
              </w:numPr>
              <w:spacing w:line="360" w:lineRule="auto"/>
              <w:ind w:left="425" w:leftChars="0" w:hanging="425" w:firstLineChars="0"/>
              <w:jc w:val="center"/>
              <w:rPr>
                <w:rFonts w:eastAsiaTheme="minorEastAsia"/>
                <w:b/>
                <w:bCs/>
                <w:kern w:val="0"/>
                <w:sz w:val="24"/>
                <w:highlight w:val="none"/>
                <w:lang w:bidi="ar"/>
              </w:rPr>
            </w:pPr>
            <w:r>
              <w:rPr>
                <w:rFonts w:eastAsiaTheme="minorEastAsia"/>
                <w:b/>
                <w:bCs/>
                <w:kern w:val="0"/>
                <w:sz w:val="24"/>
                <w:highlight w:val="none"/>
                <w:lang w:bidi="ar"/>
              </w:rPr>
              <w:t>本项目与国土空间规划分区图位置关系</w:t>
            </w:r>
          </w:p>
          <w:p w14:paraId="54F28942">
            <w:pPr>
              <w:widowControl/>
              <w:spacing w:line="360" w:lineRule="auto"/>
              <w:ind w:firstLine="480" w:firstLineChars="200"/>
              <w:jc w:val="left"/>
              <w:rPr>
                <w:rFonts w:eastAsiaTheme="minorEastAsia"/>
                <w:kern w:val="0"/>
                <w:sz w:val="24"/>
                <w:highlight w:val="none"/>
                <w:lang w:bidi="ar"/>
              </w:rPr>
            </w:pPr>
            <w:r>
              <w:rPr>
                <w:rFonts w:eastAsiaTheme="minorEastAsia"/>
                <w:kern w:val="0"/>
                <w:sz w:val="24"/>
                <w:highlight w:val="none"/>
                <w:lang w:bidi="ar"/>
              </w:rPr>
              <w:t>综上，本项目的建设符合亦庄新城的规划定位。</w:t>
            </w:r>
          </w:p>
          <w:p w14:paraId="778881D7">
            <w:pPr>
              <w:widowControl/>
              <w:numPr>
                <w:ilvl w:val="0"/>
                <w:numId w:val="1"/>
              </w:numPr>
              <w:spacing w:line="360" w:lineRule="auto"/>
              <w:ind w:firstLine="482" w:firstLineChars="200"/>
              <w:jc w:val="left"/>
              <w:rPr>
                <w:rFonts w:eastAsiaTheme="minorEastAsia"/>
                <w:b/>
                <w:bCs/>
                <w:kern w:val="0"/>
                <w:sz w:val="24"/>
                <w:highlight w:val="none"/>
                <w:lang w:bidi="ar"/>
              </w:rPr>
            </w:pPr>
            <w:r>
              <w:rPr>
                <w:rFonts w:eastAsiaTheme="minorEastAsia"/>
                <w:b/>
                <w:bCs/>
                <w:kern w:val="0"/>
                <w:sz w:val="24"/>
                <w:highlight w:val="none"/>
                <w:lang w:bidi="ar"/>
              </w:rPr>
              <w:t>《</w:t>
            </w:r>
            <w:r>
              <w:rPr>
                <w:rFonts w:hint="eastAsia" w:eastAsiaTheme="minorEastAsia"/>
                <w:b/>
                <w:bCs/>
                <w:kern w:val="0"/>
                <w:sz w:val="24"/>
                <w:highlight w:val="none"/>
                <w:lang w:bidi="ar"/>
              </w:rPr>
              <w:t>“</w:t>
            </w:r>
            <w:r>
              <w:rPr>
                <w:rFonts w:eastAsiaTheme="minorEastAsia"/>
                <w:b/>
                <w:bCs/>
                <w:kern w:val="0"/>
                <w:sz w:val="24"/>
                <w:highlight w:val="none"/>
                <w:lang w:bidi="ar"/>
              </w:rPr>
              <w:t>十四五</w:t>
            </w:r>
            <w:r>
              <w:rPr>
                <w:rFonts w:hint="eastAsia" w:eastAsiaTheme="minorEastAsia"/>
                <w:b/>
                <w:bCs/>
                <w:kern w:val="0"/>
                <w:sz w:val="24"/>
                <w:highlight w:val="none"/>
                <w:lang w:bidi="ar"/>
              </w:rPr>
              <w:t>”</w:t>
            </w:r>
            <w:r>
              <w:rPr>
                <w:rFonts w:eastAsiaTheme="minorEastAsia"/>
                <w:b/>
                <w:bCs/>
                <w:kern w:val="0"/>
                <w:sz w:val="24"/>
                <w:highlight w:val="none"/>
                <w:lang w:bidi="ar"/>
              </w:rPr>
              <w:t>时期北京经济技术开发区发展建设和</w:t>
            </w:r>
            <w:r>
              <w:rPr>
                <w:rFonts w:hint="eastAsia" w:eastAsiaTheme="minorEastAsia"/>
                <w:b/>
                <w:bCs/>
                <w:kern w:val="0"/>
                <w:sz w:val="24"/>
                <w:highlight w:val="none"/>
                <w:lang w:val="en-US" w:eastAsia="zh-CN" w:bidi="ar"/>
              </w:rPr>
              <w:t>二零三五</w:t>
            </w:r>
            <w:r>
              <w:rPr>
                <w:rFonts w:eastAsiaTheme="minorEastAsia"/>
                <w:b/>
                <w:bCs/>
                <w:kern w:val="0"/>
                <w:sz w:val="24"/>
                <w:highlight w:val="none"/>
                <w:lang w:bidi="ar"/>
              </w:rPr>
              <w:t>年远景目标规划》符合性分析</w:t>
            </w:r>
          </w:p>
          <w:p w14:paraId="4AE9FF47">
            <w:pPr>
              <w:widowControl/>
              <w:spacing w:line="360" w:lineRule="auto"/>
              <w:ind w:firstLine="480" w:firstLineChars="200"/>
              <w:jc w:val="left"/>
              <w:rPr>
                <w:rFonts w:eastAsiaTheme="minorEastAsia"/>
                <w:kern w:val="0"/>
                <w:sz w:val="24"/>
                <w:highlight w:val="none"/>
                <w:lang w:bidi="ar"/>
              </w:rPr>
            </w:pPr>
            <w:r>
              <w:rPr>
                <w:rFonts w:eastAsiaTheme="minorEastAsia"/>
                <w:kern w:val="0"/>
                <w:sz w:val="24"/>
                <w:highlight w:val="none"/>
                <w:lang w:bidi="ar"/>
              </w:rPr>
              <w:t>《</w:t>
            </w:r>
            <w:r>
              <w:rPr>
                <w:rFonts w:hint="eastAsia" w:eastAsiaTheme="minorEastAsia"/>
                <w:kern w:val="0"/>
                <w:sz w:val="24"/>
                <w:highlight w:val="none"/>
                <w:lang w:bidi="ar"/>
              </w:rPr>
              <w:t>“</w:t>
            </w:r>
            <w:r>
              <w:rPr>
                <w:rFonts w:eastAsiaTheme="minorEastAsia"/>
                <w:kern w:val="0"/>
                <w:sz w:val="24"/>
                <w:highlight w:val="none"/>
                <w:lang w:bidi="ar"/>
              </w:rPr>
              <w:t>十四五</w:t>
            </w:r>
            <w:r>
              <w:rPr>
                <w:rFonts w:hint="eastAsia" w:eastAsiaTheme="minorEastAsia"/>
                <w:kern w:val="0"/>
                <w:sz w:val="24"/>
                <w:highlight w:val="none"/>
                <w:lang w:bidi="ar"/>
              </w:rPr>
              <w:t>”</w:t>
            </w:r>
            <w:r>
              <w:rPr>
                <w:rFonts w:eastAsiaTheme="minorEastAsia"/>
                <w:kern w:val="0"/>
                <w:sz w:val="24"/>
                <w:highlight w:val="none"/>
                <w:lang w:bidi="ar"/>
              </w:rPr>
              <w:t>时期北京经济技术开发区发展建设和</w:t>
            </w:r>
            <w:r>
              <w:rPr>
                <w:rFonts w:hint="eastAsia" w:eastAsiaTheme="minorEastAsia"/>
                <w:kern w:val="0"/>
                <w:sz w:val="24"/>
                <w:highlight w:val="none"/>
                <w:lang w:val="en-US" w:eastAsia="zh-CN" w:bidi="ar"/>
              </w:rPr>
              <w:t>二零三五</w:t>
            </w:r>
            <w:r>
              <w:rPr>
                <w:rFonts w:eastAsiaTheme="minorEastAsia"/>
                <w:kern w:val="0"/>
                <w:sz w:val="24"/>
                <w:highlight w:val="none"/>
                <w:lang w:bidi="ar"/>
              </w:rPr>
              <w:t>年远景目标规划》提出四大产业功能区，即生命健康产业区、电子信息产业区、高端汽车产业区及智能制造产业区。生命健康产业区为核心区北部及亦庄东区工业区，功能定位为推动亦庄东工业区腾笼换鸟转型升级，建设国家生物医药创新型标准厂房，主导产业为生物技术和大健康。</w:t>
            </w:r>
          </w:p>
          <w:p w14:paraId="0DF32F79">
            <w:pPr>
              <w:widowControl/>
              <w:spacing w:line="360" w:lineRule="auto"/>
              <w:ind w:firstLine="480" w:firstLineChars="200"/>
              <w:jc w:val="left"/>
              <w:rPr>
                <w:rFonts w:eastAsiaTheme="minorEastAsia"/>
                <w:kern w:val="0"/>
                <w:sz w:val="24"/>
                <w:highlight w:val="none"/>
                <w:lang w:bidi="ar"/>
              </w:rPr>
            </w:pPr>
            <w:r>
              <w:rPr>
                <w:rFonts w:eastAsiaTheme="minorEastAsia"/>
                <w:kern w:val="0"/>
                <w:sz w:val="24"/>
                <w:highlight w:val="none"/>
                <w:lang w:bidi="ar"/>
              </w:rPr>
              <w:t>本项目行业类别为</w:t>
            </w:r>
            <w:r>
              <w:rPr>
                <w:rFonts w:hint="eastAsia" w:eastAsiaTheme="minorEastAsia"/>
                <w:kern w:val="0"/>
                <w:sz w:val="24"/>
                <w:highlight w:val="none"/>
                <w:lang w:bidi="ar"/>
              </w:rPr>
              <w:t>医学</w:t>
            </w:r>
            <w:r>
              <w:rPr>
                <w:rFonts w:eastAsiaTheme="minorEastAsia"/>
                <w:kern w:val="0"/>
                <w:sz w:val="24"/>
                <w:highlight w:val="none"/>
                <w:lang w:bidi="ar"/>
              </w:rPr>
              <w:t>研究和试验发展，符合《</w:t>
            </w:r>
            <w:r>
              <w:rPr>
                <w:rFonts w:hint="eastAsia" w:eastAsiaTheme="minorEastAsia"/>
                <w:kern w:val="0"/>
                <w:sz w:val="24"/>
                <w:highlight w:val="none"/>
                <w:lang w:bidi="ar"/>
              </w:rPr>
              <w:t>“</w:t>
            </w:r>
            <w:r>
              <w:rPr>
                <w:rFonts w:eastAsiaTheme="minorEastAsia"/>
                <w:kern w:val="0"/>
                <w:sz w:val="24"/>
                <w:highlight w:val="none"/>
                <w:lang w:bidi="ar"/>
              </w:rPr>
              <w:t>十四五</w:t>
            </w:r>
            <w:r>
              <w:rPr>
                <w:rFonts w:hint="eastAsia" w:eastAsiaTheme="minorEastAsia"/>
                <w:kern w:val="0"/>
                <w:sz w:val="24"/>
                <w:highlight w:val="none"/>
                <w:lang w:bidi="ar"/>
              </w:rPr>
              <w:t>”</w:t>
            </w:r>
            <w:r>
              <w:rPr>
                <w:rFonts w:eastAsiaTheme="minorEastAsia"/>
                <w:kern w:val="0"/>
                <w:sz w:val="24"/>
                <w:highlight w:val="none"/>
                <w:lang w:bidi="ar"/>
              </w:rPr>
              <w:t>时期北京经济技术开发区发展建设和二〇三五年远景目标规划》的总体定位。</w:t>
            </w:r>
          </w:p>
          <w:p w14:paraId="4570DEEB">
            <w:pPr>
              <w:widowControl/>
              <w:numPr>
                <w:ilvl w:val="0"/>
                <w:numId w:val="1"/>
              </w:numPr>
              <w:spacing w:line="360" w:lineRule="auto"/>
              <w:ind w:firstLine="482" w:firstLineChars="200"/>
              <w:jc w:val="left"/>
              <w:rPr>
                <w:rFonts w:eastAsiaTheme="minorEastAsia"/>
                <w:b/>
                <w:bCs/>
                <w:kern w:val="0"/>
                <w:sz w:val="24"/>
                <w:highlight w:val="none"/>
                <w:lang w:bidi="ar"/>
              </w:rPr>
            </w:pPr>
            <w:r>
              <w:rPr>
                <w:rFonts w:eastAsiaTheme="minorEastAsia"/>
                <w:b/>
                <w:bCs/>
                <w:kern w:val="0"/>
                <w:sz w:val="24"/>
                <w:highlight w:val="none"/>
                <w:lang w:bidi="ar"/>
              </w:rPr>
              <w:t>与《北京经济技术开发区区域环境影响报告书》及其审查意见的符合性分析</w:t>
            </w:r>
          </w:p>
          <w:p w14:paraId="1624AC6C">
            <w:pPr>
              <w:widowControl/>
              <w:spacing w:line="360" w:lineRule="auto"/>
              <w:ind w:firstLine="480" w:firstLineChars="200"/>
              <w:jc w:val="left"/>
              <w:rPr>
                <w:rFonts w:eastAsiaTheme="minorEastAsia"/>
                <w:kern w:val="0"/>
                <w:sz w:val="24"/>
                <w:highlight w:val="none"/>
                <w:lang w:bidi="ar"/>
              </w:rPr>
            </w:pPr>
            <w:r>
              <w:rPr>
                <w:rFonts w:eastAsiaTheme="minorEastAsia"/>
                <w:kern w:val="0"/>
                <w:sz w:val="24"/>
                <w:highlight w:val="none"/>
                <w:lang w:bidi="ar"/>
              </w:rPr>
              <w:t>本项目与《北京经济技术开发区区域环境影响报告书》及其审查意见的符合性分析见下表。</w:t>
            </w:r>
          </w:p>
          <w:p w14:paraId="17F776EA">
            <w:pPr>
              <w:widowControl/>
              <w:numPr>
                <w:ilvl w:val="0"/>
                <w:numId w:val="3"/>
              </w:numPr>
              <w:spacing w:line="360" w:lineRule="auto"/>
              <w:ind w:left="425" w:leftChars="0" w:hanging="425" w:firstLineChars="0"/>
              <w:jc w:val="center"/>
              <w:rPr>
                <w:rFonts w:eastAsiaTheme="minorEastAsia"/>
                <w:b/>
                <w:bCs/>
                <w:kern w:val="0"/>
                <w:sz w:val="24"/>
                <w:highlight w:val="none"/>
                <w:lang w:bidi="ar"/>
              </w:rPr>
            </w:pPr>
            <w:r>
              <w:rPr>
                <w:rFonts w:eastAsiaTheme="minorEastAsia"/>
                <w:b/>
                <w:bCs/>
                <w:kern w:val="0"/>
                <w:sz w:val="24"/>
                <w:highlight w:val="none"/>
                <w:lang w:bidi="ar"/>
              </w:rPr>
              <w:t>与《</w:t>
            </w:r>
            <w:r>
              <w:rPr>
                <w:rFonts w:hint="eastAsia" w:eastAsiaTheme="minorEastAsia"/>
                <w:b/>
                <w:bCs/>
                <w:kern w:val="0"/>
                <w:sz w:val="24"/>
                <w:highlight w:val="none"/>
                <w:lang w:bidi="ar"/>
              </w:rPr>
              <w:t>北</w:t>
            </w:r>
            <w:r>
              <w:rPr>
                <w:rFonts w:eastAsiaTheme="minorEastAsia"/>
                <w:b/>
                <w:bCs/>
                <w:kern w:val="0"/>
                <w:sz w:val="24"/>
                <w:highlight w:val="none"/>
                <w:lang w:bidi="ar"/>
              </w:rPr>
              <w:t>京经济技术开发区区域环境影响报告书》及批复的的符合性分析</w:t>
            </w:r>
          </w:p>
          <w:tbl>
            <w:tblPr>
              <w:tblStyle w:val="12"/>
              <w:tblW w:w="66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312"/>
              <w:gridCol w:w="1457"/>
              <w:gridCol w:w="924"/>
            </w:tblGrid>
            <w:tr w14:paraId="25A6B6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965" w:type="dxa"/>
                  <w:tcBorders>
                    <w:tl2br w:val="nil"/>
                    <w:tr2bl w:val="nil"/>
                  </w:tcBorders>
                  <w:vAlign w:val="center"/>
                </w:tcPr>
                <w:p w14:paraId="0B99B405">
                  <w:pPr>
                    <w:widowControl/>
                    <w:spacing w:line="240" w:lineRule="auto"/>
                    <w:ind w:left="0" w:leftChars="0" w:firstLine="0" w:firstLineChars="0"/>
                    <w:jc w:val="center"/>
                    <w:rPr>
                      <w:rFonts w:eastAsiaTheme="minorEastAsia"/>
                      <w:b/>
                      <w:bCs/>
                      <w:kern w:val="0"/>
                      <w:sz w:val="21"/>
                      <w:szCs w:val="21"/>
                      <w:highlight w:val="none"/>
                      <w:lang w:bidi="ar"/>
                    </w:rPr>
                  </w:pPr>
                  <w:r>
                    <w:rPr>
                      <w:rFonts w:eastAsiaTheme="minorEastAsia"/>
                      <w:b/>
                      <w:bCs/>
                      <w:kern w:val="0"/>
                      <w:sz w:val="21"/>
                      <w:szCs w:val="21"/>
                      <w:highlight w:val="none"/>
                      <w:lang w:bidi="ar"/>
                    </w:rPr>
                    <w:t>类别</w:t>
                  </w:r>
                </w:p>
              </w:tc>
              <w:tc>
                <w:tcPr>
                  <w:tcW w:w="3312" w:type="dxa"/>
                  <w:tcBorders>
                    <w:tl2br w:val="nil"/>
                    <w:tr2bl w:val="nil"/>
                  </w:tcBorders>
                  <w:vAlign w:val="center"/>
                </w:tcPr>
                <w:p w14:paraId="229BE275">
                  <w:pPr>
                    <w:widowControl/>
                    <w:spacing w:line="240" w:lineRule="auto"/>
                    <w:ind w:left="0" w:leftChars="0" w:firstLine="0" w:firstLineChars="0"/>
                    <w:jc w:val="center"/>
                    <w:rPr>
                      <w:rFonts w:eastAsiaTheme="minorEastAsia"/>
                      <w:b/>
                      <w:bCs/>
                      <w:kern w:val="0"/>
                      <w:sz w:val="21"/>
                      <w:szCs w:val="21"/>
                      <w:highlight w:val="none"/>
                      <w:lang w:bidi="ar"/>
                    </w:rPr>
                  </w:pPr>
                  <w:r>
                    <w:rPr>
                      <w:rFonts w:hint="eastAsia" w:eastAsiaTheme="minorEastAsia"/>
                      <w:b/>
                      <w:bCs/>
                      <w:kern w:val="0"/>
                      <w:sz w:val="21"/>
                      <w:szCs w:val="21"/>
                      <w:highlight w:val="none"/>
                      <w:lang w:bidi="ar"/>
                    </w:rPr>
                    <w:t>《</w:t>
                  </w:r>
                  <w:r>
                    <w:rPr>
                      <w:rFonts w:eastAsiaTheme="minorEastAsia"/>
                      <w:b/>
                      <w:bCs/>
                      <w:kern w:val="0"/>
                      <w:sz w:val="21"/>
                      <w:szCs w:val="21"/>
                      <w:highlight w:val="none"/>
                      <w:lang w:bidi="ar"/>
                    </w:rPr>
                    <w:t>北京经济技术开发区区域环境影响报告书》及其审查意见</w:t>
                  </w:r>
                </w:p>
              </w:tc>
              <w:tc>
                <w:tcPr>
                  <w:tcW w:w="1457" w:type="dxa"/>
                  <w:tcBorders>
                    <w:tl2br w:val="nil"/>
                    <w:tr2bl w:val="nil"/>
                  </w:tcBorders>
                  <w:vAlign w:val="center"/>
                </w:tcPr>
                <w:p w14:paraId="514B76A6">
                  <w:pPr>
                    <w:widowControl/>
                    <w:spacing w:line="240" w:lineRule="auto"/>
                    <w:ind w:left="0" w:leftChars="0" w:firstLine="0" w:firstLineChars="0"/>
                    <w:jc w:val="center"/>
                    <w:rPr>
                      <w:rFonts w:eastAsiaTheme="minorEastAsia"/>
                      <w:b/>
                      <w:bCs/>
                      <w:kern w:val="0"/>
                      <w:sz w:val="21"/>
                      <w:szCs w:val="21"/>
                      <w:highlight w:val="none"/>
                      <w:lang w:bidi="ar"/>
                    </w:rPr>
                  </w:pPr>
                  <w:r>
                    <w:rPr>
                      <w:rFonts w:eastAsiaTheme="minorEastAsia"/>
                      <w:b/>
                      <w:bCs/>
                      <w:kern w:val="0"/>
                      <w:sz w:val="21"/>
                      <w:szCs w:val="21"/>
                      <w:highlight w:val="none"/>
                      <w:lang w:bidi="ar"/>
                    </w:rPr>
                    <w:t>拟建项目基本情况</w:t>
                  </w:r>
                </w:p>
              </w:tc>
              <w:tc>
                <w:tcPr>
                  <w:tcW w:w="924" w:type="dxa"/>
                  <w:tcBorders>
                    <w:tl2br w:val="nil"/>
                    <w:tr2bl w:val="nil"/>
                  </w:tcBorders>
                  <w:vAlign w:val="center"/>
                </w:tcPr>
                <w:p w14:paraId="57139778">
                  <w:pPr>
                    <w:widowControl/>
                    <w:spacing w:line="240" w:lineRule="auto"/>
                    <w:ind w:left="0" w:leftChars="0" w:firstLine="0" w:firstLineChars="0"/>
                    <w:jc w:val="center"/>
                    <w:rPr>
                      <w:rFonts w:eastAsiaTheme="minorEastAsia"/>
                      <w:b/>
                      <w:bCs/>
                      <w:kern w:val="0"/>
                      <w:sz w:val="21"/>
                      <w:szCs w:val="21"/>
                      <w:highlight w:val="none"/>
                      <w:lang w:bidi="ar"/>
                    </w:rPr>
                  </w:pPr>
                  <w:r>
                    <w:rPr>
                      <w:rFonts w:eastAsiaTheme="minorEastAsia"/>
                      <w:b/>
                      <w:bCs/>
                      <w:kern w:val="0"/>
                      <w:sz w:val="21"/>
                      <w:szCs w:val="21"/>
                      <w:highlight w:val="none"/>
                      <w:lang w:bidi="ar"/>
                    </w:rPr>
                    <w:t>符合性分析</w:t>
                  </w:r>
                </w:p>
              </w:tc>
            </w:tr>
            <w:tr w14:paraId="4BD932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965" w:type="dxa"/>
                  <w:tcBorders>
                    <w:tl2br w:val="nil"/>
                    <w:tr2bl w:val="nil"/>
                  </w:tcBorders>
                  <w:vAlign w:val="center"/>
                </w:tcPr>
                <w:p w14:paraId="07AB99EA">
                  <w:pPr>
                    <w:widowControl/>
                    <w:spacing w:line="240" w:lineRule="auto"/>
                    <w:ind w:left="0" w:leftChars="0" w:firstLine="0" w:firstLineChars="0"/>
                    <w:jc w:val="center"/>
                    <w:rPr>
                      <w:rFonts w:eastAsiaTheme="minorEastAsia"/>
                      <w:kern w:val="0"/>
                      <w:sz w:val="21"/>
                      <w:szCs w:val="21"/>
                      <w:highlight w:val="none"/>
                      <w:lang w:bidi="ar"/>
                    </w:rPr>
                  </w:pPr>
                  <w:r>
                    <w:rPr>
                      <w:rFonts w:eastAsiaTheme="minorEastAsia"/>
                      <w:kern w:val="0"/>
                      <w:sz w:val="21"/>
                      <w:szCs w:val="21"/>
                      <w:highlight w:val="none"/>
                      <w:lang w:bidi="ar"/>
                    </w:rPr>
                    <w:t>对入区工业项目类型的环保要求</w:t>
                  </w:r>
                </w:p>
              </w:tc>
              <w:tc>
                <w:tcPr>
                  <w:tcW w:w="3312" w:type="dxa"/>
                  <w:tcBorders>
                    <w:tl2br w:val="nil"/>
                    <w:tr2bl w:val="nil"/>
                  </w:tcBorders>
                  <w:vAlign w:val="center"/>
                </w:tcPr>
                <w:p w14:paraId="5D3C4A7F">
                  <w:pPr>
                    <w:widowControl/>
                    <w:spacing w:line="240" w:lineRule="auto"/>
                    <w:ind w:left="0" w:leftChars="0" w:firstLine="0" w:firstLineChars="0"/>
                    <w:jc w:val="both"/>
                    <w:rPr>
                      <w:rFonts w:eastAsiaTheme="minorEastAsia"/>
                      <w:kern w:val="0"/>
                      <w:sz w:val="21"/>
                      <w:szCs w:val="21"/>
                      <w:highlight w:val="none"/>
                      <w:lang w:bidi="ar"/>
                    </w:rPr>
                  </w:pPr>
                  <w:r>
                    <w:rPr>
                      <w:rFonts w:eastAsiaTheme="minorEastAsia"/>
                      <w:kern w:val="0"/>
                      <w:sz w:val="21"/>
                      <w:szCs w:val="21"/>
                      <w:highlight w:val="none"/>
                      <w:lang w:bidi="ar"/>
                    </w:rPr>
                    <w:t>开发区重点发展的五大支柱产业，即电子信息产业、生物技术和新医药产业、新材料与新能源产业、现代制造业。从环境保护角度对入区企业提出如下限制原则：不发展北京市明令禁止发展的企业；不发展与其他开发区定位相冲突的行业；不发展与北京市不能形成产业链条和不具备资源优势的产业；不发展劳动密集型企业；不发展其他高耗水企业和水污染严重企业；不发展与饮食食品相关的行业。</w:t>
                  </w:r>
                </w:p>
              </w:tc>
              <w:tc>
                <w:tcPr>
                  <w:tcW w:w="1457" w:type="dxa"/>
                  <w:tcBorders>
                    <w:tl2br w:val="nil"/>
                    <w:tr2bl w:val="nil"/>
                  </w:tcBorders>
                  <w:vAlign w:val="center"/>
                </w:tcPr>
                <w:p w14:paraId="6D02D595">
                  <w:pPr>
                    <w:widowControl/>
                    <w:spacing w:line="240" w:lineRule="auto"/>
                    <w:ind w:left="0" w:leftChars="0" w:firstLine="0" w:firstLineChars="0"/>
                    <w:jc w:val="both"/>
                    <w:rPr>
                      <w:rFonts w:eastAsiaTheme="minorEastAsia"/>
                      <w:kern w:val="0"/>
                      <w:sz w:val="21"/>
                      <w:szCs w:val="21"/>
                      <w:highlight w:val="none"/>
                      <w:lang w:bidi="ar"/>
                    </w:rPr>
                  </w:pPr>
                  <w:r>
                    <w:rPr>
                      <w:rFonts w:eastAsiaTheme="minorEastAsia"/>
                      <w:kern w:val="0"/>
                      <w:sz w:val="21"/>
                      <w:szCs w:val="21"/>
                      <w:highlight w:val="none"/>
                      <w:lang w:bidi="ar"/>
                    </w:rPr>
                    <w:t>本项目</w:t>
                  </w:r>
                  <w:r>
                    <w:rPr>
                      <w:rFonts w:hint="eastAsia" w:eastAsiaTheme="minorEastAsia"/>
                      <w:kern w:val="0"/>
                      <w:sz w:val="21"/>
                      <w:szCs w:val="21"/>
                      <w:highlight w:val="none"/>
                      <w:lang w:bidi="ar"/>
                    </w:rPr>
                    <w:t>建设</w:t>
                  </w:r>
                  <w:r>
                    <w:rPr>
                      <w:rFonts w:hint="eastAsia" w:eastAsiaTheme="minorEastAsia"/>
                      <w:kern w:val="0"/>
                      <w:sz w:val="21"/>
                      <w:szCs w:val="21"/>
                      <w:highlight w:val="none"/>
                      <w:lang w:val="en-US" w:eastAsia="zh-CN" w:bidi="ar"/>
                    </w:rPr>
                    <w:t>免疫诊断技术实验室</w:t>
                  </w:r>
                  <w:r>
                    <w:rPr>
                      <w:rFonts w:hint="eastAsia" w:eastAsiaTheme="minorEastAsia"/>
                      <w:kern w:val="0"/>
                      <w:sz w:val="21"/>
                      <w:szCs w:val="21"/>
                      <w:highlight w:val="none"/>
                      <w:lang w:bidi="ar"/>
                    </w:rPr>
                    <w:t>，</w:t>
                  </w:r>
                  <w:r>
                    <w:rPr>
                      <w:rFonts w:eastAsiaTheme="minorEastAsia"/>
                      <w:kern w:val="0"/>
                      <w:sz w:val="21"/>
                      <w:szCs w:val="21"/>
                      <w:highlight w:val="none"/>
                      <w:lang w:bidi="ar"/>
                    </w:rPr>
                    <w:t>建设内容所属行业为</w:t>
                  </w:r>
                  <w:r>
                    <w:rPr>
                      <w:rFonts w:hint="eastAsia" w:eastAsiaTheme="minorEastAsia"/>
                      <w:kern w:val="0"/>
                      <w:sz w:val="21"/>
                      <w:szCs w:val="21"/>
                      <w:highlight w:val="none"/>
                      <w:lang w:bidi="ar"/>
                    </w:rPr>
                    <w:t>“</w:t>
                  </w:r>
                  <w:r>
                    <w:rPr>
                      <w:rFonts w:eastAsiaTheme="minorEastAsia"/>
                      <w:kern w:val="0"/>
                      <w:sz w:val="21"/>
                      <w:szCs w:val="21"/>
                      <w:highlight w:val="none"/>
                      <w:lang w:bidi="ar"/>
                    </w:rPr>
                    <w:t>M7340 医学研究和试验发展</w:t>
                  </w:r>
                  <w:r>
                    <w:rPr>
                      <w:rFonts w:hint="eastAsia" w:eastAsiaTheme="minorEastAsia"/>
                      <w:kern w:val="0"/>
                      <w:sz w:val="21"/>
                      <w:szCs w:val="21"/>
                      <w:highlight w:val="none"/>
                      <w:lang w:bidi="ar"/>
                    </w:rPr>
                    <w:t>”</w:t>
                  </w:r>
                  <w:r>
                    <w:rPr>
                      <w:rFonts w:eastAsiaTheme="minorEastAsia"/>
                      <w:kern w:val="0"/>
                      <w:sz w:val="21"/>
                      <w:szCs w:val="21"/>
                      <w:highlight w:val="none"/>
                      <w:lang w:bidi="ar"/>
                    </w:rPr>
                    <w:t>，符合</w:t>
                  </w:r>
                  <w:r>
                    <w:rPr>
                      <w:rFonts w:hint="eastAsia" w:eastAsiaTheme="minorEastAsia"/>
                      <w:kern w:val="0"/>
                      <w:sz w:val="21"/>
                      <w:szCs w:val="21"/>
                      <w:highlight w:val="none"/>
                      <w:lang w:val="en-US" w:eastAsia="zh-CN" w:bidi="ar"/>
                    </w:rPr>
                    <w:t>报告书要求</w:t>
                  </w:r>
                  <w:r>
                    <w:rPr>
                      <w:rFonts w:eastAsiaTheme="minorEastAsia"/>
                      <w:kern w:val="0"/>
                      <w:sz w:val="21"/>
                      <w:szCs w:val="21"/>
                      <w:highlight w:val="none"/>
                      <w:lang w:bidi="ar"/>
                    </w:rPr>
                    <w:t>。</w:t>
                  </w:r>
                </w:p>
              </w:tc>
              <w:tc>
                <w:tcPr>
                  <w:tcW w:w="924" w:type="dxa"/>
                  <w:tcBorders>
                    <w:tl2br w:val="nil"/>
                    <w:tr2bl w:val="nil"/>
                  </w:tcBorders>
                  <w:vAlign w:val="center"/>
                </w:tcPr>
                <w:p w14:paraId="20C8A11A">
                  <w:pPr>
                    <w:widowControl/>
                    <w:spacing w:line="240" w:lineRule="auto"/>
                    <w:ind w:left="0" w:leftChars="0" w:firstLine="0" w:firstLineChars="0"/>
                    <w:jc w:val="center"/>
                    <w:rPr>
                      <w:rFonts w:eastAsiaTheme="minorEastAsia"/>
                      <w:kern w:val="0"/>
                      <w:sz w:val="21"/>
                      <w:szCs w:val="21"/>
                      <w:highlight w:val="none"/>
                      <w:lang w:bidi="ar"/>
                    </w:rPr>
                  </w:pPr>
                  <w:r>
                    <w:rPr>
                      <w:rFonts w:hint="eastAsia" w:eastAsiaTheme="minorEastAsia"/>
                      <w:kern w:val="0"/>
                      <w:sz w:val="21"/>
                      <w:szCs w:val="21"/>
                      <w:highlight w:val="none"/>
                      <w:lang w:bidi="ar"/>
                    </w:rPr>
                    <w:t>符合</w:t>
                  </w:r>
                </w:p>
              </w:tc>
            </w:tr>
            <w:tr w14:paraId="5C6E66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965" w:type="dxa"/>
                  <w:tcBorders>
                    <w:tl2br w:val="nil"/>
                    <w:tr2bl w:val="nil"/>
                  </w:tcBorders>
                  <w:vAlign w:val="center"/>
                </w:tcPr>
                <w:p w14:paraId="6674DF00">
                  <w:pPr>
                    <w:widowControl/>
                    <w:spacing w:line="240" w:lineRule="auto"/>
                    <w:ind w:left="0" w:leftChars="0" w:firstLine="0" w:firstLineChars="0"/>
                    <w:jc w:val="center"/>
                    <w:rPr>
                      <w:rFonts w:eastAsiaTheme="minorEastAsia"/>
                      <w:kern w:val="0"/>
                      <w:sz w:val="21"/>
                      <w:szCs w:val="21"/>
                      <w:highlight w:val="none"/>
                      <w:lang w:bidi="ar"/>
                    </w:rPr>
                  </w:pPr>
                  <w:r>
                    <w:rPr>
                      <w:rFonts w:eastAsiaTheme="minorEastAsia"/>
                      <w:kern w:val="0"/>
                      <w:sz w:val="21"/>
                      <w:szCs w:val="21"/>
                      <w:highlight w:val="none"/>
                      <w:lang w:bidi="ar"/>
                    </w:rPr>
                    <w:t>对入区项目环境影响评价的</w:t>
                  </w:r>
                  <w:r>
                    <w:rPr>
                      <w:rFonts w:hint="eastAsia" w:eastAsiaTheme="minorEastAsia"/>
                      <w:kern w:val="0"/>
                      <w:sz w:val="21"/>
                      <w:szCs w:val="21"/>
                      <w:highlight w:val="none"/>
                      <w:lang w:bidi="ar"/>
                    </w:rPr>
                    <w:t>要求</w:t>
                  </w:r>
                </w:p>
              </w:tc>
              <w:tc>
                <w:tcPr>
                  <w:tcW w:w="3312" w:type="dxa"/>
                  <w:tcBorders>
                    <w:tl2br w:val="nil"/>
                    <w:tr2bl w:val="nil"/>
                  </w:tcBorders>
                  <w:vAlign w:val="center"/>
                </w:tcPr>
                <w:p w14:paraId="2C9C0168">
                  <w:pPr>
                    <w:widowControl/>
                    <w:spacing w:line="240" w:lineRule="auto"/>
                    <w:ind w:left="0" w:leftChars="0" w:firstLine="0" w:firstLineChars="0"/>
                    <w:jc w:val="both"/>
                    <w:rPr>
                      <w:rFonts w:eastAsiaTheme="minorEastAsia"/>
                      <w:kern w:val="0"/>
                      <w:sz w:val="21"/>
                      <w:szCs w:val="21"/>
                      <w:highlight w:val="none"/>
                      <w:lang w:bidi="ar"/>
                    </w:rPr>
                  </w:pPr>
                  <w:r>
                    <w:rPr>
                      <w:rFonts w:eastAsiaTheme="minorEastAsia"/>
                      <w:kern w:val="0"/>
                      <w:sz w:val="21"/>
                      <w:szCs w:val="21"/>
                      <w:highlight w:val="none"/>
                      <w:lang w:bidi="ar"/>
                    </w:rPr>
                    <w:t>对符合</w:t>
                  </w:r>
                  <w:r>
                    <w:rPr>
                      <w:rFonts w:hint="eastAsia" w:eastAsiaTheme="minorEastAsia"/>
                      <w:kern w:val="0"/>
                      <w:sz w:val="21"/>
                      <w:szCs w:val="21"/>
                      <w:highlight w:val="none"/>
                      <w:lang w:bidi="ar"/>
                    </w:rPr>
                    <w:t>“</w:t>
                  </w:r>
                  <w:r>
                    <w:rPr>
                      <w:rFonts w:eastAsiaTheme="minorEastAsia"/>
                      <w:kern w:val="0"/>
                      <w:sz w:val="21"/>
                      <w:szCs w:val="21"/>
                      <w:highlight w:val="none"/>
                      <w:lang w:bidi="ar"/>
                    </w:rPr>
                    <w:t>五大支柱产业</w:t>
                  </w:r>
                  <w:r>
                    <w:rPr>
                      <w:rFonts w:hint="eastAsia" w:eastAsiaTheme="minorEastAsia"/>
                      <w:kern w:val="0"/>
                      <w:sz w:val="21"/>
                      <w:szCs w:val="21"/>
                      <w:highlight w:val="none"/>
                      <w:lang w:bidi="ar"/>
                    </w:rPr>
                    <w:t>”</w:t>
                  </w:r>
                  <w:r>
                    <w:rPr>
                      <w:rFonts w:eastAsiaTheme="minorEastAsia"/>
                      <w:kern w:val="0"/>
                      <w:sz w:val="21"/>
                      <w:szCs w:val="21"/>
                      <w:highlight w:val="none"/>
                      <w:lang w:bidi="ar"/>
                    </w:rPr>
                    <w:t>，但目前尚未预计到的高新技术类型项目，要求严格按照国家环境保护总局颁布的《建设项目环境保护分类管理名录》进行环境影响评价。</w:t>
                  </w:r>
                </w:p>
              </w:tc>
              <w:tc>
                <w:tcPr>
                  <w:tcW w:w="1457" w:type="dxa"/>
                  <w:tcBorders>
                    <w:tl2br w:val="nil"/>
                    <w:tr2bl w:val="nil"/>
                  </w:tcBorders>
                  <w:vAlign w:val="center"/>
                </w:tcPr>
                <w:p w14:paraId="77EEB6AA">
                  <w:pPr>
                    <w:widowControl/>
                    <w:spacing w:line="240" w:lineRule="auto"/>
                    <w:ind w:left="0" w:leftChars="0" w:firstLine="0" w:firstLineChars="0"/>
                    <w:jc w:val="both"/>
                    <w:rPr>
                      <w:rFonts w:eastAsiaTheme="minorEastAsia"/>
                      <w:kern w:val="0"/>
                      <w:sz w:val="21"/>
                      <w:szCs w:val="21"/>
                      <w:highlight w:val="none"/>
                      <w:lang w:bidi="ar"/>
                    </w:rPr>
                  </w:pPr>
                  <w:r>
                    <w:rPr>
                      <w:rFonts w:eastAsiaTheme="minorEastAsia"/>
                      <w:kern w:val="0"/>
                      <w:sz w:val="21"/>
                      <w:szCs w:val="21"/>
                      <w:highlight w:val="none"/>
                      <w:lang w:bidi="ar"/>
                    </w:rPr>
                    <w:t>项目严格按照</w:t>
                  </w:r>
                  <w:r>
                    <w:rPr>
                      <w:rFonts w:hint="eastAsia" w:eastAsiaTheme="minorEastAsia"/>
                      <w:kern w:val="0"/>
                      <w:sz w:val="21"/>
                      <w:szCs w:val="21"/>
                      <w:highlight w:val="none"/>
                      <w:lang w:bidi="ar"/>
                    </w:rPr>
                    <w:t>相关</w:t>
                  </w:r>
                  <w:r>
                    <w:rPr>
                      <w:rFonts w:eastAsiaTheme="minorEastAsia"/>
                      <w:kern w:val="0"/>
                      <w:sz w:val="21"/>
                      <w:szCs w:val="21"/>
                      <w:highlight w:val="none"/>
                      <w:lang w:bidi="ar"/>
                    </w:rPr>
                    <w:t>要求，编制环境影响报告进行评价。</w:t>
                  </w:r>
                </w:p>
              </w:tc>
              <w:tc>
                <w:tcPr>
                  <w:tcW w:w="924" w:type="dxa"/>
                  <w:tcBorders>
                    <w:tl2br w:val="nil"/>
                    <w:tr2bl w:val="nil"/>
                  </w:tcBorders>
                  <w:vAlign w:val="center"/>
                </w:tcPr>
                <w:p w14:paraId="1BE28754">
                  <w:pPr>
                    <w:widowControl/>
                    <w:spacing w:line="240" w:lineRule="auto"/>
                    <w:ind w:left="0" w:leftChars="0" w:firstLine="0" w:firstLineChars="0"/>
                    <w:jc w:val="center"/>
                    <w:rPr>
                      <w:rFonts w:eastAsiaTheme="minorEastAsia"/>
                      <w:kern w:val="0"/>
                      <w:sz w:val="21"/>
                      <w:szCs w:val="21"/>
                      <w:highlight w:val="none"/>
                      <w:lang w:bidi="ar"/>
                    </w:rPr>
                  </w:pPr>
                  <w:r>
                    <w:rPr>
                      <w:rFonts w:hint="eastAsia" w:eastAsiaTheme="minorEastAsia"/>
                      <w:kern w:val="0"/>
                      <w:sz w:val="21"/>
                      <w:szCs w:val="21"/>
                      <w:highlight w:val="none"/>
                      <w:lang w:bidi="ar"/>
                    </w:rPr>
                    <w:t>符合</w:t>
                  </w:r>
                </w:p>
              </w:tc>
            </w:tr>
          </w:tbl>
          <w:p w14:paraId="126B872B">
            <w:pPr>
              <w:widowControl/>
              <w:spacing w:line="360" w:lineRule="auto"/>
              <w:ind w:firstLine="480" w:firstLineChars="200"/>
              <w:jc w:val="left"/>
              <w:rPr>
                <w:rFonts w:eastAsiaTheme="minorEastAsia"/>
                <w:kern w:val="0"/>
                <w:sz w:val="24"/>
                <w:highlight w:val="none"/>
                <w:lang w:bidi="ar"/>
              </w:rPr>
            </w:pPr>
            <w:r>
              <w:rPr>
                <w:rFonts w:eastAsiaTheme="minorEastAsia"/>
                <w:kern w:val="0"/>
                <w:sz w:val="24"/>
                <w:highlight w:val="none"/>
                <w:lang w:bidi="ar"/>
              </w:rPr>
              <w:t>根据上表分析结果，本项目符合《北京经济技术开发区区域环境影响报告书》及其审查意见的相关要求。</w:t>
            </w:r>
          </w:p>
          <w:p w14:paraId="422D4048">
            <w:pPr>
              <w:widowControl/>
              <w:numPr>
                <w:ilvl w:val="0"/>
                <w:numId w:val="1"/>
              </w:numPr>
              <w:spacing w:line="360" w:lineRule="auto"/>
              <w:ind w:firstLine="482" w:firstLineChars="200"/>
              <w:jc w:val="left"/>
              <w:rPr>
                <w:rFonts w:eastAsiaTheme="minorEastAsia"/>
                <w:b/>
                <w:bCs/>
                <w:kern w:val="0"/>
                <w:sz w:val="24"/>
                <w:highlight w:val="none"/>
                <w:lang w:bidi="ar"/>
              </w:rPr>
            </w:pPr>
            <w:r>
              <w:rPr>
                <w:rFonts w:eastAsiaTheme="minorEastAsia"/>
                <w:b/>
                <w:bCs/>
                <w:kern w:val="0"/>
                <w:sz w:val="24"/>
                <w:highlight w:val="none"/>
                <w:lang w:bidi="ar"/>
              </w:rPr>
              <w:t>与《北京经济技术开发区</w:t>
            </w:r>
            <w:r>
              <w:rPr>
                <w:rFonts w:hint="eastAsia" w:eastAsiaTheme="minorEastAsia"/>
                <w:b/>
                <w:bCs/>
                <w:kern w:val="0"/>
                <w:sz w:val="24"/>
                <w:highlight w:val="none"/>
                <w:lang w:bidi="ar"/>
              </w:rPr>
              <w:t>“</w:t>
            </w:r>
            <w:r>
              <w:rPr>
                <w:rFonts w:eastAsiaTheme="minorEastAsia"/>
                <w:b/>
                <w:bCs/>
                <w:kern w:val="0"/>
                <w:sz w:val="24"/>
                <w:highlight w:val="none"/>
                <w:lang w:bidi="ar"/>
              </w:rPr>
              <w:t>十三五</w:t>
            </w:r>
            <w:r>
              <w:rPr>
                <w:rFonts w:hint="eastAsia" w:eastAsiaTheme="minorEastAsia"/>
                <w:b/>
                <w:bCs/>
                <w:kern w:val="0"/>
                <w:sz w:val="24"/>
                <w:highlight w:val="none"/>
                <w:lang w:bidi="ar"/>
              </w:rPr>
              <w:t>”</w:t>
            </w:r>
            <w:r>
              <w:rPr>
                <w:rFonts w:eastAsiaTheme="minorEastAsia"/>
                <w:b/>
                <w:bCs/>
                <w:kern w:val="0"/>
                <w:sz w:val="24"/>
                <w:highlight w:val="none"/>
                <w:lang w:bidi="ar"/>
              </w:rPr>
              <w:t>时期创新发展规划环境影响篇章》（2016）的符合性分析</w:t>
            </w:r>
          </w:p>
          <w:p w14:paraId="5D07E4D1">
            <w:pPr>
              <w:widowControl/>
              <w:spacing w:line="360" w:lineRule="auto"/>
              <w:ind w:firstLine="480" w:firstLineChars="200"/>
              <w:jc w:val="left"/>
              <w:rPr>
                <w:rFonts w:eastAsiaTheme="minorEastAsia"/>
                <w:kern w:val="0"/>
                <w:sz w:val="24"/>
                <w:highlight w:val="none"/>
                <w:lang w:bidi="ar"/>
              </w:rPr>
            </w:pPr>
            <w:r>
              <w:rPr>
                <w:rFonts w:eastAsiaTheme="minorEastAsia"/>
                <w:kern w:val="0"/>
                <w:sz w:val="24"/>
                <w:highlight w:val="none"/>
                <w:lang w:bidi="ar"/>
              </w:rPr>
              <w:t>北京经济技术开发区已于 2016年11月委托北京市环境保护科学研究院编制了《北京经济技术开发区</w:t>
            </w:r>
            <w:r>
              <w:rPr>
                <w:rFonts w:hint="eastAsia" w:eastAsiaTheme="minorEastAsia"/>
                <w:kern w:val="0"/>
                <w:sz w:val="24"/>
                <w:highlight w:val="none"/>
                <w:lang w:bidi="ar"/>
              </w:rPr>
              <w:t>“</w:t>
            </w:r>
            <w:r>
              <w:rPr>
                <w:rFonts w:eastAsiaTheme="minorEastAsia"/>
                <w:kern w:val="0"/>
                <w:sz w:val="24"/>
                <w:highlight w:val="none"/>
                <w:lang w:bidi="ar"/>
              </w:rPr>
              <w:t>十三五</w:t>
            </w:r>
            <w:r>
              <w:rPr>
                <w:rFonts w:hint="eastAsia" w:eastAsiaTheme="minorEastAsia"/>
                <w:kern w:val="0"/>
                <w:sz w:val="24"/>
                <w:highlight w:val="none"/>
                <w:lang w:bidi="ar"/>
              </w:rPr>
              <w:t>”</w:t>
            </w:r>
            <w:r>
              <w:rPr>
                <w:rFonts w:eastAsiaTheme="minorEastAsia"/>
                <w:kern w:val="0"/>
                <w:sz w:val="24"/>
                <w:highlight w:val="none"/>
                <w:lang w:bidi="ar"/>
              </w:rPr>
              <w:t>时期创新发展规划环境影响篇章》，本项目与该篇章的符合性分析见下表。</w:t>
            </w:r>
          </w:p>
          <w:p w14:paraId="12E21DE4">
            <w:pPr>
              <w:widowControl/>
              <w:numPr>
                <w:ilvl w:val="0"/>
                <w:numId w:val="3"/>
              </w:numPr>
              <w:spacing w:line="360" w:lineRule="auto"/>
              <w:ind w:left="425" w:leftChars="0" w:hanging="425" w:firstLineChars="0"/>
              <w:jc w:val="center"/>
              <w:rPr>
                <w:rFonts w:eastAsiaTheme="minorEastAsia"/>
                <w:b/>
                <w:bCs/>
                <w:kern w:val="0"/>
                <w:sz w:val="24"/>
                <w:highlight w:val="none"/>
                <w:lang w:bidi="ar"/>
              </w:rPr>
            </w:pPr>
            <w:r>
              <w:rPr>
                <w:rFonts w:eastAsiaTheme="minorEastAsia"/>
                <w:b/>
                <w:bCs/>
                <w:kern w:val="0"/>
                <w:sz w:val="24"/>
                <w:highlight w:val="none"/>
                <w:lang w:bidi="ar"/>
              </w:rPr>
              <w:t>与《北京经济技术开发区</w:t>
            </w:r>
            <w:r>
              <w:rPr>
                <w:rFonts w:hint="eastAsia" w:eastAsiaTheme="minorEastAsia"/>
                <w:b/>
                <w:bCs/>
                <w:kern w:val="0"/>
                <w:sz w:val="24"/>
                <w:highlight w:val="none"/>
                <w:lang w:bidi="ar"/>
              </w:rPr>
              <w:t>“</w:t>
            </w:r>
            <w:r>
              <w:rPr>
                <w:rFonts w:eastAsiaTheme="minorEastAsia"/>
                <w:b/>
                <w:bCs/>
                <w:kern w:val="0"/>
                <w:sz w:val="24"/>
                <w:highlight w:val="none"/>
                <w:lang w:bidi="ar"/>
              </w:rPr>
              <w:t>十三五</w:t>
            </w:r>
            <w:r>
              <w:rPr>
                <w:rFonts w:hint="eastAsia" w:eastAsiaTheme="minorEastAsia"/>
                <w:b/>
                <w:bCs/>
                <w:kern w:val="0"/>
                <w:sz w:val="24"/>
                <w:highlight w:val="none"/>
                <w:lang w:bidi="ar"/>
              </w:rPr>
              <w:t>”</w:t>
            </w:r>
            <w:r>
              <w:rPr>
                <w:rFonts w:eastAsiaTheme="minorEastAsia"/>
                <w:b/>
                <w:bCs/>
                <w:kern w:val="0"/>
                <w:sz w:val="24"/>
                <w:highlight w:val="none"/>
                <w:lang w:bidi="ar"/>
              </w:rPr>
              <w:t>时期创新发展规划环境影响篇章》（2016）的符合性分析</w:t>
            </w:r>
          </w:p>
          <w:tbl>
            <w:tblPr>
              <w:tblStyle w:val="19"/>
              <w:tblW w:w="66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3"/>
              <w:gridCol w:w="622"/>
              <w:gridCol w:w="2914"/>
              <w:gridCol w:w="2749"/>
            </w:tblGrid>
            <w:tr w14:paraId="1C36B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jc w:val="center"/>
              </w:trPr>
              <w:tc>
                <w:tcPr>
                  <w:tcW w:w="393" w:type="dxa"/>
                  <w:tcBorders>
                    <w:top w:val="single" w:color="000000" w:sz="10" w:space="0"/>
                    <w:left w:val="nil"/>
                  </w:tcBorders>
                  <w:vAlign w:val="center"/>
                </w:tcPr>
                <w:p w14:paraId="07A15FE4">
                  <w:pPr>
                    <w:autoSpaceDE w:val="0"/>
                    <w:autoSpaceDN w:val="0"/>
                    <w:adjustRightInd w:val="0"/>
                    <w:snapToGrid w:val="0"/>
                    <w:spacing w:line="240" w:lineRule="auto"/>
                    <w:ind w:left="0" w:lef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w:t>
                  </w:r>
                  <w:r>
                    <w:rPr>
                      <w:rFonts w:hint="eastAsia" w:ascii="宋体" w:hAnsi="宋体" w:eastAsia="宋体" w:cs="宋体"/>
                      <w:b/>
                      <w:bCs/>
                      <w:sz w:val="21"/>
                      <w:szCs w:val="21"/>
                      <w:highlight w:val="none"/>
                      <w:lang w:val="en-US" w:eastAsia="zh-CN"/>
                    </w:rPr>
                    <w:t>序</w:t>
                  </w:r>
                </w:p>
              </w:tc>
              <w:tc>
                <w:tcPr>
                  <w:tcW w:w="622" w:type="dxa"/>
                  <w:tcBorders>
                    <w:top w:val="single" w:color="000000" w:sz="10" w:space="0"/>
                  </w:tcBorders>
                  <w:vAlign w:val="center"/>
                </w:tcPr>
                <w:p w14:paraId="54E859CF">
                  <w:pPr>
                    <w:autoSpaceDE w:val="0"/>
                    <w:autoSpaceDN w:val="0"/>
                    <w:adjustRightInd w:val="0"/>
                    <w:snapToGrid w:val="0"/>
                    <w:spacing w:line="240" w:lineRule="auto"/>
                    <w:ind w:left="0" w:lef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类别</w:t>
                  </w:r>
                </w:p>
              </w:tc>
              <w:tc>
                <w:tcPr>
                  <w:tcW w:w="2914" w:type="dxa"/>
                  <w:tcBorders>
                    <w:top w:val="single" w:color="000000" w:sz="10" w:space="0"/>
                  </w:tcBorders>
                  <w:vAlign w:val="center"/>
                </w:tcPr>
                <w:p w14:paraId="70CA4BF0">
                  <w:pPr>
                    <w:autoSpaceDE w:val="0"/>
                    <w:autoSpaceDN w:val="0"/>
                    <w:adjustRightInd w:val="0"/>
                    <w:snapToGrid w:val="0"/>
                    <w:spacing w:line="240" w:lineRule="auto"/>
                    <w:ind w:left="0" w:lef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与本项目相关的开发区“十三五”规划内容</w:t>
                  </w:r>
                </w:p>
              </w:tc>
              <w:tc>
                <w:tcPr>
                  <w:tcW w:w="2749" w:type="dxa"/>
                  <w:tcBorders>
                    <w:top w:val="single" w:color="000000" w:sz="10" w:space="0"/>
                    <w:right w:val="nil"/>
                  </w:tcBorders>
                  <w:vAlign w:val="center"/>
                </w:tcPr>
                <w:p w14:paraId="1BD02C0D">
                  <w:pPr>
                    <w:autoSpaceDE w:val="0"/>
                    <w:autoSpaceDN w:val="0"/>
                    <w:adjustRightInd w:val="0"/>
                    <w:snapToGrid w:val="0"/>
                    <w:spacing w:line="240" w:lineRule="auto"/>
                    <w:ind w:left="0" w:leftChars="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本项目符合性分析</w:t>
                  </w:r>
                </w:p>
              </w:tc>
            </w:tr>
            <w:tr w14:paraId="5ECAA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393" w:type="dxa"/>
                  <w:tcBorders>
                    <w:left w:val="nil"/>
                  </w:tcBorders>
                  <w:vAlign w:val="center"/>
                </w:tcPr>
                <w:p w14:paraId="7B20E058">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1</w:t>
                  </w:r>
                </w:p>
                <w:p w14:paraId="0362D3B9">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val="en-US" w:eastAsia="zh-CN" w:bidi="ar"/>
                    </w:rPr>
                  </w:pPr>
                </w:p>
              </w:tc>
              <w:tc>
                <w:tcPr>
                  <w:tcW w:w="622" w:type="dxa"/>
                  <w:vAlign w:val="center"/>
                </w:tcPr>
                <w:p w14:paraId="374B9977">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规划目标</w:t>
                  </w:r>
                </w:p>
              </w:tc>
              <w:tc>
                <w:tcPr>
                  <w:tcW w:w="2914" w:type="dxa"/>
                  <w:vAlign w:val="center"/>
                </w:tcPr>
                <w:p w14:paraId="6A4B29B1">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产业发展高端化进一步强化，打造千亿级以上产业集群5个，科技创新生态体系初具规模。以产品创新为核心的科技创新生态体系基本形成，创新要素加速聚集，人民生活更加公平和谐。就业保障能力进一步提高。</w:t>
                  </w:r>
                </w:p>
              </w:tc>
              <w:tc>
                <w:tcPr>
                  <w:tcW w:w="2749" w:type="dxa"/>
                  <w:tcBorders>
                    <w:right w:val="nil"/>
                  </w:tcBorders>
                  <w:vAlign w:val="center"/>
                </w:tcPr>
                <w:p w14:paraId="608B65BB">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本项目为</w:t>
                  </w:r>
                  <w:r>
                    <w:rPr>
                      <w:rFonts w:hint="eastAsia" w:eastAsiaTheme="minorEastAsia"/>
                      <w:kern w:val="0"/>
                      <w:sz w:val="21"/>
                      <w:szCs w:val="21"/>
                      <w:highlight w:val="none"/>
                      <w:lang w:val="en-US" w:eastAsia="zh-CN" w:bidi="ar"/>
                    </w:rPr>
                    <w:t>免疫诊断技术实验室</w:t>
                  </w:r>
                  <w:r>
                    <w:rPr>
                      <w:rFonts w:hint="eastAsia" w:ascii="Times New Roman" w:hAnsi="Times New Roman" w:eastAsiaTheme="minorEastAsia"/>
                      <w:kern w:val="0"/>
                      <w:sz w:val="21"/>
                      <w:szCs w:val="21"/>
                      <w:highlight w:val="none"/>
                      <w:lang w:bidi="ar"/>
                    </w:rPr>
                    <w:t>，属于科技创新项目。项目建成后能够提供一定就业岗位，有利于促进开发区科技创新生态系统的形成，符合规划目标。</w:t>
                  </w:r>
                </w:p>
              </w:tc>
            </w:tr>
            <w:tr w14:paraId="01908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jc w:val="center"/>
              </w:trPr>
              <w:tc>
                <w:tcPr>
                  <w:tcW w:w="393" w:type="dxa"/>
                  <w:tcBorders>
                    <w:left w:val="nil"/>
                  </w:tcBorders>
                  <w:vAlign w:val="center"/>
                </w:tcPr>
                <w:p w14:paraId="20BB5895">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2</w:t>
                  </w:r>
                </w:p>
              </w:tc>
              <w:tc>
                <w:tcPr>
                  <w:tcW w:w="622" w:type="dxa"/>
                  <w:vAlign w:val="center"/>
                </w:tcPr>
                <w:p w14:paraId="4E41FD82">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产业发展方向</w:t>
                  </w:r>
                </w:p>
              </w:tc>
              <w:tc>
                <w:tcPr>
                  <w:tcW w:w="2914" w:type="dxa"/>
                  <w:vAlign w:val="center"/>
                </w:tcPr>
                <w:p w14:paraId="54A7329A">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立足开发区高端产业的发展基础，持续做强电子信息、生物医药、装备产业、汽车产业的总装集成、系统集成、总部经济等高端业态。</w:t>
                  </w:r>
                </w:p>
              </w:tc>
              <w:tc>
                <w:tcPr>
                  <w:tcW w:w="2749" w:type="dxa"/>
                  <w:tcBorders>
                    <w:right w:val="nil"/>
                  </w:tcBorders>
                  <w:vAlign w:val="center"/>
                </w:tcPr>
                <w:p w14:paraId="2D4D17A3">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本项目为</w:t>
                  </w:r>
                  <w:r>
                    <w:rPr>
                      <w:rFonts w:hint="eastAsia" w:eastAsiaTheme="minorEastAsia"/>
                      <w:kern w:val="0"/>
                      <w:sz w:val="21"/>
                      <w:szCs w:val="21"/>
                      <w:highlight w:val="none"/>
                      <w:lang w:val="en-US" w:eastAsia="zh-CN" w:bidi="ar"/>
                    </w:rPr>
                    <w:t>免疫诊断技术实验室</w:t>
                  </w:r>
                  <w:r>
                    <w:rPr>
                      <w:rFonts w:hint="eastAsia" w:ascii="Times New Roman" w:hAnsi="Times New Roman" w:eastAsiaTheme="minorEastAsia"/>
                      <w:kern w:val="0"/>
                      <w:sz w:val="21"/>
                      <w:szCs w:val="21"/>
                      <w:highlight w:val="none"/>
                      <w:lang w:bidi="ar"/>
                    </w:rPr>
                    <w:t>，行业类别属于“M7340医学研究和试验发展”，符合产业发展方向。</w:t>
                  </w:r>
                </w:p>
              </w:tc>
            </w:tr>
            <w:tr w14:paraId="6C2DF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93" w:type="dxa"/>
                  <w:tcBorders>
                    <w:left w:val="nil"/>
                  </w:tcBorders>
                  <w:vAlign w:val="center"/>
                </w:tcPr>
                <w:p w14:paraId="2155CAE9">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3</w:t>
                  </w:r>
                </w:p>
              </w:tc>
              <w:tc>
                <w:tcPr>
                  <w:tcW w:w="622" w:type="dxa"/>
                  <w:vAlign w:val="center"/>
                </w:tcPr>
                <w:p w14:paraId="73561A1E">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大气污染防治措施</w:t>
                  </w:r>
                </w:p>
              </w:tc>
              <w:tc>
                <w:tcPr>
                  <w:tcW w:w="2914" w:type="dxa"/>
                  <w:vAlign w:val="center"/>
                </w:tcPr>
                <w:p w14:paraId="4934F58F">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在“十三五”期间，要求对产生挥发性有机物的企业根据其行业特点继续采取相应的处理措施并进行处理。</w:t>
                  </w:r>
                </w:p>
              </w:tc>
              <w:tc>
                <w:tcPr>
                  <w:tcW w:w="2749" w:type="dxa"/>
                  <w:tcBorders>
                    <w:right w:val="nil"/>
                  </w:tcBorders>
                  <w:vAlign w:val="center"/>
                </w:tcPr>
                <w:p w14:paraId="0FBD4C8A">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本项目</w:t>
                  </w:r>
                  <w:r>
                    <w:rPr>
                      <w:rFonts w:hint="eastAsia" w:eastAsiaTheme="minorEastAsia"/>
                      <w:kern w:val="0"/>
                      <w:sz w:val="21"/>
                      <w:szCs w:val="21"/>
                      <w:highlight w:val="none"/>
                      <w:lang w:val="en-US" w:eastAsia="zh-CN" w:bidi="ar"/>
                    </w:rPr>
                    <w:t>原辅料不涉及挥发性有机物，仅消毒使用少量乙醇，</w:t>
                  </w:r>
                  <w:r>
                    <w:rPr>
                      <w:rFonts w:hint="eastAsia" w:ascii="Times New Roman" w:hAnsi="Times New Roman" w:eastAsiaTheme="minorEastAsia"/>
                      <w:kern w:val="0"/>
                      <w:sz w:val="21"/>
                      <w:szCs w:val="21"/>
                      <w:highlight w:val="none"/>
                      <w:lang w:bidi="ar"/>
                    </w:rPr>
                    <w:t>且采取有效治理措施，达标排放。</w:t>
                  </w:r>
                </w:p>
              </w:tc>
            </w:tr>
            <w:tr w14:paraId="56BF1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93" w:type="dxa"/>
                  <w:tcBorders>
                    <w:left w:val="nil"/>
                  </w:tcBorders>
                  <w:vAlign w:val="center"/>
                </w:tcPr>
                <w:p w14:paraId="3AA68402">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4</w:t>
                  </w:r>
                </w:p>
              </w:tc>
              <w:tc>
                <w:tcPr>
                  <w:tcW w:w="622" w:type="dxa"/>
                  <w:vAlign w:val="center"/>
                </w:tcPr>
                <w:p w14:paraId="212321C3">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水污染防治措施</w:t>
                  </w:r>
                </w:p>
              </w:tc>
              <w:tc>
                <w:tcPr>
                  <w:tcW w:w="2914" w:type="dxa"/>
                  <w:vAlign w:val="center"/>
                </w:tcPr>
                <w:p w14:paraId="5BD2F1EE">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预计到2020年开发区全年的污水排放量将达到4977.8万m3（约13.6万t/d）。“十三五”期间北京经济技术开发区将达到20万t/d的污水处理能力，因此可以实现本规划提出的污水处理率始终为100%并达标排放的目标。</w:t>
                  </w:r>
                </w:p>
              </w:tc>
              <w:tc>
                <w:tcPr>
                  <w:tcW w:w="2749" w:type="dxa"/>
                  <w:tcBorders>
                    <w:right w:val="nil"/>
                  </w:tcBorders>
                  <w:vAlign w:val="center"/>
                </w:tcPr>
                <w:p w14:paraId="46982B3A">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本项目位于北京亦庄环境科技集团有限公司东区污水处理厂的收水范围内，项目污水能够经污水处理厂处理后达标排放。项目废水排放符合开发区水污染防治措施要求。</w:t>
                  </w:r>
                </w:p>
              </w:tc>
            </w:tr>
            <w:tr w14:paraId="2E54D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1" w:hRule="atLeast"/>
                <w:jc w:val="center"/>
              </w:trPr>
              <w:tc>
                <w:tcPr>
                  <w:tcW w:w="393" w:type="dxa"/>
                  <w:tcBorders>
                    <w:left w:val="nil"/>
                    <w:bottom w:val="single" w:color="000000" w:sz="10" w:space="0"/>
                  </w:tcBorders>
                  <w:vAlign w:val="center"/>
                </w:tcPr>
                <w:p w14:paraId="7C9E197F">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5</w:t>
                  </w:r>
                </w:p>
              </w:tc>
              <w:tc>
                <w:tcPr>
                  <w:tcW w:w="622" w:type="dxa"/>
                  <w:tcBorders>
                    <w:bottom w:val="single" w:color="000000" w:sz="10" w:space="0"/>
                  </w:tcBorders>
                  <w:vAlign w:val="center"/>
                </w:tcPr>
                <w:p w14:paraId="58452043">
                  <w:pPr>
                    <w:widowControl/>
                    <w:spacing w:line="240" w:lineRule="auto"/>
                    <w:ind w:left="0" w:leftChars="0" w:firstLine="0" w:firstLineChars="0"/>
                    <w:jc w:val="center"/>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固体废物治理措施</w:t>
                  </w:r>
                </w:p>
              </w:tc>
              <w:tc>
                <w:tcPr>
                  <w:tcW w:w="2914" w:type="dxa"/>
                  <w:tcBorders>
                    <w:bottom w:val="single" w:color="000000" w:sz="10" w:space="0"/>
                  </w:tcBorders>
                  <w:vAlign w:val="center"/>
                </w:tcPr>
                <w:p w14:paraId="6EF37F62">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加强源头控制，实现固体废物减量化。提升综合利用水平和综合利用率。</w:t>
                  </w:r>
                </w:p>
              </w:tc>
              <w:tc>
                <w:tcPr>
                  <w:tcW w:w="2749" w:type="dxa"/>
                  <w:tcBorders>
                    <w:bottom w:val="single" w:color="000000" w:sz="10" w:space="0"/>
                    <w:right w:val="nil"/>
                  </w:tcBorders>
                  <w:vAlign w:val="center"/>
                </w:tcPr>
                <w:p w14:paraId="0E6AB2AA">
                  <w:pPr>
                    <w:widowControl/>
                    <w:spacing w:line="240" w:lineRule="auto"/>
                    <w:ind w:left="0" w:leftChars="0" w:firstLine="0" w:firstLineChars="0"/>
                    <w:jc w:val="both"/>
                    <w:rPr>
                      <w:rFonts w:hint="eastAsia" w:ascii="Times New Roman" w:hAnsi="Times New Roman" w:eastAsiaTheme="minorEastAsia"/>
                      <w:kern w:val="0"/>
                      <w:sz w:val="21"/>
                      <w:szCs w:val="21"/>
                      <w:highlight w:val="none"/>
                      <w:lang w:bidi="ar"/>
                    </w:rPr>
                  </w:pPr>
                  <w:r>
                    <w:rPr>
                      <w:rFonts w:hint="eastAsia" w:ascii="Times New Roman" w:hAnsi="Times New Roman" w:eastAsiaTheme="minorEastAsia"/>
                      <w:kern w:val="0"/>
                      <w:sz w:val="21"/>
                      <w:szCs w:val="21"/>
                      <w:highlight w:val="none"/>
                      <w:lang w:bidi="ar"/>
                    </w:rPr>
                    <w:t>项目产生的</w:t>
                  </w:r>
                  <w:r>
                    <w:rPr>
                      <w:rFonts w:hint="eastAsia" w:ascii="Times New Roman" w:hAnsi="Times New Roman" w:eastAsiaTheme="minorEastAsia"/>
                      <w:kern w:val="0"/>
                      <w:sz w:val="21"/>
                      <w:szCs w:val="21"/>
                      <w:highlight w:val="none"/>
                      <w:lang w:val="en-US" w:eastAsia="zh-CN" w:bidi="ar"/>
                    </w:rPr>
                    <w:t>属于</w:t>
                  </w:r>
                  <w:r>
                    <w:rPr>
                      <w:rFonts w:hint="eastAsia" w:ascii="Times New Roman" w:hAnsi="Times New Roman" w:eastAsiaTheme="minorEastAsia"/>
                      <w:kern w:val="0"/>
                      <w:sz w:val="21"/>
                      <w:szCs w:val="21"/>
                      <w:highlight w:val="none"/>
                      <w:lang w:bidi="ar"/>
                    </w:rPr>
                    <w:t>一般工业固体废物</w:t>
                  </w:r>
                  <w:r>
                    <w:rPr>
                      <w:rFonts w:hint="eastAsia" w:ascii="Times New Roman" w:hAnsi="Times New Roman" w:eastAsiaTheme="minorEastAsia"/>
                      <w:kern w:val="0"/>
                      <w:sz w:val="21"/>
                      <w:szCs w:val="21"/>
                      <w:highlight w:val="none"/>
                      <w:lang w:val="en-US" w:eastAsia="zh-CN" w:bidi="ar"/>
                    </w:rPr>
                    <w:t>的</w:t>
                  </w:r>
                  <w:r>
                    <w:rPr>
                      <w:rFonts w:hint="eastAsia" w:ascii="Times New Roman" w:hAnsi="Times New Roman" w:eastAsiaTheme="minorEastAsia"/>
                      <w:kern w:val="0"/>
                      <w:sz w:val="21"/>
                      <w:szCs w:val="21"/>
                      <w:highlight w:val="none"/>
                      <w:lang w:bidi="ar"/>
                    </w:rPr>
                    <w:t>废包装材料交物资回收部门回收、危险废物统一收集后暂存于危险废物暂存间，定期交有资质单位处置</w:t>
                  </w:r>
                  <w:r>
                    <w:rPr>
                      <w:rFonts w:hint="eastAsia" w:eastAsiaTheme="minorEastAsia"/>
                      <w:kern w:val="0"/>
                      <w:sz w:val="21"/>
                      <w:szCs w:val="21"/>
                      <w:highlight w:val="none"/>
                      <w:lang w:eastAsia="zh-CN" w:bidi="ar"/>
                    </w:rPr>
                    <w:t>、</w:t>
                  </w:r>
                  <w:r>
                    <w:rPr>
                      <w:rFonts w:hint="eastAsia" w:ascii="Times New Roman" w:hAnsi="Times New Roman" w:eastAsiaTheme="minorEastAsia"/>
                      <w:kern w:val="0"/>
                      <w:sz w:val="21"/>
                      <w:szCs w:val="21"/>
                      <w:highlight w:val="none"/>
                      <w:lang w:bidi="ar"/>
                    </w:rPr>
                    <w:t>生活垃圾统一收集后交环卫部门定期清运。固体废物均得到合理处置，符合开发区固体废物治理措施要求。</w:t>
                  </w:r>
                </w:p>
              </w:tc>
            </w:tr>
          </w:tbl>
          <w:p w14:paraId="079731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lang w:val="en-US" w:eastAsia="zh-CN"/>
              </w:rPr>
            </w:pPr>
            <w:r>
              <w:rPr>
                <w:rFonts w:eastAsiaTheme="minorEastAsia"/>
                <w:kern w:val="0"/>
                <w:sz w:val="24"/>
                <w:highlight w:val="none"/>
                <w:lang w:bidi="ar"/>
              </w:rPr>
              <w:t>由上述分析可知，本项目符合《北京经济技术开发区</w:t>
            </w:r>
            <w:r>
              <w:rPr>
                <w:rFonts w:hint="eastAsia" w:eastAsiaTheme="minorEastAsia"/>
                <w:kern w:val="0"/>
                <w:sz w:val="24"/>
                <w:highlight w:val="none"/>
                <w:lang w:bidi="ar"/>
              </w:rPr>
              <w:t>“</w:t>
            </w:r>
            <w:r>
              <w:rPr>
                <w:rFonts w:eastAsiaTheme="minorEastAsia"/>
                <w:kern w:val="0"/>
                <w:sz w:val="24"/>
                <w:highlight w:val="none"/>
                <w:lang w:bidi="ar"/>
              </w:rPr>
              <w:t xml:space="preserve">十三五 </w:t>
            </w:r>
            <w:r>
              <w:rPr>
                <w:rFonts w:hint="eastAsia" w:eastAsiaTheme="minorEastAsia"/>
                <w:kern w:val="0"/>
                <w:sz w:val="24"/>
                <w:highlight w:val="none"/>
                <w:lang w:bidi="ar"/>
              </w:rPr>
              <w:t>”</w:t>
            </w:r>
            <w:r>
              <w:rPr>
                <w:rFonts w:eastAsiaTheme="minorEastAsia"/>
                <w:kern w:val="0"/>
                <w:sz w:val="24"/>
                <w:highlight w:val="none"/>
                <w:lang w:bidi="ar"/>
              </w:rPr>
              <w:t>时期创新发展规划环境影响篇章》的相关要求。</w:t>
            </w:r>
          </w:p>
        </w:tc>
      </w:tr>
      <w:tr w14:paraId="378A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0" w:type="dxa"/>
            <w:vAlign w:val="center"/>
          </w:tcPr>
          <w:p w14:paraId="400AB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lang w:val="en-US" w:eastAsia="zh-CN"/>
              </w:rPr>
            </w:pPr>
            <w:r>
              <w:rPr>
                <w:rFonts w:hint="eastAsia"/>
                <w:color w:val="auto"/>
                <w:vertAlign w:val="baseline"/>
                <w:lang w:val="en-US" w:eastAsia="zh-CN"/>
              </w:rPr>
              <w:t>其他符合性分析</w:t>
            </w:r>
          </w:p>
        </w:tc>
        <w:tc>
          <w:tcPr>
            <w:tcW w:w="6798" w:type="dxa"/>
            <w:gridSpan w:val="3"/>
            <w:vAlign w:val="center"/>
          </w:tcPr>
          <w:p w14:paraId="318A76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vertAlign w:val="baseline"/>
                <w:lang w:val="en-US" w:eastAsia="zh-CN"/>
              </w:rPr>
            </w:pPr>
            <w:r>
              <w:rPr>
                <w:rFonts w:hint="eastAsia"/>
                <w:color w:val="auto"/>
                <w:vertAlign w:val="baseline"/>
                <w:lang w:val="en-US" w:eastAsia="zh-CN"/>
              </w:rPr>
              <w:t>1、产业政策符合性分析</w:t>
            </w:r>
          </w:p>
          <w:p w14:paraId="28D71A76">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eastAsia"/>
                <w:color w:val="auto"/>
                <w:vertAlign w:val="baseline"/>
              </w:rPr>
              <w:t>本项目行业代码为“M7340 医学研究和试验发展”。根据《产业结构调整指导目录》（2024 年本），</w:t>
            </w:r>
            <w:r>
              <w:rPr>
                <w:rFonts w:hint="default" w:ascii="Times New Roman" w:hAnsi="Times New Roman" w:eastAsia="宋体" w:cs="Times New Roman"/>
                <w:color w:val="auto"/>
                <w:kern w:val="0"/>
                <w:sz w:val="24"/>
                <w:highlight w:val="none"/>
                <w:lang w:bidi="ar"/>
              </w:rPr>
              <w:t>属于</w:t>
            </w:r>
            <w:r>
              <w:rPr>
                <w:rFonts w:hint="eastAsia" w:eastAsia="宋体" w:cs="Times New Roman"/>
                <w:color w:val="auto"/>
                <w:kern w:val="0"/>
                <w:sz w:val="24"/>
                <w:highlight w:val="none"/>
                <w:lang w:val="en-US" w:eastAsia="zh-CN" w:bidi="ar"/>
              </w:rPr>
              <w:t>目录</w:t>
            </w:r>
            <w:r>
              <w:rPr>
                <w:rFonts w:hint="default" w:ascii="Times New Roman" w:hAnsi="Times New Roman" w:eastAsia="宋体" w:cs="Times New Roman"/>
                <w:color w:val="auto"/>
                <w:kern w:val="0"/>
                <w:sz w:val="24"/>
                <w:highlight w:val="none"/>
                <w:lang w:bidi="ar"/>
              </w:rPr>
              <w:t>中</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val="en-US" w:eastAsia="zh-CN" w:bidi="ar"/>
              </w:rPr>
              <w:t>三十一、科技服务业</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中的“工业设计、气象、生物及医药、新材料、新能源、节能、环保、测绘、海洋等专业科技服务，标准化服务、计量测试、质量认证和检验检测服务，科技普及”，属于“</w:t>
            </w:r>
            <w:r>
              <w:rPr>
                <w:rFonts w:hint="default" w:ascii="Times New Roman" w:hAnsi="Times New Roman" w:eastAsia="宋体" w:cs="Times New Roman"/>
                <w:color w:val="auto"/>
                <w:kern w:val="0"/>
                <w:sz w:val="24"/>
                <w:highlight w:val="none"/>
                <w:lang w:val="en-US" w:eastAsia="zh-CN" w:bidi="ar"/>
              </w:rPr>
              <w:t>鼓励类</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项目。</w:t>
            </w:r>
          </w:p>
          <w:p w14:paraId="67C906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根据《北京市新增产业的禁止和限制目录（2022 年版）》（京政办发〔2022〕5 号），项目不在该目录的禁止和限制范围内。</w:t>
            </w:r>
          </w:p>
          <w:p w14:paraId="137D0B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根据《北京市工业污染行业生产工艺调整退出及设备淘汰目录（2022 年版）》中的有关规定，本项目不属于北京市工业污染行业生产工艺调整退出及设备淘汰目录。</w:t>
            </w:r>
          </w:p>
          <w:p w14:paraId="289726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rPr>
            </w:pPr>
            <w:r>
              <w:rPr>
                <w:rFonts w:hint="eastAsia"/>
                <w:color w:val="auto"/>
                <w:vertAlign w:val="baseline"/>
              </w:rPr>
              <w:t>因此，项目建设符合国家及北京市产业政策要求。</w:t>
            </w:r>
          </w:p>
          <w:p w14:paraId="3772FF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vertAlign w:val="baseline"/>
                <w:lang w:val="en-US" w:eastAsia="zh-CN"/>
              </w:rPr>
            </w:pPr>
            <w:r>
              <w:rPr>
                <w:rFonts w:hint="eastAsia"/>
                <w:color w:val="auto"/>
                <w:vertAlign w:val="baseline"/>
                <w:lang w:val="en-US" w:eastAsia="zh-CN"/>
              </w:rPr>
              <w:t>2、“三线一单”符合性分析</w:t>
            </w:r>
          </w:p>
          <w:p w14:paraId="3DCFA737">
            <w:pPr>
              <w:spacing w:line="360" w:lineRule="auto"/>
              <w:ind w:firstLine="480" w:firstLineChars="200"/>
              <w:rPr>
                <w:rFonts w:eastAsiaTheme="minorEastAsia"/>
                <w:kern w:val="0"/>
                <w:sz w:val="24"/>
                <w:highlight w:val="none"/>
                <w:lang w:bidi="ar"/>
              </w:rPr>
            </w:pPr>
            <w:r>
              <w:rPr>
                <w:rFonts w:hint="eastAsia" w:eastAsiaTheme="minorEastAsia"/>
                <w:kern w:val="0"/>
                <w:sz w:val="24"/>
                <w:highlight w:val="none"/>
                <w:lang w:bidi="ar"/>
              </w:rPr>
              <w:t>根据生态环境部（原环境保护部）《关于以改善环境质量为核心加强环境影响评价管理的通知》环评〔2016〕150号文）中“为适应以改善环境质量为核心的环境管理要求，切实加强环境影响评价（以下简称环评）管理，落实生态保护红线、环境质量底线、资源利用上线和环境准入负面清单”(以下简称“三线一单”)约束，建立项目环评审批与规划环评、现有项目环境管理、区域环境质量联动机制，更好地发挥环评制度从源头防范环境污染和生态破坏的作用，加快推进改善环境质量”的要求</w:t>
            </w:r>
            <w:r>
              <w:rPr>
                <w:rFonts w:hint="eastAsia" w:eastAsiaTheme="minorEastAsia"/>
                <w:kern w:val="0"/>
                <w:sz w:val="24"/>
                <w:highlight w:val="none"/>
                <w:lang w:eastAsia="zh-CN" w:bidi="ar"/>
              </w:rPr>
              <w:t>。</w:t>
            </w:r>
            <w:r>
              <w:rPr>
                <w:rFonts w:hint="eastAsia" w:eastAsiaTheme="minorEastAsia"/>
                <w:kern w:val="0"/>
                <w:sz w:val="24"/>
                <w:highlight w:val="none"/>
                <w:lang w:bidi="ar"/>
              </w:rPr>
              <w:t>本项目结合生态环境部（原环境保护部）关于“三线一单”要求进行判定。</w:t>
            </w:r>
          </w:p>
          <w:p w14:paraId="624EC0CB">
            <w:pPr>
              <w:numPr>
                <w:ilvl w:val="0"/>
                <w:numId w:val="4"/>
              </w:numPr>
              <w:spacing w:line="360" w:lineRule="auto"/>
              <w:ind w:firstLine="480" w:firstLineChars="200"/>
              <w:rPr>
                <w:rFonts w:eastAsiaTheme="minorEastAsia"/>
                <w:b w:val="0"/>
                <w:bCs w:val="0"/>
                <w:kern w:val="0"/>
                <w:sz w:val="24"/>
                <w:highlight w:val="none"/>
                <w:lang w:bidi="ar"/>
              </w:rPr>
            </w:pPr>
            <w:r>
              <w:rPr>
                <w:rFonts w:hint="eastAsia" w:eastAsiaTheme="minorEastAsia"/>
                <w:b w:val="0"/>
                <w:bCs w:val="0"/>
                <w:kern w:val="0"/>
                <w:sz w:val="24"/>
                <w:highlight w:val="none"/>
                <w:lang w:bidi="ar"/>
              </w:rPr>
              <w:t>生态保护红线符合性分析</w:t>
            </w:r>
          </w:p>
          <w:p w14:paraId="02472775">
            <w:pPr>
              <w:spacing w:line="360" w:lineRule="auto"/>
              <w:ind w:firstLine="480" w:firstLineChars="200"/>
              <w:rPr>
                <w:rFonts w:eastAsiaTheme="minorEastAsia"/>
                <w:kern w:val="0"/>
                <w:sz w:val="24"/>
                <w:highlight w:val="none"/>
                <w:lang w:bidi="ar"/>
              </w:rPr>
            </w:pPr>
            <w:r>
              <w:rPr>
                <w:rFonts w:hint="eastAsia" w:eastAsiaTheme="minorEastAsia"/>
                <w:kern w:val="0"/>
                <w:sz w:val="24"/>
                <w:highlight w:val="none"/>
                <w:lang w:bidi="ar"/>
              </w:rPr>
              <w:t>根据中共中央办公厅、国务院办公厅《关于划定并严守生态保护红线的若干意见》（厅字[2017]2号）有关精神，生态保护红线原则上按禁止开发区域的要求进行管理。严禁不符合主体功能定位的各类开发活动，严禁任意改变用途。根据《北京市人民政府关于发布北京市生态保护红线的通知》（京政发[2018]18号）（2018年7月6日），全市生态保护红线包括水源涵养、水土保持和生物多样性维护的生态功能重要区、水土流失生态敏感区，以及市级以上禁止开发区域和有必要严格保护的其他各类保护地。</w:t>
            </w:r>
          </w:p>
          <w:p w14:paraId="7EC162B5">
            <w:pPr>
              <w:spacing w:line="360" w:lineRule="auto"/>
              <w:ind w:firstLine="480" w:firstLineChars="200"/>
              <w:rPr>
                <w:rFonts w:eastAsiaTheme="minorEastAsia"/>
                <w:kern w:val="0"/>
                <w:sz w:val="24"/>
                <w:highlight w:val="none"/>
                <w:lang w:bidi="ar"/>
              </w:rPr>
            </w:pPr>
            <w:r>
              <w:rPr>
                <w:rFonts w:hint="eastAsia" w:eastAsiaTheme="minorEastAsia"/>
                <w:kern w:val="0"/>
                <w:sz w:val="24"/>
                <w:highlight w:val="none"/>
                <w:lang w:bidi="ar"/>
              </w:rPr>
              <w:t>本项目占地范围内不涉及北京市生态保护红线。项目周边无重点生态功能区、生态敏感区、生态脆弱区、生物多样性保护优先区和自然保护区，符合生态保护红线的要求。本项目所在地与北京市生态保护红线划定范围的相对位置见</w:t>
            </w:r>
            <w:r>
              <w:rPr>
                <w:rFonts w:hint="eastAsia" w:eastAsiaTheme="minorEastAsia"/>
                <w:kern w:val="0"/>
                <w:sz w:val="24"/>
                <w:highlight w:val="none"/>
                <w:lang w:val="en-US" w:eastAsia="zh-CN" w:bidi="ar"/>
              </w:rPr>
              <w:t>下</w:t>
            </w:r>
            <w:r>
              <w:rPr>
                <w:rFonts w:hint="eastAsia" w:eastAsiaTheme="minorEastAsia"/>
                <w:kern w:val="0"/>
                <w:sz w:val="24"/>
                <w:highlight w:val="none"/>
                <w:lang w:bidi="ar"/>
              </w:rPr>
              <w:t>图。</w:t>
            </w:r>
          </w:p>
          <w:p w14:paraId="5BF4A43A">
            <w:pPr>
              <w:spacing w:line="360" w:lineRule="auto"/>
              <w:ind w:firstLine="480" w:firstLineChars="200"/>
              <w:rPr>
                <w:rFonts w:ascii="Times New Roman" w:hAnsi="Times New Roman" w:eastAsiaTheme="minorEastAsia"/>
                <w:b/>
                <w:bCs/>
                <w:kern w:val="0"/>
                <w:sz w:val="24"/>
                <w:highlight w:val="none"/>
                <w:lang w:bidi="ar"/>
              </w:rPr>
            </w:pPr>
            <w:r>
              <w:rPr>
                <w:highlight w:val="none"/>
              </w:rPr>
              <w:drawing>
                <wp:inline distT="0" distB="0" distL="114300" distR="114300">
                  <wp:extent cx="3469640" cy="3545205"/>
                  <wp:effectExtent l="0" t="0" r="5080"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3469640" cy="3545205"/>
                          </a:xfrm>
                          <a:prstGeom prst="rect">
                            <a:avLst/>
                          </a:prstGeom>
                          <a:noFill/>
                          <a:ln>
                            <a:noFill/>
                          </a:ln>
                        </pic:spPr>
                      </pic:pic>
                    </a:graphicData>
                  </a:graphic>
                </wp:inline>
              </w:drawing>
            </w:r>
          </w:p>
          <w:p w14:paraId="534D3A2F">
            <w:pPr>
              <w:widowControl/>
              <w:numPr>
                <w:ilvl w:val="0"/>
                <w:numId w:val="2"/>
              </w:numPr>
              <w:spacing w:line="360" w:lineRule="auto"/>
              <w:ind w:left="425" w:leftChars="0" w:hanging="425" w:firstLineChars="0"/>
              <w:jc w:val="center"/>
              <w:rPr>
                <w:rFonts w:eastAsiaTheme="minorEastAsia"/>
                <w:b/>
                <w:bCs/>
                <w:kern w:val="0"/>
                <w:sz w:val="24"/>
                <w:highlight w:val="none"/>
                <w:lang w:bidi="ar"/>
              </w:rPr>
            </w:pPr>
            <w:r>
              <w:rPr>
                <w:rFonts w:hint="eastAsia" w:ascii="Times New Roman" w:hAnsi="Times New Roman" w:eastAsiaTheme="minorEastAsia"/>
                <w:b/>
                <w:bCs/>
                <w:kern w:val="0"/>
                <w:sz w:val="24"/>
                <w:highlight w:val="none"/>
                <w:lang w:bidi="ar"/>
              </w:rPr>
              <w:t xml:space="preserve"> </w:t>
            </w:r>
            <w:r>
              <w:rPr>
                <w:rFonts w:hint="eastAsia" w:eastAsiaTheme="minorEastAsia"/>
                <w:b/>
                <w:bCs/>
                <w:kern w:val="0"/>
                <w:sz w:val="24"/>
                <w:highlight w:val="none"/>
                <w:lang w:bidi="ar"/>
              </w:rPr>
              <w:t>本项目与北京市生态保护红线位置关系图</w:t>
            </w:r>
          </w:p>
          <w:p w14:paraId="54BDF33E">
            <w:pPr>
              <w:numPr>
                <w:ilvl w:val="0"/>
                <w:numId w:val="4"/>
              </w:numPr>
              <w:spacing w:line="360" w:lineRule="auto"/>
              <w:ind w:firstLine="480" w:firstLineChars="200"/>
              <w:rPr>
                <w:rFonts w:eastAsiaTheme="minorEastAsia"/>
                <w:b w:val="0"/>
                <w:bCs w:val="0"/>
                <w:kern w:val="0"/>
                <w:sz w:val="24"/>
                <w:highlight w:val="none"/>
                <w:lang w:bidi="ar"/>
              </w:rPr>
            </w:pPr>
            <w:r>
              <w:rPr>
                <w:rFonts w:hint="eastAsia" w:eastAsiaTheme="minorEastAsia"/>
                <w:b w:val="0"/>
                <w:bCs w:val="0"/>
                <w:kern w:val="0"/>
                <w:sz w:val="24"/>
                <w:highlight w:val="none"/>
                <w:lang w:bidi="ar"/>
              </w:rPr>
              <w:t>环境质量底线符合性分析</w:t>
            </w:r>
          </w:p>
          <w:p w14:paraId="16296705">
            <w:pPr>
              <w:spacing w:line="360" w:lineRule="auto"/>
              <w:ind w:firstLine="480" w:firstLineChars="200"/>
              <w:rPr>
                <w:rFonts w:hint="default" w:eastAsia="宋体"/>
                <w:kern w:val="0"/>
                <w:sz w:val="24"/>
                <w:highlight w:val="none"/>
                <w:lang w:val="en-US" w:eastAsia="zh-CN" w:bidi="ar"/>
              </w:rPr>
            </w:pPr>
            <w:r>
              <w:rPr>
                <w:rFonts w:hint="eastAsia"/>
                <w:vertAlign w:val="baseline"/>
                <w:lang w:val="en-US" w:eastAsia="zh-CN"/>
              </w:rPr>
              <w:t>根据</w:t>
            </w:r>
            <w:r>
              <w:rPr>
                <w:rFonts w:hint="eastAsia"/>
                <w:vertAlign w:val="baseline"/>
              </w:rPr>
              <w:t>《2024年北京市生态环境状况公报》中环境空气监测数据统计结果可知，2024年北京经济技术开发区大气污染物中SO</w:t>
            </w:r>
            <w:r>
              <w:rPr>
                <w:rFonts w:hint="eastAsia"/>
                <w:vertAlign w:val="subscript"/>
              </w:rPr>
              <w:t>2</w:t>
            </w:r>
            <w:r>
              <w:rPr>
                <w:rFonts w:hint="eastAsia"/>
                <w:vertAlign w:val="baseline"/>
              </w:rPr>
              <w:t>年平均浓度、NO</w:t>
            </w:r>
            <w:r>
              <w:rPr>
                <w:rFonts w:hint="eastAsia"/>
                <w:vertAlign w:val="subscript"/>
              </w:rPr>
              <w:t>2</w:t>
            </w:r>
            <w:r>
              <w:rPr>
                <w:rFonts w:hint="eastAsia"/>
                <w:vertAlign w:val="baseline"/>
              </w:rPr>
              <w:t>年平均浓度、PM</w:t>
            </w:r>
            <w:r>
              <w:rPr>
                <w:rFonts w:hint="eastAsia"/>
                <w:vertAlign w:val="subscript"/>
              </w:rPr>
              <w:t>2.5</w:t>
            </w:r>
            <w:r>
              <w:rPr>
                <w:rFonts w:hint="eastAsia"/>
                <w:vertAlign w:val="baseline"/>
              </w:rPr>
              <w:t>年平均浓度、PM</w:t>
            </w:r>
            <w:r>
              <w:rPr>
                <w:rFonts w:hint="eastAsia"/>
                <w:vertAlign w:val="subscript"/>
              </w:rPr>
              <w:t>10</w:t>
            </w:r>
            <w:r>
              <w:rPr>
                <w:rFonts w:hint="eastAsia"/>
                <w:vertAlign w:val="baseline"/>
              </w:rPr>
              <w:t>年平均浓度、CO 24小时平均浓度均达到《环境空气质量标准》（GB3095-2012）中的二级标准限值；O</w:t>
            </w:r>
            <w:r>
              <w:rPr>
                <w:rFonts w:hint="eastAsia"/>
                <w:vertAlign w:val="subscript"/>
              </w:rPr>
              <w:t>3</w:t>
            </w:r>
            <w:r>
              <w:rPr>
                <w:rFonts w:hint="eastAsia"/>
                <w:vertAlign w:val="baseline"/>
              </w:rPr>
              <w:t>日最大8小时平均浓度未达到《环境空气质量标准》（GB3095-2012）中的二级标准限值要求，说明经济技术开发区环境空气质量为不达标区。</w:t>
            </w:r>
            <w:r>
              <w:rPr>
                <w:rFonts w:hint="eastAsia"/>
                <w:vertAlign w:val="baseline"/>
                <w:lang w:val="en-US" w:eastAsia="zh-CN"/>
              </w:rPr>
              <w:t>本项目除消毒使用少量酒精外，不使用其他挥发性试剂，基本无大气污染物排放，</w:t>
            </w:r>
            <w:r>
              <w:rPr>
                <w:rFonts w:hint="eastAsia" w:eastAsiaTheme="minorEastAsia"/>
                <w:kern w:val="0"/>
                <w:sz w:val="24"/>
                <w:highlight w:val="none"/>
                <w:lang w:bidi="ar"/>
              </w:rPr>
              <w:t>不会突破大气环境质量底线。</w:t>
            </w:r>
          </w:p>
          <w:p w14:paraId="4D61E7F5">
            <w:pPr>
              <w:spacing w:line="360" w:lineRule="auto"/>
              <w:ind w:firstLine="480" w:firstLineChars="200"/>
              <w:rPr>
                <w:rFonts w:eastAsiaTheme="minorEastAsia"/>
                <w:kern w:val="0"/>
                <w:sz w:val="24"/>
                <w:highlight w:val="none"/>
                <w:lang w:bidi="ar"/>
              </w:rPr>
            </w:pPr>
            <w:r>
              <w:rPr>
                <w:rFonts w:hint="eastAsia" w:eastAsiaTheme="minorEastAsia"/>
                <w:kern w:val="0"/>
                <w:sz w:val="24"/>
                <w:highlight w:val="none"/>
                <w:lang w:bidi="ar"/>
              </w:rPr>
              <w:t>项目所在地附近地表水体为</w:t>
            </w:r>
            <w:r>
              <w:rPr>
                <w:rFonts w:hint="eastAsia"/>
                <w:sz w:val="24"/>
                <w:highlight w:val="none"/>
              </w:rPr>
              <w:t>凉水河中下段</w:t>
            </w:r>
            <w:r>
              <w:rPr>
                <w:sz w:val="24"/>
                <w:highlight w:val="none"/>
              </w:rPr>
              <w:t>，位于项目</w:t>
            </w:r>
            <w:r>
              <w:rPr>
                <w:rFonts w:hint="eastAsia"/>
                <w:sz w:val="24"/>
                <w:szCs w:val="32"/>
                <w:highlight w:val="none"/>
              </w:rPr>
              <w:t>南侧</w:t>
            </w:r>
            <w:r>
              <w:rPr>
                <w:rFonts w:hint="eastAsia"/>
                <w:sz w:val="24"/>
                <w:szCs w:val="32"/>
                <w:highlight w:val="none"/>
                <w:lang w:val="en-US" w:eastAsia="zh-CN"/>
              </w:rPr>
              <w:t>1.2k</w:t>
            </w:r>
            <w:r>
              <w:rPr>
                <w:rFonts w:hint="eastAsia"/>
                <w:sz w:val="24"/>
                <w:szCs w:val="32"/>
                <w:highlight w:val="none"/>
              </w:rPr>
              <w:t>m</w:t>
            </w:r>
            <w:r>
              <w:rPr>
                <w:sz w:val="24"/>
                <w:highlight w:val="none"/>
              </w:rPr>
              <w:t>。</w:t>
            </w:r>
            <w:r>
              <w:rPr>
                <w:rFonts w:hint="eastAsia" w:eastAsiaTheme="minorEastAsia"/>
                <w:kern w:val="0"/>
                <w:sz w:val="24"/>
                <w:highlight w:val="none"/>
                <w:lang w:bidi="ar"/>
              </w:rPr>
              <w:t>根据北京市五大水系各河流、水库水体功能划分与水质分类，</w:t>
            </w:r>
            <w:r>
              <w:rPr>
                <w:rFonts w:hint="eastAsia"/>
                <w:sz w:val="24"/>
                <w:highlight w:val="none"/>
              </w:rPr>
              <w:t>凉水河中下段</w:t>
            </w:r>
            <w:r>
              <w:rPr>
                <w:rFonts w:hint="eastAsia" w:eastAsiaTheme="minorEastAsia"/>
                <w:kern w:val="0"/>
                <w:sz w:val="24"/>
                <w:highlight w:val="none"/>
                <w:lang w:bidi="ar"/>
              </w:rPr>
              <w:t>水体功能为Ⅴ类。根据北京市生态环境局网站公布的2024年河流水质状况，2024年全年凉水河中下段现状水质均能够达到《地表水环境质量标准》（GB3838-2002）中Ⅴ类标准限值。</w:t>
            </w:r>
            <w:r>
              <w:rPr>
                <w:rFonts w:hint="eastAsia" w:eastAsiaTheme="minorEastAsia"/>
                <w:kern w:val="0"/>
                <w:sz w:val="24"/>
                <w:highlight w:val="none"/>
                <w:lang w:eastAsia="zh-CN" w:bidi="ar"/>
              </w:rPr>
              <w:t>项目</w:t>
            </w:r>
            <w:r>
              <w:rPr>
                <w:rFonts w:hint="eastAsia" w:eastAsiaTheme="minorEastAsia"/>
                <w:kern w:val="0"/>
                <w:sz w:val="24"/>
                <w:highlight w:val="none"/>
                <w:lang w:val="en-US" w:eastAsia="zh-CN" w:bidi="ar"/>
              </w:rPr>
              <w:t>容器第三遍及以后</w:t>
            </w:r>
            <w:r>
              <w:rPr>
                <w:rFonts w:hint="eastAsia" w:eastAsiaTheme="minorEastAsia"/>
                <w:kern w:val="0"/>
                <w:sz w:val="24"/>
                <w:highlight w:val="none"/>
                <w:lang w:eastAsia="zh-CN" w:bidi="ar"/>
              </w:rPr>
              <w:t>清洗废水与生活污水一同</w:t>
            </w:r>
            <w:r>
              <w:rPr>
                <w:rFonts w:hint="eastAsia" w:eastAsiaTheme="minorEastAsia"/>
                <w:kern w:val="0"/>
                <w:sz w:val="24"/>
                <w:highlight w:val="none"/>
                <w:lang w:bidi="ar"/>
              </w:rPr>
              <w:t>经园区化粪池处理后排入市政管网，最终排入北京亦庄环境科技集团有限公司东区污水处理厂处理，不直接排入地表水体，不会突破水环境质量底线。</w:t>
            </w:r>
          </w:p>
          <w:p w14:paraId="400C843C">
            <w:pPr>
              <w:spacing w:line="360" w:lineRule="auto"/>
              <w:ind w:firstLine="480" w:firstLineChars="200"/>
              <w:rPr>
                <w:rFonts w:eastAsiaTheme="minorEastAsia"/>
                <w:kern w:val="0"/>
                <w:sz w:val="24"/>
                <w:highlight w:val="none"/>
                <w:lang w:bidi="ar"/>
              </w:rPr>
            </w:pPr>
            <w:r>
              <w:rPr>
                <w:rFonts w:hint="eastAsia" w:eastAsiaTheme="minorEastAsia"/>
                <w:kern w:val="0"/>
                <w:sz w:val="24"/>
                <w:highlight w:val="none"/>
                <w:lang w:bidi="ar"/>
              </w:rPr>
              <w:t>本项目试验设备均为低噪声设备，且采取了隔声减振措施，厂界噪声贡献值达标，不会突破声环境质量底线。</w:t>
            </w:r>
          </w:p>
          <w:p w14:paraId="3B39D0A8">
            <w:pPr>
              <w:spacing w:line="360" w:lineRule="auto"/>
              <w:ind w:firstLine="480" w:firstLineChars="200"/>
              <w:rPr>
                <w:rFonts w:hint="eastAsia" w:eastAsiaTheme="minorEastAsia"/>
                <w:kern w:val="0"/>
                <w:sz w:val="24"/>
                <w:highlight w:val="none"/>
                <w:lang w:bidi="ar"/>
              </w:rPr>
            </w:pPr>
            <w:r>
              <w:rPr>
                <w:rFonts w:hint="eastAsia" w:eastAsiaTheme="minorEastAsia"/>
                <w:kern w:val="0"/>
                <w:sz w:val="24"/>
                <w:highlight w:val="none"/>
                <w:lang w:bidi="ar"/>
              </w:rPr>
              <w:t>项目产生的</w:t>
            </w:r>
            <w:r>
              <w:rPr>
                <w:rFonts w:hint="eastAsia" w:eastAsiaTheme="minorEastAsia"/>
                <w:kern w:val="0"/>
                <w:sz w:val="24"/>
                <w:highlight w:val="none"/>
                <w:lang w:val="en-US" w:eastAsia="zh-CN" w:bidi="ar"/>
              </w:rPr>
              <w:t>属于</w:t>
            </w:r>
            <w:r>
              <w:rPr>
                <w:rFonts w:hint="eastAsia" w:eastAsiaTheme="minorEastAsia"/>
                <w:kern w:val="0"/>
                <w:sz w:val="24"/>
                <w:highlight w:val="none"/>
                <w:lang w:bidi="ar"/>
              </w:rPr>
              <w:t>一般工业固体废物</w:t>
            </w:r>
            <w:r>
              <w:rPr>
                <w:rFonts w:hint="eastAsia" w:eastAsiaTheme="minorEastAsia"/>
                <w:kern w:val="0"/>
                <w:sz w:val="24"/>
                <w:highlight w:val="none"/>
                <w:lang w:val="en-US" w:eastAsia="zh-CN" w:bidi="ar"/>
              </w:rPr>
              <w:t>的</w:t>
            </w:r>
            <w:r>
              <w:rPr>
                <w:rFonts w:hint="eastAsia" w:eastAsiaTheme="minorEastAsia"/>
                <w:kern w:val="0"/>
                <w:sz w:val="24"/>
                <w:highlight w:val="none"/>
                <w:lang w:bidi="ar"/>
              </w:rPr>
              <w:t>废包装材料交物资回收部门回收</w:t>
            </w:r>
            <w:r>
              <w:rPr>
                <w:rFonts w:hint="eastAsia" w:eastAsiaTheme="minorEastAsia"/>
                <w:kern w:val="0"/>
                <w:sz w:val="24"/>
                <w:highlight w:val="none"/>
                <w:lang w:eastAsia="zh-CN" w:bidi="ar"/>
              </w:rPr>
              <w:t>；</w:t>
            </w:r>
            <w:r>
              <w:rPr>
                <w:rFonts w:hint="eastAsia" w:eastAsiaTheme="minorEastAsia"/>
                <w:kern w:val="0"/>
                <w:sz w:val="24"/>
                <w:highlight w:val="none"/>
                <w:lang w:bidi="ar"/>
              </w:rPr>
              <w:t>生活垃圾统一收集后交由环卫部门定期清运；危险废物收集后</w:t>
            </w:r>
            <w:r>
              <w:rPr>
                <w:rFonts w:hint="eastAsia" w:eastAsiaTheme="minorEastAsia"/>
                <w:kern w:val="0"/>
                <w:sz w:val="24"/>
                <w:highlight w:val="none"/>
                <w:lang w:val="en-US" w:eastAsia="zh-CN" w:bidi="ar"/>
              </w:rPr>
              <w:t>分类</w:t>
            </w:r>
            <w:r>
              <w:rPr>
                <w:rFonts w:hint="eastAsia" w:eastAsiaTheme="minorEastAsia"/>
                <w:kern w:val="0"/>
                <w:sz w:val="24"/>
                <w:highlight w:val="none"/>
                <w:lang w:bidi="ar"/>
              </w:rPr>
              <w:t>暂存在危险废物暂存间，定期委托有资质的单位处置。</w:t>
            </w:r>
          </w:p>
          <w:p w14:paraId="4009B8D7">
            <w:pPr>
              <w:spacing w:line="360" w:lineRule="auto"/>
              <w:ind w:firstLine="480" w:firstLineChars="200"/>
              <w:rPr>
                <w:rFonts w:hint="eastAsia" w:eastAsiaTheme="minorEastAsia"/>
                <w:kern w:val="0"/>
                <w:sz w:val="24"/>
                <w:highlight w:val="none"/>
                <w:lang w:bidi="ar"/>
              </w:rPr>
            </w:pPr>
            <w:r>
              <w:rPr>
                <w:rFonts w:hint="default" w:ascii="Times New Roman" w:hAnsi="Times New Roman" w:eastAsia="宋体" w:cs="Times New Roman"/>
                <w:color w:val="auto"/>
                <w:kern w:val="0"/>
                <w:sz w:val="24"/>
                <w:highlight w:val="none"/>
                <w:lang w:val="en-US" w:eastAsia="zh-CN" w:bidi="ar"/>
              </w:rPr>
              <w:t>项目运营期废气、废水、噪声等达标排放，</w:t>
            </w:r>
            <w:r>
              <w:rPr>
                <w:rFonts w:hint="eastAsia" w:cs="Times New Roman"/>
                <w:color w:val="auto"/>
                <w:kern w:val="0"/>
                <w:sz w:val="24"/>
                <w:highlight w:val="none"/>
                <w:lang w:val="en-US" w:eastAsia="zh-CN" w:bidi="ar"/>
              </w:rPr>
              <w:t>固体废物</w:t>
            </w:r>
            <w:r>
              <w:rPr>
                <w:rFonts w:hint="default" w:ascii="Times New Roman" w:hAnsi="Times New Roman" w:eastAsia="宋体" w:cs="Times New Roman"/>
                <w:color w:val="auto"/>
                <w:kern w:val="0"/>
                <w:sz w:val="24"/>
                <w:highlight w:val="none"/>
                <w:lang w:val="en-US" w:eastAsia="zh-CN" w:bidi="ar"/>
              </w:rPr>
              <w:t>合理处置，不会突破环境质量底线。</w:t>
            </w:r>
          </w:p>
          <w:p w14:paraId="34069539">
            <w:pPr>
              <w:numPr>
                <w:ilvl w:val="0"/>
                <w:numId w:val="4"/>
              </w:numPr>
              <w:spacing w:line="360" w:lineRule="auto"/>
              <w:ind w:firstLine="482" w:firstLineChars="200"/>
              <w:rPr>
                <w:rFonts w:eastAsiaTheme="minorEastAsia"/>
                <w:b/>
                <w:bCs/>
                <w:kern w:val="0"/>
                <w:sz w:val="24"/>
                <w:highlight w:val="none"/>
                <w:lang w:bidi="ar"/>
              </w:rPr>
            </w:pPr>
            <w:r>
              <w:rPr>
                <w:rFonts w:hint="eastAsia" w:eastAsiaTheme="minorEastAsia"/>
                <w:b/>
                <w:bCs/>
                <w:kern w:val="0"/>
                <w:sz w:val="24"/>
                <w:highlight w:val="none"/>
                <w:lang w:bidi="ar"/>
              </w:rPr>
              <w:t>资源利用上线符合性分析</w:t>
            </w:r>
          </w:p>
          <w:p w14:paraId="7B977D87">
            <w:pPr>
              <w:spacing w:line="360" w:lineRule="auto"/>
              <w:ind w:firstLine="480" w:firstLineChars="200"/>
              <w:rPr>
                <w:rFonts w:eastAsiaTheme="minorEastAsia"/>
                <w:kern w:val="0"/>
                <w:sz w:val="24"/>
                <w:highlight w:val="none"/>
                <w:lang w:bidi="ar"/>
              </w:rPr>
            </w:pPr>
            <w:r>
              <w:rPr>
                <w:rFonts w:hint="eastAsia" w:eastAsiaTheme="minorEastAsia"/>
                <w:kern w:val="0"/>
                <w:sz w:val="24"/>
                <w:highlight w:val="none"/>
                <w:lang w:bidi="ar"/>
              </w:rPr>
              <w:t>本项目用水来自</w:t>
            </w:r>
            <w:r>
              <w:rPr>
                <w:rFonts w:hint="eastAsia" w:eastAsiaTheme="minorEastAsia"/>
                <w:kern w:val="0"/>
                <w:sz w:val="24"/>
                <w:highlight w:val="none"/>
                <w:lang w:val="en-US" w:eastAsia="zh-CN" w:bidi="ar"/>
              </w:rPr>
              <w:t>市政供水</w:t>
            </w:r>
            <w:r>
              <w:rPr>
                <w:rFonts w:hint="eastAsia" w:eastAsiaTheme="minorEastAsia"/>
                <w:kern w:val="0"/>
                <w:sz w:val="24"/>
                <w:highlight w:val="none"/>
                <w:lang w:bidi="ar"/>
              </w:rPr>
              <w:t>管网，用水量较少，水源充足；项目用电由市政供电电网引入，能够满足本项目用电需求；项目租用现有厂房，不新增用地，用地符合规划要求。因此</w:t>
            </w:r>
            <w:r>
              <w:rPr>
                <w:rFonts w:hint="eastAsia" w:eastAsiaTheme="minorEastAsia"/>
                <w:kern w:val="0"/>
                <w:sz w:val="24"/>
                <w:highlight w:val="none"/>
                <w:lang w:eastAsia="zh-CN" w:bidi="ar"/>
              </w:rPr>
              <w:t>，</w:t>
            </w:r>
            <w:r>
              <w:rPr>
                <w:rFonts w:hint="eastAsia" w:eastAsiaTheme="minorEastAsia"/>
                <w:kern w:val="0"/>
                <w:sz w:val="24"/>
                <w:highlight w:val="none"/>
                <w:lang w:bidi="ar"/>
              </w:rPr>
              <w:t>项目资源利用情况不会突破区域资源利用上线，符合资源利用上线的要求。</w:t>
            </w:r>
          </w:p>
          <w:p w14:paraId="7DB78B5E">
            <w:pPr>
              <w:numPr>
                <w:ilvl w:val="0"/>
                <w:numId w:val="4"/>
              </w:numPr>
              <w:spacing w:line="360" w:lineRule="auto"/>
              <w:ind w:firstLine="482" w:firstLineChars="200"/>
              <w:rPr>
                <w:rFonts w:eastAsiaTheme="minorEastAsia"/>
                <w:b/>
                <w:bCs/>
                <w:kern w:val="0"/>
                <w:sz w:val="24"/>
                <w:highlight w:val="none"/>
                <w:lang w:bidi="ar"/>
              </w:rPr>
            </w:pPr>
            <w:r>
              <w:rPr>
                <w:rFonts w:hint="eastAsia" w:eastAsiaTheme="minorEastAsia"/>
                <w:b/>
                <w:bCs/>
                <w:kern w:val="0"/>
                <w:sz w:val="24"/>
                <w:highlight w:val="none"/>
                <w:lang w:bidi="ar"/>
              </w:rPr>
              <w:t>环境准入负面清单</w:t>
            </w:r>
          </w:p>
          <w:p w14:paraId="61F99195">
            <w:pPr>
              <w:spacing w:line="360" w:lineRule="auto"/>
              <w:ind w:firstLine="480" w:firstLineChars="200"/>
              <w:rPr>
                <w:rFonts w:eastAsiaTheme="minorEastAsia"/>
                <w:b/>
                <w:bCs/>
                <w:kern w:val="0"/>
                <w:sz w:val="24"/>
                <w:highlight w:val="none"/>
                <w:lang w:bidi="ar"/>
              </w:rPr>
            </w:pPr>
            <w:r>
              <w:rPr>
                <w:rFonts w:hint="eastAsia" w:eastAsiaTheme="minorEastAsia"/>
                <w:kern w:val="0"/>
                <w:sz w:val="24"/>
                <w:highlight w:val="none"/>
                <w:lang w:bidi="ar"/>
              </w:rPr>
              <w:t>本项目位于北京经济技术开发区科创十三街</w:t>
            </w:r>
            <w:r>
              <w:rPr>
                <w:rFonts w:hint="eastAsia" w:eastAsiaTheme="minorEastAsia"/>
                <w:kern w:val="0"/>
                <w:sz w:val="24"/>
                <w:highlight w:val="none"/>
                <w:lang w:eastAsia="zh-CN" w:bidi="ar"/>
              </w:rPr>
              <w:t>18</w:t>
            </w:r>
            <w:r>
              <w:rPr>
                <w:rFonts w:hint="eastAsia" w:eastAsiaTheme="minorEastAsia"/>
                <w:kern w:val="0"/>
                <w:sz w:val="24"/>
                <w:highlight w:val="none"/>
                <w:lang w:bidi="ar"/>
              </w:rPr>
              <w:t>号院</w:t>
            </w:r>
            <w:r>
              <w:rPr>
                <w:rFonts w:hint="eastAsia" w:eastAsiaTheme="minorEastAsia"/>
                <w:kern w:val="0"/>
                <w:sz w:val="24"/>
                <w:highlight w:val="none"/>
                <w:lang w:val="en-US" w:eastAsia="zh-CN" w:bidi="ar"/>
              </w:rPr>
              <w:t>5</w:t>
            </w:r>
            <w:r>
              <w:rPr>
                <w:rFonts w:hint="eastAsia" w:eastAsiaTheme="minorEastAsia"/>
                <w:kern w:val="0"/>
                <w:sz w:val="24"/>
                <w:highlight w:val="none"/>
                <w:lang w:bidi="ar"/>
              </w:rPr>
              <w:t>号楼，根据《北京市生态环境局关于生态环境分区管控动态更新成果的通告》（通告〔2024〕33 号），项目所在区域环境管控单元编码 ZH11011220007，环境管控单元属性为重点管控单元（北京经济技术开发区（亦庄新城核心区）），</w:t>
            </w:r>
            <w:r>
              <w:rPr>
                <w:rFonts w:hint="eastAsia" w:eastAsiaTheme="minorEastAsia"/>
                <w:kern w:val="0"/>
                <w:sz w:val="24"/>
                <w:highlight w:val="none"/>
                <w:lang w:val="en-US" w:eastAsia="zh-CN" w:bidi="ar"/>
              </w:rPr>
              <w:t>项目在生态环境管控单元中的位置</w:t>
            </w:r>
            <w:r>
              <w:rPr>
                <w:rFonts w:hint="eastAsia" w:eastAsiaTheme="minorEastAsia"/>
                <w:kern w:val="0"/>
                <w:sz w:val="24"/>
                <w:highlight w:val="none"/>
                <w:lang w:bidi="ar"/>
              </w:rPr>
              <w:t>见</w:t>
            </w:r>
            <w:r>
              <w:rPr>
                <w:rFonts w:hint="eastAsia" w:eastAsiaTheme="minorEastAsia"/>
                <w:kern w:val="0"/>
                <w:sz w:val="24"/>
                <w:highlight w:val="none"/>
                <w:lang w:val="en-US" w:eastAsia="zh-CN" w:bidi="ar"/>
              </w:rPr>
              <w:t>下</w:t>
            </w:r>
            <w:r>
              <w:rPr>
                <w:rFonts w:hint="eastAsia" w:eastAsiaTheme="minorEastAsia"/>
                <w:kern w:val="0"/>
                <w:sz w:val="24"/>
                <w:highlight w:val="none"/>
                <w:lang w:bidi="ar"/>
              </w:rPr>
              <w:t>图。</w:t>
            </w:r>
          </w:p>
          <w:p w14:paraId="3E52EF46">
            <w:pPr>
              <w:spacing w:line="360" w:lineRule="auto"/>
              <w:ind w:firstLine="480" w:firstLineChars="200"/>
              <w:rPr>
                <w:rFonts w:eastAsiaTheme="minorEastAsia"/>
                <w:b/>
                <w:bCs/>
                <w:kern w:val="0"/>
                <w:sz w:val="24"/>
                <w:highlight w:val="none"/>
                <w:lang w:bidi="ar"/>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3035935</wp:posOffset>
                      </wp:positionH>
                      <wp:positionV relativeFrom="paragraph">
                        <wp:posOffset>706755</wp:posOffset>
                      </wp:positionV>
                      <wp:extent cx="654685" cy="350520"/>
                      <wp:effectExtent l="715010" t="6350" r="17145" b="450850"/>
                      <wp:wrapNone/>
                      <wp:docPr id="32" name="矩形标注 32"/>
                      <wp:cNvGraphicFramePr/>
                      <a:graphic xmlns:a="http://schemas.openxmlformats.org/drawingml/2006/main">
                        <a:graphicData uri="http://schemas.microsoft.com/office/word/2010/wordprocessingShape">
                          <wps:wsp>
                            <wps:cNvSpPr/>
                            <wps:spPr>
                              <a:xfrm>
                                <a:off x="5207000" y="2032000"/>
                                <a:ext cx="654685" cy="350520"/>
                              </a:xfrm>
                              <a:prstGeom prst="wedgeRectCallout">
                                <a:avLst>
                                  <a:gd name="adj1" fmla="val -151939"/>
                                  <a:gd name="adj2" fmla="val 171014"/>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CC73610">
                                  <w:pPr>
                                    <w:ind w:left="0" w:leftChars="0" w:firstLine="0" w:firstLineChars="0"/>
                                    <w:jc w:val="both"/>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9.05pt;margin-top:55.65pt;height:27.6pt;width:51.55pt;z-index:251660288;v-text-anchor:middle;mso-width-relative:page;mso-height-relative:page;" fillcolor="#FFFFFF [3212]" filled="t" stroked="t" coordsize="21600,21600" o:gfxdata="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Q/Hyu2AAAAAsBAAAPAAAAAAAA&#10;AAEAIAAAACIAAABkcnMvZG93bnJldi54bWxQSwECFAAUAAAACACHTuJAWMx9Bb0CAAByBQAADgAA&#10;AAAAAAABACAAAAAnAQAAZHJzL2Uyb0RvYy54bWxQSwUGAAAAAAYABgBZAQAAVgYAAAAA&#10;" adj="-22019,47739">
                      <v:fill on="t" focussize="0,0"/>
                      <v:stroke weight="1pt" color="#000000 [3213]" miterlimit="8" joinstyle="miter"/>
                      <v:imagedata o:title=""/>
                      <o:lock v:ext="edit" aspectratio="f"/>
                      <v:textbox>
                        <w:txbxContent>
                          <w:p w14:paraId="5CC73610">
                            <w:pPr>
                              <w:ind w:left="0" w:leftChars="0" w:firstLine="0" w:firstLineChars="0"/>
                              <w:jc w:val="both"/>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本项目</w:t>
                            </w:r>
                          </w:p>
                        </w:txbxContent>
                      </v:textbox>
                    </v:shape>
                  </w:pict>
                </mc:Fallback>
              </mc:AlternateContent>
            </w:r>
            <w:r>
              <w:rPr>
                <w:highlight w:val="none"/>
              </w:rPr>
              <mc:AlternateContent>
                <mc:Choice Requires="wps">
                  <w:drawing>
                    <wp:anchor distT="0" distB="0" distL="114300" distR="114300" simplePos="0" relativeHeight="251661312" behindDoc="0" locked="0" layoutInCell="1" allowOverlap="1">
                      <wp:simplePos x="0" y="0"/>
                      <wp:positionH relativeFrom="column">
                        <wp:posOffset>2245995</wp:posOffset>
                      </wp:positionH>
                      <wp:positionV relativeFrom="paragraph">
                        <wp:posOffset>1486535</wp:posOffset>
                      </wp:positionV>
                      <wp:extent cx="75565" cy="75565"/>
                      <wp:effectExtent l="6350" t="6350" r="9525" b="9525"/>
                      <wp:wrapNone/>
                      <wp:docPr id="45" name="椭圆 45"/>
                      <wp:cNvGraphicFramePr/>
                      <a:graphic xmlns:a="http://schemas.openxmlformats.org/drawingml/2006/main">
                        <a:graphicData uri="http://schemas.microsoft.com/office/word/2010/wordprocessingShape">
                          <wps:wsp>
                            <wps:cNvSpPr/>
                            <wps:spPr>
                              <a:xfrm>
                                <a:off x="4681220" y="2626360"/>
                                <a:ext cx="75565" cy="75565"/>
                              </a:xfrm>
                              <a:prstGeom prst="ellipse">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6.85pt;margin-top:117.05pt;height:5.95pt;width:5.95pt;z-index:251661312;v-text-anchor:middle;mso-width-relative:page;mso-height-relative:page;" fillcolor="#FFFF00" filled="t" stroked="t" coordsize="21600,21600" o:gfxdata="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iDlY9sAAAALAQAADwAAAAAAAAABACAAAAAiAAAA&#10;ZHJzL2Rvd25yZXYueG1sUEsBAhQAFAAAAAgAh07iQKqVj+52AgAAAgUAAA4AAAAAAAAAAQAgAAAA&#10;KgEAAGRycy9lMm9Eb2MueG1sUEsFBgAAAAAGAAYAWQEAABIGAAAAAA==&#10;">
                      <v:fill on="t" focussize="0,0"/>
                      <v:stroke weight="1pt" color="#FFFF00 [2404]" miterlimit="8" joinstyle="miter"/>
                      <v:imagedata o:title=""/>
                      <o:lock v:ext="edit" aspectratio="f"/>
                    </v:shape>
                  </w:pict>
                </mc:Fallback>
              </mc:AlternateContent>
            </w:r>
            <w:r>
              <w:rPr>
                <w:highlight w:val="none"/>
              </w:rPr>
              <w:drawing>
                <wp:inline distT="0" distB="0" distL="114300" distR="114300">
                  <wp:extent cx="3565525" cy="4776470"/>
                  <wp:effectExtent l="0" t="0" r="635"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3565525" cy="4776470"/>
                          </a:xfrm>
                          <a:prstGeom prst="rect">
                            <a:avLst/>
                          </a:prstGeom>
                          <a:noFill/>
                          <a:ln>
                            <a:noFill/>
                          </a:ln>
                        </pic:spPr>
                      </pic:pic>
                    </a:graphicData>
                  </a:graphic>
                </wp:inline>
              </w:drawing>
            </w:r>
          </w:p>
          <w:p w14:paraId="4A14E4D0">
            <w:pPr>
              <w:widowControl/>
              <w:numPr>
                <w:ilvl w:val="0"/>
                <w:numId w:val="2"/>
              </w:numPr>
              <w:spacing w:line="360" w:lineRule="auto"/>
              <w:ind w:left="425" w:leftChars="0" w:hanging="425" w:firstLineChars="0"/>
              <w:jc w:val="center"/>
              <w:rPr>
                <w:rFonts w:hint="eastAsia"/>
                <w:color w:val="auto"/>
                <w:vertAlign w:val="baseline"/>
              </w:rPr>
            </w:pPr>
            <w:r>
              <w:rPr>
                <w:rFonts w:hint="eastAsia"/>
                <w:b/>
                <w:bCs/>
                <w:sz w:val="24"/>
                <w:szCs w:val="32"/>
                <w:highlight w:val="none"/>
              </w:rPr>
              <w:t>北京市生态环境管控单元图</w:t>
            </w:r>
          </w:p>
          <w:p w14:paraId="2EA22DFF">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vertAlign w:val="baseline"/>
              </w:rPr>
            </w:pPr>
            <w:r>
              <w:rPr>
                <w:rFonts w:hint="eastAsia"/>
                <w:color w:val="auto"/>
                <w:vertAlign w:val="baseline"/>
              </w:rPr>
              <w:t>全市总体生态环境准入清单符合性分析</w:t>
            </w:r>
          </w:p>
          <w:p w14:paraId="41A35466">
            <w:pPr>
              <w:pStyle w:val="7"/>
              <w:spacing w:line="360" w:lineRule="auto"/>
              <w:ind w:firstLine="480" w:firstLineChars="200"/>
              <w:rPr>
                <w:rFonts w:hint="eastAsia" w:eastAsiaTheme="minorEastAsia"/>
                <w:kern w:val="0"/>
                <w:sz w:val="24"/>
                <w:highlight w:val="none"/>
                <w:lang w:eastAsia="zh-CN" w:bidi="ar"/>
              </w:rPr>
            </w:pPr>
            <w:r>
              <w:rPr>
                <w:rFonts w:hint="eastAsia" w:eastAsiaTheme="minorEastAsia"/>
                <w:kern w:val="0"/>
                <w:sz w:val="24"/>
                <w:highlight w:val="none"/>
                <w:lang w:bidi="ar"/>
              </w:rPr>
              <w:t>本项目属于重点产业园区重点管控类单元，对照重点管控类（重点产业园区）生态环境总体准入清单的要求，对本项目建设的符合性进行了分析，详见下表</w:t>
            </w:r>
            <w:r>
              <w:rPr>
                <w:rFonts w:hint="eastAsia" w:eastAsiaTheme="minorEastAsia"/>
                <w:kern w:val="0"/>
                <w:sz w:val="24"/>
                <w:highlight w:val="none"/>
                <w:lang w:eastAsia="zh-CN" w:bidi="ar"/>
              </w:rPr>
              <w:t>。</w:t>
            </w:r>
          </w:p>
          <w:p w14:paraId="01419A88">
            <w:pPr>
              <w:widowControl/>
              <w:numPr>
                <w:ilvl w:val="0"/>
                <w:numId w:val="3"/>
              </w:numPr>
              <w:spacing w:line="360" w:lineRule="auto"/>
              <w:ind w:left="425" w:leftChars="0" w:hanging="425" w:firstLineChars="0"/>
              <w:jc w:val="center"/>
              <w:rPr>
                <w:rFonts w:hint="default"/>
                <w:b/>
                <w:bCs/>
                <w:color w:val="auto"/>
                <w:sz w:val="21"/>
                <w:szCs w:val="21"/>
                <w:lang w:val="en-US" w:eastAsia="zh-CN"/>
              </w:rPr>
            </w:pPr>
            <w:r>
              <w:rPr>
                <w:rFonts w:hint="eastAsia"/>
                <w:b/>
                <w:bCs/>
                <w:color w:val="auto"/>
                <w:sz w:val="21"/>
                <w:szCs w:val="21"/>
                <w:lang w:val="en-US" w:eastAsia="zh-CN"/>
              </w:rPr>
              <w:t>本项目与全市总体生态环境准入清单管控要求符合性一览表</w:t>
            </w:r>
          </w:p>
          <w:tbl>
            <w:tblPr>
              <w:tblStyle w:val="12"/>
              <w:tblW w:w="5000" w:type="pct"/>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5"/>
              <w:gridCol w:w="2922"/>
              <w:gridCol w:w="2675"/>
              <w:gridCol w:w="470"/>
            </w:tblGrid>
            <w:tr w14:paraId="6E301A36">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tl2br w:val="nil"/>
                    <w:tr2bl w:val="nil"/>
                  </w:tcBorders>
                  <w:vAlign w:val="center"/>
                </w:tcPr>
                <w:p w14:paraId="48CA8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管控类别</w:t>
                  </w:r>
                </w:p>
              </w:tc>
              <w:tc>
                <w:tcPr>
                  <w:tcW w:w="2922" w:type="dxa"/>
                  <w:tcBorders>
                    <w:tl2br w:val="nil"/>
                    <w:tr2bl w:val="nil"/>
                  </w:tcBorders>
                  <w:vAlign w:val="center"/>
                </w:tcPr>
                <w:p w14:paraId="41C114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cs="Times New Roman"/>
                      <w:b/>
                      <w:bCs/>
                      <w:color w:val="auto"/>
                      <w:kern w:val="0"/>
                      <w:sz w:val="21"/>
                      <w:szCs w:val="21"/>
                      <w:highlight w:val="none"/>
                      <w:vertAlign w:val="baseline"/>
                      <w:lang w:val="en-US" w:eastAsia="zh-CN"/>
                    </w:rPr>
                    <w:t>重点管控要求</w:t>
                  </w:r>
                </w:p>
              </w:tc>
              <w:tc>
                <w:tcPr>
                  <w:tcW w:w="2675" w:type="dxa"/>
                  <w:tcBorders>
                    <w:tl2br w:val="nil"/>
                    <w:tr2bl w:val="nil"/>
                  </w:tcBorders>
                  <w:vAlign w:val="center"/>
                </w:tcPr>
                <w:p w14:paraId="5A6394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本项目情况</w:t>
                  </w:r>
                </w:p>
              </w:tc>
              <w:tc>
                <w:tcPr>
                  <w:tcW w:w="470" w:type="dxa"/>
                  <w:tcBorders>
                    <w:tl2br w:val="nil"/>
                    <w:tr2bl w:val="nil"/>
                  </w:tcBorders>
                  <w:vAlign w:val="center"/>
                </w:tcPr>
                <w:p w14:paraId="0F46B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符合情况</w:t>
                  </w:r>
                </w:p>
              </w:tc>
            </w:tr>
            <w:tr w14:paraId="61CFC9A1">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tl2br w:val="nil"/>
                    <w:tr2bl w:val="nil"/>
                  </w:tcBorders>
                  <w:vAlign w:val="center"/>
                </w:tcPr>
                <w:p w14:paraId="337CA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空间布局约束</w:t>
                  </w:r>
                </w:p>
              </w:tc>
              <w:tc>
                <w:tcPr>
                  <w:tcW w:w="2922" w:type="dxa"/>
                  <w:tcBorders>
                    <w:tl2br w:val="nil"/>
                    <w:tr2bl w:val="nil"/>
                  </w:tcBorders>
                  <w:vAlign w:val="center"/>
                </w:tcPr>
                <w:p w14:paraId="3D8C98F7">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严格执行《北京市新增产业的禁止和限制目录（2022年版）》、北京市《建设项目规划使用性质正面和负面清单》、《外商投资准入特别管理措施(负面清单)（2021年版）》《自由贸易</w:t>
                  </w:r>
                  <w:r>
                    <w:rPr>
                      <w:rFonts w:hint="default" w:ascii="Times New Roman" w:hAnsi="Times New Roman" w:eastAsia="宋体" w:cs="Times New Roman"/>
                      <w:color w:val="auto"/>
                      <w:sz w:val="21"/>
                      <w:szCs w:val="21"/>
                      <w:highlight w:val="none"/>
                      <w:lang w:eastAsia="zh-CN"/>
                    </w:rPr>
                    <w:t>实验</w:t>
                  </w:r>
                  <w:r>
                    <w:rPr>
                      <w:rFonts w:hint="default" w:ascii="Times New Roman" w:hAnsi="Times New Roman" w:eastAsia="宋体" w:cs="Times New Roman"/>
                      <w:color w:val="auto"/>
                      <w:sz w:val="21"/>
                      <w:szCs w:val="21"/>
                      <w:highlight w:val="none"/>
                    </w:rPr>
                    <w:t>区外商投资准入特别管理措施（负面清单）（202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年版）》《北京市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时期高精尖产业发展规划》《北京市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w:t>
                  </w:r>
                </w:p>
                <w:p w14:paraId="3A12AC29">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严格执行《北京市工业污染行业生产工艺调整退出及设备淘汰目录（2022年版）》。</w:t>
                  </w:r>
                </w:p>
                <w:p w14:paraId="32591971">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严格执行《北京城市总体规划(2016年-2035年)》《北京市国土空间近期规划(2021年—2025年)》及分区规划中的空间布局约束管控要求。</w:t>
                  </w:r>
                </w:p>
                <w:p w14:paraId="0171ECAD">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严格执行《北京市高污染燃料禁燃区划定方案（试行）》，高污染燃料禁燃区内任何单位不得新建、扩建高污染燃料燃用设施，不得将其他燃料燃用设施改造为高污染燃料燃用设施。</w:t>
                  </w:r>
                </w:p>
                <w:p w14:paraId="74FBC375">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严格执行《北京市水污染防治条例》，通过合理规划工业布局，引导工业企业入驻工业园区；规划禁养区内已有的畜禽养殖场、养殖小区项目，由所在地区人民政府限期拆除。</w:t>
                  </w:r>
                </w:p>
                <w:p w14:paraId="1BE284D2">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严格执行《北京市大气污染防治条例》，禁止销售不符合标准的散煤及制品；在居民住宅楼、未配套设立专用烟道的商住综合楼、商住综合楼内与居住层相邻的商业楼层内，禁止新建、改建、扩建产生油烟、异味、废气的饮食服务、服装干洗和机动车维修等项目。</w:t>
                  </w:r>
                </w:p>
                <w:p w14:paraId="084E786F">
                  <w:pPr>
                    <w:pStyle w:val="7"/>
                    <w:spacing w:line="240" w:lineRule="auto"/>
                    <w:ind w:left="0" w:leftChars="0" w:firstLine="0" w:firstLineChars="0"/>
                    <w:rPr>
                      <w:rFonts w:hint="default" w:eastAsia="宋体"/>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严格执行《北京历史文化名城保护条例》，严格控制建设规模和建筑高度，保护景观视廊和空间格局；逐步开展环境整治、生态修复，恢复大尺度绿色空间。</w:t>
                  </w:r>
                </w:p>
              </w:tc>
              <w:tc>
                <w:tcPr>
                  <w:tcW w:w="2675" w:type="dxa"/>
                  <w:tcBorders>
                    <w:tl2br w:val="nil"/>
                    <w:tr2bl w:val="nil"/>
                  </w:tcBorders>
                  <w:vAlign w:val="center"/>
                </w:tcPr>
                <w:p w14:paraId="095AD434">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本项目不在《北京市新增产业的禁止和限制目录》（2022年版）禁止和限制范围内；本项目不属于北京市《建设项目规划使用性质正面和负面清单》中负面清单范围内。本项目不涉及《外商投资准入特别管理措施(负面清单)》（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年版）、《自由贸易</w:t>
                  </w:r>
                  <w:r>
                    <w:rPr>
                      <w:rFonts w:hint="default" w:ascii="Times New Roman" w:hAnsi="Times New Roman" w:eastAsia="宋体" w:cs="Times New Roman"/>
                      <w:color w:val="auto"/>
                      <w:sz w:val="21"/>
                      <w:szCs w:val="21"/>
                      <w:highlight w:val="none"/>
                      <w:lang w:eastAsia="zh-CN"/>
                    </w:rPr>
                    <w:t>实验</w:t>
                  </w:r>
                  <w:r>
                    <w:rPr>
                      <w:rFonts w:hint="default" w:ascii="Times New Roman" w:hAnsi="Times New Roman" w:eastAsia="宋体" w:cs="Times New Roman"/>
                      <w:color w:val="auto"/>
                      <w:sz w:val="21"/>
                      <w:szCs w:val="21"/>
                      <w:highlight w:val="none"/>
                    </w:rPr>
                    <w:t>区外商投资准入特别管理措施（负面清单）》（2021年版）。</w:t>
                  </w:r>
                </w:p>
                <w:p w14:paraId="253FBF33">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2.本项目未列入《北京市工业污染行业生产工艺调整退出及设备淘汰目录》（2022年版）。</w:t>
                  </w:r>
                </w:p>
                <w:p w14:paraId="3A3F9763">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3.本项目满足《北京城市总体规划(2016年-2035年)》及分区规划中的空间布局约束管控要求。</w:t>
                  </w:r>
                </w:p>
                <w:p w14:paraId="699035C8">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4.本项目不涉及燃料燃用设施使用。</w:t>
                  </w:r>
                </w:p>
                <w:p w14:paraId="30FFA1CD">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5.本项目不属于高污染、高耗水行业，符合《北京市水污染防治条例》（2021年版）相关要求。</w:t>
                  </w:r>
                </w:p>
                <w:p w14:paraId="0624145C">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r>
                    <w:rPr>
                      <w:rFonts w:hint="eastAsia"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项目符合《北京市大气污染防治条例》要求。</w:t>
                  </w:r>
                </w:p>
                <w:p w14:paraId="4C3397D0">
                  <w:pPr>
                    <w:pStyle w:val="7"/>
                    <w:numPr>
                      <w:ilvl w:val="0"/>
                      <w:numId w:val="0"/>
                    </w:numPr>
                    <w:spacing w:line="240" w:lineRule="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highlight w:val="none"/>
                    </w:rPr>
                    <w:t>7.</w:t>
                  </w:r>
                  <w:r>
                    <w:rPr>
                      <w:rFonts w:hint="eastAsia"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项目租用现有建筑物，不新建建筑物，符合《北京历史文化名城保护条例》要求。</w:t>
                  </w:r>
                </w:p>
              </w:tc>
              <w:tc>
                <w:tcPr>
                  <w:tcW w:w="470" w:type="dxa"/>
                  <w:tcBorders>
                    <w:tl2br w:val="nil"/>
                    <w:tr2bl w:val="nil"/>
                  </w:tcBorders>
                  <w:vAlign w:val="center"/>
                </w:tcPr>
                <w:p w14:paraId="6EAD8B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59E78A69">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tl2br w:val="nil"/>
                    <w:tr2bl w:val="nil"/>
                  </w:tcBorders>
                  <w:vAlign w:val="center"/>
                </w:tcPr>
                <w:p w14:paraId="68E691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污染物排放管控</w:t>
                  </w:r>
                </w:p>
              </w:tc>
              <w:tc>
                <w:tcPr>
                  <w:tcW w:w="2922" w:type="dxa"/>
                  <w:tcBorders>
                    <w:tl2br w:val="nil"/>
                    <w:tr2bl w:val="nil"/>
                  </w:tcBorders>
                  <w:vAlign w:val="top"/>
                </w:tcPr>
                <w:p w14:paraId="6E58657F">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严格执行《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土壤污染防治条例》等法律法规以及国家、地方环境质量标准。</w:t>
                  </w:r>
                </w:p>
                <w:p w14:paraId="00AA43CA">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严格执行《中华人民共和国清洁生产促进法》《中华人民共和国循环经济促进法》。</w:t>
                  </w:r>
                </w:p>
                <w:p w14:paraId="2CA28D9B">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严格执行《建设项目主要污染物排放总量指标审核及管理暂行办法》《原北京市环境保护局关于建设项目主要污染物排放总量指标审核及管理的补充通知》。</w:t>
                  </w:r>
                </w:p>
                <w:p w14:paraId="4353CC3D">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严格执行废气、废水、噪声、固体废物等国家地方污染物排放标准；严格执行锅炉、餐饮、印刷业、木质家具制造业、汽车维修业等地方大气污染物排放标准，强化重点领域大气污染管控。</w:t>
                  </w:r>
                </w:p>
                <w:p w14:paraId="4E4AA1A6">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严格执行《北京市烟花爆竹安全管理规定》，五环路以内（含五环路）及各区人民政府划定的禁放区域禁止燃放烟花爆竹。</w:t>
                  </w:r>
                </w:p>
                <w:p w14:paraId="478A7FD4">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严格执行《中共中央国务院关于深入打好污染防治攻坚战的意见》《中共北京市委北京市人民政府关于深入打好北京市污染防治攻坚战的实施意见》，推动工业园区和产业集群升级、挥发性有机物和氮氧化物协同减排。</w:t>
                  </w:r>
                </w:p>
                <w:p w14:paraId="38918B90">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严格执行《北京市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时期土壤污染防治规划》。</w:t>
                  </w:r>
                </w:p>
                <w:p w14:paraId="412859DD">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严格执行《北京市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时期能源发展规划》《北京市碳达峰实施方案》《北京市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时期制造业绿色低碳发展行动方案》，坚决控制高耗能、高排放项目新建和改扩建，严格控制新建项目能耗和碳排放水平。</w:t>
                  </w:r>
                </w:p>
              </w:tc>
              <w:tc>
                <w:tcPr>
                  <w:tcW w:w="2675" w:type="dxa"/>
                  <w:tcBorders>
                    <w:tl2br w:val="nil"/>
                    <w:tr2bl w:val="nil"/>
                  </w:tcBorders>
                  <w:vAlign w:val="top"/>
                </w:tcPr>
                <w:p w14:paraId="1B97184A">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严格执行《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土壤污染防治条例》等法律法规以及国家、地方环境质量标准要求。</w:t>
                  </w:r>
                </w:p>
                <w:p w14:paraId="1AF1FD81">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2.本项目不属于高耗能行业，电源和水源由市政供给，符合清洁生产要求。</w:t>
                  </w:r>
                </w:p>
                <w:p w14:paraId="5EF48717">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总量控制指标为化学需氧量、氨氮，严格执行《建设项目主要污染物排放总量指标审核及管理暂行办法（环发[2014]197号）》、《原北京市环境保护局关于建设项目主要污染物排放总量指标审核及管理的补充通知》。</w:t>
                  </w:r>
                </w:p>
                <w:p w14:paraId="3A8702D1">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4.本项目废气、废水、噪声均满足国家地方污染物排放标准，固体废物合理处置，满足国家、地方相关要求。</w:t>
                  </w:r>
                </w:p>
                <w:p w14:paraId="23C3FDD3">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5.本项目不涉及烟花爆竹的使用。</w:t>
                  </w:r>
                </w:p>
                <w:p w14:paraId="2F8ABA61">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6.项目严格执行《中共中央国务院关于深入打好污染防治攻坚战的意见》《中共北京市委北京市人民政府关于深入打好北京市污染防治攻坚战的实施意见》。</w:t>
                  </w:r>
                </w:p>
                <w:p w14:paraId="3652B98A">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7.项目严格执行《北京市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时期土壤污染防治规划》。</w:t>
                  </w:r>
                </w:p>
                <w:p w14:paraId="2C0B2E20">
                  <w:pPr>
                    <w:pStyle w:val="7"/>
                    <w:numPr>
                      <w:ilvl w:val="0"/>
                      <w:numId w:val="0"/>
                    </w:numPr>
                    <w:spacing w:line="240" w:lineRule="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8.项目不属于高耗能行业，项目能耗和碳排放满足要求。</w:t>
                  </w:r>
                </w:p>
              </w:tc>
              <w:tc>
                <w:tcPr>
                  <w:tcW w:w="470" w:type="dxa"/>
                  <w:tcBorders>
                    <w:tl2br w:val="nil"/>
                    <w:tr2bl w:val="nil"/>
                  </w:tcBorders>
                  <w:vAlign w:val="center"/>
                </w:tcPr>
                <w:p w14:paraId="0ED90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236F2811">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tl2br w:val="nil"/>
                    <w:tr2bl w:val="nil"/>
                  </w:tcBorders>
                  <w:vAlign w:val="center"/>
                </w:tcPr>
                <w:p w14:paraId="11291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环境风险防控</w:t>
                  </w:r>
                </w:p>
              </w:tc>
              <w:tc>
                <w:tcPr>
                  <w:tcW w:w="2922" w:type="dxa"/>
                  <w:tcBorders>
                    <w:tl2br w:val="nil"/>
                    <w:tr2bl w:val="nil"/>
                  </w:tcBorders>
                  <w:vAlign w:val="top"/>
                </w:tcPr>
                <w:p w14:paraId="396CD1D3">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北京市突发环境事件应急预案》《北京市空气重污染应急预案（2023年修订）》等法律法规文件要求，完善环境风险防控体系，提高区域环境风险防范能力。</w:t>
                  </w:r>
                </w:p>
                <w:p w14:paraId="075FEEAE">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严格执行《污染地块土壤环境管理办法（试行）》《工矿用地土壤环境管理办法（试行）》相关要求，重点单位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有毒有害物质名录以生态环境部公布为准。</w:t>
                  </w:r>
                </w:p>
                <w:p w14:paraId="5D16DEB0">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3.工业园区管理机构应当统筹组织园区内产废量较小的工业企业产生的危险废物的收集、贮存、转运。</w:t>
                  </w:r>
                </w:p>
              </w:tc>
              <w:tc>
                <w:tcPr>
                  <w:tcW w:w="2675" w:type="dxa"/>
                  <w:tcBorders>
                    <w:tl2br w:val="nil"/>
                    <w:tr2bl w:val="nil"/>
                  </w:tcBorders>
                  <w:vAlign w:val="top"/>
                </w:tcPr>
                <w:p w14:paraId="476BB831">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本项目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等法律法规文件要求。本项目针对风险物质使用储存等风险环节，提出风险防范措施。</w:t>
                  </w:r>
                </w:p>
                <w:p w14:paraId="6C9A7673">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2.本项目废气、废水能达标排放，固体废物能得到安全贮存和处置，且采取了满足标准要求的防渗措施，对地下水和土壤环境影响可控。</w:t>
                  </w:r>
                </w:p>
                <w:p w14:paraId="217DEF22">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3.项目</w:t>
                  </w:r>
                  <w:r>
                    <w:rPr>
                      <w:rFonts w:hint="eastAsia" w:ascii="Times New Roman" w:hAnsi="Times New Roman" w:eastAsia="宋体" w:cs="Times New Roman"/>
                      <w:color w:val="auto"/>
                      <w:sz w:val="21"/>
                      <w:szCs w:val="21"/>
                      <w:highlight w:val="none"/>
                      <w:lang w:val="en-US" w:eastAsia="zh-CN"/>
                    </w:rPr>
                    <w:t>建设规范的危险废物暂存间，合理合规收集、贮存、处置危险废物</w:t>
                  </w:r>
                  <w:r>
                    <w:rPr>
                      <w:rFonts w:hint="default" w:ascii="Times New Roman" w:hAnsi="Times New Roman" w:eastAsia="宋体" w:cs="Times New Roman"/>
                      <w:color w:val="auto"/>
                      <w:sz w:val="21"/>
                      <w:szCs w:val="21"/>
                      <w:highlight w:val="none"/>
                      <w:lang w:val="en-US" w:eastAsia="zh-CN"/>
                    </w:rPr>
                    <w:t>。</w:t>
                  </w:r>
                </w:p>
              </w:tc>
              <w:tc>
                <w:tcPr>
                  <w:tcW w:w="470" w:type="dxa"/>
                  <w:tcBorders>
                    <w:tl2br w:val="nil"/>
                    <w:tr2bl w:val="nil"/>
                  </w:tcBorders>
                  <w:vAlign w:val="center"/>
                </w:tcPr>
                <w:p w14:paraId="7E715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3E8DACA9">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tl2br w:val="nil"/>
                    <w:tr2bl w:val="nil"/>
                  </w:tcBorders>
                  <w:vAlign w:val="center"/>
                </w:tcPr>
                <w:p w14:paraId="1F5043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资源利用效率要求</w:t>
                  </w:r>
                </w:p>
              </w:tc>
              <w:tc>
                <w:tcPr>
                  <w:tcW w:w="2922" w:type="dxa"/>
                  <w:tcBorders>
                    <w:tl2br w:val="nil"/>
                    <w:tr2bl w:val="nil"/>
                  </w:tcBorders>
                  <w:vAlign w:val="top"/>
                </w:tcPr>
                <w:p w14:paraId="641A8985">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严格执行《中华人民共和国水法》《北京市节水条例》《北京市人民政府关于实行最严格水资源管理制度的意见》《北京市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节水型社会建设规划》《关于北京市加强水生态空间管控工作的意见》，加强用水管控，推动再生水多元利用。</w:t>
                  </w:r>
                </w:p>
                <w:p w14:paraId="540A492A">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落实《北京城市总体规划(2016年-2035年)》《北京市国土空间近期规划(2021年—2025年)》要求，坚守建设用地规模底线，提高产业用地利用效率。</w:t>
                  </w:r>
                </w:p>
                <w:p w14:paraId="40A584CD">
                  <w:pPr>
                    <w:pStyle w:val="7"/>
                    <w:numPr>
                      <w:ilvl w:val="0"/>
                      <w:numId w:val="0"/>
                    </w:numPr>
                    <w:spacing w:line="240" w:lineRule="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3.执行《中华人民共和国节约能源法》以及北京市单位产品能源消耗限额系列行业标准《供热锅炉综合能源消耗限额》《北京市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时期能源发展规划》《北京市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时期应对气候变化和节能规划》。</w:t>
                  </w:r>
                </w:p>
              </w:tc>
              <w:tc>
                <w:tcPr>
                  <w:tcW w:w="2675" w:type="dxa"/>
                  <w:tcBorders>
                    <w:tl2br w:val="nil"/>
                    <w:tr2bl w:val="nil"/>
                  </w:tcBorders>
                  <w:vAlign w:val="top"/>
                </w:tcPr>
                <w:p w14:paraId="38AEB52E">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1.本项目用水由市政给水管网提供，严格执行《中华人民共和国水法》《北京市节水条例》《北京市人民政府关于实行最严格水资源管理制度的意见》《北京市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节水型社会建设规划》《关于北京市加强水生态空间管控工作的意见》，加强用水管控。</w:t>
                  </w:r>
                </w:p>
                <w:p w14:paraId="2FD815AE">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2.本项目租用现有建筑物，不新增用地，符合《北京城市总体规划(2016年-2035年)》《北京市国土空间近期规划(2021年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2025年)》要求。</w:t>
                  </w:r>
                </w:p>
                <w:p w14:paraId="431AE045">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3.项目不属于高耗能行业，且项目不涉及锅炉，项目能耗和碳排放满足要求。项目严格执行《中华人民共和国节约能源法》以及《北京市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时期能源发展规划》《北京市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时期应对气候变化和节能规划》。</w:t>
                  </w:r>
                </w:p>
              </w:tc>
              <w:tc>
                <w:tcPr>
                  <w:tcW w:w="470" w:type="dxa"/>
                  <w:tcBorders>
                    <w:tl2br w:val="nil"/>
                    <w:tr2bl w:val="nil"/>
                  </w:tcBorders>
                  <w:vAlign w:val="center"/>
                </w:tcPr>
                <w:p w14:paraId="7BBD56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bl>
          <w:p w14:paraId="12C735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vertAlign w:val="baseline"/>
                <w:lang w:eastAsia="zh-CN"/>
              </w:rPr>
            </w:pPr>
            <w:r>
              <w:rPr>
                <w:rFonts w:hint="eastAsia"/>
                <w:color w:val="auto"/>
                <w:vertAlign w:val="baseline"/>
                <w:lang w:eastAsia="zh-CN"/>
              </w:rPr>
              <w:t>（</w:t>
            </w:r>
            <w:r>
              <w:rPr>
                <w:rFonts w:hint="eastAsia"/>
                <w:color w:val="auto"/>
                <w:vertAlign w:val="baseline"/>
                <w:lang w:val="en-US" w:eastAsia="zh-CN"/>
              </w:rPr>
              <w:t>2</w:t>
            </w:r>
            <w:r>
              <w:rPr>
                <w:rFonts w:hint="eastAsia"/>
                <w:color w:val="auto"/>
                <w:vertAlign w:val="baseline"/>
                <w:lang w:eastAsia="zh-CN"/>
              </w:rPr>
              <w:t>）五大功能区清单符合性分析</w:t>
            </w:r>
          </w:p>
          <w:p w14:paraId="25A6DA43">
            <w:pPr>
              <w:pStyle w:val="7"/>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w:t>
            </w:r>
            <w:r>
              <w:rPr>
                <w:rFonts w:hint="eastAsia" w:eastAsia="宋体" w:cs="Times New Roman"/>
                <w:color w:val="auto"/>
                <w:sz w:val="24"/>
                <w:highlight w:val="none"/>
                <w:lang w:val="en-US" w:eastAsia="zh-CN"/>
              </w:rPr>
              <w:t>所在地</w:t>
            </w:r>
            <w:r>
              <w:rPr>
                <w:rFonts w:hint="default" w:ascii="Times New Roman" w:hAnsi="Times New Roman" w:eastAsia="宋体" w:cs="Times New Roman"/>
                <w:color w:val="auto"/>
                <w:sz w:val="24"/>
                <w:highlight w:val="none"/>
              </w:rPr>
              <w:t>属于五大生态功能区中的平原新城，本项目与平原新城生态环境准入清单的符合性分析详见</w:t>
            </w:r>
            <w:r>
              <w:rPr>
                <w:rFonts w:hint="default" w:ascii="Times New Roman" w:hAnsi="Times New Roman" w:eastAsia="宋体" w:cs="Times New Roman"/>
                <w:color w:val="auto"/>
                <w:sz w:val="24"/>
                <w:highlight w:val="none"/>
                <w:lang w:val="en-US" w:eastAsia="zh-CN"/>
              </w:rPr>
              <w:t>下</w:t>
            </w:r>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eastAsia="zh-CN"/>
              </w:rPr>
              <w:t>。</w:t>
            </w:r>
          </w:p>
          <w:p w14:paraId="44F31F06">
            <w:pPr>
              <w:widowControl/>
              <w:numPr>
                <w:ilvl w:val="0"/>
                <w:numId w:val="3"/>
              </w:numPr>
              <w:spacing w:line="360" w:lineRule="auto"/>
              <w:ind w:left="425" w:leftChars="0" w:hanging="425" w:firstLineChars="0"/>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本项目与五大功能区清单符合性分析</w:t>
            </w:r>
          </w:p>
          <w:tbl>
            <w:tblPr>
              <w:tblStyle w:val="12"/>
              <w:tblW w:w="5000" w:type="pct"/>
              <w:jc w:val="center"/>
              <w:tblBorders>
                <w:top w:val="single" w:color="auto" w:sz="4" w:space="0"/>
                <w:left w:val="single" w:color="auto" w:sz="8" w:space="0"/>
                <w:bottom w:val="single" w:color="auto" w:sz="4"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495"/>
              <w:gridCol w:w="2798"/>
              <w:gridCol w:w="2799"/>
              <w:gridCol w:w="470"/>
            </w:tblGrid>
            <w:tr w14:paraId="59A17750">
              <w:tblPrEx>
                <w:tblBorders>
                  <w:top w:val="single" w:color="auto" w:sz="4" w:space="0"/>
                  <w:left w:val="single" w:color="auto" w:sz="8" w:space="0"/>
                  <w:bottom w:val="single" w:color="auto" w:sz="4"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38148B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管控类别</w:t>
                  </w:r>
                </w:p>
              </w:tc>
              <w:tc>
                <w:tcPr>
                  <w:tcW w:w="3037" w:type="dxa"/>
                  <w:tcBorders>
                    <w:tl2br w:val="nil"/>
                    <w:tr2bl w:val="nil"/>
                  </w:tcBorders>
                  <w:vAlign w:val="center"/>
                </w:tcPr>
                <w:p w14:paraId="63159D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cs="Times New Roman"/>
                      <w:b/>
                      <w:bCs/>
                      <w:color w:val="auto"/>
                      <w:kern w:val="0"/>
                      <w:sz w:val="21"/>
                      <w:szCs w:val="21"/>
                      <w:highlight w:val="none"/>
                      <w:vertAlign w:val="baseline"/>
                      <w:lang w:val="en-US" w:eastAsia="zh-CN"/>
                    </w:rPr>
                    <w:t>重点管控要求</w:t>
                  </w:r>
                </w:p>
              </w:tc>
              <w:tc>
                <w:tcPr>
                  <w:tcW w:w="3038" w:type="dxa"/>
                  <w:tcBorders>
                    <w:tl2br w:val="nil"/>
                    <w:tr2bl w:val="nil"/>
                  </w:tcBorders>
                  <w:vAlign w:val="center"/>
                </w:tcPr>
                <w:p w14:paraId="3F0384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本项目情况</w:t>
                  </w:r>
                </w:p>
              </w:tc>
              <w:tc>
                <w:tcPr>
                  <w:tcW w:w="510" w:type="dxa"/>
                  <w:tcBorders>
                    <w:tl2br w:val="nil"/>
                    <w:tr2bl w:val="nil"/>
                  </w:tcBorders>
                  <w:vAlign w:val="center"/>
                </w:tcPr>
                <w:p w14:paraId="3B174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符合情况</w:t>
                  </w:r>
                </w:p>
              </w:tc>
            </w:tr>
            <w:tr w14:paraId="0B41CD7D">
              <w:tblPrEx>
                <w:tblBorders>
                  <w:top w:val="single" w:color="auto" w:sz="4" w:space="0"/>
                  <w:left w:val="single" w:color="auto" w:sz="8" w:space="0"/>
                  <w:bottom w:val="single" w:color="auto" w:sz="4"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528F0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空间布局约束</w:t>
                  </w:r>
                </w:p>
              </w:tc>
              <w:tc>
                <w:tcPr>
                  <w:tcW w:w="3037" w:type="dxa"/>
                  <w:tcBorders>
                    <w:tl2br w:val="nil"/>
                    <w:tr2bl w:val="nil"/>
                  </w:tcBorders>
                  <w:vAlign w:val="top"/>
                </w:tcPr>
                <w:p w14:paraId="0A3A69B0">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执行《北京市新增产业的禁止和限制目录（2022年版）》适用于北京城市副中心的管控要求。</w:t>
                  </w:r>
                </w:p>
                <w:p w14:paraId="7425E4A8">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执行《建设项目规划使用性质正面和负面清单》适用于城市副中心的管控要求。</w:t>
                  </w:r>
                </w:p>
                <w:p w14:paraId="69103EFB">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执行《北京城市副中心（通州区）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时期产业发展规划》《北京城市副中心（通州区）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时期城市治理规划）》《北京市城市副中心（通州区）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时期交通发展建设规划》的管控要求。</w:t>
                  </w:r>
                </w:p>
                <w:p w14:paraId="4758B85B">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4.涉及生态保护红线及相关法定保护空间的应执行优先保护类总体准入清单。</w:t>
                  </w:r>
                </w:p>
              </w:tc>
              <w:tc>
                <w:tcPr>
                  <w:tcW w:w="3038" w:type="dxa"/>
                  <w:tcBorders>
                    <w:tl2br w:val="nil"/>
                    <w:tr2bl w:val="nil"/>
                  </w:tcBorders>
                  <w:vAlign w:val="center"/>
                </w:tcPr>
                <w:p w14:paraId="6F623B36">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1.对照《北京市新增产业的禁止和限制目录（2022年版）》中适用于中心城区、北京城市副中心以外的平原地区的目录(二)，本项目不属于禁止和限制项目。</w:t>
                  </w:r>
                </w:p>
                <w:p w14:paraId="3A69347B">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2.本项目不涉及北京市《建设项目规划使用性质正面和负面清单》中负面清单。</w:t>
                  </w:r>
                </w:p>
                <w:p w14:paraId="14A1E560">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3.项目符合《北京城市副中心（通州区）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时期产业发展规划》《北京城市副中心（通州区）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时期城市治理规划）》《北京市城市副中心（通州区）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十四五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时期交通发展建设规划》的管控要求。</w:t>
                  </w:r>
                </w:p>
                <w:p w14:paraId="6F8CA119">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4.项目位于</w:t>
                  </w:r>
                  <w:r>
                    <w:rPr>
                      <w:rFonts w:hint="eastAsia" w:ascii="Times New Roman" w:hAnsi="Times New Roman" w:eastAsia="宋体" w:cs="Times New Roman"/>
                      <w:color w:val="auto"/>
                      <w:sz w:val="21"/>
                      <w:szCs w:val="21"/>
                      <w:highlight w:val="none"/>
                      <w:lang w:val="en-US" w:eastAsia="zh-CN"/>
                    </w:rPr>
                    <w:t>北京经济技术开发区科创十三街18号院5号楼3层0301室</w:t>
                  </w:r>
                  <w:r>
                    <w:rPr>
                      <w:rFonts w:hint="default" w:ascii="Times New Roman" w:hAnsi="Times New Roman" w:eastAsia="宋体" w:cs="Times New Roman"/>
                      <w:color w:val="auto"/>
                      <w:sz w:val="21"/>
                      <w:szCs w:val="21"/>
                      <w:highlight w:val="none"/>
                      <w:lang w:val="en-US" w:eastAsia="zh-CN"/>
                    </w:rPr>
                    <w:t>，项目不涉及生态保护红线及相关法定保护空间。</w:t>
                  </w:r>
                </w:p>
              </w:tc>
              <w:tc>
                <w:tcPr>
                  <w:tcW w:w="510" w:type="dxa"/>
                  <w:tcBorders>
                    <w:tl2br w:val="nil"/>
                    <w:tr2bl w:val="nil"/>
                  </w:tcBorders>
                  <w:vAlign w:val="center"/>
                </w:tcPr>
                <w:p w14:paraId="5C1B1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6696118B">
              <w:tblPrEx>
                <w:tblBorders>
                  <w:top w:val="single" w:color="auto" w:sz="4" w:space="0"/>
                  <w:left w:val="single" w:color="auto" w:sz="8" w:space="0"/>
                  <w:bottom w:val="single" w:color="auto" w:sz="4"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86F7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污染物排放管控</w:t>
                  </w:r>
                </w:p>
              </w:tc>
              <w:tc>
                <w:tcPr>
                  <w:tcW w:w="3037" w:type="dxa"/>
                  <w:tcBorders>
                    <w:tl2br w:val="nil"/>
                    <w:tr2bl w:val="nil"/>
                  </w:tcBorders>
                  <w:vAlign w:val="top"/>
                </w:tcPr>
                <w:p w14:paraId="6AE8FB89">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通州区全域禁止使用高排放非道路移动机械。</w:t>
                  </w:r>
                </w:p>
                <w:p w14:paraId="24CC2077">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副中心开展大气污染精细化治理，组织空气质量排名靠后的街道(乡镇)进行综合整治。</w:t>
                  </w:r>
                </w:p>
                <w:p w14:paraId="1FE2F1D2">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必须遵守污染物排放的国家标准和地方标准；在实施重点污染物排放总量控制的区域内，还必须符合重点污染物排放总量控制的要求。</w:t>
                  </w:r>
                </w:p>
                <w:p w14:paraId="4FFDDDA4">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严格产业准入标准，有序引导高端要素集聚。</w:t>
                  </w:r>
                </w:p>
                <w:p w14:paraId="51DB4242">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工业园区配套建设废水集中处理设施。</w:t>
                  </w:r>
                </w:p>
                <w:p w14:paraId="29E62F6A">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依法关闭或搬迁禁养区内的畜禽养殖场（小区）和养殖专业户。新建、改建、扩建规模化畜禽养殖场（小区）要实施雨污分流、粪便污水资源化利用。</w:t>
                  </w:r>
                </w:p>
                <w:p w14:paraId="04C876F7">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禁止在居民住宅楼、未配套设立专用烟道的商住综合楼、商住综合楼内与居住层相邻的商业楼层内，新建、改建、扩建产生油烟、异味、废气、噪声污染的饮食服务、服装干洗、机动车维修。</w:t>
                  </w:r>
                </w:p>
                <w:p w14:paraId="6119AC01">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到2025年，道路(含背街小巷)优于一级清扫保洁质量要求。</w:t>
                  </w:r>
                </w:p>
                <w:p w14:paraId="6257C650">
                  <w:pPr>
                    <w:pStyle w:val="7"/>
                    <w:numPr>
                      <w:ilvl w:val="0"/>
                      <w:numId w:val="0"/>
                    </w:numPr>
                    <w:spacing w:line="240" w:lineRule="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9.推动副中心核心区划定超低排放区建设，基本实现公交、环卫、出租、邮政、渣土、机场大巴、货运、旅游及公务车辆为新能源动力，逐步禁止柴油车辆驶入。</w:t>
                  </w:r>
                </w:p>
              </w:tc>
              <w:tc>
                <w:tcPr>
                  <w:tcW w:w="3038" w:type="dxa"/>
                  <w:tcBorders>
                    <w:tl2br w:val="nil"/>
                    <w:tr2bl w:val="nil"/>
                  </w:tcBorders>
                  <w:vAlign w:val="center"/>
                </w:tcPr>
                <w:p w14:paraId="0C5963AE">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1.项目不涉及高排放非道路移动机械。</w:t>
                  </w:r>
                </w:p>
                <w:p w14:paraId="0D6B8396">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2.项目所在区域不属于空气质量排名靠后的街道(乡镇)。</w:t>
                  </w:r>
                </w:p>
                <w:p w14:paraId="07B09A44">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本项目废气、废水、噪声均满足国家地方污染物排放标准，固体废物合理处置，满足国家、地方相关要求。本项目总量控制指标为化学需氧量、氨氮，严格执行《建设项目主要污染物排放总量指标审核及管理暂行办法（环发[2014]197号）》、《原北京市环境保护局关于建设项目主要污染物排放总量指标审核及管理的补充通知》。</w:t>
                  </w:r>
                </w:p>
                <w:p w14:paraId="44F89F2B">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4.项目符合《产业结构调整指导目录》（2024年本）。项目不在《北京市新增产业的禁止和限制目录（2022年版）》禁止和限制范围内。</w:t>
                  </w:r>
                </w:p>
                <w:p w14:paraId="7393D3FF">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5.项目所在工业园区已配套建设废水集中</w:t>
                  </w:r>
                  <w:r>
                    <w:rPr>
                      <w:rFonts w:hint="eastAsia" w:ascii="Times New Roman" w:hAnsi="Times New Roman" w:eastAsia="宋体" w:cs="Times New Roman"/>
                      <w:color w:val="auto"/>
                      <w:sz w:val="21"/>
                      <w:szCs w:val="21"/>
                      <w:highlight w:val="none"/>
                      <w:lang w:val="en-US" w:eastAsia="zh-CN"/>
                    </w:rPr>
                    <w:t>收集设施，建设化粪池，园区项目废水排放满足污水处理厂进水要求</w:t>
                  </w:r>
                  <w:r>
                    <w:rPr>
                      <w:rFonts w:hint="default" w:ascii="Times New Roman" w:hAnsi="Times New Roman" w:eastAsia="宋体" w:cs="Times New Roman"/>
                      <w:color w:val="auto"/>
                      <w:sz w:val="21"/>
                      <w:szCs w:val="21"/>
                      <w:highlight w:val="none"/>
                      <w:lang w:val="en-US" w:eastAsia="zh-CN"/>
                    </w:rPr>
                    <w:t>。</w:t>
                  </w:r>
                </w:p>
                <w:p w14:paraId="25431B4C">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6.项目不属于畜禽养殖场（小区）和养殖专业户。</w:t>
                  </w:r>
                </w:p>
                <w:p w14:paraId="7BEE8EB7">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7.项目不位于居民住宅楼、未配套设立专用烟道的商住综合楼、商住综合楼内与居住层相邻的商业楼层内，且项目不属于饮食服务、服装干洗、机动车维修。</w:t>
                  </w:r>
                </w:p>
                <w:p w14:paraId="2BDCA510">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8.项目不涉及。</w:t>
                  </w:r>
                </w:p>
                <w:p w14:paraId="63C0CC0E">
                  <w:pPr>
                    <w:pStyle w:val="7"/>
                    <w:numPr>
                      <w:ilvl w:val="0"/>
                      <w:numId w:val="0"/>
                    </w:numPr>
                    <w:spacing w:line="240" w:lineRule="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9.项目不涉及柴油车辆。</w:t>
                  </w:r>
                </w:p>
              </w:tc>
              <w:tc>
                <w:tcPr>
                  <w:tcW w:w="510" w:type="dxa"/>
                  <w:tcBorders>
                    <w:tl2br w:val="nil"/>
                    <w:tr2bl w:val="nil"/>
                  </w:tcBorders>
                  <w:vAlign w:val="center"/>
                </w:tcPr>
                <w:p w14:paraId="7F4950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750272C4">
              <w:tblPrEx>
                <w:tblBorders>
                  <w:top w:val="single" w:color="auto" w:sz="4" w:space="0"/>
                  <w:left w:val="single" w:color="auto" w:sz="8" w:space="0"/>
                  <w:bottom w:val="single" w:color="auto" w:sz="4"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17D56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环境风险防控</w:t>
                  </w:r>
                </w:p>
              </w:tc>
              <w:tc>
                <w:tcPr>
                  <w:tcW w:w="3037" w:type="dxa"/>
                  <w:tcBorders>
                    <w:tl2br w:val="nil"/>
                    <w:tr2bl w:val="nil"/>
                  </w:tcBorders>
                  <w:vAlign w:val="top"/>
                </w:tcPr>
                <w:p w14:paraId="64123EE8">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应充分考虑污染地块的环境风险，合理确定土地用途。</w:t>
                  </w:r>
                </w:p>
                <w:p w14:paraId="6FF97AD6">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严格用地准入，防范人居环境风险。严格实施再开发、安全利用的管理。对原东方化工厂所在区域开展土壤治理修复和风险管控，保障城市绿心用地安全。</w:t>
                  </w:r>
                </w:p>
                <w:p w14:paraId="275D96B6">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3.有效落实空气重污染各项应急减排措施，引导提高施工工地和应急减排清单企业的绩效等级，引导使用纯电动、氢燃料电池的车辆和非道路移动机械。</w:t>
                  </w:r>
                </w:p>
              </w:tc>
              <w:tc>
                <w:tcPr>
                  <w:tcW w:w="3038" w:type="dxa"/>
                  <w:tcBorders>
                    <w:tl2br w:val="nil"/>
                    <w:tr2bl w:val="nil"/>
                  </w:tcBorders>
                  <w:vAlign w:val="center"/>
                </w:tcPr>
                <w:p w14:paraId="7ED3E832">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1.项目租用现有建筑物进行建设，不涉及新增用地。项目租用建筑物用途为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工业</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，本项目从事</w:t>
                  </w:r>
                  <w:r>
                    <w:rPr>
                      <w:rFonts w:hint="eastAsia" w:ascii="Times New Roman" w:hAnsi="Times New Roman" w:eastAsia="宋体" w:cs="Times New Roman"/>
                      <w:color w:val="auto"/>
                      <w:sz w:val="21"/>
                      <w:szCs w:val="21"/>
                      <w:highlight w:val="none"/>
                      <w:lang w:val="en-US" w:eastAsia="zh-CN"/>
                    </w:rPr>
                    <w:t>检验检测服务</w:t>
                  </w:r>
                  <w:r>
                    <w:rPr>
                      <w:rFonts w:hint="default" w:ascii="Times New Roman" w:hAnsi="Times New Roman" w:eastAsia="宋体" w:cs="Times New Roman"/>
                      <w:color w:val="auto"/>
                      <w:sz w:val="21"/>
                      <w:szCs w:val="21"/>
                      <w:highlight w:val="none"/>
                      <w:lang w:val="en-US" w:eastAsia="zh-CN"/>
                    </w:rPr>
                    <w:t>，符合建筑的规划用途。</w:t>
                  </w:r>
                </w:p>
                <w:p w14:paraId="04534C93">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2.项目租用现有建筑物进行建设，不涉及新增用地。</w:t>
                  </w:r>
                </w:p>
                <w:p w14:paraId="65E4E443">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3.项目租用现有建筑物进行建设，不涉及土建施工。施工期仅为简单装修。</w:t>
                  </w:r>
                </w:p>
              </w:tc>
              <w:tc>
                <w:tcPr>
                  <w:tcW w:w="510" w:type="dxa"/>
                  <w:tcBorders>
                    <w:tl2br w:val="nil"/>
                    <w:tr2bl w:val="nil"/>
                  </w:tcBorders>
                  <w:vAlign w:val="center"/>
                </w:tcPr>
                <w:p w14:paraId="40266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0EAF3C5B">
              <w:tblPrEx>
                <w:tblBorders>
                  <w:top w:val="single" w:color="auto" w:sz="4" w:space="0"/>
                  <w:left w:val="single" w:color="auto" w:sz="8" w:space="0"/>
                  <w:bottom w:val="single" w:color="auto" w:sz="4"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404E5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资源利用效率要求</w:t>
                  </w:r>
                </w:p>
              </w:tc>
              <w:tc>
                <w:tcPr>
                  <w:tcW w:w="3037" w:type="dxa"/>
                  <w:tcBorders>
                    <w:tl2br w:val="nil"/>
                    <w:tr2bl w:val="nil"/>
                  </w:tcBorders>
                  <w:vAlign w:val="top"/>
                </w:tcPr>
                <w:p w14:paraId="0FF02557">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坚持节水优先，实行最严格水资源管理制度，促进生产和生活全方位节水。</w:t>
                  </w:r>
                </w:p>
                <w:p w14:paraId="375DFB52">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优化区域能源结构，大力推进新能源和可再生能源利用，严控能源消费总量。</w:t>
                  </w:r>
                </w:p>
                <w:p w14:paraId="5F645A04">
                  <w:pPr>
                    <w:pStyle w:val="7"/>
                    <w:numPr>
                      <w:ilvl w:val="0"/>
                      <w:numId w:val="0"/>
                    </w:numPr>
                    <w:spacing w:line="240" w:lineRule="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3.加快锅炉房新能源和可再生能源替代，结合旧城改造、城市更新、园区建设和特色小镇等发展契机，推进建筑和工业等领域新能源和可再生能源供热，显著降低常规发展模式下能源利用污染物排放总量。</w:t>
                  </w:r>
                </w:p>
              </w:tc>
              <w:tc>
                <w:tcPr>
                  <w:tcW w:w="3038" w:type="dxa"/>
                  <w:tcBorders>
                    <w:tl2br w:val="nil"/>
                    <w:tr2bl w:val="nil"/>
                  </w:tcBorders>
                  <w:vAlign w:val="center"/>
                </w:tcPr>
                <w:p w14:paraId="2DBBF8AE">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1.本项目用水由市政给水管网提供。项目加强</w:t>
                  </w:r>
                  <w:r>
                    <w:rPr>
                      <w:rFonts w:hint="eastAsia" w:ascii="Times New Roman" w:hAnsi="Times New Roman" w:eastAsia="宋体"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lang w:val="en-US" w:eastAsia="zh-CN"/>
                    </w:rPr>
                    <w:t>和生活全方位节水。</w:t>
                  </w:r>
                </w:p>
                <w:p w14:paraId="16DE1F10">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2.项目所用能源主要为水资源和电能。项目不涉及其他能源消耗。</w:t>
                  </w:r>
                </w:p>
                <w:p w14:paraId="5011E271">
                  <w:pPr>
                    <w:pStyle w:val="7"/>
                    <w:numPr>
                      <w:ilvl w:val="0"/>
                      <w:numId w:val="0"/>
                    </w:numPr>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3.项目不涉及锅炉使用。</w:t>
                  </w:r>
                </w:p>
              </w:tc>
              <w:tc>
                <w:tcPr>
                  <w:tcW w:w="510" w:type="dxa"/>
                  <w:tcBorders>
                    <w:tl2br w:val="nil"/>
                    <w:tr2bl w:val="nil"/>
                  </w:tcBorders>
                  <w:vAlign w:val="center"/>
                </w:tcPr>
                <w:p w14:paraId="1BFA4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bl>
          <w:p w14:paraId="156EA4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lang w:val="en-US" w:eastAsia="zh-CN"/>
              </w:rPr>
            </w:pPr>
            <w:r>
              <w:rPr>
                <w:rFonts w:hint="eastAsia"/>
                <w:color w:val="auto"/>
                <w:vertAlign w:val="baseline"/>
                <w:lang w:val="en-US" w:eastAsia="zh-CN"/>
              </w:rPr>
              <w:t>（3）环境管控单元符合性分析</w:t>
            </w:r>
          </w:p>
          <w:p w14:paraId="168C8313">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本项目与重点管控单元准入清单的符合性分析见下表</w:t>
            </w:r>
            <w:r>
              <w:rPr>
                <w:rFonts w:hint="eastAsia" w:eastAsia="宋体" w:cs="Times New Roman"/>
                <w:color w:val="auto"/>
                <w:kern w:val="2"/>
                <w:sz w:val="24"/>
                <w:szCs w:val="24"/>
                <w:highlight w:val="none"/>
                <w:lang w:val="en-US" w:eastAsia="zh-CN" w:bidi="ar-SA"/>
              </w:rPr>
              <w:t>。</w:t>
            </w:r>
          </w:p>
          <w:p w14:paraId="610C2A33">
            <w:pPr>
              <w:widowControl/>
              <w:numPr>
                <w:ilvl w:val="0"/>
                <w:numId w:val="3"/>
              </w:numPr>
              <w:spacing w:line="360" w:lineRule="auto"/>
              <w:ind w:left="425" w:leftChars="0" w:hanging="425" w:firstLineChars="0"/>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本项目与重点产业园区重点管控单元准入清单的符合性分析</w:t>
            </w:r>
          </w:p>
          <w:tbl>
            <w:tblPr>
              <w:tblStyle w:val="12"/>
              <w:tblW w:w="5000" w:type="pct"/>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5"/>
              <w:gridCol w:w="2798"/>
              <w:gridCol w:w="2799"/>
              <w:gridCol w:w="470"/>
            </w:tblGrid>
            <w:tr w14:paraId="3A5F21E3">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0AA54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管控类别</w:t>
                  </w:r>
                </w:p>
              </w:tc>
              <w:tc>
                <w:tcPr>
                  <w:tcW w:w="3037" w:type="dxa"/>
                  <w:tcBorders>
                    <w:tl2br w:val="nil"/>
                    <w:tr2bl w:val="nil"/>
                  </w:tcBorders>
                  <w:vAlign w:val="center"/>
                </w:tcPr>
                <w:p w14:paraId="07FB4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cs="Times New Roman"/>
                      <w:b/>
                      <w:bCs/>
                      <w:color w:val="auto"/>
                      <w:kern w:val="0"/>
                      <w:sz w:val="21"/>
                      <w:szCs w:val="21"/>
                      <w:highlight w:val="none"/>
                      <w:vertAlign w:val="baseline"/>
                      <w:lang w:val="en-US" w:eastAsia="zh-CN"/>
                    </w:rPr>
                    <w:t>重点管控要求</w:t>
                  </w:r>
                </w:p>
              </w:tc>
              <w:tc>
                <w:tcPr>
                  <w:tcW w:w="3038" w:type="dxa"/>
                  <w:tcBorders>
                    <w:tl2br w:val="nil"/>
                    <w:tr2bl w:val="nil"/>
                  </w:tcBorders>
                  <w:vAlign w:val="center"/>
                </w:tcPr>
                <w:p w14:paraId="035FA1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本项目情况</w:t>
                  </w:r>
                </w:p>
              </w:tc>
              <w:tc>
                <w:tcPr>
                  <w:tcW w:w="510" w:type="dxa"/>
                  <w:tcBorders>
                    <w:tl2br w:val="nil"/>
                    <w:tr2bl w:val="nil"/>
                  </w:tcBorders>
                  <w:vAlign w:val="center"/>
                </w:tcPr>
                <w:p w14:paraId="2E03CA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符合情况</w:t>
                  </w:r>
                </w:p>
              </w:tc>
            </w:tr>
            <w:tr w14:paraId="07B1B4E2">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4B4B7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空间布局约束</w:t>
                  </w:r>
                </w:p>
              </w:tc>
              <w:tc>
                <w:tcPr>
                  <w:tcW w:w="3037" w:type="dxa"/>
                  <w:tcBorders>
                    <w:tl2br w:val="nil"/>
                    <w:tr2bl w:val="nil"/>
                  </w:tcBorders>
                  <w:vAlign w:val="center"/>
                </w:tcPr>
                <w:p w14:paraId="3C0D72C8">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执行重点管控类（产业园区）生态环境总体准入清单和平原新城生态环境准入清单的空间布局约束准入要求。</w:t>
                  </w:r>
                </w:p>
                <w:p w14:paraId="33FDBDCD">
                  <w:pPr>
                    <w:pStyle w:val="7"/>
                    <w:spacing w:line="240" w:lineRule="auto"/>
                    <w:ind w:left="0" w:leftChars="0" w:firstLine="0" w:firstLineChars="0"/>
                    <w:rPr>
                      <w:rFonts w:hint="default" w:eastAsia="宋体"/>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执行《亦庄新城规划（国土空间规划）（2017年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2035年）》及园区规划，立足开发区高端产业的发展基础，持续做强电子信息、生物医药、装备产业、汽车产业的总装集成、系统集成、总部经济等高端业态，做精自动化程度高、集约度高、附加值高、科技含量高、资金密集型的非制造环节。</w:t>
                  </w:r>
                </w:p>
              </w:tc>
              <w:tc>
                <w:tcPr>
                  <w:tcW w:w="3038" w:type="dxa"/>
                  <w:tcBorders>
                    <w:tl2br w:val="nil"/>
                    <w:tr2bl w:val="nil"/>
                  </w:tcBorders>
                  <w:vAlign w:val="center"/>
                </w:tcPr>
                <w:p w14:paraId="4EE39F6F">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1.项目符合重点管控类（产业园区）生态环境总体准入清单和平原新城生态环境准入清单的空间布局约束准入要求。</w:t>
                  </w:r>
                </w:p>
                <w:p w14:paraId="353877AC">
                  <w:pPr>
                    <w:pStyle w:val="7"/>
                    <w:spacing w:line="240" w:lineRule="auto"/>
                    <w:ind w:left="0" w:leftChars="0" w:firstLine="0" w:firstLineChars="0"/>
                    <w:rPr>
                      <w:rFonts w:hint="default"/>
                      <w:color w:val="auto"/>
                      <w:sz w:val="21"/>
                      <w:szCs w:val="21"/>
                      <w:vertAlign w:val="baseline"/>
                      <w:lang w:val="en-US" w:eastAsia="zh-CN"/>
                    </w:rPr>
                  </w:pPr>
                  <w:r>
                    <w:rPr>
                      <w:rFonts w:hint="default" w:ascii="Times New Roman" w:hAnsi="Times New Roman" w:eastAsia="宋体" w:cs="Times New Roman"/>
                      <w:color w:val="auto"/>
                      <w:sz w:val="21"/>
                      <w:szCs w:val="21"/>
                      <w:highlight w:val="none"/>
                    </w:rPr>
                    <w:t>2.本项目为附加值高、科技含量高、资金密集型的非制造</w:t>
                  </w:r>
                  <w:r>
                    <w:rPr>
                      <w:rFonts w:hint="eastAsia"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，符合《亦庄新城规划（国土空间规划）（2017</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2035年）》及其批复中相关要求。</w:t>
                  </w:r>
                </w:p>
              </w:tc>
              <w:tc>
                <w:tcPr>
                  <w:tcW w:w="510" w:type="dxa"/>
                  <w:tcBorders>
                    <w:tl2br w:val="nil"/>
                    <w:tr2bl w:val="nil"/>
                  </w:tcBorders>
                  <w:vAlign w:val="center"/>
                </w:tcPr>
                <w:p w14:paraId="7C0E3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2BD3A78A">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75348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污染物排放管控</w:t>
                  </w:r>
                </w:p>
              </w:tc>
              <w:tc>
                <w:tcPr>
                  <w:tcW w:w="3037" w:type="dxa"/>
                  <w:tcBorders>
                    <w:tl2br w:val="nil"/>
                    <w:tr2bl w:val="nil"/>
                  </w:tcBorders>
                  <w:vAlign w:val="center"/>
                </w:tcPr>
                <w:p w14:paraId="48711AE5">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执行重点管控类（产业园区）生态环境总体准入清单和平原新城生态环境准入清单的污染物排放管控准入要求。</w:t>
                  </w:r>
                </w:p>
                <w:p w14:paraId="756EC49A">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重点行业清洁生产水平达到相应行业清洁生产一级标准或国际先进水平。</w:t>
                  </w:r>
                </w:p>
                <w:p w14:paraId="2A10FD39">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新建燃气锅炉采用超低氮燃烧技术，NOx排放浓度控制在30mg/m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内。在用燃气锅炉实施低氮燃烧技术改造或脱硝治理，NOx排放浓度控制在80mg/m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以内。电子设备制造、汽车制造、包装印刷等行业推进单一活性炭吸附、光氧化及低温等离子等VOCs治理工艺改造，确保企业VOCs综合去除效率提升至60%以上。</w:t>
                  </w:r>
                </w:p>
                <w:p w14:paraId="58042B61">
                  <w:pPr>
                    <w:pStyle w:val="7"/>
                    <w:spacing w:line="240" w:lineRule="auto"/>
                    <w:ind w:left="0" w:leftChars="0" w:firstLine="0" w:firstLineChars="0"/>
                    <w:rPr>
                      <w:color w:val="auto"/>
                      <w:sz w:val="21"/>
                      <w:szCs w:val="21"/>
                      <w:vertAlign w:val="baseline"/>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加强污水治理，污水处理率达到100%。</w:t>
                  </w:r>
                </w:p>
              </w:tc>
              <w:tc>
                <w:tcPr>
                  <w:tcW w:w="3038" w:type="dxa"/>
                  <w:tcBorders>
                    <w:tl2br w:val="nil"/>
                    <w:tr2bl w:val="nil"/>
                  </w:tcBorders>
                  <w:vAlign w:val="center"/>
                </w:tcPr>
                <w:p w14:paraId="2A045C2C">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1.项目满足重点管控类（产业园区）生态环境总体准入清单和平原新城生态环境准入清单的污染物排放管控准入要求。</w:t>
                  </w:r>
                </w:p>
                <w:p w14:paraId="362119ED">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2.本项目为</w:t>
                  </w:r>
                  <w:r>
                    <w:rPr>
                      <w:rFonts w:hint="eastAsia" w:cs="Times New Roman"/>
                      <w:color w:val="auto"/>
                      <w:sz w:val="21"/>
                      <w:szCs w:val="21"/>
                      <w:highlight w:val="none"/>
                      <w:lang w:val="en-US" w:eastAsia="zh-CN"/>
                    </w:rPr>
                    <w:t>研发</w:t>
                  </w:r>
                  <w:r>
                    <w:rPr>
                      <w:rFonts w:hint="default" w:ascii="Times New Roman" w:hAnsi="Times New Roman" w:eastAsia="宋体" w:cs="Times New Roman"/>
                      <w:color w:val="auto"/>
                      <w:sz w:val="21"/>
                      <w:szCs w:val="21"/>
                      <w:highlight w:val="none"/>
                    </w:rPr>
                    <w:t>项目，不属于重点行业。</w:t>
                  </w:r>
                </w:p>
                <w:p w14:paraId="320BBE4E">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3.项目不涉及锅炉使用。项目不属于电子设备制造、汽车制造、包装印刷等行业。</w:t>
                  </w:r>
                </w:p>
                <w:p w14:paraId="62B49EB5">
                  <w:pPr>
                    <w:pStyle w:val="7"/>
                    <w:spacing w:line="240" w:lineRule="auto"/>
                    <w:ind w:left="0" w:leftChars="0" w:firstLine="0" w:firstLineChars="0"/>
                    <w:rPr>
                      <w:rFonts w:hint="default"/>
                      <w:color w:val="auto"/>
                      <w:sz w:val="21"/>
                      <w:szCs w:val="21"/>
                      <w:vertAlign w:val="baseline"/>
                      <w:lang w:val="en-US"/>
                    </w:rPr>
                  </w:pPr>
                  <w:r>
                    <w:rPr>
                      <w:rFonts w:hint="default" w:ascii="Times New Roman" w:hAnsi="Times New Roman" w:eastAsia="宋体" w:cs="Times New Roman"/>
                      <w:color w:val="auto"/>
                      <w:sz w:val="21"/>
                      <w:szCs w:val="21"/>
                      <w:highlight w:val="none"/>
                    </w:rPr>
                    <w:t>4.项目废水分类收集后排放，废水均能得到有效处理。</w:t>
                  </w:r>
                </w:p>
              </w:tc>
              <w:tc>
                <w:tcPr>
                  <w:tcW w:w="510" w:type="dxa"/>
                  <w:tcBorders>
                    <w:tl2br w:val="nil"/>
                    <w:tr2bl w:val="nil"/>
                  </w:tcBorders>
                  <w:vAlign w:val="center"/>
                </w:tcPr>
                <w:p w14:paraId="26B31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7C3BE139">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09687C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环境风险防控</w:t>
                  </w:r>
                </w:p>
              </w:tc>
              <w:tc>
                <w:tcPr>
                  <w:tcW w:w="3037" w:type="dxa"/>
                  <w:tcBorders>
                    <w:tl2br w:val="nil"/>
                    <w:tr2bl w:val="nil"/>
                  </w:tcBorders>
                  <w:vAlign w:val="center"/>
                </w:tcPr>
                <w:p w14:paraId="75CA0429">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执行重点管控类（产业园区）生态环境总体准入清单和平原新城生态环境准入清单的环境风险防范准入要求。</w:t>
                  </w:r>
                </w:p>
                <w:p w14:paraId="5E1E54B1">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在居民区、学校、医疗和养老机构等敏感用地周边，优先规划土壤污染低风险用地。在土壤污染高风险用地周边，避免规划上述敏感用地，确需规划的，提前做好风险防控。督促土壤重点监管单位落实生产经营期间的排查、监测、报告等义务，严格落实设备设施拆除、用地用途变更等活动有关不动产登记及备案要求。</w:t>
                  </w:r>
                </w:p>
                <w:p w14:paraId="56CC9759">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工业企业新建、改建、扩建产生危险废物的建设项目，年度同一种类危险废物产生量超过5000吨的，应建设符合国家和本市有关标准的自行利用、处置设施，并纳入建设项目环境影响评价，与主体工程同时设计，同时施工，同时投入使用。</w:t>
                  </w:r>
                </w:p>
                <w:p w14:paraId="16608C1B">
                  <w:pPr>
                    <w:pStyle w:val="7"/>
                    <w:spacing w:line="240" w:lineRule="auto"/>
                    <w:ind w:left="0" w:leftChars="0" w:firstLine="0" w:firstLineChars="0"/>
                    <w:rPr>
                      <w:rFonts w:hint="default" w:eastAsia="宋体"/>
                      <w:color w:val="auto"/>
                      <w:sz w:val="21"/>
                      <w:szCs w:val="21"/>
                      <w:vertAlign w:val="baseline"/>
                      <w:lang w:val="en-US" w:eastAsia="zh-CN"/>
                    </w:rPr>
                  </w:pPr>
                  <w:r>
                    <w:rPr>
                      <w:rFonts w:hint="eastAsia" w:cs="Times New Roman"/>
                      <w:color w:val="auto"/>
                      <w:sz w:val="21"/>
                      <w:szCs w:val="21"/>
                      <w:highlight w:val="none"/>
                      <w:lang w:val="en-US" w:eastAsia="zh-CN"/>
                    </w:rPr>
                    <w:t>4.</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废规划指标：除半导体和汽车的其他重点行业，单位产值危险废物产生量降至1.1千克/万元以下；半导体行业≤5千克/万元或半导体行业12英寸，掩膜层数35层以上产品的单位产品一般工业固废产生量≤20千克/片；汽车行业单位产值一般工业固废产生量≤5千克/万元；汽车行业生产单台车危险废物产生量≤15千克/台，并持续下降；半导体行业12英寸，掩膜层数35层以上产品的单位产品危险废物产生量≤20千克/片，并持续下降；研究与</w:t>
                  </w:r>
                  <w:r>
                    <w:rPr>
                      <w:rFonts w:hint="default" w:ascii="Times New Roman" w:hAnsi="Times New Roman" w:eastAsia="宋体" w:cs="Times New Roman"/>
                      <w:color w:val="auto"/>
                      <w:sz w:val="21"/>
                      <w:szCs w:val="21"/>
                      <w:highlight w:val="none"/>
                      <w:lang w:eastAsia="zh-CN"/>
                    </w:rPr>
                    <w:t>实验</w:t>
                  </w:r>
                  <w:r>
                    <w:rPr>
                      <w:rFonts w:hint="default" w:ascii="Times New Roman" w:hAnsi="Times New Roman" w:eastAsia="宋体" w:cs="Times New Roman"/>
                      <w:color w:val="auto"/>
                      <w:sz w:val="21"/>
                      <w:szCs w:val="21"/>
                      <w:highlight w:val="none"/>
                    </w:rPr>
                    <w:t>发展业企业单位产值危险废物产生量降至1.1千克/万元以下，重点产废单位清洁生产审核覆盖率100%；新增企业单位产值一般工业固废产生量＜5千克/万元，单位产值危险废物产生量＜1千克/万元。半导体行业废酸资源化利用率＞50%。</w:t>
                  </w:r>
                </w:p>
              </w:tc>
              <w:tc>
                <w:tcPr>
                  <w:tcW w:w="3038" w:type="dxa"/>
                  <w:tcBorders>
                    <w:tl2br w:val="nil"/>
                    <w:tr2bl w:val="nil"/>
                  </w:tcBorders>
                  <w:vAlign w:val="center"/>
                </w:tcPr>
                <w:p w14:paraId="4A10832F">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1.项目满足重点管控类（产业园区）生态环境总体准入清单和平原新城生态环境准入清单的环境风险防范准入要求。</w:t>
                  </w:r>
                </w:p>
                <w:p w14:paraId="4E4ADAD5">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2.本项目租用现有建筑物进行建设，不涉及新增占地。</w:t>
                  </w:r>
                </w:p>
                <w:p w14:paraId="0DFABE9F">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3.本项目危险废物年产生量不到5000t/a，危险废物暂存于危废暂存间，定期委托有资质单位进行处置。</w:t>
                  </w:r>
                </w:p>
                <w:p w14:paraId="21EEFD94">
                  <w:pPr>
                    <w:pStyle w:val="7"/>
                    <w:spacing w:line="240" w:lineRule="auto"/>
                    <w:ind w:left="0" w:leftChars="0" w:firstLine="0" w:firstLineChars="0"/>
                    <w:rPr>
                      <w:rFonts w:hint="default" w:eastAsia="宋体"/>
                      <w:color w:val="auto"/>
                      <w:sz w:val="21"/>
                      <w:szCs w:val="21"/>
                      <w:vertAlign w:val="baseline"/>
                      <w:lang w:val="en-US" w:eastAsia="zh-CN"/>
                    </w:rPr>
                  </w:pPr>
                  <w:r>
                    <w:rPr>
                      <w:rFonts w:hint="default" w:ascii="Times New Roman" w:hAnsi="Times New Roman" w:eastAsia="宋体" w:cs="Times New Roman"/>
                      <w:color w:val="auto"/>
                      <w:sz w:val="21"/>
                      <w:szCs w:val="21"/>
                      <w:highlight w:val="none"/>
                    </w:rPr>
                    <w:t>4.项目符合</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无废规划指标中的要求。</w:t>
                  </w:r>
                </w:p>
              </w:tc>
              <w:tc>
                <w:tcPr>
                  <w:tcW w:w="510" w:type="dxa"/>
                  <w:tcBorders>
                    <w:tl2br w:val="nil"/>
                    <w:tr2bl w:val="nil"/>
                  </w:tcBorders>
                  <w:vAlign w:val="center"/>
                </w:tcPr>
                <w:p w14:paraId="62A8FA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符合</w:t>
                  </w:r>
                </w:p>
              </w:tc>
            </w:tr>
            <w:tr w14:paraId="053F8E38">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dxa"/>
                  <w:tcBorders>
                    <w:tl2br w:val="nil"/>
                    <w:tr2bl w:val="nil"/>
                  </w:tcBorders>
                  <w:vAlign w:val="center"/>
                </w:tcPr>
                <w:p w14:paraId="3B37C2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s="Times New Roman"/>
                      <w:color w:val="auto"/>
                      <w:kern w:val="0"/>
                      <w:sz w:val="21"/>
                      <w:szCs w:val="21"/>
                      <w:highlight w:val="none"/>
                      <w:vertAlign w:val="baseline"/>
                      <w:lang w:val="en-US" w:eastAsia="zh-CN"/>
                    </w:rPr>
                    <w:t>资源利用效率要求</w:t>
                  </w:r>
                </w:p>
              </w:tc>
              <w:tc>
                <w:tcPr>
                  <w:tcW w:w="3037" w:type="dxa"/>
                  <w:tcBorders>
                    <w:tl2br w:val="nil"/>
                    <w:tr2bl w:val="nil"/>
                  </w:tcBorders>
                  <w:vAlign w:val="center"/>
                </w:tcPr>
                <w:p w14:paraId="7E5ECDDA">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执行重点管控类（产业园区）生态环境总体准入清单和平原新城生态环境准入清单的资源利用效率准入要求。</w:t>
                  </w:r>
                </w:p>
                <w:p w14:paraId="06D186F5">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执行园区规划中相关资源利用管控要求，其中到2035年优质能源比重达到99％以上，新能源和可再生能源比重力争达到10％以上。创新能源利用和管理方式。</w:t>
                  </w:r>
                </w:p>
                <w:p w14:paraId="6D90BD8B">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鼓励有条件企业建设内部再生水利用设施，满足不同用途和不同品质的再生水需求。加强废水深度处理和回用，年用水量1万m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以上的工业企业实现用水计划管理全覆盖。</w:t>
                  </w:r>
                </w:p>
                <w:p w14:paraId="1F530B91">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鼓励经开区内工业企业购买使用绿电，推动由天然气、外调电为主的清洁能源结构向低碳能源结构转变。</w:t>
                  </w:r>
                </w:p>
                <w:p w14:paraId="1EF34630">
                  <w:pPr>
                    <w:pStyle w:val="7"/>
                    <w:numPr>
                      <w:ilvl w:val="0"/>
                      <w:numId w:val="0"/>
                    </w:numPr>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鼓励企业充分利用闲置厂房屋顶，或者办公楼屋顶，采用自发自用余电上网模式，安装分布式光伏设施；采用光伏建筑一体化技术，达到太阳能利用最大化。</w:t>
                  </w:r>
                </w:p>
                <w:p w14:paraId="3101DF71">
                  <w:pPr>
                    <w:pStyle w:val="7"/>
                    <w:spacing w:line="240" w:lineRule="auto"/>
                    <w:ind w:left="0" w:leftChars="0" w:firstLine="0" w:firstLineChars="0"/>
                    <w:rPr>
                      <w:rFonts w:hint="default" w:eastAsia="宋体"/>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推进屋顶分布式光伏发电试点工作，试点区域内党政机关，学校、医院、村委会，工商业厂房及农户建筑屋顶总面积安装光伏发电比例分别不低于50%、40%、30%和20%。</w:t>
                  </w:r>
                </w:p>
              </w:tc>
              <w:tc>
                <w:tcPr>
                  <w:tcW w:w="3038" w:type="dxa"/>
                  <w:tcBorders>
                    <w:tl2br w:val="nil"/>
                    <w:tr2bl w:val="nil"/>
                  </w:tcBorders>
                  <w:vAlign w:val="center"/>
                </w:tcPr>
                <w:p w14:paraId="60EFFDEA">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1.项目满足重点管控类（产业园区）生态环境总体准入清单和平原新城生态环境准入清单的资源利用效率准入要求。</w:t>
                  </w:r>
                </w:p>
                <w:p w14:paraId="791AD648">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2.本项目所用能源为水资源和电能，不涉及其他能源消耗。</w:t>
                  </w:r>
                </w:p>
                <w:p w14:paraId="5B55DABD">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3.本项目新鲜用水不到1万m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p w14:paraId="6BC67FC8">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4.项目租用现有建筑物进行建设，用电依托市政电网。</w:t>
                  </w:r>
                </w:p>
                <w:p w14:paraId="49904409">
                  <w:pPr>
                    <w:pStyle w:val="7"/>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5.项目租用现有建筑物进行建设，用电依托市政电网。</w:t>
                  </w:r>
                </w:p>
                <w:p w14:paraId="32105931">
                  <w:pPr>
                    <w:pStyle w:val="7"/>
                    <w:spacing w:line="240" w:lineRule="auto"/>
                    <w:ind w:left="0" w:leftChars="0" w:firstLine="0" w:firstLineChars="0"/>
                    <w:rPr>
                      <w:rFonts w:hint="eastAsia" w:eastAsia="宋体"/>
                      <w:color w:val="auto"/>
                      <w:sz w:val="21"/>
                      <w:szCs w:val="21"/>
                      <w:vertAlign w:val="baseline"/>
                      <w:lang w:val="en-US" w:eastAsia="zh-CN"/>
                    </w:rPr>
                  </w:pPr>
                  <w:r>
                    <w:rPr>
                      <w:rFonts w:hint="default" w:ascii="Times New Roman" w:hAnsi="Times New Roman" w:eastAsia="宋体" w:cs="Times New Roman"/>
                      <w:color w:val="auto"/>
                      <w:sz w:val="21"/>
                      <w:szCs w:val="21"/>
                      <w:highlight w:val="none"/>
                    </w:rPr>
                    <w:t>6.项目租用现有建筑物进行建设，用电依托市政电网。</w:t>
                  </w:r>
                </w:p>
              </w:tc>
              <w:tc>
                <w:tcPr>
                  <w:tcW w:w="510" w:type="dxa"/>
                  <w:tcBorders>
                    <w:tl2br w:val="nil"/>
                    <w:tr2bl w:val="nil"/>
                  </w:tcBorders>
                  <w:vAlign w:val="center"/>
                </w:tcPr>
                <w:p w14:paraId="35839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bl>
          <w:p w14:paraId="55399E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vertAlign w:val="baseline"/>
                <w:lang w:val="en-US" w:eastAsia="zh-CN"/>
              </w:rPr>
            </w:pPr>
            <w:r>
              <w:rPr>
                <w:rFonts w:hint="eastAsia"/>
                <w:color w:val="auto"/>
                <w:vertAlign w:val="baseline"/>
                <w:lang w:val="en-US" w:eastAsia="zh-CN"/>
              </w:rPr>
              <w:t>综上所述，本项目符合北京市生态环境分区管控（“三线一单”）的要求。</w:t>
            </w:r>
          </w:p>
          <w:p w14:paraId="35628D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vertAlign w:val="baseline"/>
                <w:lang w:val="en-US" w:eastAsia="zh-CN"/>
              </w:rPr>
            </w:pPr>
            <w:r>
              <w:rPr>
                <w:rFonts w:hint="eastAsia"/>
                <w:color w:val="auto"/>
                <w:vertAlign w:val="baseline"/>
                <w:lang w:val="en-US" w:eastAsia="zh-CN"/>
              </w:rPr>
              <w:t>3、选址合理性分析</w:t>
            </w:r>
          </w:p>
          <w:p w14:paraId="04B6DAB5">
            <w:pPr>
              <w:keepNext w:val="0"/>
              <w:keepLines w:val="0"/>
              <w:widowControl/>
              <w:suppressLineNumbers w:val="0"/>
              <w:jc w:val="left"/>
              <w:rPr>
                <w:rFonts w:hint="eastAsia"/>
                <w:color w:val="auto"/>
                <w:vertAlign w:val="baseline"/>
                <w:lang w:eastAsia="zh-CN"/>
              </w:rPr>
            </w:pPr>
            <w:r>
              <w:rPr>
                <w:rFonts w:hint="eastAsia"/>
                <w:color w:val="auto"/>
                <w:vertAlign w:val="baseline"/>
                <w:lang w:eastAsia="zh-CN"/>
              </w:rPr>
              <w:t>项目位于北京经济技术开发区科创十三街18号院5号楼3层0301室，根据项目所在建筑</w:t>
            </w:r>
            <w:r>
              <w:rPr>
                <w:rFonts w:hint="eastAsia"/>
                <w:color w:val="auto"/>
                <w:vertAlign w:val="baseline"/>
                <w:lang w:val="en-US" w:eastAsia="zh-CN"/>
              </w:rPr>
              <w:t>房屋所有权证（</w:t>
            </w:r>
            <w:r>
              <w:rPr>
                <w:rFonts w:hint="default"/>
                <w:color w:val="auto"/>
                <w:vertAlign w:val="baseline"/>
                <w:lang w:val="en-US" w:eastAsia="zh-CN"/>
              </w:rPr>
              <w:t xml:space="preserve">X </w:t>
            </w:r>
            <w:r>
              <w:rPr>
                <w:rFonts w:hint="eastAsia"/>
                <w:color w:val="auto"/>
                <w:vertAlign w:val="baseline"/>
                <w:lang w:val="en-US" w:eastAsia="zh-CN"/>
              </w:rPr>
              <w:t>京房权证开字第</w:t>
            </w:r>
            <w:r>
              <w:rPr>
                <w:rFonts w:hint="default"/>
                <w:color w:val="auto"/>
                <w:vertAlign w:val="baseline"/>
                <w:lang w:val="en-US" w:eastAsia="zh-CN"/>
              </w:rPr>
              <w:t>037655</w:t>
            </w:r>
            <w:r>
              <w:rPr>
                <w:rFonts w:hint="eastAsia"/>
                <w:color w:val="auto"/>
                <w:vertAlign w:val="baseline"/>
                <w:lang w:val="en-US" w:eastAsia="zh-CN"/>
              </w:rPr>
              <w:t>号），产权所有人为锋创科技发展（北京）有限公司，</w:t>
            </w:r>
            <w:r>
              <w:rPr>
                <w:rFonts w:hint="default"/>
                <w:color w:val="auto"/>
                <w:vertAlign w:val="baseline"/>
                <w:lang w:val="en-US" w:eastAsia="zh-CN"/>
              </w:rPr>
              <w:t>5</w:t>
            </w:r>
            <w:r>
              <w:rPr>
                <w:rFonts w:hint="eastAsia"/>
                <w:color w:val="auto"/>
                <w:vertAlign w:val="baseline"/>
                <w:lang w:val="en-US" w:eastAsia="zh-CN"/>
              </w:rPr>
              <w:t>号楼规划用途为“办公、餐厅、车位、研发办公”。本项目为研发实验室项目，符合建筑的规划用途</w:t>
            </w:r>
            <w:r>
              <w:rPr>
                <w:rFonts w:hint="eastAsia"/>
                <w:color w:val="auto"/>
                <w:vertAlign w:val="baseline"/>
                <w:lang w:eastAsia="zh-CN"/>
              </w:rPr>
              <w:t>。</w:t>
            </w:r>
          </w:p>
          <w:p w14:paraId="22873C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vertAlign w:val="baseline"/>
                <w:lang w:val="en-US" w:eastAsia="zh-CN"/>
              </w:rPr>
            </w:pPr>
            <w:r>
              <w:rPr>
                <w:rFonts w:hint="eastAsia"/>
                <w:color w:val="auto"/>
                <w:vertAlign w:val="baseline"/>
                <w:lang w:val="en-US" w:eastAsia="zh-CN"/>
              </w:rPr>
              <w:t>4、环境影响评价依据</w:t>
            </w:r>
          </w:p>
          <w:p w14:paraId="6E1EEF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vertAlign w:val="baseline"/>
              </w:rPr>
            </w:pPr>
            <w:r>
              <w:rPr>
                <w:rFonts w:hint="eastAsia"/>
                <w:color w:val="auto"/>
                <w:vertAlign w:val="baseline"/>
              </w:rPr>
              <w:t>项目主要从事</w:t>
            </w:r>
            <w:r>
              <w:rPr>
                <w:rFonts w:hint="eastAsia"/>
                <w:color w:val="auto"/>
                <w:vertAlign w:val="baseline"/>
                <w:lang w:eastAsia="zh-CN"/>
              </w:rPr>
              <w:t>免疫诊断技术实验</w:t>
            </w:r>
            <w:r>
              <w:rPr>
                <w:rFonts w:hint="eastAsia"/>
                <w:color w:val="auto"/>
                <w:vertAlign w:val="baseline"/>
              </w:rPr>
              <w:t>，对照《建设项目环境影响评价分类管理名录（2021年版）》（部令16号，2021年1月1日实施）、《＜建设项目环境影响评价分类管理名录＞北京实施细化规定（2022年版）》（2022年4月1日起实施），“</w:t>
            </w:r>
            <w:r>
              <w:rPr>
                <w:rFonts w:hint="eastAsia"/>
                <w:color w:val="auto"/>
                <w:vertAlign w:val="baseline"/>
                <w:lang w:eastAsia="zh-CN"/>
              </w:rPr>
              <w:t>免疫诊断技术实验</w:t>
            </w:r>
            <w:r>
              <w:rPr>
                <w:rFonts w:hint="eastAsia"/>
                <w:color w:val="auto"/>
                <w:vertAlign w:val="baseline"/>
              </w:rPr>
              <w:t>”属于“四十五、研究和试验发展：专业实验室、研发（试验）基地-其他（不产生实验废气、废水、危险废物的除外）”的项目，环评类别为报告表。</w:t>
            </w:r>
          </w:p>
          <w:p w14:paraId="0196F8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vertAlign w:val="baseline"/>
              </w:rPr>
            </w:pPr>
          </w:p>
        </w:tc>
      </w:tr>
    </w:tbl>
    <w:p w14:paraId="2040744C">
      <w:pPr>
        <w:rPr>
          <w:color w:val="auto"/>
        </w:rPr>
        <w:sectPr>
          <w:footerReference r:id="rId5" w:type="default"/>
          <w:pgSz w:w="11906" w:h="16838"/>
          <w:pgMar w:top="1440" w:right="1587" w:bottom="1440" w:left="1587" w:header="964" w:footer="964" w:gutter="0"/>
          <w:pgBorders>
            <w:top w:val="none" w:sz="0" w:space="0"/>
            <w:left w:val="none" w:sz="0" w:space="0"/>
            <w:bottom w:val="none" w:sz="0" w:space="0"/>
            <w:right w:val="none" w:sz="0" w:space="0"/>
          </w:pgBorders>
          <w:pgNumType w:fmt="decimal" w:start="1"/>
          <w:cols w:space="425" w:num="1"/>
          <w:docGrid w:type="lines" w:linePitch="312" w:charSpace="0"/>
        </w:sectPr>
      </w:pPr>
    </w:p>
    <w:p w14:paraId="575229FB">
      <w:pPr>
        <w:pStyle w:val="2"/>
        <w:bidi w:val="0"/>
        <w:rPr>
          <w:rFonts w:hint="default"/>
          <w:color w:val="auto"/>
          <w:lang w:val="en-US" w:eastAsia="zh-CN"/>
        </w:rPr>
      </w:pPr>
      <w:r>
        <w:rPr>
          <w:rFonts w:hint="eastAsia"/>
          <w:color w:val="auto"/>
          <w:lang w:val="en-US" w:eastAsia="zh-CN"/>
        </w:rPr>
        <w:t>二、建设项目工程分析</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373E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0" w:hRule="atLeast"/>
          <w:jc w:val="center"/>
        </w:trPr>
        <w:tc>
          <w:tcPr>
            <w:tcW w:w="709" w:type="dxa"/>
            <w:vAlign w:val="center"/>
          </w:tcPr>
          <w:p w14:paraId="7F6CB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vertAlign w:val="baseline"/>
                <w:lang w:val="en-US" w:eastAsia="zh-CN"/>
              </w:rPr>
            </w:pPr>
            <w:r>
              <w:rPr>
                <w:rFonts w:hint="eastAsia"/>
                <w:color w:val="auto"/>
                <w:vertAlign w:val="baseline"/>
                <w:lang w:val="en-US" w:eastAsia="zh-CN"/>
              </w:rPr>
              <w:t>建设内容</w:t>
            </w:r>
          </w:p>
        </w:tc>
        <w:tc>
          <w:tcPr>
            <w:tcW w:w="8239" w:type="dxa"/>
            <w:vAlign w:val="center"/>
          </w:tcPr>
          <w:p w14:paraId="45A84C4E">
            <w:pPr>
              <w:rPr>
                <w:rFonts w:hint="eastAsia"/>
                <w:b/>
                <w:bCs/>
                <w:color w:val="auto"/>
                <w:vertAlign w:val="baseline"/>
                <w:lang w:val="en-US" w:eastAsia="zh-CN"/>
              </w:rPr>
            </w:pPr>
            <w:r>
              <w:rPr>
                <w:rFonts w:hint="eastAsia"/>
                <w:b/>
                <w:bCs/>
                <w:color w:val="auto"/>
                <w:vertAlign w:val="baseline"/>
                <w:lang w:val="en-US" w:eastAsia="zh-CN"/>
              </w:rPr>
              <w:t>1、项目由来</w:t>
            </w:r>
          </w:p>
          <w:p w14:paraId="22BFE822">
            <w:pPr>
              <w:pStyle w:val="21"/>
              <w:bidi w:val="0"/>
              <w:jc w:val="left"/>
              <w:rPr>
                <w:rFonts w:hint="default"/>
                <w:color w:val="auto"/>
                <w:vertAlign w:val="baseline"/>
                <w:lang w:val="en-US" w:eastAsia="zh-CN"/>
              </w:rPr>
            </w:pPr>
            <w:r>
              <w:rPr>
                <w:rFonts w:hint="eastAsia"/>
                <w:color w:val="auto"/>
                <w:vertAlign w:val="baseline"/>
                <w:lang w:val="en-US" w:eastAsia="zh-CN"/>
              </w:rPr>
              <w:t>北京昂领科技有限公司注册地址：</w:t>
            </w:r>
            <w:r>
              <w:rPr>
                <w:rFonts w:hint="eastAsia"/>
                <w:color w:val="FF0000"/>
                <w:vertAlign w:val="baseline"/>
                <w:lang w:val="en-US" w:eastAsia="zh-CN"/>
              </w:rPr>
              <w:t>北京市昌平区建材城西路87号院8号楼10层2-1128</w:t>
            </w:r>
            <w:r>
              <w:rPr>
                <w:rFonts w:hint="eastAsia"/>
                <w:color w:val="auto"/>
                <w:vertAlign w:val="baseline"/>
                <w:lang w:val="en-US" w:eastAsia="zh-CN"/>
              </w:rPr>
              <w:t>。2025年10月，公司新租赁北京经济技术开发区科创十三街18号院5号楼3层0301室，建设“昂领免疫诊断技术实验室建设项目”。项目建成后主要从事抗体包被微球、抗体标记、抗体载体标记、免疫层析诊断技术、</w:t>
            </w:r>
            <w:r>
              <w:rPr>
                <w:rFonts w:hint="eastAsia"/>
                <w:lang w:val="en-US" w:eastAsia="zh-CN"/>
              </w:rPr>
              <w:t>荧光/发光免疫诊断技术的实验研发，分别进行</w:t>
            </w:r>
            <w:r>
              <w:rPr>
                <w:rFonts w:hint="eastAsia"/>
                <w:color w:val="auto"/>
                <w:vertAlign w:val="baseline"/>
                <w:lang w:val="en-US" w:eastAsia="zh-CN"/>
              </w:rPr>
              <w:t>包被微球、抗体标记、抗体载体标记、免疫层析诊断技术、</w:t>
            </w:r>
            <w:r>
              <w:rPr>
                <w:rFonts w:hint="eastAsia"/>
                <w:lang w:val="en-US" w:eastAsia="zh-CN"/>
              </w:rPr>
              <w:t>荧光/发光免疫诊断技术的研发各150次/年。</w:t>
            </w:r>
          </w:p>
          <w:p w14:paraId="631D2F2F">
            <w:pPr>
              <w:rPr>
                <w:rFonts w:hint="default"/>
                <w:b/>
                <w:bCs/>
                <w:color w:val="auto"/>
                <w:vertAlign w:val="baseline"/>
                <w:lang w:val="en-US" w:eastAsia="zh-CN"/>
              </w:rPr>
            </w:pPr>
            <w:r>
              <w:rPr>
                <w:rFonts w:hint="eastAsia"/>
                <w:b/>
                <w:bCs/>
                <w:color w:val="auto"/>
                <w:vertAlign w:val="baseline"/>
                <w:lang w:val="en-US" w:eastAsia="zh-CN"/>
              </w:rPr>
              <w:t>2、项目建设内容</w:t>
            </w:r>
          </w:p>
          <w:p w14:paraId="085850F8">
            <w:pPr>
              <w:rPr>
                <w:rFonts w:hint="default"/>
                <w:color w:val="auto"/>
                <w:vertAlign w:val="baseline"/>
                <w:lang w:val="en-US" w:eastAsia="zh-CN"/>
              </w:rPr>
            </w:pPr>
            <w:r>
              <w:rPr>
                <w:rFonts w:hint="eastAsia"/>
                <w:color w:val="auto"/>
                <w:vertAlign w:val="baseline"/>
                <w:lang w:val="en-US" w:eastAsia="zh-CN"/>
              </w:rPr>
              <w:t>（1）地理位置及周边关系</w:t>
            </w:r>
          </w:p>
          <w:p w14:paraId="573A57E2">
            <w:pPr>
              <w:rPr>
                <w:rFonts w:hint="eastAsia"/>
                <w:color w:val="auto"/>
                <w:vertAlign w:val="baseline"/>
                <w:lang w:val="en-US" w:eastAsia="zh-CN"/>
              </w:rPr>
            </w:pPr>
            <w:r>
              <w:rPr>
                <w:rFonts w:hint="eastAsia"/>
                <w:color w:val="auto"/>
                <w:vertAlign w:val="baseline"/>
                <w:lang w:val="en-US" w:eastAsia="zh-CN"/>
              </w:rPr>
              <w:t>本项目位于北京经济技术开发区科创十三街18号院5号楼3层0301室，同层入住企业分别为国科瀚海激光科技（北京）有限公司、东方鑫创（北京）汽车技术有限公司。</w:t>
            </w:r>
          </w:p>
          <w:p w14:paraId="266FF780">
            <w:pPr>
              <w:rPr>
                <w:rFonts w:hint="eastAsia"/>
                <w:color w:val="auto"/>
                <w:vertAlign w:val="baseline"/>
                <w:lang w:val="en-US" w:eastAsia="zh-CN"/>
              </w:rPr>
            </w:pPr>
            <w:r>
              <w:rPr>
                <w:rFonts w:hint="eastAsia"/>
                <w:color w:val="auto"/>
                <w:vertAlign w:val="baseline"/>
                <w:lang w:val="en-US" w:eastAsia="zh-CN"/>
              </w:rPr>
              <w:t>本项目所在建筑东侧为经海五路77号院（办公写字楼）；南侧为园区内6号楼；西侧为园区内空地以及园区内4号楼；北侧为园区内1号楼。</w:t>
            </w:r>
          </w:p>
          <w:p w14:paraId="6396F4F3">
            <w:pPr>
              <w:rPr>
                <w:rFonts w:hint="eastAsia"/>
                <w:color w:val="auto"/>
                <w:vertAlign w:val="baseline"/>
                <w:lang w:val="en-US" w:eastAsia="zh-CN"/>
              </w:rPr>
            </w:pPr>
            <w:r>
              <w:rPr>
                <w:rFonts w:hint="eastAsia"/>
                <w:color w:val="auto"/>
                <w:vertAlign w:val="baseline"/>
                <w:lang w:val="en-US" w:eastAsia="zh-CN"/>
              </w:rPr>
              <w:t>项目500m范围内无自然保护区、风景名胜区、文化区和农村地区中人群较集中的区域，项目周边环境敏感目标主要为项目西侧约470m的万泽经海广场-菁英荟住宅区。项目地理位置及周边关系见附图1、附图2。</w:t>
            </w:r>
          </w:p>
          <w:p w14:paraId="5851EC35">
            <w:pPr>
              <w:rPr>
                <w:rFonts w:hint="eastAsia"/>
                <w:color w:val="auto"/>
                <w:vertAlign w:val="baseline"/>
                <w:lang w:val="en-US" w:eastAsia="zh-CN"/>
              </w:rPr>
            </w:pPr>
            <w:r>
              <w:rPr>
                <w:rFonts w:hint="eastAsia"/>
                <w:color w:val="auto"/>
                <w:vertAlign w:val="baseline"/>
                <w:lang w:val="en-US" w:eastAsia="zh-CN"/>
              </w:rPr>
              <w:t>（2）平面布局</w:t>
            </w:r>
          </w:p>
          <w:p w14:paraId="79FA494F">
            <w:pPr>
              <w:rPr>
                <w:rFonts w:hint="eastAsia"/>
                <w:color w:val="auto"/>
                <w:vertAlign w:val="baseline"/>
                <w:lang w:val="en-US" w:eastAsia="zh-CN"/>
              </w:rPr>
            </w:pPr>
            <w:r>
              <w:rPr>
                <w:rFonts w:hint="eastAsia"/>
                <w:color w:val="auto"/>
                <w:vertAlign w:val="baseline"/>
                <w:lang w:val="en-US" w:eastAsia="zh-CN"/>
              </w:rPr>
              <w:t>本项目在北京经济技术开发区科创十三街18号院5号楼3层0301室，分别建设实验室1、实验室2、一般工业固体废物暂存间、危险废物暂存间、会议室、办公室。项目平面布置见附图3。</w:t>
            </w:r>
          </w:p>
          <w:p w14:paraId="0BAC0F0E">
            <w:pPr>
              <w:rPr>
                <w:rFonts w:hint="default"/>
                <w:color w:val="auto"/>
                <w:vertAlign w:val="baseline"/>
                <w:lang w:val="en-US" w:eastAsia="zh-CN"/>
              </w:rPr>
            </w:pPr>
            <w:r>
              <w:rPr>
                <w:rFonts w:hint="eastAsia"/>
                <w:color w:val="auto"/>
                <w:vertAlign w:val="baseline"/>
                <w:lang w:val="en-US" w:eastAsia="zh-CN"/>
              </w:rPr>
              <w:t>（3）项目建设内容及规模</w:t>
            </w:r>
          </w:p>
          <w:p w14:paraId="0B2FB69D">
            <w:pPr>
              <w:rPr>
                <w:rFonts w:hint="default"/>
                <w:color w:val="auto"/>
                <w:vertAlign w:val="baseline"/>
                <w:lang w:val="en-US" w:eastAsia="zh-CN"/>
              </w:rPr>
            </w:pPr>
            <w:r>
              <w:rPr>
                <w:rFonts w:hint="eastAsia"/>
                <w:color w:val="auto"/>
                <w:vertAlign w:val="baseline"/>
                <w:lang w:val="en-US" w:eastAsia="zh-CN"/>
              </w:rPr>
              <w:t>本项目建设内容及规模详见下表。</w:t>
            </w:r>
          </w:p>
          <w:p w14:paraId="5CD5B08E">
            <w:pPr>
              <w:pStyle w:val="15"/>
              <w:numPr>
                <w:ilvl w:val="0"/>
                <w:numId w:val="6"/>
              </w:numPr>
              <w:bidi w:val="0"/>
              <w:ind w:left="425" w:leftChars="0" w:hanging="425" w:firstLineChars="0"/>
              <w:rPr>
                <w:rFonts w:hint="default"/>
                <w:color w:val="auto"/>
                <w:highlight w:val="none"/>
                <w:lang w:val="en-US" w:eastAsia="zh-CN"/>
              </w:rPr>
            </w:pPr>
            <w:r>
              <w:rPr>
                <w:rFonts w:hint="eastAsia"/>
                <w:color w:val="auto"/>
                <w:highlight w:val="none"/>
                <w:lang w:val="en-US" w:eastAsia="zh-CN"/>
              </w:rPr>
              <w:t>项目工程组成一览表</w:t>
            </w:r>
          </w:p>
          <w:tbl>
            <w:tblPr>
              <w:tblStyle w:val="11"/>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751"/>
              <w:gridCol w:w="1517"/>
              <w:gridCol w:w="4742"/>
              <w:gridCol w:w="853"/>
            </w:tblGrid>
            <w:tr w14:paraId="6A412D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tblHeader/>
                <w:jc w:val="center"/>
              </w:trPr>
              <w:tc>
                <w:tcPr>
                  <w:tcW w:w="751" w:type="dxa"/>
                  <w:tcBorders>
                    <w:tl2br w:val="nil"/>
                    <w:tr2bl w:val="nil"/>
                  </w:tcBorders>
                  <w:shd w:val="clear" w:color="auto" w:fill="FFFFFF"/>
                  <w:noWrap w:val="0"/>
                  <w:vAlign w:val="center"/>
                </w:tcPr>
                <w:p w14:paraId="7C0B992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w:t>
                  </w:r>
                </w:p>
                <w:p w14:paraId="426031A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eastAsia="zh-CN"/>
                    </w:rPr>
                  </w:pPr>
                  <w:r>
                    <w:rPr>
                      <w:rFonts w:hint="eastAsia"/>
                      <w:b/>
                      <w:bCs w:val="0"/>
                      <w:color w:val="auto"/>
                      <w:highlight w:val="none"/>
                      <w:lang w:eastAsia="zh-CN"/>
                    </w:rPr>
                    <w:t>类别</w:t>
                  </w:r>
                </w:p>
              </w:tc>
              <w:tc>
                <w:tcPr>
                  <w:tcW w:w="1517" w:type="dxa"/>
                  <w:tcBorders>
                    <w:tl2br w:val="nil"/>
                    <w:tr2bl w:val="nil"/>
                  </w:tcBorders>
                  <w:shd w:val="clear" w:color="auto" w:fill="FFFFFF"/>
                  <w:noWrap w:val="0"/>
                  <w:vAlign w:val="center"/>
                </w:tcPr>
                <w:p w14:paraId="4DEC844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工程名称</w:t>
                  </w:r>
                </w:p>
              </w:tc>
              <w:tc>
                <w:tcPr>
                  <w:tcW w:w="4742" w:type="dxa"/>
                  <w:tcBorders>
                    <w:tl2br w:val="nil"/>
                    <w:tr2bl w:val="nil"/>
                  </w:tcBorders>
                  <w:shd w:val="clear" w:color="auto" w:fill="FFFFFF"/>
                  <w:noWrap w:val="0"/>
                  <w:vAlign w:val="center"/>
                </w:tcPr>
                <w:p w14:paraId="0C07BED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工程内容</w:t>
                  </w:r>
                  <w:r>
                    <w:rPr>
                      <w:rFonts w:hint="eastAsia"/>
                      <w:b/>
                      <w:bCs w:val="0"/>
                      <w:color w:val="auto"/>
                      <w:highlight w:val="none"/>
                      <w:lang w:eastAsia="zh-CN"/>
                    </w:rPr>
                    <w:t>及</w:t>
                  </w:r>
                  <w:r>
                    <w:rPr>
                      <w:b/>
                      <w:bCs w:val="0"/>
                      <w:color w:val="auto"/>
                      <w:highlight w:val="none"/>
                    </w:rPr>
                    <w:t>规模</w:t>
                  </w:r>
                </w:p>
              </w:tc>
              <w:tc>
                <w:tcPr>
                  <w:tcW w:w="853" w:type="dxa"/>
                  <w:tcBorders>
                    <w:tl2br w:val="nil"/>
                    <w:tr2bl w:val="nil"/>
                  </w:tcBorders>
                  <w:shd w:val="clear" w:color="auto" w:fill="FFFFFF"/>
                  <w:noWrap w:val="0"/>
                  <w:vAlign w:val="center"/>
                </w:tcPr>
                <w:p w14:paraId="48DFCD8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val="en-US" w:eastAsia="zh-CN"/>
                    </w:rPr>
                  </w:pPr>
                  <w:r>
                    <w:rPr>
                      <w:rFonts w:hint="eastAsia"/>
                      <w:b/>
                      <w:bCs w:val="0"/>
                      <w:color w:val="auto"/>
                      <w:highlight w:val="none"/>
                      <w:lang w:val="en-US" w:eastAsia="zh-CN"/>
                    </w:rPr>
                    <w:t>依托</w:t>
                  </w:r>
                </w:p>
                <w:p w14:paraId="13FC523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eastAsia="zh-CN"/>
                    </w:rPr>
                  </w:pPr>
                  <w:r>
                    <w:rPr>
                      <w:rFonts w:hint="eastAsia"/>
                      <w:b/>
                      <w:bCs w:val="0"/>
                      <w:color w:val="auto"/>
                      <w:highlight w:val="none"/>
                      <w:lang w:val="en-US" w:eastAsia="zh-CN"/>
                    </w:rPr>
                    <w:t>关系</w:t>
                  </w:r>
                </w:p>
              </w:tc>
            </w:tr>
            <w:tr w14:paraId="0DA9515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restart"/>
                  <w:tcBorders>
                    <w:tl2br w:val="nil"/>
                    <w:tr2bl w:val="nil"/>
                  </w:tcBorders>
                  <w:shd w:val="clear" w:color="auto" w:fill="FFFFFF"/>
                  <w:noWrap w:val="0"/>
                  <w:vAlign w:val="center"/>
                </w:tcPr>
                <w:p w14:paraId="1AC6F36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lang w:val="en-US" w:eastAsia="zh-CN"/>
                    </w:rPr>
                  </w:pPr>
                  <w:r>
                    <w:rPr>
                      <w:rFonts w:hint="eastAsia"/>
                      <w:color w:val="auto"/>
                      <w:highlight w:val="none"/>
                      <w:lang w:val="en-US" w:eastAsia="zh-CN"/>
                    </w:rPr>
                    <w:t>主体</w:t>
                  </w:r>
                </w:p>
                <w:p w14:paraId="1FB66F3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highlight w:val="none"/>
                      <w:lang w:val="en-US" w:eastAsia="zh-CN"/>
                    </w:rPr>
                  </w:pPr>
                  <w:r>
                    <w:rPr>
                      <w:rFonts w:hint="eastAsia"/>
                      <w:color w:val="auto"/>
                      <w:highlight w:val="none"/>
                      <w:lang w:val="en-US" w:eastAsia="zh-CN"/>
                    </w:rPr>
                    <w:t>工程</w:t>
                  </w:r>
                </w:p>
              </w:tc>
              <w:tc>
                <w:tcPr>
                  <w:tcW w:w="1517" w:type="dxa"/>
                  <w:tcBorders>
                    <w:tl2br w:val="nil"/>
                    <w:tr2bl w:val="nil"/>
                  </w:tcBorders>
                  <w:shd w:val="clear" w:color="auto" w:fill="FFFFFF"/>
                  <w:noWrap w:val="0"/>
                  <w:vAlign w:val="center"/>
                </w:tcPr>
                <w:p w14:paraId="0C2725F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color w:val="auto"/>
                      <w:highlight w:val="none"/>
                      <w:lang w:val="en-US" w:eastAsia="zh-CN"/>
                    </w:rPr>
                  </w:pPr>
                  <w:r>
                    <w:rPr>
                      <w:rFonts w:hint="eastAsia"/>
                      <w:color w:val="auto"/>
                      <w:highlight w:val="none"/>
                      <w:lang w:val="en-US" w:eastAsia="zh-CN"/>
                    </w:rPr>
                    <w:t>实验室1</w:t>
                  </w:r>
                </w:p>
              </w:tc>
              <w:tc>
                <w:tcPr>
                  <w:tcW w:w="4742" w:type="dxa"/>
                  <w:tcBorders>
                    <w:tl2br w:val="nil"/>
                    <w:tr2bl w:val="nil"/>
                  </w:tcBorders>
                  <w:shd w:val="clear" w:color="auto" w:fill="FFFFFF"/>
                  <w:noWrap w:val="0"/>
                  <w:vAlign w:val="center"/>
                </w:tcPr>
                <w:p w14:paraId="3ED6185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color w:val="auto"/>
                      <w:highlight w:val="none"/>
                      <w:lang w:val="en-US" w:eastAsia="zh-CN"/>
                    </w:rPr>
                  </w:pPr>
                  <w:r>
                    <w:rPr>
                      <w:rFonts w:hint="eastAsia"/>
                      <w:color w:val="auto"/>
                      <w:highlight w:val="none"/>
                      <w:lang w:val="en-US" w:eastAsia="zh-CN"/>
                    </w:rPr>
                    <w:t>面积54m</w:t>
                  </w:r>
                  <w:r>
                    <w:rPr>
                      <w:rFonts w:hint="eastAsia"/>
                      <w:color w:val="auto"/>
                      <w:highlight w:val="none"/>
                      <w:vertAlign w:val="superscript"/>
                      <w:lang w:val="en-US" w:eastAsia="zh-CN"/>
                    </w:rPr>
                    <w:t>2</w:t>
                  </w:r>
                  <w:r>
                    <w:rPr>
                      <w:rFonts w:hint="eastAsia"/>
                      <w:color w:val="auto"/>
                      <w:highlight w:val="none"/>
                      <w:lang w:val="en-US" w:eastAsia="zh-CN"/>
                    </w:rPr>
                    <w:t>，用于抗体载体标记、免疫层析诊断技术的研发实验。</w:t>
                  </w:r>
                </w:p>
              </w:tc>
              <w:tc>
                <w:tcPr>
                  <w:tcW w:w="853" w:type="dxa"/>
                  <w:tcBorders>
                    <w:tl2br w:val="nil"/>
                    <w:tr2bl w:val="nil"/>
                  </w:tcBorders>
                  <w:shd w:val="clear" w:color="auto" w:fill="FFFFFF"/>
                  <w:noWrap w:val="0"/>
                  <w:vAlign w:val="center"/>
                </w:tcPr>
                <w:p w14:paraId="55C46F2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364E13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2E38FDD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17" w:type="dxa"/>
                  <w:tcBorders>
                    <w:tl2br w:val="nil"/>
                    <w:tr2bl w:val="nil"/>
                  </w:tcBorders>
                  <w:shd w:val="clear" w:color="auto" w:fill="FFFFFF"/>
                  <w:noWrap w:val="0"/>
                  <w:vAlign w:val="center"/>
                </w:tcPr>
                <w:p w14:paraId="78B69C6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color w:val="auto"/>
                      <w:highlight w:val="none"/>
                      <w:lang w:val="en-US" w:eastAsia="zh-CN"/>
                    </w:rPr>
                  </w:pPr>
                  <w:r>
                    <w:rPr>
                      <w:rFonts w:hint="eastAsia"/>
                      <w:color w:val="auto"/>
                      <w:highlight w:val="none"/>
                      <w:lang w:val="en-US" w:eastAsia="zh-CN"/>
                    </w:rPr>
                    <w:t>实验室2</w:t>
                  </w:r>
                </w:p>
              </w:tc>
              <w:tc>
                <w:tcPr>
                  <w:tcW w:w="4742" w:type="dxa"/>
                  <w:tcBorders>
                    <w:tl2br w:val="nil"/>
                    <w:tr2bl w:val="nil"/>
                  </w:tcBorders>
                  <w:shd w:val="clear" w:color="auto" w:fill="FFFFFF"/>
                  <w:noWrap w:val="0"/>
                  <w:vAlign w:val="center"/>
                </w:tcPr>
                <w:p w14:paraId="3FD2435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面积66.4m</w:t>
                  </w:r>
                  <w:r>
                    <w:rPr>
                      <w:rFonts w:hint="eastAsia"/>
                      <w:color w:val="auto"/>
                      <w:highlight w:val="none"/>
                      <w:vertAlign w:val="superscript"/>
                      <w:lang w:val="en-US" w:eastAsia="zh-CN"/>
                    </w:rPr>
                    <w:t>2</w:t>
                  </w:r>
                  <w:r>
                    <w:rPr>
                      <w:rFonts w:hint="eastAsia"/>
                      <w:color w:val="auto"/>
                      <w:highlight w:val="none"/>
                      <w:lang w:val="en-US" w:eastAsia="zh-CN"/>
                    </w:rPr>
                    <w:t>，用于包被微球、抗体标记荧光/发光免疫诊断技术的研发实验。</w:t>
                  </w:r>
                </w:p>
              </w:tc>
              <w:tc>
                <w:tcPr>
                  <w:tcW w:w="853" w:type="dxa"/>
                  <w:tcBorders>
                    <w:tl2br w:val="nil"/>
                    <w:tr2bl w:val="nil"/>
                  </w:tcBorders>
                  <w:shd w:val="clear" w:color="auto" w:fill="FFFFFF"/>
                  <w:noWrap w:val="0"/>
                  <w:vAlign w:val="center"/>
                </w:tcPr>
                <w:p w14:paraId="17E667C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r w14:paraId="5943778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restart"/>
                  <w:tcBorders>
                    <w:tl2br w:val="nil"/>
                    <w:tr2bl w:val="nil"/>
                  </w:tcBorders>
                  <w:shd w:val="clear" w:color="auto" w:fill="FFFFFF"/>
                  <w:noWrap w:val="0"/>
                  <w:vAlign w:val="center"/>
                </w:tcPr>
                <w:p w14:paraId="46CD570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r>
                    <w:rPr>
                      <w:color w:val="auto"/>
                      <w:highlight w:val="none"/>
                    </w:rPr>
                    <w:t>公用</w:t>
                  </w:r>
                </w:p>
                <w:p w14:paraId="3E46F4F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rPr>
                  </w:pPr>
                  <w:r>
                    <w:rPr>
                      <w:color w:val="auto"/>
                      <w:highlight w:val="none"/>
                    </w:rPr>
                    <w:t>工程</w:t>
                  </w:r>
                </w:p>
              </w:tc>
              <w:tc>
                <w:tcPr>
                  <w:tcW w:w="1517" w:type="dxa"/>
                  <w:tcBorders>
                    <w:tl2br w:val="nil"/>
                    <w:tr2bl w:val="nil"/>
                  </w:tcBorders>
                  <w:shd w:val="clear" w:color="auto" w:fill="FFFFFF"/>
                  <w:noWrap w:val="0"/>
                  <w:vAlign w:val="center"/>
                </w:tcPr>
                <w:p w14:paraId="49DCCB0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给水系统</w:t>
                  </w:r>
                </w:p>
              </w:tc>
              <w:tc>
                <w:tcPr>
                  <w:tcW w:w="4742" w:type="dxa"/>
                  <w:tcBorders>
                    <w:tl2br w:val="nil"/>
                    <w:tr2bl w:val="nil"/>
                  </w:tcBorders>
                  <w:shd w:val="clear" w:color="auto" w:fill="FFFFFF"/>
                  <w:noWrap w:val="0"/>
                  <w:vAlign w:val="center"/>
                </w:tcPr>
                <w:p w14:paraId="24B323E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依托市政给水系统。</w:t>
                  </w:r>
                </w:p>
              </w:tc>
              <w:tc>
                <w:tcPr>
                  <w:tcW w:w="853" w:type="dxa"/>
                  <w:tcBorders>
                    <w:tl2br w:val="nil"/>
                    <w:tr2bl w:val="nil"/>
                  </w:tcBorders>
                  <w:shd w:val="clear" w:color="auto" w:fill="FFFFFF"/>
                  <w:noWrap w:val="0"/>
                  <w:vAlign w:val="center"/>
                </w:tcPr>
                <w:p w14:paraId="1A91C6C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33D88D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38A61C8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rPr>
                  </w:pPr>
                </w:p>
              </w:tc>
              <w:tc>
                <w:tcPr>
                  <w:tcW w:w="1517" w:type="dxa"/>
                  <w:tcBorders>
                    <w:tl2br w:val="nil"/>
                    <w:tr2bl w:val="nil"/>
                  </w:tcBorders>
                  <w:shd w:val="clear" w:color="auto" w:fill="FFFFFF"/>
                  <w:noWrap w:val="0"/>
                  <w:vAlign w:val="center"/>
                </w:tcPr>
                <w:p w14:paraId="7E67A71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eastAsia="zh-CN"/>
                    </w:rPr>
                  </w:pPr>
                  <w:r>
                    <w:rPr>
                      <w:rFonts w:hint="eastAsia"/>
                      <w:color w:val="auto"/>
                      <w:highlight w:val="none"/>
                      <w:lang w:eastAsia="zh-CN"/>
                    </w:rPr>
                    <w:t>排水系统</w:t>
                  </w:r>
                </w:p>
              </w:tc>
              <w:tc>
                <w:tcPr>
                  <w:tcW w:w="4742" w:type="dxa"/>
                  <w:tcBorders>
                    <w:tl2br w:val="nil"/>
                    <w:tr2bl w:val="nil"/>
                  </w:tcBorders>
                  <w:shd w:val="clear" w:color="auto" w:fill="FFFFFF"/>
                  <w:noWrap w:val="0"/>
                  <w:vAlign w:val="center"/>
                </w:tcPr>
                <w:p w14:paraId="4F3A284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color w:val="auto"/>
                      <w:highlight w:val="none"/>
                    </w:rPr>
                  </w:pPr>
                  <w:r>
                    <w:rPr>
                      <w:rFonts w:hint="eastAsia"/>
                      <w:color w:val="auto"/>
                      <w:highlight w:val="none"/>
                      <w:lang w:val="en-US" w:eastAsia="zh-CN"/>
                    </w:rPr>
                    <w:t>容器前遍清洗废水收集作危废处置，容器第三遍及以后清洗废水与生活污水一起排入园区化粪池，经市政管网进北京亦庄环境科技集团有限公司东区污水处理厂进一步处理。</w:t>
                  </w:r>
                </w:p>
              </w:tc>
              <w:tc>
                <w:tcPr>
                  <w:tcW w:w="853" w:type="dxa"/>
                  <w:tcBorders>
                    <w:tl2br w:val="nil"/>
                    <w:tr2bl w:val="nil"/>
                  </w:tcBorders>
                  <w:shd w:val="clear" w:color="auto" w:fill="FFFFFF"/>
                  <w:noWrap w:val="0"/>
                  <w:vAlign w:val="center"/>
                </w:tcPr>
                <w:p w14:paraId="3A05F2B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1CBE24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606D228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rPr>
                  </w:pPr>
                </w:p>
              </w:tc>
              <w:tc>
                <w:tcPr>
                  <w:tcW w:w="1517" w:type="dxa"/>
                  <w:tcBorders>
                    <w:tl2br w:val="nil"/>
                    <w:tr2bl w:val="nil"/>
                  </w:tcBorders>
                  <w:shd w:val="clear" w:color="auto" w:fill="FFFFFF"/>
                  <w:noWrap w:val="0"/>
                  <w:vAlign w:val="center"/>
                </w:tcPr>
                <w:p w14:paraId="7F71FBB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eastAsia="zh-CN"/>
                    </w:rPr>
                  </w:pPr>
                  <w:r>
                    <w:rPr>
                      <w:color w:val="auto"/>
                      <w:highlight w:val="none"/>
                    </w:rPr>
                    <w:t>供电</w:t>
                  </w:r>
                  <w:r>
                    <w:rPr>
                      <w:rFonts w:hint="eastAsia"/>
                      <w:color w:val="auto"/>
                      <w:highlight w:val="none"/>
                      <w:lang w:eastAsia="zh-CN"/>
                    </w:rPr>
                    <w:t>系统</w:t>
                  </w:r>
                </w:p>
              </w:tc>
              <w:tc>
                <w:tcPr>
                  <w:tcW w:w="4742" w:type="dxa"/>
                  <w:tcBorders>
                    <w:tl2br w:val="nil"/>
                    <w:tr2bl w:val="nil"/>
                  </w:tcBorders>
                  <w:shd w:val="clear" w:color="auto" w:fill="FFFFFF"/>
                  <w:noWrap w:val="0"/>
                  <w:vAlign w:val="center"/>
                </w:tcPr>
                <w:p w14:paraId="376C125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color w:val="auto"/>
                      <w:highlight w:val="none"/>
                    </w:rPr>
                  </w:pPr>
                  <w:r>
                    <w:rPr>
                      <w:rFonts w:hint="eastAsia"/>
                      <w:color w:val="auto"/>
                      <w:highlight w:val="none"/>
                      <w:lang w:val="en-US" w:eastAsia="zh-CN"/>
                    </w:rPr>
                    <w:t>依托市政</w:t>
                  </w:r>
                  <w:r>
                    <w:rPr>
                      <w:rFonts w:hint="eastAsia"/>
                      <w:color w:val="auto"/>
                      <w:highlight w:val="none"/>
                    </w:rPr>
                    <w:t>电力系统。</w:t>
                  </w:r>
                </w:p>
              </w:tc>
              <w:tc>
                <w:tcPr>
                  <w:tcW w:w="853" w:type="dxa"/>
                  <w:tcBorders>
                    <w:tl2br w:val="nil"/>
                    <w:tr2bl w:val="nil"/>
                  </w:tcBorders>
                  <w:shd w:val="clear" w:color="auto" w:fill="FFFFFF"/>
                  <w:noWrap w:val="0"/>
                  <w:vAlign w:val="center"/>
                </w:tcPr>
                <w:p w14:paraId="1216430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5C7498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576FA05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rPr>
                  </w:pPr>
                </w:p>
              </w:tc>
              <w:tc>
                <w:tcPr>
                  <w:tcW w:w="1517" w:type="dxa"/>
                  <w:tcBorders>
                    <w:tl2br w:val="nil"/>
                    <w:tr2bl w:val="nil"/>
                  </w:tcBorders>
                  <w:shd w:val="clear" w:color="auto" w:fill="FFFFFF"/>
                  <w:noWrap w:val="0"/>
                  <w:vAlign w:val="center"/>
                </w:tcPr>
                <w:p w14:paraId="4D20A76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采暖供冷</w:t>
                  </w:r>
                </w:p>
              </w:tc>
              <w:tc>
                <w:tcPr>
                  <w:tcW w:w="4742" w:type="dxa"/>
                  <w:tcBorders>
                    <w:tl2br w:val="nil"/>
                    <w:tr2bl w:val="nil"/>
                  </w:tcBorders>
                  <w:shd w:val="clear" w:color="auto" w:fill="FFFFFF"/>
                  <w:noWrap w:val="0"/>
                  <w:vAlign w:val="center"/>
                </w:tcPr>
                <w:p w14:paraId="3684FA5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供暖、制冷</w:t>
                  </w:r>
                  <w:r>
                    <w:rPr>
                      <w:rFonts w:hint="eastAsia"/>
                      <w:color w:val="auto"/>
                      <w:highlight w:val="none"/>
                      <w:lang w:val="en-US" w:eastAsia="zh-CN"/>
                    </w:rPr>
                    <w:t>使用空调</w:t>
                  </w:r>
                  <w:r>
                    <w:rPr>
                      <w:rFonts w:hint="eastAsia"/>
                      <w:color w:val="auto"/>
                      <w:highlight w:val="none"/>
                      <w:lang w:eastAsia="zh-CN"/>
                    </w:rPr>
                    <w:t>。</w:t>
                  </w:r>
                </w:p>
              </w:tc>
              <w:tc>
                <w:tcPr>
                  <w:tcW w:w="853" w:type="dxa"/>
                  <w:tcBorders>
                    <w:tl2br w:val="nil"/>
                    <w:tr2bl w:val="nil"/>
                  </w:tcBorders>
                  <w:shd w:val="clear" w:color="auto" w:fill="FFFFFF"/>
                  <w:noWrap w:val="0"/>
                  <w:vAlign w:val="center"/>
                </w:tcPr>
                <w:p w14:paraId="07D8F4B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631E013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restart"/>
                  <w:tcBorders>
                    <w:tl2br w:val="nil"/>
                    <w:tr2bl w:val="nil"/>
                  </w:tcBorders>
                  <w:shd w:val="clear" w:color="auto" w:fill="FFFFFF"/>
                  <w:noWrap w:val="0"/>
                  <w:vAlign w:val="center"/>
                </w:tcPr>
                <w:p w14:paraId="37A5571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r>
                    <w:rPr>
                      <w:color w:val="auto"/>
                      <w:highlight w:val="none"/>
                    </w:rPr>
                    <w:t>环保</w:t>
                  </w:r>
                </w:p>
                <w:p w14:paraId="5C32712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r>
                    <w:rPr>
                      <w:color w:val="auto"/>
                      <w:highlight w:val="none"/>
                    </w:rPr>
                    <w:t>工程</w:t>
                  </w:r>
                </w:p>
              </w:tc>
              <w:tc>
                <w:tcPr>
                  <w:tcW w:w="1517" w:type="dxa"/>
                  <w:tcBorders>
                    <w:tl2br w:val="nil"/>
                    <w:tr2bl w:val="nil"/>
                  </w:tcBorders>
                  <w:shd w:val="clear" w:color="auto" w:fill="FFFFFF"/>
                  <w:noWrap w:val="0"/>
                  <w:vAlign w:val="center"/>
                </w:tcPr>
                <w:p w14:paraId="5038DE3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r>
                    <w:rPr>
                      <w:color w:val="auto"/>
                      <w:highlight w:val="none"/>
                    </w:rPr>
                    <w:t>废气治理</w:t>
                  </w:r>
                </w:p>
              </w:tc>
              <w:tc>
                <w:tcPr>
                  <w:tcW w:w="4742" w:type="dxa"/>
                  <w:tcBorders>
                    <w:tl2br w:val="nil"/>
                    <w:tr2bl w:val="nil"/>
                  </w:tcBorders>
                  <w:shd w:val="clear" w:color="auto" w:fill="FFFFFF"/>
                  <w:noWrap w:val="0"/>
                  <w:vAlign w:val="center"/>
                </w:tcPr>
                <w:p w14:paraId="3C5ECD4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color w:val="auto"/>
                      <w:highlight w:val="none"/>
                      <w:lang w:val="en-US" w:eastAsia="zh-CN"/>
                    </w:rPr>
                  </w:pPr>
                  <w:r>
                    <w:rPr>
                      <w:rFonts w:hint="eastAsia"/>
                      <w:color w:val="auto"/>
                      <w:highlight w:val="none"/>
                      <w:lang w:val="en-US" w:eastAsia="zh-CN"/>
                    </w:rPr>
                    <w:t>本项目研发实验不涉及挥发性原辅料，室内地面使用新洁尔灭消毒，工作台面使用酒精消毒，酒精产生的挥发性有机物无组织排放。</w:t>
                  </w:r>
                </w:p>
              </w:tc>
              <w:tc>
                <w:tcPr>
                  <w:tcW w:w="853" w:type="dxa"/>
                  <w:tcBorders>
                    <w:tl2br w:val="nil"/>
                    <w:tr2bl w:val="nil"/>
                  </w:tcBorders>
                  <w:shd w:val="clear" w:color="auto" w:fill="FFFFFF"/>
                  <w:noWrap w:val="0"/>
                  <w:vAlign w:val="center"/>
                </w:tcPr>
                <w:p w14:paraId="07AC82C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r w14:paraId="332430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14FA7EB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17" w:type="dxa"/>
                  <w:tcBorders>
                    <w:tl2br w:val="nil"/>
                    <w:tr2bl w:val="nil"/>
                  </w:tcBorders>
                  <w:shd w:val="clear" w:color="auto" w:fill="FFFFFF"/>
                  <w:noWrap w:val="0"/>
                  <w:vAlign w:val="center"/>
                </w:tcPr>
                <w:p w14:paraId="64C3C08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r>
                    <w:rPr>
                      <w:color w:val="auto"/>
                      <w:highlight w:val="none"/>
                    </w:rPr>
                    <w:t>废水治理</w:t>
                  </w:r>
                </w:p>
              </w:tc>
              <w:tc>
                <w:tcPr>
                  <w:tcW w:w="4742" w:type="dxa"/>
                  <w:tcBorders>
                    <w:tl2br w:val="nil"/>
                    <w:tr2bl w:val="nil"/>
                  </w:tcBorders>
                  <w:shd w:val="clear" w:color="auto" w:fill="FFFFFF"/>
                  <w:noWrap w:val="0"/>
                  <w:vAlign w:val="center"/>
                </w:tcPr>
                <w:p w14:paraId="3694DE6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color w:val="auto"/>
                      <w:highlight w:val="none"/>
                      <w:lang w:val="en-US" w:eastAsia="zh-CN"/>
                    </w:rPr>
                  </w:pPr>
                  <w:r>
                    <w:rPr>
                      <w:rFonts w:hint="eastAsia"/>
                      <w:color w:val="auto"/>
                      <w:highlight w:val="none"/>
                      <w:lang w:val="en-US" w:eastAsia="zh-CN"/>
                    </w:rPr>
                    <w:t>容器前两遍清洗废水收集作危废处置，容器第三遍及以后清洗废水与生活污水一起排入园区化粪池，经市政管网进北京亦庄环境科技集团有限公司东区污水处理厂进一步处理。</w:t>
                  </w:r>
                </w:p>
              </w:tc>
              <w:tc>
                <w:tcPr>
                  <w:tcW w:w="853" w:type="dxa"/>
                  <w:tcBorders>
                    <w:tl2br w:val="nil"/>
                    <w:tr2bl w:val="nil"/>
                  </w:tcBorders>
                  <w:shd w:val="clear" w:color="auto" w:fill="FFFFFF"/>
                  <w:noWrap w:val="0"/>
                  <w:vAlign w:val="center"/>
                </w:tcPr>
                <w:p w14:paraId="0FDE005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6FDBC15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5F70DE2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17" w:type="dxa"/>
                  <w:tcBorders>
                    <w:tl2br w:val="nil"/>
                    <w:tr2bl w:val="nil"/>
                  </w:tcBorders>
                  <w:shd w:val="clear" w:color="auto" w:fill="FFFFFF"/>
                  <w:noWrap w:val="0"/>
                  <w:vAlign w:val="center"/>
                </w:tcPr>
                <w:p w14:paraId="7FF48E7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r>
                    <w:rPr>
                      <w:color w:val="auto"/>
                      <w:highlight w:val="none"/>
                    </w:rPr>
                    <w:t>固废处置</w:t>
                  </w:r>
                </w:p>
              </w:tc>
              <w:tc>
                <w:tcPr>
                  <w:tcW w:w="4742" w:type="dxa"/>
                  <w:tcBorders>
                    <w:tl2br w:val="nil"/>
                    <w:tr2bl w:val="nil"/>
                  </w:tcBorders>
                  <w:shd w:val="clear" w:color="auto" w:fill="FFFFFF"/>
                  <w:noWrap w:val="0"/>
                  <w:vAlign w:val="center"/>
                </w:tcPr>
                <w:p w14:paraId="51BDC38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color w:val="auto"/>
                      <w:highlight w:val="none"/>
                      <w:lang w:val="en-US" w:eastAsia="zh-CN"/>
                    </w:rPr>
                  </w:pPr>
                  <w:r>
                    <w:rPr>
                      <w:rFonts w:hint="eastAsia"/>
                      <w:color w:val="auto"/>
                      <w:highlight w:val="none"/>
                      <w:lang w:val="en-US" w:eastAsia="zh-CN"/>
                    </w:rPr>
                    <w:t>建设一般工业固体废物暂存间，暂存属于一般工业固体废物的废包装物，定期委托物资回收单位回收；建设</w:t>
                  </w:r>
                  <w:r>
                    <w:rPr>
                      <w:rFonts w:hint="eastAsia"/>
                      <w:color w:val="auto"/>
                      <w:highlight w:val="none"/>
                      <w:lang w:eastAsia="zh-CN"/>
                    </w:rPr>
                    <w:t>危险</w:t>
                  </w:r>
                  <w:r>
                    <w:rPr>
                      <w:rFonts w:hint="eastAsia"/>
                      <w:color w:val="auto"/>
                      <w:highlight w:val="none"/>
                      <w:lang w:val="en-US" w:eastAsia="zh-CN"/>
                    </w:rPr>
                    <w:t>废物</w:t>
                  </w:r>
                  <w:r>
                    <w:rPr>
                      <w:rFonts w:hint="eastAsia"/>
                      <w:color w:val="auto"/>
                      <w:highlight w:val="none"/>
                      <w:lang w:eastAsia="zh-CN"/>
                    </w:rPr>
                    <w:t>暂存间</w:t>
                  </w:r>
                  <w:r>
                    <w:rPr>
                      <w:rFonts w:hint="eastAsia"/>
                      <w:color w:val="auto"/>
                      <w:highlight w:val="none"/>
                      <w:lang w:val="en-US" w:eastAsia="zh-CN"/>
                    </w:rPr>
                    <w:t>，分类收集贮存危险废物，定期委托有资质的单位收集处置；</w:t>
                  </w:r>
                  <w:r>
                    <w:rPr>
                      <w:rFonts w:hint="eastAsia"/>
                      <w:color w:val="auto"/>
                      <w:highlight w:val="none"/>
                      <w:lang w:eastAsia="zh-CN"/>
                    </w:rPr>
                    <w:t>设置生活垃圾分类</w:t>
                  </w:r>
                  <w:r>
                    <w:rPr>
                      <w:rFonts w:hint="eastAsia"/>
                      <w:color w:val="auto"/>
                      <w:highlight w:val="none"/>
                      <w:lang w:val="en-US" w:eastAsia="zh-CN"/>
                    </w:rPr>
                    <w:t>收集桶</w:t>
                  </w:r>
                  <w:r>
                    <w:rPr>
                      <w:rFonts w:hint="eastAsia"/>
                      <w:color w:val="auto"/>
                      <w:highlight w:val="none"/>
                      <w:lang w:eastAsia="zh-CN"/>
                    </w:rPr>
                    <w:t>，委托当地环卫部门</w:t>
                  </w:r>
                  <w:r>
                    <w:rPr>
                      <w:rFonts w:hint="eastAsia"/>
                      <w:color w:val="auto"/>
                      <w:highlight w:val="none"/>
                      <w:lang w:val="en-US" w:eastAsia="zh-CN"/>
                    </w:rPr>
                    <w:t>每日</w:t>
                  </w:r>
                  <w:r>
                    <w:rPr>
                      <w:rFonts w:hint="eastAsia"/>
                      <w:color w:val="auto"/>
                      <w:highlight w:val="none"/>
                      <w:lang w:eastAsia="zh-CN"/>
                    </w:rPr>
                    <w:t>清运。</w:t>
                  </w:r>
                </w:p>
              </w:tc>
              <w:tc>
                <w:tcPr>
                  <w:tcW w:w="853" w:type="dxa"/>
                  <w:tcBorders>
                    <w:tl2br w:val="nil"/>
                    <w:tr2bl w:val="nil"/>
                  </w:tcBorders>
                  <w:shd w:val="clear" w:color="auto" w:fill="FFFFFF"/>
                  <w:noWrap w:val="0"/>
                  <w:vAlign w:val="center"/>
                </w:tcPr>
                <w:p w14:paraId="38843D5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10015BB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65EA568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17" w:type="dxa"/>
                  <w:tcBorders>
                    <w:tl2br w:val="nil"/>
                    <w:tr2bl w:val="nil"/>
                  </w:tcBorders>
                  <w:shd w:val="clear" w:color="auto" w:fill="FFFFFF"/>
                  <w:noWrap w:val="0"/>
                  <w:vAlign w:val="center"/>
                </w:tcPr>
                <w:p w14:paraId="3A9ABC9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环境风险防范措施</w:t>
                  </w:r>
                </w:p>
              </w:tc>
              <w:tc>
                <w:tcPr>
                  <w:tcW w:w="4742" w:type="dxa"/>
                  <w:tcBorders>
                    <w:tl2br w:val="nil"/>
                    <w:tr2bl w:val="nil"/>
                  </w:tcBorders>
                  <w:shd w:val="clear" w:color="auto" w:fill="FFFFFF"/>
                  <w:noWrap w:val="0"/>
                  <w:vAlign w:val="center"/>
                </w:tcPr>
                <w:p w14:paraId="692A218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color w:val="auto"/>
                      <w:highlight w:val="none"/>
                      <w:lang w:eastAsia="zh-CN"/>
                    </w:rPr>
                  </w:pPr>
                  <w:r>
                    <w:rPr>
                      <w:rFonts w:hint="eastAsia"/>
                      <w:color w:val="auto"/>
                      <w:highlight w:val="none"/>
                      <w:lang w:val="en-US" w:eastAsia="zh-CN"/>
                    </w:rPr>
                    <w:t>建设</w:t>
                  </w:r>
                  <w:r>
                    <w:rPr>
                      <w:rFonts w:hint="eastAsia"/>
                      <w:color w:val="auto"/>
                      <w:highlight w:val="none"/>
                    </w:rPr>
                    <w:t>阴凉、通风、干燥</w:t>
                  </w:r>
                  <w:r>
                    <w:rPr>
                      <w:rFonts w:hint="eastAsia"/>
                      <w:color w:val="auto"/>
                      <w:highlight w:val="none"/>
                      <w:lang w:val="en-US" w:eastAsia="zh-CN"/>
                    </w:rPr>
                    <w:t>的化学品贮存设施</w:t>
                  </w:r>
                  <w:r>
                    <w:rPr>
                      <w:rFonts w:hint="eastAsia"/>
                      <w:color w:val="auto"/>
                      <w:highlight w:val="none"/>
                    </w:rPr>
                    <w:t>，且远离火种、热源；</w:t>
                  </w:r>
                  <w:r>
                    <w:rPr>
                      <w:rFonts w:hint="eastAsia"/>
                      <w:color w:val="auto"/>
                      <w:highlight w:val="none"/>
                      <w:lang w:val="en-US" w:eastAsia="zh-CN"/>
                    </w:rPr>
                    <w:t>建设规范的危险废物暂存间，做好防渗、防溢流措施；设置满足要求的风险物资</w:t>
                  </w:r>
                  <w:r>
                    <w:rPr>
                      <w:rFonts w:hint="eastAsia"/>
                      <w:color w:val="auto"/>
                      <w:highlight w:val="none"/>
                    </w:rPr>
                    <w:t>。</w:t>
                  </w:r>
                </w:p>
              </w:tc>
              <w:tc>
                <w:tcPr>
                  <w:tcW w:w="853" w:type="dxa"/>
                  <w:tcBorders>
                    <w:tl2br w:val="nil"/>
                    <w:tr2bl w:val="nil"/>
                  </w:tcBorders>
                  <w:shd w:val="clear" w:color="auto" w:fill="FFFFFF"/>
                  <w:noWrap w:val="0"/>
                  <w:vAlign w:val="center"/>
                </w:tcPr>
                <w:p w14:paraId="3BF40A4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4AE8ED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restart"/>
                  <w:tcBorders>
                    <w:tl2br w:val="nil"/>
                    <w:tr2bl w:val="nil"/>
                  </w:tcBorders>
                  <w:shd w:val="clear" w:color="auto" w:fill="FFFFFF"/>
                  <w:noWrap w:val="0"/>
                  <w:vAlign w:val="center"/>
                </w:tcPr>
                <w:p w14:paraId="60F17FD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rPr>
                  </w:pPr>
                  <w:r>
                    <w:rPr>
                      <w:rFonts w:hint="eastAsia"/>
                      <w:color w:val="auto"/>
                      <w:highlight w:val="none"/>
                    </w:rPr>
                    <w:t>储运</w:t>
                  </w:r>
                </w:p>
                <w:p w14:paraId="5A4473A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工程</w:t>
                  </w:r>
                </w:p>
              </w:tc>
              <w:tc>
                <w:tcPr>
                  <w:tcW w:w="1517" w:type="dxa"/>
                  <w:tcBorders>
                    <w:tl2br w:val="nil"/>
                    <w:tr2bl w:val="nil"/>
                  </w:tcBorders>
                  <w:shd w:val="clear" w:color="auto" w:fill="FFFFFF"/>
                  <w:noWrap w:val="0"/>
                  <w:vAlign w:val="center"/>
                </w:tcPr>
                <w:p w14:paraId="70B4E15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危险废物</w:t>
                  </w:r>
                </w:p>
                <w:p w14:paraId="498529E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暂存间</w:t>
                  </w:r>
                </w:p>
              </w:tc>
              <w:tc>
                <w:tcPr>
                  <w:tcW w:w="4742" w:type="dxa"/>
                  <w:tcBorders>
                    <w:tl2br w:val="nil"/>
                    <w:tr2bl w:val="nil"/>
                  </w:tcBorders>
                  <w:shd w:val="clear" w:color="auto" w:fill="FFFFFF"/>
                  <w:noWrap w:val="0"/>
                  <w:vAlign w:val="center"/>
                </w:tcPr>
                <w:p w14:paraId="7913894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面积2m</w:t>
                  </w:r>
                  <w:r>
                    <w:rPr>
                      <w:rFonts w:hint="eastAsia"/>
                      <w:color w:val="auto"/>
                      <w:highlight w:val="none"/>
                      <w:vertAlign w:val="superscript"/>
                      <w:lang w:val="en-US" w:eastAsia="zh-CN"/>
                    </w:rPr>
                    <w:t>2</w:t>
                  </w:r>
                  <w:r>
                    <w:rPr>
                      <w:rFonts w:hint="eastAsia"/>
                      <w:color w:val="auto"/>
                      <w:highlight w:val="none"/>
                      <w:lang w:val="en-US" w:eastAsia="zh-CN"/>
                    </w:rPr>
                    <w:t>，用于危险废物暂存。</w:t>
                  </w:r>
                </w:p>
              </w:tc>
              <w:tc>
                <w:tcPr>
                  <w:tcW w:w="853" w:type="dxa"/>
                  <w:tcBorders>
                    <w:tl2br w:val="nil"/>
                    <w:tr2bl w:val="nil"/>
                  </w:tcBorders>
                  <w:shd w:val="clear" w:color="auto" w:fill="FFFFFF"/>
                  <w:noWrap w:val="0"/>
                  <w:vAlign w:val="center"/>
                </w:tcPr>
                <w:p w14:paraId="5097EB6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新建</w:t>
                  </w:r>
                </w:p>
              </w:tc>
            </w:tr>
            <w:tr w14:paraId="52A1900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vMerge w:val="continue"/>
                  <w:tcBorders>
                    <w:tl2br w:val="nil"/>
                    <w:tr2bl w:val="nil"/>
                  </w:tcBorders>
                  <w:shd w:val="clear" w:color="auto" w:fill="FFFFFF"/>
                  <w:noWrap w:val="0"/>
                  <w:vAlign w:val="center"/>
                </w:tcPr>
                <w:p w14:paraId="0FFC0F2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p>
              </w:tc>
              <w:tc>
                <w:tcPr>
                  <w:tcW w:w="1517" w:type="dxa"/>
                  <w:tcBorders>
                    <w:tl2br w:val="nil"/>
                    <w:tr2bl w:val="nil"/>
                  </w:tcBorders>
                  <w:shd w:val="clear" w:color="auto" w:fill="FFFFFF"/>
                  <w:noWrap w:val="0"/>
                  <w:vAlign w:val="center"/>
                </w:tcPr>
                <w:p w14:paraId="62933EB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一般工业固体废物暂存间</w:t>
                  </w:r>
                </w:p>
              </w:tc>
              <w:tc>
                <w:tcPr>
                  <w:tcW w:w="4742" w:type="dxa"/>
                  <w:tcBorders>
                    <w:tl2br w:val="nil"/>
                    <w:tr2bl w:val="nil"/>
                  </w:tcBorders>
                  <w:shd w:val="clear" w:color="auto" w:fill="FFFFFF"/>
                  <w:noWrap w:val="0"/>
                  <w:vAlign w:val="center"/>
                </w:tcPr>
                <w:p w14:paraId="78B9B6C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面积2m</w:t>
                  </w:r>
                  <w:r>
                    <w:rPr>
                      <w:rFonts w:hint="eastAsia"/>
                      <w:color w:val="auto"/>
                      <w:highlight w:val="none"/>
                      <w:vertAlign w:val="superscript"/>
                      <w:lang w:val="en-US" w:eastAsia="zh-CN"/>
                    </w:rPr>
                    <w:t>2</w:t>
                  </w:r>
                  <w:r>
                    <w:rPr>
                      <w:rFonts w:hint="eastAsia"/>
                      <w:color w:val="auto"/>
                      <w:highlight w:val="none"/>
                      <w:lang w:val="en-US" w:eastAsia="zh-CN"/>
                    </w:rPr>
                    <w:t>，用于一般工业固体废物暂存。</w:t>
                  </w:r>
                </w:p>
              </w:tc>
              <w:tc>
                <w:tcPr>
                  <w:tcW w:w="853" w:type="dxa"/>
                  <w:tcBorders>
                    <w:tl2br w:val="nil"/>
                    <w:tr2bl w:val="nil"/>
                  </w:tcBorders>
                  <w:shd w:val="clear" w:color="auto" w:fill="FFFFFF"/>
                  <w:noWrap w:val="0"/>
                  <w:vAlign w:val="center"/>
                </w:tcPr>
                <w:p w14:paraId="7E0E6AB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新建</w:t>
                  </w:r>
                </w:p>
              </w:tc>
            </w:tr>
            <w:tr w14:paraId="575CAD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51" w:type="dxa"/>
                  <w:tcBorders>
                    <w:tl2br w:val="nil"/>
                    <w:tr2bl w:val="nil"/>
                  </w:tcBorders>
                  <w:shd w:val="clear" w:color="auto" w:fill="FFFFFF"/>
                  <w:noWrap w:val="0"/>
                  <w:vAlign w:val="center"/>
                </w:tcPr>
                <w:p w14:paraId="64A177A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rPr>
                  </w:pPr>
                  <w:r>
                    <w:rPr>
                      <w:rFonts w:hint="eastAsia"/>
                      <w:color w:val="auto"/>
                      <w:highlight w:val="none"/>
                    </w:rPr>
                    <w:t>配套</w:t>
                  </w:r>
                </w:p>
                <w:p w14:paraId="6C33E58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工程</w:t>
                  </w:r>
                </w:p>
              </w:tc>
              <w:tc>
                <w:tcPr>
                  <w:tcW w:w="1517" w:type="dxa"/>
                  <w:tcBorders>
                    <w:tl2br w:val="nil"/>
                    <w:tr2bl w:val="nil"/>
                  </w:tcBorders>
                  <w:shd w:val="clear" w:color="auto" w:fill="FFFFFF"/>
                  <w:noWrap w:val="0"/>
                  <w:vAlign w:val="center"/>
                </w:tcPr>
                <w:p w14:paraId="2EBEE57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eastAsia="zh-CN"/>
                    </w:rPr>
                    <w:t>办公</w:t>
                  </w:r>
                  <w:r>
                    <w:rPr>
                      <w:rFonts w:hint="eastAsia"/>
                      <w:color w:val="auto"/>
                      <w:highlight w:val="none"/>
                      <w:lang w:val="en-US" w:eastAsia="zh-CN"/>
                    </w:rPr>
                    <w:t>区</w:t>
                  </w:r>
                </w:p>
              </w:tc>
              <w:tc>
                <w:tcPr>
                  <w:tcW w:w="4742" w:type="dxa"/>
                  <w:tcBorders>
                    <w:tl2br w:val="nil"/>
                    <w:tr2bl w:val="nil"/>
                  </w:tcBorders>
                  <w:shd w:val="clear" w:color="auto" w:fill="FFFFFF"/>
                  <w:noWrap w:val="0"/>
                  <w:vAlign w:val="center"/>
                </w:tcPr>
                <w:p w14:paraId="3D206CE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color w:val="auto"/>
                      <w:highlight w:val="none"/>
                    </w:rPr>
                  </w:pPr>
                  <w:r>
                    <w:rPr>
                      <w:rFonts w:hint="eastAsia"/>
                      <w:color w:val="auto"/>
                      <w:highlight w:val="none"/>
                      <w:lang w:val="en-US" w:eastAsia="zh-CN"/>
                    </w:rPr>
                    <w:t>办公区一40m</w:t>
                  </w:r>
                  <w:r>
                    <w:rPr>
                      <w:rFonts w:hint="eastAsia"/>
                      <w:color w:val="auto"/>
                      <w:highlight w:val="none"/>
                      <w:vertAlign w:val="superscript"/>
                      <w:lang w:val="en-US" w:eastAsia="zh-CN"/>
                    </w:rPr>
                    <w:t>2</w:t>
                  </w:r>
                  <w:r>
                    <w:rPr>
                      <w:rFonts w:hint="eastAsia"/>
                      <w:color w:val="auto"/>
                      <w:highlight w:val="none"/>
                      <w:lang w:val="en-US" w:eastAsia="zh-CN"/>
                    </w:rPr>
                    <w:t>、办公区二25m</w:t>
                  </w:r>
                  <w:r>
                    <w:rPr>
                      <w:rFonts w:hint="eastAsia"/>
                      <w:color w:val="auto"/>
                      <w:highlight w:val="none"/>
                      <w:vertAlign w:val="superscript"/>
                      <w:lang w:val="en-US" w:eastAsia="zh-CN"/>
                    </w:rPr>
                    <w:t>2</w:t>
                  </w:r>
                  <w:r>
                    <w:rPr>
                      <w:rFonts w:hint="eastAsia"/>
                      <w:color w:val="auto"/>
                      <w:highlight w:val="none"/>
                      <w:lang w:val="en-US" w:eastAsia="zh-CN"/>
                    </w:rPr>
                    <w:t>、办公区三15m</w:t>
                  </w:r>
                  <w:r>
                    <w:rPr>
                      <w:rFonts w:hint="eastAsia"/>
                      <w:color w:val="auto"/>
                      <w:highlight w:val="none"/>
                      <w:vertAlign w:val="superscript"/>
                      <w:lang w:val="en-US" w:eastAsia="zh-CN"/>
                    </w:rPr>
                    <w:t>2</w:t>
                  </w:r>
                  <w:r>
                    <w:rPr>
                      <w:rFonts w:hint="eastAsia"/>
                      <w:color w:val="auto"/>
                      <w:highlight w:val="none"/>
                      <w:vertAlign w:val="baseline"/>
                      <w:lang w:val="en-US" w:eastAsia="zh-CN"/>
                    </w:rPr>
                    <w:t>，</w:t>
                  </w:r>
                  <w:r>
                    <w:rPr>
                      <w:rFonts w:hint="eastAsia"/>
                      <w:color w:val="auto"/>
                      <w:highlight w:val="none"/>
                      <w:lang w:val="en-US" w:eastAsia="zh-CN"/>
                    </w:rPr>
                    <w:t>用于工作人员的日常办公。</w:t>
                  </w:r>
                </w:p>
              </w:tc>
              <w:tc>
                <w:tcPr>
                  <w:tcW w:w="853" w:type="dxa"/>
                  <w:tcBorders>
                    <w:tl2br w:val="nil"/>
                    <w:tr2bl w:val="nil"/>
                  </w:tcBorders>
                  <w:shd w:val="clear" w:color="auto" w:fill="FFFFFF"/>
                  <w:noWrap w:val="0"/>
                  <w:vAlign w:val="center"/>
                </w:tcPr>
                <w:p w14:paraId="08E7460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bl>
          <w:p w14:paraId="53E1D37E">
            <w:pPr>
              <w:rPr>
                <w:rFonts w:hint="default"/>
                <w:color w:val="auto"/>
                <w:vertAlign w:val="baseline"/>
                <w:lang w:val="en-US" w:eastAsia="zh-CN"/>
              </w:rPr>
            </w:pPr>
            <w:r>
              <w:rPr>
                <w:rFonts w:hint="eastAsia"/>
                <w:color w:val="auto"/>
                <w:vertAlign w:val="baseline"/>
                <w:lang w:val="en-US" w:eastAsia="zh-CN"/>
              </w:rPr>
              <w:t>（4）项目产品方案</w:t>
            </w:r>
          </w:p>
          <w:p w14:paraId="2A5E8197">
            <w:pPr>
              <w:rPr>
                <w:rFonts w:hint="eastAsia"/>
                <w:color w:val="auto"/>
                <w:vertAlign w:val="baseline"/>
                <w:lang w:val="en-US" w:eastAsia="zh-CN"/>
              </w:rPr>
            </w:pPr>
            <w:r>
              <w:rPr>
                <w:rFonts w:hint="eastAsia"/>
                <w:color w:val="auto"/>
                <w:vertAlign w:val="baseline"/>
                <w:lang w:val="en-US" w:eastAsia="zh-CN"/>
              </w:rPr>
              <w:t>项目产品方案见下表。</w:t>
            </w:r>
          </w:p>
          <w:p w14:paraId="00E24B6F">
            <w:pPr>
              <w:pStyle w:val="15"/>
              <w:numPr>
                <w:ilvl w:val="0"/>
                <w:numId w:val="6"/>
              </w:numPr>
              <w:bidi w:val="0"/>
              <w:ind w:left="425" w:leftChars="0" w:hanging="425" w:firstLineChars="0"/>
              <w:rPr>
                <w:rFonts w:hint="default"/>
                <w:color w:val="auto"/>
                <w:lang w:val="en-US" w:eastAsia="zh-CN"/>
              </w:rPr>
            </w:pPr>
            <w:r>
              <w:rPr>
                <w:rFonts w:hint="eastAsia"/>
                <w:color w:val="auto"/>
                <w:lang w:val="en-US" w:eastAsia="zh-CN"/>
              </w:rPr>
              <w:t>项目产品方案一览表</w:t>
            </w:r>
          </w:p>
          <w:tbl>
            <w:tblPr>
              <w:tblStyle w:val="1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257"/>
              <w:gridCol w:w="2006"/>
              <w:gridCol w:w="2006"/>
            </w:tblGrid>
            <w:tr w14:paraId="0F77A4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Borders>
                    <w:tl2br w:val="nil"/>
                    <w:tr2bl w:val="nil"/>
                  </w:tcBorders>
                  <w:noWrap w:val="0"/>
                  <w:vAlign w:val="center"/>
                </w:tcPr>
                <w:p w14:paraId="7C4901E2">
                  <w:pPr>
                    <w:pStyle w:val="21"/>
                    <w:bidi w:val="0"/>
                    <w:spacing w:line="240" w:lineRule="auto"/>
                    <w:ind w:left="0" w:leftChars="0" w:firstLine="0" w:firstLineChars="0"/>
                    <w:jc w:val="center"/>
                    <w:rPr>
                      <w:rFonts w:hint="eastAsia" w:eastAsiaTheme="minorEastAsia"/>
                      <w:b/>
                      <w:bCs/>
                      <w:lang w:val="en-US" w:eastAsia="zh-CN"/>
                    </w:rPr>
                  </w:pPr>
                  <w:r>
                    <w:rPr>
                      <w:rFonts w:hint="eastAsia"/>
                      <w:b/>
                      <w:bCs/>
                      <w:lang w:val="en-US" w:eastAsia="zh-CN"/>
                    </w:rPr>
                    <w:t>序号</w:t>
                  </w:r>
                </w:p>
              </w:tc>
              <w:tc>
                <w:tcPr>
                  <w:tcW w:w="3257" w:type="dxa"/>
                  <w:tcBorders>
                    <w:tl2br w:val="nil"/>
                    <w:tr2bl w:val="nil"/>
                  </w:tcBorders>
                  <w:noWrap w:val="0"/>
                  <w:vAlign w:val="center"/>
                </w:tcPr>
                <w:p w14:paraId="791AD014">
                  <w:pPr>
                    <w:pStyle w:val="21"/>
                    <w:bidi w:val="0"/>
                    <w:spacing w:line="240" w:lineRule="auto"/>
                    <w:ind w:left="0" w:leftChars="0" w:firstLine="0" w:firstLineChars="0"/>
                    <w:jc w:val="center"/>
                    <w:rPr>
                      <w:rFonts w:hint="default" w:eastAsiaTheme="minorEastAsia"/>
                      <w:b/>
                      <w:bCs/>
                      <w:lang w:val="en-US" w:eastAsia="zh-CN"/>
                    </w:rPr>
                  </w:pPr>
                  <w:r>
                    <w:rPr>
                      <w:rFonts w:hint="eastAsia"/>
                      <w:b/>
                      <w:bCs/>
                      <w:lang w:val="en-US" w:eastAsia="zh-CN"/>
                    </w:rPr>
                    <w:t>实验项目</w:t>
                  </w:r>
                </w:p>
              </w:tc>
              <w:tc>
                <w:tcPr>
                  <w:tcW w:w="2006" w:type="dxa"/>
                  <w:tcBorders>
                    <w:tl2br w:val="nil"/>
                    <w:tr2bl w:val="nil"/>
                  </w:tcBorders>
                  <w:noWrap w:val="0"/>
                  <w:vAlign w:val="center"/>
                </w:tcPr>
                <w:p w14:paraId="25EA90CA">
                  <w:pPr>
                    <w:pStyle w:val="21"/>
                    <w:bidi w:val="0"/>
                    <w:spacing w:line="240" w:lineRule="auto"/>
                    <w:ind w:left="0" w:leftChars="0" w:firstLine="0" w:firstLineChars="0"/>
                    <w:jc w:val="center"/>
                    <w:rPr>
                      <w:rFonts w:hint="default" w:eastAsiaTheme="minorEastAsia"/>
                      <w:b/>
                      <w:bCs/>
                      <w:lang w:val="en-US" w:eastAsia="zh-CN"/>
                    </w:rPr>
                  </w:pPr>
                  <w:r>
                    <w:rPr>
                      <w:rFonts w:hint="eastAsia"/>
                      <w:b/>
                      <w:bCs/>
                      <w:lang w:val="en-US" w:eastAsia="zh-CN"/>
                    </w:rPr>
                    <w:t>实验规模</w:t>
                  </w:r>
                </w:p>
              </w:tc>
              <w:tc>
                <w:tcPr>
                  <w:tcW w:w="2006" w:type="dxa"/>
                  <w:tcBorders>
                    <w:tl2br w:val="nil"/>
                    <w:tr2bl w:val="nil"/>
                  </w:tcBorders>
                  <w:noWrap w:val="0"/>
                  <w:vAlign w:val="center"/>
                </w:tcPr>
                <w:p w14:paraId="5FA97403">
                  <w:pPr>
                    <w:pStyle w:val="21"/>
                    <w:bidi w:val="0"/>
                    <w:spacing w:line="240" w:lineRule="auto"/>
                    <w:ind w:left="0" w:leftChars="0" w:firstLine="0" w:firstLineChars="0"/>
                    <w:jc w:val="center"/>
                    <w:rPr>
                      <w:rFonts w:hint="default" w:eastAsiaTheme="minorEastAsia"/>
                      <w:b/>
                      <w:bCs/>
                      <w:lang w:val="en-US" w:eastAsia="zh-CN"/>
                    </w:rPr>
                  </w:pPr>
                  <w:r>
                    <w:rPr>
                      <w:rFonts w:hint="eastAsia"/>
                      <w:b/>
                      <w:bCs/>
                      <w:lang w:val="en-US" w:eastAsia="zh-CN"/>
                    </w:rPr>
                    <w:t>样品去向</w:t>
                  </w:r>
                </w:p>
              </w:tc>
            </w:tr>
            <w:tr w14:paraId="31EF92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Borders>
                    <w:tl2br w:val="nil"/>
                    <w:tr2bl w:val="nil"/>
                  </w:tcBorders>
                  <w:noWrap w:val="0"/>
                  <w:vAlign w:val="center"/>
                </w:tcPr>
                <w:p w14:paraId="4A333A4D">
                  <w:pPr>
                    <w:pStyle w:val="21"/>
                    <w:bidi w:val="0"/>
                    <w:spacing w:line="240" w:lineRule="auto"/>
                    <w:ind w:left="0" w:leftChars="0" w:firstLine="0" w:firstLineChars="0"/>
                    <w:jc w:val="center"/>
                    <w:rPr>
                      <w:rFonts w:hint="eastAsia"/>
                      <w:lang w:val="en-US" w:eastAsia="zh-CN"/>
                    </w:rPr>
                  </w:pPr>
                  <w:r>
                    <w:rPr>
                      <w:rFonts w:hint="eastAsia"/>
                      <w:lang w:val="en-US" w:eastAsia="zh-CN"/>
                    </w:rPr>
                    <w:t>1</w:t>
                  </w:r>
                </w:p>
              </w:tc>
              <w:tc>
                <w:tcPr>
                  <w:tcW w:w="3257" w:type="dxa"/>
                  <w:tcBorders>
                    <w:tl2br w:val="nil"/>
                    <w:tr2bl w:val="nil"/>
                  </w:tcBorders>
                  <w:noWrap w:val="0"/>
                  <w:vAlign w:val="center"/>
                </w:tcPr>
                <w:p w14:paraId="6B6C0D04">
                  <w:pPr>
                    <w:pStyle w:val="21"/>
                    <w:bidi w:val="0"/>
                    <w:spacing w:line="240" w:lineRule="auto"/>
                    <w:ind w:left="0" w:leftChars="0" w:firstLine="0" w:firstLineChars="0"/>
                    <w:jc w:val="center"/>
                    <w:rPr>
                      <w:rFonts w:hint="default"/>
                      <w:lang w:val="en-US" w:eastAsia="zh-CN"/>
                    </w:rPr>
                  </w:pPr>
                  <w:r>
                    <w:rPr>
                      <w:rFonts w:hint="eastAsia"/>
                      <w:lang w:val="en-US" w:eastAsia="zh-CN"/>
                    </w:rPr>
                    <w:t>抗体包被微球</w:t>
                  </w:r>
                </w:p>
              </w:tc>
              <w:tc>
                <w:tcPr>
                  <w:tcW w:w="2006" w:type="dxa"/>
                  <w:tcBorders>
                    <w:tl2br w:val="nil"/>
                    <w:tr2bl w:val="nil"/>
                  </w:tcBorders>
                  <w:noWrap w:val="0"/>
                  <w:vAlign w:val="center"/>
                </w:tcPr>
                <w:p w14:paraId="2E4C32F1">
                  <w:pPr>
                    <w:pStyle w:val="21"/>
                    <w:bidi w:val="0"/>
                    <w:spacing w:line="240" w:lineRule="auto"/>
                    <w:ind w:left="0" w:leftChars="0" w:firstLine="0" w:firstLineChars="0"/>
                    <w:jc w:val="center"/>
                    <w:rPr>
                      <w:rFonts w:hint="default"/>
                      <w:lang w:val="en-US" w:eastAsia="zh-CN"/>
                    </w:rPr>
                  </w:pPr>
                  <w:r>
                    <w:rPr>
                      <w:rFonts w:hint="eastAsia"/>
                      <w:lang w:val="en-US" w:eastAsia="zh-CN"/>
                    </w:rPr>
                    <w:t>150次/年</w:t>
                  </w:r>
                </w:p>
              </w:tc>
              <w:tc>
                <w:tcPr>
                  <w:tcW w:w="2006" w:type="dxa"/>
                  <w:vMerge w:val="restart"/>
                  <w:tcBorders>
                    <w:tl2br w:val="nil"/>
                    <w:tr2bl w:val="nil"/>
                  </w:tcBorders>
                  <w:noWrap w:val="0"/>
                  <w:vAlign w:val="center"/>
                </w:tcPr>
                <w:p w14:paraId="06CC0967">
                  <w:pPr>
                    <w:pStyle w:val="21"/>
                    <w:bidi w:val="0"/>
                    <w:spacing w:line="240" w:lineRule="auto"/>
                    <w:ind w:left="0" w:leftChars="0" w:firstLine="0" w:firstLineChars="0"/>
                    <w:jc w:val="center"/>
                    <w:rPr>
                      <w:rFonts w:hint="default"/>
                      <w:lang w:val="en-US" w:eastAsia="zh-CN"/>
                    </w:rPr>
                  </w:pPr>
                  <w:r>
                    <w:rPr>
                      <w:rFonts w:hint="eastAsia"/>
                      <w:lang w:val="en-US" w:eastAsia="zh-CN"/>
                    </w:rPr>
                    <w:t>委托第三方检测，由第三方检测公司处置。</w:t>
                  </w:r>
                </w:p>
              </w:tc>
            </w:tr>
            <w:tr w14:paraId="7EF99C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Borders>
                    <w:tl2br w:val="nil"/>
                    <w:tr2bl w:val="nil"/>
                  </w:tcBorders>
                  <w:shd w:val="clear" w:color="auto" w:fill="auto"/>
                  <w:noWrap w:val="0"/>
                  <w:vAlign w:val="center"/>
                </w:tcPr>
                <w:p w14:paraId="747AA092">
                  <w:pPr>
                    <w:pStyle w:val="21"/>
                    <w:bidi w:val="0"/>
                    <w:spacing w:line="240" w:lineRule="auto"/>
                    <w:ind w:left="0" w:leftChars="0" w:firstLine="0" w:firstLineChars="0"/>
                    <w:jc w:val="center"/>
                    <w:rPr>
                      <w:rFonts w:hint="default"/>
                      <w:lang w:val="en-US" w:eastAsia="zh-CN"/>
                    </w:rPr>
                  </w:pPr>
                  <w:r>
                    <w:rPr>
                      <w:rFonts w:hint="eastAsia"/>
                      <w:lang w:val="en-US" w:eastAsia="zh-CN"/>
                    </w:rPr>
                    <w:t>2</w:t>
                  </w:r>
                </w:p>
              </w:tc>
              <w:tc>
                <w:tcPr>
                  <w:tcW w:w="3257" w:type="dxa"/>
                  <w:tcBorders>
                    <w:tl2br w:val="nil"/>
                    <w:tr2bl w:val="nil"/>
                  </w:tcBorders>
                  <w:shd w:val="clear" w:color="auto" w:fill="auto"/>
                  <w:noWrap w:val="0"/>
                  <w:vAlign w:val="center"/>
                </w:tcPr>
                <w:p w14:paraId="7DB181F7">
                  <w:pPr>
                    <w:pStyle w:val="21"/>
                    <w:bidi w:val="0"/>
                    <w:spacing w:line="240" w:lineRule="auto"/>
                    <w:ind w:left="0" w:leftChars="0" w:firstLine="0" w:firstLineChars="0"/>
                    <w:jc w:val="center"/>
                    <w:rPr>
                      <w:rFonts w:hint="default"/>
                      <w:lang w:val="en-US" w:eastAsia="zh-CN"/>
                    </w:rPr>
                  </w:pPr>
                  <w:r>
                    <w:rPr>
                      <w:rFonts w:hint="eastAsia"/>
                      <w:lang w:val="en-US" w:eastAsia="zh-CN"/>
                    </w:rPr>
                    <w:t>抗体标记</w:t>
                  </w:r>
                </w:p>
              </w:tc>
              <w:tc>
                <w:tcPr>
                  <w:tcW w:w="2006" w:type="dxa"/>
                  <w:tcBorders>
                    <w:tl2br w:val="nil"/>
                    <w:tr2bl w:val="nil"/>
                  </w:tcBorders>
                  <w:shd w:val="clear" w:color="auto" w:fill="auto"/>
                  <w:noWrap w:val="0"/>
                  <w:vAlign w:val="center"/>
                </w:tcPr>
                <w:p w14:paraId="4E0758B7">
                  <w:pPr>
                    <w:pStyle w:val="21"/>
                    <w:bidi w:val="0"/>
                    <w:spacing w:line="240" w:lineRule="auto"/>
                    <w:ind w:left="0" w:leftChars="0" w:firstLine="0" w:firstLineChars="0"/>
                    <w:jc w:val="center"/>
                    <w:rPr>
                      <w:rFonts w:hint="default"/>
                      <w:lang w:val="en-US" w:eastAsia="zh-CN"/>
                    </w:rPr>
                  </w:pPr>
                  <w:r>
                    <w:rPr>
                      <w:rFonts w:hint="eastAsia"/>
                      <w:lang w:val="en-US" w:eastAsia="zh-CN"/>
                    </w:rPr>
                    <w:t>150次/年</w:t>
                  </w:r>
                </w:p>
              </w:tc>
              <w:tc>
                <w:tcPr>
                  <w:tcW w:w="2006" w:type="dxa"/>
                  <w:vMerge w:val="continue"/>
                  <w:tcBorders>
                    <w:tl2br w:val="nil"/>
                    <w:tr2bl w:val="nil"/>
                  </w:tcBorders>
                  <w:shd w:val="clear" w:color="auto" w:fill="auto"/>
                  <w:noWrap w:val="0"/>
                  <w:vAlign w:val="center"/>
                </w:tcPr>
                <w:p w14:paraId="620594C2">
                  <w:pPr>
                    <w:pStyle w:val="21"/>
                    <w:bidi w:val="0"/>
                    <w:spacing w:line="240" w:lineRule="auto"/>
                    <w:ind w:left="0" w:leftChars="0" w:firstLine="0" w:firstLineChars="0"/>
                    <w:jc w:val="center"/>
                    <w:rPr>
                      <w:rFonts w:hint="default"/>
                      <w:lang w:val="en-US" w:eastAsia="zh-CN"/>
                    </w:rPr>
                  </w:pPr>
                </w:p>
              </w:tc>
            </w:tr>
            <w:tr w14:paraId="02094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Borders>
                    <w:tl2br w:val="nil"/>
                    <w:tr2bl w:val="nil"/>
                  </w:tcBorders>
                  <w:shd w:val="clear" w:color="auto" w:fill="auto"/>
                  <w:noWrap w:val="0"/>
                  <w:vAlign w:val="center"/>
                </w:tcPr>
                <w:p w14:paraId="7F128445">
                  <w:pPr>
                    <w:pStyle w:val="21"/>
                    <w:bidi w:val="0"/>
                    <w:spacing w:line="240" w:lineRule="auto"/>
                    <w:ind w:left="0" w:leftChars="0" w:firstLine="0" w:firstLineChars="0"/>
                    <w:jc w:val="center"/>
                    <w:rPr>
                      <w:rFonts w:hint="default"/>
                      <w:lang w:val="en-US" w:eastAsia="zh-CN"/>
                    </w:rPr>
                  </w:pPr>
                  <w:r>
                    <w:rPr>
                      <w:rFonts w:hint="eastAsia"/>
                      <w:lang w:val="en-US" w:eastAsia="zh-CN"/>
                    </w:rPr>
                    <w:t>3</w:t>
                  </w:r>
                </w:p>
              </w:tc>
              <w:tc>
                <w:tcPr>
                  <w:tcW w:w="3257" w:type="dxa"/>
                  <w:tcBorders>
                    <w:tl2br w:val="nil"/>
                    <w:tr2bl w:val="nil"/>
                  </w:tcBorders>
                  <w:shd w:val="clear" w:color="auto" w:fill="auto"/>
                  <w:noWrap w:val="0"/>
                  <w:vAlign w:val="center"/>
                </w:tcPr>
                <w:p w14:paraId="33985257">
                  <w:pPr>
                    <w:pStyle w:val="21"/>
                    <w:bidi w:val="0"/>
                    <w:spacing w:line="240" w:lineRule="auto"/>
                    <w:ind w:left="0" w:leftChars="0" w:firstLine="0" w:firstLineChars="0"/>
                    <w:jc w:val="center"/>
                    <w:rPr>
                      <w:rFonts w:hint="default"/>
                      <w:lang w:val="en-US" w:eastAsia="zh-CN"/>
                    </w:rPr>
                  </w:pPr>
                  <w:r>
                    <w:rPr>
                      <w:rFonts w:hint="eastAsia"/>
                      <w:lang w:val="en-US" w:eastAsia="zh-CN"/>
                    </w:rPr>
                    <w:t>抗体载体标记</w:t>
                  </w:r>
                </w:p>
              </w:tc>
              <w:tc>
                <w:tcPr>
                  <w:tcW w:w="2006" w:type="dxa"/>
                  <w:tcBorders>
                    <w:tl2br w:val="nil"/>
                    <w:tr2bl w:val="nil"/>
                  </w:tcBorders>
                  <w:shd w:val="clear" w:color="auto" w:fill="auto"/>
                  <w:noWrap w:val="0"/>
                  <w:vAlign w:val="center"/>
                </w:tcPr>
                <w:p w14:paraId="40A01CDD">
                  <w:pPr>
                    <w:pStyle w:val="21"/>
                    <w:bidi w:val="0"/>
                    <w:spacing w:line="240" w:lineRule="auto"/>
                    <w:ind w:left="0" w:leftChars="0" w:firstLine="0" w:firstLineChars="0"/>
                    <w:jc w:val="center"/>
                    <w:rPr>
                      <w:rFonts w:hint="default"/>
                      <w:lang w:val="en-US" w:eastAsia="zh-CN"/>
                    </w:rPr>
                  </w:pPr>
                  <w:r>
                    <w:rPr>
                      <w:rFonts w:hint="eastAsia"/>
                      <w:lang w:val="en-US" w:eastAsia="zh-CN"/>
                    </w:rPr>
                    <w:t>150次/年</w:t>
                  </w:r>
                </w:p>
              </w:tc>
              <w:tc>
                <w:tcPr>
                  <w:tcW w:w="2006" w:type="dxa"/>
                  <w:vMerge w:val="continue"/>
                  <w:tcBorders>
                    <w:tl2br w:val="nil"/>
                    <w:tr2bl w:val="nil"/>
                  </w:tcBorders>
                  <w:shd w:val="clear" w:color="auto" w:fill="auto"/>
                  <w:noWrap w:val="0"/>
                  <w:vAlign w:val="center"/>
                </w:tcPr>
                <w:p w14:paraId="450FEE63">
                  <w:pPr>
                    <w:pStyle w:val="21"/>
                    <w:bidi w:val="0"/>
                    <w:spacing w:line="240" w:lineRule="auto"/>
                    <w:ind w:left="0" w:leftChars="0" w:firstLine="0" w:firstLineChars="0"/>
                    <w:jc w:val="center"/>
                    <w:rPr>
                      <w:rFonts w:hint="default"/>
                      <w:lang w:val="en-US" w:eastAsia="zh-CN"/>
                    </w:rPr>
                  </w:pPr>
                </w:p>
              </w:tc>
            </w:tr>
            <w:tr w14:paraId="559D70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Borders>
                    <w:tl2br w:val="nil"/>
                    <w:tr2bl w:val="nil"/>
                  </w:tcBorders>
                  <w:noWrap w:val="0"/>
                  <w:vAlign w:val="center"/>
                </w:tcPr>
                <w:p w14:paraId="0F8ECCDC">
                  <w:pPr>
                    <w:pStyle w:val="21"/>
                    <w:bidi w:val="0"/>
                    <w:spacing w:line="240" w:lineRule="auto"/>
                    <w:ind w:left="0" w:leftChars="0" w:firstLine="0" w:firstLineChars="0"/>
                    <w:jc w:val="center"/>
                    <w:rPr>
                      <w:rFonts w:hint="default"/>
                      <w:lang w:val="en-US" w:eastAsia="zh-CN"/>
                    </w:rPr>
                  </w:pPr>
                  <w:r>
                    <w:rPr>
                      <w:rFonts w:hint="eastAsia"/>
                      <w:lang w:val="en-US" w:eastAsia="zh-CN"/>
                    </w:rPr>
                    <w:t>4</w:t>
                  </w:r>
                </w:p>
              </w:tc>
              <w:tc>
                <w:tcPr>
                  <w:tcW w:w="3257" w:type="dxa"/>
                  <w:tcBorders>
                    <w:tl2br w:val="nil"/>
                    <w:tr2bl w:val="nil"/>
                  </w:tcBorders>
                  <w:noWrap w:val="0"/>
                  <w:vAlign w:val="center"/>
                </w:tcPr>
                <w:p w14:paraId="6C57F128">
                  <w:pPr>
                    <w:pStyle w:val="21"/>
                    <w:bidi w:val="0"/>
                    <w:spacing w:line="240" w:lineRule="auto"/>
                    <w:ind w:left="0" w:leftChars="0" w:firstLine="0" w:firstLineChars="0"/>
                    <w:jc w:val="center"/>
                    <w:rPr>
                      <w:rFonts w:hint="default"/>
                      <w:lang w:val="en-US" w:eastAsia="zh-CN"/>
                    </w:rPr>
                  </w:pPr>
                  <w:r>
                    <w:rPr>
                      <w:rFonts w:hint="eastAsia"/>
                      <w:lang w:val="en-US" w:eastAsia="zh-CN"/>
                    </w:rPr>
                    <w:t>免疫层析诊断技术</w:t>
                  </w:r>
                </w:p>
              </w:tc>
              <w:tc>
                <w:tcPr>
                  <w:tcW w:w="2006" w:type="dxa"/>
                  <w:tcBorders>
                    <w:tl2br w:val="nil"/>
                    <w:tr2bl w:val="nil"/>
                  </w:tcBorders>
                  <w:noWrap w:val="0"/>
                  <w:vAlign w:val="center"/>
                </w:tcPr>
                <w:p w14:paraId="64A79C09">
                  <w:pPr>
                    <w:pStyle w:val="21"/>
                    <w:bidi w:val="0"/>
                    <w:spacing w:line="240" w:lineRule="auto"/>
                    <w:ind w:left="0" w:leftChars="0" w:firstLine="0" w:firstLineChars="0"/>
                    <w:jc w:val="center"/>
                    <w:rPr>
                      <w:rFonts w:hint="default"/>
                      <w:lang w:val="en-US" w:eastAsia="zh-CN"/>
                    </w:rPr>
                  </w:pPr>
                  <w:r>
                    <w:rPr>
                      <w:rFonts w:hint="eastAsia"/>
                      <w:lang w:val="en-US" w:eastAsia="zh-CN"/>
                    </w:rPr>
                    <w:t>150次/年</w:t>
                  </w:r>
                </w:p>
              </w:tc>
              <w:tc>
                <w:tcPr>
                  <w:tcW w:w="2006" w:type="dxa"/>
                  <w:vMerge w:val="continue"/>
                  <w:tcBorders>
                    <w:tl2br w:val="nil"/>
                    <w:tr2bl w:val="nil"/>
                  </w:tcBorders>
                  <w:noWrap w:val="0"/>
                  <w:vAlign w:val="center"/>
                </w:tcPr>
                <w:p w14:paraId="5204919A">
                  <w:pPr>
                    <w:pStyle w:val="21"/>
                    <w:bidi w:val="0"/>
                    <w:spacing w:line="240" w:lineRule="auto"/>
                    <w:ind w:left="0" w:leftChars="0" w:firstLine="0" w:firstLineChars="0"/>
                    <w:jc w:val="center"/>
                    <w:rPr>
                      <w:rFonts w:hint="default"/>
                      <w:lang w:val="en-US" w:eastAsia="zh-CN"/>
                    </w:rPr>
                  </w:pPr>
                </w:p>
              </w:tc>
            </w:tr>
            <w:tr w14:paraId="6FB711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Borders>
                    <w:tl2br w:val="nil"/>
                    <w:tr2bl w:val="nil"/>
                  </w:tcBorders>
                  <w:noWrap w:val="0"/>
                  <w:vAlign w:val="center"/>
                </w:tcPr>
                <w:p w14:paraId="04130EF8">
                  <w:pPr>
                    <w:pStyle w:val="21"/>
                    <w:bidi w:val="0"/>
                    <w:spacing w:line="240" w:lineRule="auto"/>
                    <w:ind w:left="0" w:leftChars="0" w:firstLine="0" w:firstLineChars="0"/>
                    <w:jc w:val="center"/>
                    <w:rPr>
                      <w:rFonts w:hint="default"/>
                      <w:lang w:val="en-US" w:eastAsia="zh-CN"/>
                    </w:rPr>
                  </w:pPr>
                  <w:r>
                    <w:rPr>
                      <w:rFonts w:hint="eastAsia"/>
                      <w:lang w:val="en-US" w:eastAsia="zh-CN"/>
                    </w:rPr>
                    <w:t>5</w:t>
                  </w:r>
                </w:p>
              </w:tc>
              <w:tc>
                <w:tcPr>
                  <w:tcW w:w="3257" w:type="dxa"/>
                  <w:tcBorders>
                    <w:tl2br w:val="nil"/>
                    <w:tr2bl w:val="nil"/>
                  </w:tcBorders>
                  <w:noWrap w:val="0"/>
                  <w:vAlign w:val="center"/>
                </w:tcPr>
                <w:p w14:paraId="030DED78">
                  <w:pPr>
                    <w:pStyle w:val="21"/>
                    <w:bidi w:val="0"/>
                    <w:spacing w:line="240" w:lineRule="auto"/>
                    <w:ind w:left="0" w:leftChars="0" w:firstLine="0" w:firstLineChars="0"/>
                    <w:jc w:val="center"/>
                    <w:rPr>
                      <w:rFonts w:hint="default"/>
                      <w:lang w:val="en-US" w:eastAsia="zh-CN"/>
                    </w:rPr>
                  </w:pPr>
                  <w:r>
                    <w:rPr>
                      <w:rFonts w:hint="eastAsia"/>
                      <w:lang w:val="en-US" w:eastAsia="zh-CN"/>
                    </w:rPr>
                    <w:t>荧光/发光免疫诊断技术</w:t>
                  </w:r>
                </w:p>
              </w:tc>
              <w:tc>
                <w:tcPr>
                  <w:tcW w:w="2006" w:type="dxa"/>
                  <w:tcBorders>
                    <w:tl2br w:val="nil"/>
                    <w:tr2bl w:val="nil"/>
                  </w:tcBorders>
                  <w:shd w:val="clear" w:color="auto" w:fill="auto"/>
                  <w:noWrap w:val="0"/>
                  <w:vAlign w:val="center"/>
                </w:tcPr>
                <w:p w14:paraId="17E0EAC2">
                  <w:pPr>
                    <w:pStyle w:val="21"/>
                    <w:bidi w:val="0"/>
                    <w:spacing w:line="240" w:lineRule="auto"/>
                    <w:ind w:left="0" w:leftChars="0" w:firstLine="0" w:firstLineChars="0"/>
                    <w:jc w:val="center"/>
                    <w:rPr>
                      <w:rFonts w:hint="default"/>
                      <w:lang w:val="en-US" w:eastAsia="zh-CN"/>
                    </w:rPr>
                  </w:pPr>
                  <w:r>
                    <w:rPr>
                      <w:rFonts w:hint="eastAsia"/>
                      <w:lang w:val="en-US" w:eastAsia="zh-CN"/>
                    </w:rPr>
                    <w:t>150次/年</w:t>
                  </w:r>
                </w:p>
              </w:tc>
              <w:tc>
                <w:tcPr>
                  <w:tcW w:w="2006" w:type="dxa"/>
                  <w:vMerge w:val="continue"/>
                  <w:tcBorders>
                    <w:tl2br w:val="nil"/>
                    <w:tr2bl w:val="nil"/>
                  </w:tcBorders>
                  <w:shd w:val="clear" w:color="auto" w:fill="auto"/>
                  <w:noWrap w:val="0"/>
                  <w:vAlign w:val="center"/>
                </w:tcPr>
                <w:p w14:paraId="0F5D2271">
                  <w:pPr>
                    <w:pStyle w:val="21"/>
                    <w:bidi w:val="0"/>
                    <w:spacing w:line="240" w:lineRule="auto"/>
                    <w:ind w:left="0" w:leftChars="0" w:firstLine="0" w:firstLineChars="0"/>
                    <w:jc w:val="center"/>
                    <w:rPr>
                      <w:rFonts w:hint="default"/>
                      <w:lang w:val="en-US" w:eastAsia="zh-CN"/>
                    </w:rPr>
                  </w:pPr>
                </w:p>
              </w:tc>
            </w:tr>
          </w:tbl>
          <w:p w14:paraId="49DB0F4D">
            <w:pPr>
              <w:rPr>
                <w:rFonts w:hint="default"/>
                <w:color w:val="auto"/>
                <w:vertAlign w:val="baseline"/>
                <w:lang w:val="en-US" w:eastAsia="zh-CN"/>
              </w:rPr>
            </w:pPr>
            <w:r>
              <w:rPr>
                <w:rFonts w:hint="eastAsia"/>
                <w:color w:val="auto"/>
                <w:vertAlign w:val="baseline"/>
                <w:lang w:val="en-US" w:eastAsia="zh-CN"/>
              </w:rPr>
              <w:t>（5）原辅材料消耗</w:t>
            </w:r>
          </w:p>
          <w:p w14:paraId="2F99A269">
            <w:pPr>
              <w:rPr>
                <w:rFonts w:hint="eastAsia"/>
                <w:color w:val="auto"/>
                <w:vertAlign w:val="baseline"/>
                <w:lang w:val="en-US" w:eastAsia="zh-CN"/>
              </w:rPr>
            </w:pPr>
            <w:r>
              <w:rPr>
                <w:rFonts w:hint="eastAsia"/>
                <w:color w:val="auto"/>
                <w:vertAlign w:val="baseline"/>
                <w:lang w:val="en-US" w:eastAsia="zh-CN"/>
              </w:rPr>
              <w:t>本项目主要原辅材料消耗情况详见下表。</w:t>
            </w:r>
          </w:p>
          <w:p w14:paraId="4E76E297">
            <w:pPr>
              <w:pStyle w:val="15"/>
              <w:numPr>
                <w:ilvl w:val="0"/>
                <w:numId w:val="6"/>
              </w:numPr>
              <w:bidi w:val="0"/>
              <w:ind w:left="425" w:leftChars="0" w:hanging="425" w:firstLineChars="0"/>
              <w:rPr>
                <w:rFonts w:hint="eastAsia"/>
                <w:color w:val="auto"/>
                <w:sz w:val="24"/>
                <w:szCs w:val="24"/>
                <w:lang w:val="en-US" w:eastAsia="zh-CN"/>
              </w:rPr>
            </w:pPr>
            <w:r>
              <w:rPr>
                <w:rFonts w:hint="eastAsia"/>
                <w:color w:val="auto"/>
                <w:sz w:val="24"/>
                <w:szCs w:val="24"/>
                <w:lang w:val="en-US" w:eastAsia="zh-CN"/>
              </w:rPr>
              <w:t>主要原辅材料消耗情况一览表</w:t>
            </w:r>
          </w:p>
          <w:tbl>
            <w:tblPr>
              <w:tblStyle w:val="11"/>
              <w:tblW w:w="500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637"/>
              <w:gridCol w:w="1451"/>
              <w:gridCol w:w="1156"/>
              <w:gridCol w:w="1375"/>
              <w:gridCol w:w="1669"/>
            </w:tblGrid>
            <w:tr w14:paraId="5A838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6C86F977">
                  <w:pPr>
                    <w:spacing w:line="240" w:lineRule="auto"/>
                    <w:ind w:left="0" w:leftChars="0" w:firstLine="0" w:firstLineChars="0"/>
                    <w:jc w:val="center"/>
                    <w:rPr>
                      <w:rFonts w:ascii="Times New Roman" w:hAnsi="Times New Roman" w:eastAsia="宋体" w:cs="Times New Roman"/>
                      <w:b/>
                      <w:sz w:val="21"/>
                      <w:szCs w:val="21"/>
                      <w:highlight w:val="none"/>
                    </w:rPr>
                  </w:pPr>
                  <w:r>
                    <w:rPr>
                      <w:rFonts w:ascii="Times New Roman" w:hAnsi="Times New Roman" w:eastAsia="宋体" w:cs="Times New Roman"/>
                      <w:b/>
                      <w:sz w:val="21"/>
                      <w:szCs w:val="21"/>
                      <w:highlight w:val="none"/>
                    </w:rPr>
                    <w:t>序号</w:t>
                  </w:r>
                </w:p>
              </w:tc>
              <w:tc>
                <w:tcPr>
                  <w:tcW w:w="1019" w:type="pct"/>
                  <w:noWrap w:val="0"/>
                  <w:vAlign w:val="center"/>
                </w:tcPr>
                <w:p w14:paraId="38FA171A">
                  <w:pPr>
                    <w:spacing w:line="240" w:lineRule="auto"/>
                    <w:ind w:left="0" w:leftChars="0" w:firstLine="0" w:firstLineChars="0"/>
                    <w:jc w:val="center"/>
                    <w:rPr>
                      <w:rFonts w:ascii="Times New Roman" w:hAnsi="Times New Roman" w:eastAsia="宋体" w:cs="Times New Roman"/>
                      <w:b/>
                      <w:sz w:val="21"/>
                      <w:szCs w:val="21"/>
                      <w:highlight w:val="none"/>
                    </w:rPr>
                  </w:pPr>
                  <w:r>
                    <w:rPr>
                      <w:rFonts w:ascii="Times New Roman" w:hAnsi="Times New Roman" w:eastAsia="宋体" w:cs="Times New Roman"/>
                      <w:b/>
                      <w:sz w:val="21"/>
                      <w:szCs w:val="21"/>
                      <w:highlight w:val="none"/>
                    </w:rPr>
                    <w:t>名称</w:t>
                  </w:r>
                </w:p>
              </w:tc>
              <w:tc>
                <w:tcPr>
                  <w:tcW w:w="903" w:type="pct"/>
                  <w:noWrap w:val="0"/>
                  <w:vAlign w:val="center"/>
                </w:tcPr>
                <w:p w14:paraId="2431BFF7">
                  <w:pPr>
                    <w:spacing w:line="240" w:lineRule="auto"/>
                    <w:ind w:left="0" w:leftChars="0" w:firstLine="0" w:firstLineChars="0"/>
                    <w:jc w:val="center"/>
                    <w:rPr>
                      <w:rFonts w:ascii="Times New Roman" w:hAnsi="Times New Roman" w:eastAsia="宋体" w:cs="Times New Roman"/>
                      <w:b/>
                      <w:sz w:val="21"/>
                      <w:szCs w:val="21"/>
                      <w:highlight w:val="none"/>
                    </w:rPr>
                  </w:pPr>
                  <w:r>
                    <w:rPr>
                      <w:rFonts w:hint="eastAsia" w:ascii="Times New Roman" w:hAnsi="Times New Roman" w:eastAsia="宋体" w:cs="Times New Roman"/>
                      <w:b/>
                      <w:sz w:val="21"/>
                      <w:szCs w:val="21"/>
                      <w:highlight w:val="none"/>
                      <w:lang w:eastAsia="zh-CN"/>
                    </w:rPr>
                    <w:t>年用</w:t>
                  </w:r>
                  <w:r>
                    <w:rPr>
                      <w:rFonts w:hint="eastAsia" w:ascii="Times New Roman" w:hAnsi="Times New Roman" w:eastAsia="宋体" w:cs="Times New Roman"/>
                      <w:b/>
                      <w:sz w:val="21"/>
                      <w:szCs w:val="21"/>
                      <w:highlight w:val="none"/>
                    </w:rPr>
                    <w:t>量</w:t>
                  </w:r>
                </w:p>
              </w:tc>
              <w:tc>
                <w:tcPr>
                  <w:tcW w:w="719" w:type="pct"/>
                  <w:noWrap w:val="0"/>
                  <w:vAlign w:val="center"/>
                </w:tcPr>
                <w:p w14:paraId="028B16F9">
                  <w:pPr>
                    <w:spacing w:line="240" w:lineRule="auto"/>
                    <w:ind w:left="0" w:leftChars="0" w:firstLine="0" w:firstLineChars="0"/>
                    <w:jc w:val="center"/>
                    <w:rPr>
                      <w:rFonts w:hint="default"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规格</w:t>
                  </w:r>
                </w:p>
              </w:tc>
              <w:tc>
                <w:tcPr>
                  <w:tcW w:w="855" w:type="pct"/>
                  <w:noWrap w:val="0"/>
                  <w:vAlign w:val="center"/>
                </w:tcPr>
                <w:p w14:paraId="169C7A6E">
                  <w:pPr>
                    <w:spacing w:line="240" w:lineRule="auto"/>
                    <w:ind w:left="0" w:leftChars="0" w:firstLine="0" w:firstLineChars="0"/>
                    <w:jc w:val="center"/>
                    <w:rPr>
                      <w:rFonts w:ascii="Times New Roman" w:hAnsi="Times New Roman" w:eastAsia="宋体" w:cs="Times New Roman"/>
                      <w:b/>
                      <w:sz w:val="21"/>
                      <w:szCs w:val="21"/>
                      <w:highlight w:val="none"/>
                    </w:rPr>
                  </w:pPr>
                  <w:r>
                    <w:rPr>
                      <w:rFonts w:ascii="Times New Roman" w:hAnsi="Times New Roman" w:eastAsia="宋体" w:cs="Times New Roman"/>
                      <w:b/>
                      <w:sz w:val="21"/>
                      <w:szCs w:val="21"/>
                      <w:highlight w:val="none"/>
                    </w:rPr>
                    <w:t>最大存储量</w:t>
                  </w:r>
                </w:p>
              </w:tc>
              <w:tc>
                <w:tcPr>
                  <w:tcW w:w="1038" w:type="pct"/>
                  <w:noWrap w:val="0"/>
                  <w:vAlign w:val="center"/>
                </w:tcPr>
                <w:p w14:paraId="1670AC52">
                  <w:pPr>
                    <w:spacing w:line="240" w:lineRule="auto"/>
                    <w:ind w:left="0" w:leftChars="0" w:firstLine="0" w:firstLineChars="0"/>
                    <w:jc w:val="center"/>
                    <w:rPr>
                      <w:rFonts w:hint="eastAsia"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储存地点</w:t>
                  </w:r>
                </w:p>
              </w:tc>
            </w:tr>
            <w:tr w14:paraId="15E2E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409FA70C">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1019" w:type="pct"/>
                  <w:noWrap w:val="0"/>
                  <w:vAlign w:val="center"/>
                </w:tcPr>
                <w:p w14:paraId="59BD647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抗体</w:t>
                  </w:r>
                </w:p>
              </w:tc>
              <w:tc>
                <w:tcPr>
                  <w:tcW w:w="903" w:type="pct"/>
                  <w:noWrap w:val="0"/>
                  <w:vAlign w:val="center"/>
                </w:tcPr>
                <w:p w14:paraId="6F2C292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10g</w:t>
                  </w:r>
                </w:p>
              </w:tc>
              <w:tc>
                <w:tcPr>
                  <w:tcW w:w="719" w:type="pct"/>
                  <w:noWrap w:val="0"/>
                  <w:vAlign w:val="center"/>
                </w:tcPr>
                <w:p w14:paraId="1810177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1g</w:t>
                  </w:r>
                </w:p>
              </w:tc>
              <w:tc>
                <w:tcPr>
                  <w:tcW w:w="855" w:type="pct"/>
                  <w:noWrap w:val="0"/>
                  <w:vAlign w:val="center"/>
                </w:tcPr>
                <w:p w14:paraId="73A6870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2g</w:t>
                  </w:r>
                </w:p>
              </w:tc>
              <w:tc>
                <w:tcPr>
                  <w:tcW w:w="1038" w:type="pct"/>
                  <w:noWrap w:val="0"/>
                  <w:vAlign w:val="center"/>
                </w:tcPr>
                <w:p w14:paraId="4816D1AF">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冰箱</w:t>
                  </w:r>
                </w:p>
              </w:tc>
            </w:tr>
            <w:tr w14:paraId="36874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466248D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1019" w:type="pct"/>
                  <w:shd w:val="clear" w:color="auto" w:fill="auto"/>
                  <w:noWrap w:val="0"/>
                  <w:vAlign w:val="center"/>
                </w:tcPr>
                <w:p w14:paraId="090E7D4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羧基微球</w:t>
                  </w:r>
                </w:p>
                <w:p w14:paraId="68553DE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vertAlign w:val="baseline"/>
                      <w:lang w:val="en-US" w:eastAsia="zh-CN"/>
                    </w:rPr>
                    <w:t>（</w:t>
                  </w:r>
                  <w:r>
                    <w:rPr>
                      <w:rFonts w:hint="eastAsia" w:ascii="Times New Roman" w:hAnsi="Times New Roman"/>
                      <w:color w:val="auto"/>
                      <w:sz w:val="21"/>
                      <w:szCs w:val="21"/>
                      <w:highlight w:val="none"/>
                      <w:lang w:val="en-US" w:eastAsia="zh-CN"/>
                    </w:rPr>
                    <w:t>荧光微球</w:t>
                  </w:r>
                  <w:r>
                    <w:rPr>
                      <w:rFonts w:hint="eastAsia" w:ascii="Times New Roman" w:hAnsi="Times New Roman"/>
                      <w:color w:val="auto"/>
                      <w:vertAlign w:val="baseline"/>
                      <w:lang w:val="en-US" w:eastAsia="zh-CN"/>
                    </w:rPr>
                    <w:t>）</w:t>
                  </w:r>
                </w:p>
              </w:tc>
              <w:tc>
                <w:tcPr>
                  <w:tcW w:w="903" w:type="pct"/>
                  <w:shd w:val="clear" w:color="auto" w:fill="auto"/>
                  <w:noWrap w:val="0"/>
                  <w:vAlign w:val="center"/>
                </w:tcPr>
                <w:p w14:paraId="04CAC7EF">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50g</w:t>
                  </w:r>
                </w:p>
              </w:tc>
              <w:tc>
                <w:tcPr>
                  <w:tcW w:w="719" w:type="pct"/>
                  <w:shd w:val="clear" w:color="auto" w:fill="auto"/>
                  <w:noWrap w:val="0"/>
                  <w:vAlign w:val="center"/>
                </w:tcPr>
                <w:p w14:paraId="7F3C818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1g</w:t>
                  </w:r>
                </w:p>
              </w:tc>
              <w:tc>
                <w:tcPr>
                  <w:tcW w:w="855" w:type="pct"/>
                  <w:shd w:val="clear" w:color="auto" w:fill="auto"/>
                  <w:noWrap w:val="0"/>
                  <w:vAlign w:val="center"/>
                </w:tcPr>
                <w:p w14:paraId="1CB9C132">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5g</w:t>
                  </w:r>
                </w:p>
              </w:tc>
              <w:tc>
                <w:tcPr>
                  <w:tcW w:w="1038" w:type="pct"/>
                  <w:shd w:val="clear" w:color="auto" w:fill="auto"/>
                  <w:noWrap w:val="0"/>
                  <w:vAlign w:val="center"/>
                </w:tcPr>
                <w:p w14:paraId="725B878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冰箱</w:t>
                  </w:r>
                </w:p>
              </w:tc>
            </w:tr>
            <w:tr w14:paraId="20B27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183ED5BE">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1019" w:type="pct"/>
                  <w:shd w:val="clear" w:color="auto" w:fill="auto"/>
                  <w:noWrap w:val="0"/>
                  <w:vAlign w:val="center"/>
                </w:tcPr>
                <w:p w14:paraId="1A4E815F">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羧基微球</w:t>
                  </w:r>
                </w:p>
                <w:p w14:paraId="7B6B518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vertAlign w:val="baseline"/>
                      <w:lang w:val="en-US" w:eastAsia="zh-CN"/>
                    </w:rPr>
                    <w:t>（</w:t>
                  </w:r>
                  <w:r>
                    <w:rPr>
                      <w:rFonts w:hint="eastAsia" w:ascii="Times New Roman" w:hAnsi="Times New Roman"/>
                      <w:color w:val="auto"/>
                      <w:sz w:val="21"/>
                      <w:szCs w:val="21"/>
                      <w:highlight w:val="none"/>
                      <w:lang w:val="en-US" w:eastAsia="zh-CN"/>
                    </w:rPr>
                    <w:t>彩色微球</w:t>
                  </w:r>
                  <w:r>
                    <w:rPr>
                      <w:rFonts w:hint="eastAsia" w:ascii="Times New Roman" w:hAnsi="Times New Roman"/>
                      <w:color w:val="auto"/>
                      <w:vertAlign w:val="baseline"/>
                      <w:lang w:val="en-US" w:eastAsia="zh-CN"/>
                    </w:rPr>
                    <w:t>）</w:t>
                  </w:r>
                </w:p>
              </w:tc>
              <w:tc>
                <w:tcPr>
                  <w:tcW w:w="903" w:type="pct"/>
                  <w:shd w:val="clear" w:color="auto" w:fill="auto"/>
                  <w:noWrap w:val="0"/>
                  <w:vAlign w:val="center"/>
                </w:tcPr>
                <w:p w14:paraId="2DE312F7">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50g</w:t>
                  </w:r>
                </w:p>
              </w:tc>
              <w:tc>
                <w:tcPr>
                  <w:tcW w:w="719" w:type="pct"/>
                  <w:shd w:val="clear" w:color="auto" w:fill="auto"/>
                  <w:noWrap w:val="0"/>
                  <w:vAlign w:val="center"/>
                </w:tcPr>
                <w:p w14:paraId="08DB774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1g</w:t>
                  </w:r>
                </w:p>
              </w:tc>
              <w:tc>
                <w:tcPr>
                  <w:tcW w:w="855" w:type="pct"/>
                  <w:shd w:val="clear" w:color="auto" w:fill="auto"/>
                  <w:noWrap w:val="0"/>
                  <w:vAlign w:val="center"/>
                </w:tcPr>
                <w:p w14:paraId="73CA2CF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5g</w:t>
                  </w:r>
                </w:p>
              </w:tc>
              <w:tc>
                <w:tcPr>
                  <w:tcW w:w="1038" w:type="pct"/>
                  <w:shd w:val="clear" w:color="auto" w:fill="auto"/>
                  <w:noWrap w:val="0"/>
                  <w:vAlign w:val="center"/>
                </w:tcPr>
                <w:p w14:paraId="3911F73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冰箱</w:t>
                  </w:r>
                </w:p>
              </w:tc>
            </w:tr>
            <w:tr w14:paraId="0FC6C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0EEDA9BA">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1019" w:type="pct"/>
                  <w:noWrap w:val="0"/>
                  <w:vAlign w:val="center"/>
                </w:tcPr>
                <w:p w14:paraId="09FE2B6E">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胶体金</w:t>
                  </w:r>
                </w:p>
              </w:tc>
              <w:tc>
                <w:tcPr>
                  <w:tcW w:w="903" w:type="pct"/>
                  <w:shd w:val="clear" w:color="auto" w:fill="auto"/>
                  <w:noWrap w:val="0"/>
                  <w:vAlign w:val="center"/>
                </w:tcPr>
                <w:p w14:paraId="2C446B0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50g</w:t>
                  </w:r>
                </w:p>
              </w:tc>
              <w:tc>
                <w:tcPr>
                  <w:tcW w:w="719" w:type="pct"/>
                  <w:shd w:val="clear" w:color="auto" w:fill="auto"/>
                  <w:noWrap w:val="0"/>
                  <w:vAlign w:val="center"/>
                </w:tcPr>
                <w:p w14:paraId="30CFEDA2">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1g</w:t>
                  </w:r>
                </w:p>
              </w:tc>
              <w:tc>
                <w:tcPr>
                  <w:tcW w:w="855" w:type="pct"/>
                  <w:shd w:val="clear" w:color="auto" w:fill="auto"/>
                  <w:noWrap w:val="0"/>
                  <w:vAlign w:val="center"/>
                </w:tcPr>
                <w:p w14:paraId="610F08F2">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5g</w:t>
                  </w:r>
                </w:p>
              </w:tc>
              <w:tc>
                <w:tcPr>
                  <w:tcW w:w="1038" w:type="pct"/>
                  <w:shd w:val="clear" w:color="auto" w:fill="auto"/>
                  <w:noWrap w:val="0"/>
                  <w:vAlign w:val="center"/>
                </w:tcPr>
                <w:p w14:paraId="5A65BAA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冰箱</w:t>
                  </w:r>
                </w:p>
              </w:tc>
            </w:tr>
            <w:tr w14:paraId="21BAE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171679C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1019" w:type="pct"/>
                  <w:noWrap w:val="0"/>
                  <w:vAlign w:val="center"/>
                </w:tcPr>
                <w:p w14:paraId="3FA0AF8C">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膜载体材料</w:t>
                  </w:r>
                  <w:r>
                    <w:rPr>
                      <w:rFonts w:hint="eastAsia"/>
                      <w:color w:val="auto"/>
                      <w:sz w:val="21"/>
                      <w:szCs w:val="21"/>
                      <w:highlight w:val="none"/>
                      <w:lang w:val="en-US" w:eastAsia="zh-CN"/>
                    </w:rPr>
                    <w:t>(样品垫、信号垫、吸水垫)</w:t>
                  </w:r>
                </w:p>
              </w:tc>
              <w:tc>
                <w:tcPr>
                  <w:tcW w:w="903" w:type="pct"/>
                  <w:noWrap w:val="0"/>
                  <w:vAlign w:val="center"/>
                </w:tcPr>
                <w:p w14:paraId="5E41A3C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5卷</w:t>
                  </w:r>
                </w:p>
              </w:tc>
              <w:tc>
                <w:tcPr>
                  <w:tcW w:w="719" w:type="pct"/>
                  <w:noWrap w:val="0"/>
                  <w:vAlign w:val="center"/>
                </w:tcPr>
                <w:p w14:paraId="44CA610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1卷</w:t>
                  </w:r>
                </w:p>
              </w:tc>
              <w:tc>
                <w:tcPr>
                  <w:tcW w:w="855" w:type="pct"/>
                  <w:noWrap w:val="0"/>
                  <w:vAlign w:val="center"/>
                </w:tcPr>
                <w:p w14:paraId="2771F257">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1卷</w:t>
                  </w:r>
                </w:p>
              </w:tc>
              <w:tc>
                <w:tcPr>
                  <w:tcW w:w="1038" w:type="pct"/>
                  <w:noWrap w:val="0"/>
                  <w:vAlign w:val="center"/>
                </w:tcPr>
                <w:p w14:paraId="7B68E18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常温柜</w:t>
                  </w:r>
                </w:p>
              </w:tc>
            </w:tr>
            <w:tr w14:paraId="331F4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3D36DD1C">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6</w:t>
                  </w:r>
                </w:p>
              </w:tc>
              <w:tc>
                <w:tcPr>
                  <w:tcW w:w="1019" w:type="pct"/>
                  <w:noWrap w:val="0"/>
                  <w:vAlign w:val="center"/>
                </w:tcPr>
                <w:p w14:paraId="7C2450FF">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生物素</w:t>
                  </w:r>
                </w:p>
              </w:tc>
              <w:tc>
                <w:tcPr>
                  <w:tcW w:w="903" w:type="pct"/>
                  <w:shd w:val="clear" w:color="auto" w:fill="auto"/>
                  <w:noWrap w:val="0"/>
                  <w:vAlign w:val="center"/>
                </w:tcPr>
                <w:p w14:paraId="2D3A939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50g</w:t>
                  </w:r>
                </w:p>
              </w:tc>
              <w:tc>
                <w:tcPr>
                  <w:tcW w:w="719" w:type="pct"/>
                  <w:shd w:val="clear" w:color="auto" w:fill="auto"/>
                  <w:noWrap w:val="0"/>
                  <w:vAlign w:val="center"/>
                </w:tcPr>
                <w:p w14:paraId="7EFE5DAA">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1g</w:t>
                  </w:r>
                </w:p>
              </w:tc>
              <w:tc>
                <w:tcPr>
                  <w:tcW w:w="855" w:type="pct"/>
                  <w:shd w:val="clear" w:color="auto" w:fill="auto"/>
                  <w:noWrap w:val="0"/>
                  <w:vAlign w:val="center"/>
                </w:tcPr>
                <w:p w14:paraId="535D02B7">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5g</w:t>
                  </w:r>
                </w:p>
              </w:tc>
              <w:tc>
                <w:tcPr>
                  <w:tcW w:w="1038" w:type="pct"/>
                  <w:shd w:val="clear" w:color="auto" w:fill="auto"/>
                  <w:noWrap w:val="0"/>
                  <w:vAlign w:val="center"/>
                </w:tcPr>
                <w:p w14:paraId="70A58F8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常温柜</w:t>
                  </w:r>
                </w:p>
              </w:tc>
            </w:tr>
            <w:tr w14:paraId="2BB98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299798C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7</w:t>
                  </w:r>
                </w:p>
              </w:tc>
              <w:tc>
                <w:tcPr>
                  <w:tcW w:w="1019" w:type="pct"/>
                  <w:noWrap w:val="0"/>
                  <w:vAlign w:val="center"/>
                </w:tcPr>
                <w:p w14:paraId="67DDA32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链霉亲和素</w:t>
                  </w:r>
                </w:p>
              </w:tc>
              <w:tc>
                <w:tcPr>
                  <w:tcW w:w="903" w:type="pct"/>
                  <w:shd w:val="clear" w:color="auto" w:fill="auto"/>
                  <w:noWrap w:val="0"/>
                  <w:vAlign w:val="center"/>
                </w:tcPr>
                <w:p w14:paraId="5748019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50g</w:t>
                  </w:r>
                </w:p>
              </w:tc>
              <w:tc>
                <w:tcPr>
                  <w:tcW w:w="719" w:type="pct"/>
                  <w:shd w:val="clear" w:color="auto" w:fill="auto"/>
                  <w:noWrap w:val="0"/>
                  <w:vAlign w:val="center"/>
                </w:tcPr>
                <w:p w14:paraId="4D9E6263">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1g</w:t>
                  </w:r>
                </w:p>
              </w:tc>
              <w:tc>
                <w:tcPr>
                  <w:tcW w:w="855" w:type="pct"/>
                  <w:shd w:val="clear" w:color="auto" w:fill="auto"/>
                  <w:noWrap w:val="0"/>
                  <w:vAlign w:val="center"/>
                </w:tcPr>
                <w:p w14:paraId="392FBC5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5g</w:t>
                  </w:r>
                </w:p>
              </w:tc>
              <w:tc>
                <w:tcPr>
                  <w:tcW w:w="1038" w:type="pct"/>
                  <w:shd w:val="clear" w:color="auto" w:fill="auto"/>
                  <w:noWrap w:val="0"/>
                  <w:vAlign w:val="center"/>
                </w:tcPr>
                <w:p w14:paraId="56D745F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冰箱</w:t>
                  </w:r>
                </w:p>
              </w:tc>
            </w:tr>
            <w:tr w14:paraId="79BD0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61EE3283">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8</w:t>
                  </w:r>
                </w:p>
              </w:tc>
              <w:tc>
                <w:tcPr>
                  <w:tcW w:w="1019" w:type="pct"/>
                  <w:noWrap w:val="0"/>
                  <w:vAlign w:val="center"/>
                </w:tcPr>
                <w:p w14:paraId="69B7D62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牛血清蛋白</w:t>
                  </w:r>
                </w:p>
              </w:tc>
              <w:tc>
                <w:tcPr>
                  <w:tcW w:w="903" w:type="pct"/>
                  <w:shd w:val="clear" w:color="auto" w:fill="auto"/>
                  <w:noWrap w:val="0"/>
                  <w:vAlign w:val="center"/>
                </w:tcPr>
                <w:p w14:paraId="53E53BE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50g</w:t>
                  </w:r>
                </w:p>
              </w:tc>
              <w:tc>
                <w:tcPr>
                  <w:tcW w:w="719" w:type="pct"/>
                  <w:shd w:val="clear" w:color="auto" w:fill="auto"/>
                  <w:noWrap w:val="0"/>
                  <w:vAlign w:val="center"/>
                </w:tcPr>
                <w:p w14:paraId="1086A6E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1g</w:t>
                  </w:r>
                </w:p>
              </w:tc>
              <w:tc>
                <w:tcPr>
                  <w:tcW w:w="855" w:type="pct"/>
                  <w:shd w:val="clear" w:color="auto" w:fill="auto"/>
                  <w:noWrap w:val="0"/>
                  <w:vAlign w:val="center"/>
                </w:tcPr>
                <w:p w14:paraId="0B1B2D7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5g</w:t>
                  </w:r>
                </w:p>
              </w:tc>
              <w:tc>
                <w:tcPr>
                  <w:tcW w:w="1038" w:type="pct"/>
                  <w:shd w:val="clear" w:color="auto" w:fill="auto"/>
                  <w:noWrap w:val="0"/>
                  <w:vAlign w:val="center"/>
                </w:tcPr>
                <w:p w14:paraId="578ABE5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冰箱</w:t>
                  </w:r>
                </w:p>
              </w:tc>
            </w:tr>
            <w:tr w14:paraId="45164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48FD680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9</w:t>
                  </w:r>
                </w:p>
              </w:tc>
              <w:tc>
                <w:tcPr>
                  <w:tcW w:w="1019" w:type="pct"/>
                  <w:noWrap w:val="0"/>
                  <w:vAlign w:val="center"/>
                </w:tcPr>
                <w:p w14:paraId="41CAB512">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EDCI</w:t>
                  </w:r>
                </w:p>
              </w:tc>
              <w:tc>
                <w:tcPr>
                  <w:tcW w:w="903" w:type="pct"/>
                  <w:shd w:val="clear" w:color="auto" w:fill="auto"/>
                  <w:noWrap w:val="0"/>
                  <w:vAlign w:val="center"/>
                </w:tcPr>
                <w:p w14:paraId="2C27DD83">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500g</w:t>
                  </w:r>
                </w:p>
              </w:tc>
              <w:tc>
                <w:tcPr>
                  <w:tcW w:w="719" w:type="pct"/>
                  <w:shd w:val="clear" w:color="auto" w:fill="auto"/>
                  <w:noWrap w:val="0"/>
                  <w:vAlign w:val="center"/>
                </w:tcPr>
                <w:p w14:paraId="011EC1C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500g</w:t>
                  </w:r>
                </w:p>
              </w:tc>
              <w:tc>
                <w:tcPr>
                  <w:tcW w:w="855" w:type="pct"/>
                  <w:shd w:val="clear" w:color="auto" w:fill="auto"/>
                  <w:noWrap w:val="0"/>
                  <w:vAlign w:val="center"/>
                </w:tcPr>
                <w:p w14:paraId="0D23680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500g</w:t>
                  </w:r>
                </w:p>
              </w:tc>
              <w:tc>
                <w:tcPr>
                  <w:tcW w:w="1038" w:type="pct"/>
                  <w:shd w:val="clear" w:color="auto" w:fill="auto"/>
                  <w:noWrap w:val="0"/>
                  <w:vAlign w:val="center"/>
                </w:tcPr>
                <w:p w14:paraId="0032E3F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冰箱</w:t>
                  </w:r>
                </w:p>
              </w:tc>
            </w:tr>
            <w:tr w14:paraId="22747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27E27E2C">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10</w:t>
                  </w:r>
                </w:p>
              </w:tc>
              <w:tc>
                <w:tcPr>
                  <w:tcW w:w="1019" w:type="pct"/>
                  <w:noWrap w:val="0"/>
                  <w:vAlign w:val="center"/>
                </w:tcPr>
                <w:p w14:paraId="412D51C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磷酸二氢钠</w:t>
                  </w:r>
                </w:p>
              </w:tc>
              <w:tc>
                <w:tcPr>
                  <w:tcW w:w="903" w:type="pct"/>
                  <w:noWrap w:val="0"/>
                  <w:vAlign w:val="center"/>
                </w:tcPr>
                <w:p w14:paraId="4AEF94DF">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719" w:type="pct"/>
                  <w:noWrap w:val="0"/>
                  <w:vAlign w:val="center"/>
                </w:tcPr>
                <w:p w14:paraId="269611D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855" w:type="pct"/>
                  <w:noWrap w:val="0"/>
                  <w:vAlign w:val="center"/>
                </w:tcPr>
                <w:p w14:paraId="77D6D29A">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1038" w:type="pct"/>
                  <w:noWrap w:val="0"/>
                  <w:vAlign w:val="center"/>
                </w:tcPr>
                <w:p w14:paraId="09611CC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常温柜</w:t>
                  </w:r>
                </w:p>
              </w:tc>
            </w:tr>
            <w:tr w14:paraId="2C732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7C9CCA7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11</w:t>
                  </w:r>
                </w:p>
              </w:tc>
              <w:tc>
                <w:tcPr>
                  <w:tcW w:w="1019" w:type="pct"/>
                  <w:noWrap w:val="0"/>
                  <w:vAlign w:val="center"/>
                </w:tcPr>
                <w:p w14:paraId="3155C193">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磷酸氢二钠</w:t>
                  </w:r>
                </w:p>
              </w:tc>
              <w:tc>
                <w:tcPr>
                  <w:tcW w:w="903" w:type="pct"/>
                  <w:noWrap w:val="0"/>
                  <w:vAlign w:val="center"/>
                </w:tcPr>
                <w:p w14:paraId="0347456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719" w:type="pct"/>
                  <w:noWrap w:val="0"/>
                  <w:vAlign w:val="center"/>
                </w:tcPr>
                <w:p w14:paraId="1B63F31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855" w:type="pct"/>
                  <w:noWrap w:val="0"/>
                  <w:vAlign w:val="center"/>
                </w:tcPr>
                <w:p w14:paraId="24DD213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1038" w:type="pct"/>
                  <w:noWrap w:val="0"/>
                  <w:vAlign w:val="center"/>
                </w:tcPr>
                <w:p w14:paraId="27588BE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常温柜</w:t>
                  </w:r>
                </w:p>
              </w:tc>
            </w:tr>
            <w:tr w14:paraId="0E8FE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58D941D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12</w:t>
                  </w:r>
                </w:p>
              </w:tc>
              <w:tc>
                <w:tcPr>
                  <w:tcW w:w="1019" w:type="pct"/>
                  <w:noWrap w:val="0"/>
                  <w:vAlign w:val="center"/>
                </w:tcPr>
                <w:p w14:paraId="3283631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NHS</w:t>
                  </w:r>
                </w:p>
              </w:tc>
              <w:tc>
                <w:tcPr>
                  <w:tcW w:w="903" w:type="pct"/>
                  <w:noWrap w:val="0"/>
                  <w:vAlign w:val="center"/>
                </w:tcPr>
                <w:p w14:paraId="1EA13EB9">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719" w:type="pct"/>
                  <w:noWrap w:val="0"/>
                  <w:vAlign w:val="center"/>
                </w:tcPr>
                <w:p w14:paraId="5B69B7D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855" w:type="pct"/>
                  <w:noWrap w:val="0"/>
                  <w:vAlign w:val="center"/>
                </w:tcPr>
                <w:p w14:paraId="0E4CA559">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1038" w:type="pct"/>
                  <w:noWrap w:val="0"/>
                  <w:vAlign w:val="center"/>
                </w:tcPr>
                <w:p w14:paraId="230983E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常温柜</w:t>
                  </w:r>
                </w:p>
              </w:tc>
            </w:tr>
            <w:tr w14:paraId="12BF9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6AD4439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13</w:t>
                  </w:r>
                </w:p>
              </w:tc>
              <w:tc>
                <w:tcPr>
                  <w:tcW w:w="1019" w:type="pct"/>
                  <w:noWrap w:val="0"/>
                  <w:vAlign w:val="center"/>
                </w:tcPr>
                <w:p w14:paraId="2809E34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乙醇</w:t>
                  </w:r>
                </w:p>
              </w:tc>
              <w:tc>
                <w:tcPr>
                  <w:tcW w:w="903" w:type="pct"/>
                  <w:noWrap w:val="0"/>
                  <w:vAlign w:val="center"/>
                </w:tcPr>
                <w:p w14:paraId="6D780D47">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5000ml</w:t>
                  </w:r>
                </w:p>
              </w:tc>
              <w:tc>
                <w:tcPr>
                  <w:tcW w:w="719" w:type="pct"/>
                  <w:noWrap w:val="0"/>
                  <w:vAlign w:val="center"/>
                </w:tcPr>
                <w:p w14:paraId="2D1C07F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500ml</w:t>
                  </w:r>
                </w:p>
              </w:tc>
              <w:tc>
                <w:tcPr>
                  <w:tcW w:w="855" w:type="pct"/>
                  <w:noWrap w:val="0"/>
                  <w:vAlign w:val="center"/>
                </w:tcPr>
                <w:p w14:paraId="5C07678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1500ml</w:t>
                  </w:r>
                </w:p>
              </w:tc>
              <w:tc>
                <w:tcPr>
                  <w:tcW w:w="1038" w:type="pct"/>
                  <w:noWrap w:val="0"/>
                  <w:vAlign w:val="center"/>
                </w:tcPr>
                <w:p w14:paraId="1BD1CA1F">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试剂柜</w:t>
                  </w:r>
                </w:p>
              </w:tc>
            </w:tr>
            <w:tr w14:paraId="707E9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3E0FE9E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1019" w:type="pct"/>
                  <w:noWrap w:val="0"/>
                  <w:vAlign w:val="center"/>
                </w:tcPr>
                <w:p w14:paraId="06BBEC9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新洁尔灭</w:t>
                  </w:r>
                </w:p>
              </w:tc>
              <w:tc>
                <w:tcPr>
                  <w:tcW w:w="903" w:type="pct"/>
                  <w:noWrap w:val="0"/>
                  <w:vAlign w:val="center"/>
                </w:tcPr>
                <w:p w14:paraId="5C26BE8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20L</w:t>
                  </w:r>
                </w:p>
              </w:tc>
              <w:tc>
                <w:tcPr>
                  <w:tcW w:w="719" w:type="pct"/>
                  <w:noWrap w:val="0"/>
                  <w:vAlign w:val="center"/>
                </w:tcPr>
                <w:p w14:paraId="27BDF8F2">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5L</w:t>
                  </w:r>
                </w:p>
              </w:tc>
              <w:tc>
                <w:tcPr>
                  <w:tcW w:w="855" w:type="pct"/>
                  <w:noWrap w:val="0"/>
                  <w:vAlign w:val="center"/>
                </w:tcPr>
                <w:p w14:paraId="656665F9">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5L</w:t>
                  </w:r>
                </w:p>
              </w:tc>
              <w:tc>
                <w:tcPr>
                  <w:tcW w:w="1038" w:type="pct"/>
                  <w:noWrap w:val="0"/>
                  <w:vAlign w:val="center"/>
                </w:tcPr>
                <w:p w14:paraId="140DC74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常温柜</w:t>
                  </w:r>
                </w:p>
              </w:tc>
            </w:tr>
            <w:tr w14:paraId="7763D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36E8459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1019" w:type="pct"/>
                  <w:shd w:val="clear" w:color="auto" w:fill="auto"/>
                  <w:noWrap w:val="0"/>
                  <w:vAlign w:val="center"/>
                </w:tcPr>
                <w:p w14:paraId="6FBF74B2">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default" w:ascii="Times New Roman" w:hAnsi="Times New Roman"/>
                      <w:color w:val="auto"/>
                      <w:vertAlign w:val="baseline"/>
                      <w:lang w:val="en-US" w:eastAsia="zh-CN"/>
                    </w:rPr>
                    <w:t>MES缓冲液</w:t>
                  </w:r>
                </w:p>
              </w:tc>
              <w:tc>
                <w:tcPr>
                  <w:tcW w:w="903" w:type="pct"/>
                  <w:shd w:val="clear" w:color="auto" w:fill="auto"/>
                  <w:noWrap w:val="0"/>
                  <w:vAlign w:val="center"/>
                </w:tcPr>
                <w:p w14:paraId="47D51627">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2</w:t>
                  </w:r>
                  <w:r>
                    <w:rPr>
                      <w:rFonts w:hint="default" w:ascii="Times New Roman" w:hAnsi="Times New Roman"/>
                      <w:color w:val="auto"/>
                      <w:vertAlign w:val="baseline"/>
                      <w:lang w:val="en-US" w:eastAsia="zh-CN"/>
                    </w:rPr>
                    <w:t>00mL</w:t>
                  </w:r>
                </w:p>
              </w:tc>
              <w:tc>
                <w:tcPr>
                  <w:tcW w:w="719" w:type="pct"/>
                  <w:shd w:val="clear" w:color="auto" w:fill="auto"/>
                  <w:noWrap w:val="0"/>
                  <w:vAlign w:val="center"/>
                </w:tcPr>
                <w:p w14:paraId="4622C68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100</w:t>
                  </w:r>
                  <w:r>
                    <w:rPr>
                      <w:rFonts w:hint="default" w:ascii="Times New Roman" w:hAnsi="Times New Roman"/>
                      <w:color w:val="auto"/>
                      <w:vertAlign w:val="baseline"/>
                      <w:lang w:val="en-US" w:eastAsia="zh-CN"/>
                    </w:rPr>
                    <w:t>mL</w:t>
                  </w:r>
                </w:p>
              </w:tc>
              <w:tc>
                <w:tcPr>
                  <w:tcW w:w="855" w:type="pct"/>
                  <w:shd w:val="clear" w:color="auto" w:fill="auto"/>
                  <w:noWrap w:val="0"/>
                  <w:vAlign w:val="center"/>
                </w:tcPr>
                <w:p w14:paraId="1D11994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100</w:t>
                  </w:r>
                  <w:r>
                    <w:rPr>
                      <w:rFonts w:hint="default" w:ascii="Times New Roman" w:hAnsi="Times New Roman"/>
                      <w:color w:val="auto"/>
                      <w:vertAlign w:val="baseline"/>
                      <w:lang w:val="en-US" w:eastAsia="zh-CN"/>
                    </w:rPr>
                    <w:t>mL</w:t>
                  </w:r>
                </w:p>
              </w:tc>
              <w:tc>
                <w:tcPr>
                  <w:tcW w:w="1038" w:type="pct"/>
                  <w:noWrap w:val="0"/>
                  <w:vAlign w:val="center"/>
                </w:tcPr>
                <w:p w14:paraId="5D203109">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常温柜</w:t>
                  </w:r>
                </w:p>
              </w:tc>
            </w:tr>
            <w:tr w14:paraId="6F4E6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78F2F16C">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16</w:t>
                  </w:r>
                </w:p>
              </w:tc>
              <w:tc>
                <w:tcPr>
                  <w:tcW w:w="1019" w:type="pct"/>
                  <w:shd w:val="clear" w:color="auto" w:fill="auto"/>
                  <w:noWrap w:val="0"/>
                  <w:vAlign w:val="center"/>
                </w:tcPr>
                <w:p w14:paraId="29D22C5E">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default" w:ascii="Times New Roman" w:hAnsi="Times New Roman"/>
                      <w:color w:val="auto"/>
                      <w:vertAlign w:val="baseline"/>
                      <w:lang w:val="en-US" w:eastAsia="zh-CN"/>
                    </w:rPr>
                    <w:t>Binding buffer缓冲溶液</w:t>
                  </w:r>
                </w:p>
              </w:tc>
              <w:tc>
                <w:tcPr>
                  <w:tcW w:w="903" w:type="pct"/>
                  <w:shd w:val="clear" w:color="auto" w:fill="auto"/>
                  <w:noWrap w:val="0"/>
                  <w:vAlign w:val="center"/>
                </w:tcPr>
                <w:p w14:paraId="33297C4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2</w:t>
                  </w:r>
                  <w:r>
                    <w:rPr>
                      <w:rFonts w:hint="default" w:ascii="Times New Roman" w:hAnsi="Times New Roman"/>
                      <w:color w:val="auto"/>
                      <w:vertAlign w:val="baseline"/>
                      <w:lang w:val="en-US" w:eastAsia="zh-CN"/>
                    </w:rPr>
                    <w:t>00mL</w:t>
                  </w:r>
                </w:p>
              </w:tc>
              <w:tc>
                <w:tcPr>
                  <w:tcW w:w="719" w:type="pct"/>
                  <w:shd w:val="clear" w:color="auto" w:fill="auto"/>
                  <w:noWrap w:val="0"/>
                  <w:vAlign w:val="center"/>
                </w:tcPr>
                <w:p w14:paraId="7A851AF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100</w:t>
                  </w:r>
                  <w:r>
                    <w:rPr>
                      <w:rFonts w:hint="default" w:ascii="Times New Roman" w:hAnsi="Times New Roman"/>
                      <w:color w:val="auto"/>
                      <w:vertAlign w:val="baseline"/>
                      <w:lang w:val="en-US" w:eastAsia="zh-CN"/>
                    </w:rPr>
                    <w:t>mL</w:t>
                  </w:r>
                </w:p>
              </w:tc>
              <w:tc>
                <w:tcPr>
                  <w:tcW w:w="855" w:type="pct"/>
                  <w:shd w:val="clear" w:color="auto" w:fill="auto"/>
                  <w:noWrap w:val="0"/>
                  <w:vAlign w:val="center"/>
                </w:tcPr>
                <w:p w14:paraId="121FBD7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100</w:t>
                  </w:r>
                  <w:r>
                    <w:rPr>
                      <w:rFonts w:hint="default" w:ascii="Times New Roman" w:hAnsi="Times New Roman"/>
                      <w:color w:val="auto"/>
                      <w:vertAlign w:val="baseline"/>
                      <w:lang w:val="en-US" w:eastAsia="zh-CN"/>
                    </w:rPr>
                    <w:t>mL</w:t>
                  </w:r>
                </w:p>
              </w:tc>
              <w:tc>
                <w:tcPr>
                  <w:tcW w:w="1038" w:type="pct"/>
                  <w:noWrap w:val="0"/>
                  <w:vAlign w:val="center"/>
                </w:tcPr>
                <w:p w14:paraId="2206DF7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常温柜</w:t>
                  </w:r>
                </w:p>
              </w:tc>
            </w:tr>
            <w:tr w14:paraId="7FB6F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pct"/>
                  <w:noWrap w:val="0"/>
                  <w:vAlign w:val="center"/>
                </w:tcPr>
                <w:p w14:paraId="7D662D67">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17</w:t>
                  </w:r>
                </w:p>
              </w:tc>
              <w:tc>
                <w:tcPr>
                  <w:tcW w:w="1019" w:type="pct"/>
                  <w:shd w:val="clear" w:color="auto" w:fill="auto"/>
                  <w:noWrap w:val="0"/>
                  <w:vAlign w:val="center"/>
                </w:tcPr>
                <w:p w14:paraId="4B8B0DE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NC膜</w:t>
                  </w:r>
                </w:p>
              </w:tc>
              <w:tc>
                <w:tcPr>
                  <w:tcW w:w="903" w:type="pct"/>
                  <w:shd w:val="clear" w:color="auto" w:fill="auto"/>
                  <w:noWrap w:val="0"/>
                  <w:vAlign w:val="center"/>
                </w:tcPr>
                <w:p w14:paraId="1EBE05CF">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100g</w:t>
                  </w:r>
                </w:p>
              </w:tc>
              <w:tc>
                <w:tcPr>
                  <w:tcW w:w="719" w:type="pct"/>
                  <w:shd w:val="clear" w:color="auto" w:fill="auto"/>
                  <w:noWrap w:val="0"/>
                  <w:vAlign w:val="center"/>
                </w:tcPr>
                <w:p w14:paraId="577D5037">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w:t>
                  </w:r>
                </w:p>
              </w:tc>
              <w:tc>
                <w:tcPr>
                  <w:tcW w:w="855" w:type="pct"/>
                  <w:shd w:val="clear" w:color="auto" w:fill="auto"/>
                  <w:noWrap w:val="0"/>
                  <w:vAlign w:val="center"/>
                </w:tcPr>
                <w:p w14:paraId="0099B72F">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500g</w:t>
                  </w:r>
                </w:p>
              </w:tc>
              <w:tc>
                <w:tcPr>
                  <w:tcW w:w="1038" w:type="pct"/>
                  <w:noWrap w:val="0"/>
                  <w:vAlign w:val="center"/>
                </w:tcPr>
                <w:p w14:paraId="5B51188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常温柜</w:t>
                  </w:r>
                </w:p>
              </w:tc>
            </w:tr>
            <w:tr w14:paraId="04488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71E0719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18</w:t>
                  </w:r>
                </w:p>
              </w:tc>
              <w:tc>
                <w:tcPr>
                  <w:tcW w:w="1019" w:type="pct"/>
                  <w:shd w:val="clear" w:color="auto" w:fill="auto"/>
                  <w:noWrap w:val="0"/>
                  <w:vAlign w:val="center"/>
                </w:tcPr>
                <w:p w14:paraId="693794A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吸水垫</w:t>
                  </w:r>
                </w:p>
              </w:tc>
              <w:tc>
                <w:tcPr>
                  <w:tcW w:w="903" w:type="pct"/>
                  <w:shd w:val="clear" w:color="auto" w:fill="auto"/>
                  <w:noWrap w:val="0"/>
                  <w:vAlign w:val="center"/>
                </w:tcPr>
                <w:p w14:paraId="2AF67D5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100g</w:t>
                  </w:r>
                </w:p>
              </w:tc>
              <w:tc>
                <w:tcPr>
                  <w:tcW w:w="719" w:type="pct"/>
                  <w:shd w:val="clear" w:color="auto" w:fill="auto"/>
                  <w:noWrap w:val="0"/>
                  <w:vAlign w:val="center"/>
                </w:tcPr>
                <w:p w14:paraId="6049BB19">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w:t>
                  </w:r>
                </w:p>
              </w:tc>
              <w:tc>
                <w:tcPr>
                  <w:tcW w:w="855" w:type="pct"/>
                  <w:shd w:val="clear" w:color="auto" w:fill="auto"/>
                  <w:noWrap w:val="0"/>
                  <w:vAlign w:val="center"/>
                </w:tcPr>
                <w:p w14:paraId="387D860A">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500g</w:t>
                  </w:r>
                </w:p>
              </w:tc>
              <w:tc>
                <w:tcPr>
                  <w:tcW w:w="1038" w:type="pct"/>
                  <w:shd w:val="clear" w:color="auto" w:fill="auto"/>
                  <w:noWrap w:val="0"/>
                  <w:vAlign w:val="center"/>
                </w:tcPr>
                <w:p w14:paraId="7A1D15D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常温柜</w:t>
                  </w:r>
                </w:p>
              </w:tc>
            </w:tr>
            <w:tr w14:paraId="347D3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3" w:type="pct"/>
                  <w:noWrap w:val="0"/>
                  <w:vAlign w:val="center"/>
                </w:tcPr>
                <w:p w14:paraId="46B83869">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19</w:t>
                  </w:r>
                </w:p>
              </w:tc>
              <w:tc>
                <w:tcPr>
                  <w:tcW w:w="1019" w:type="pct"/>
                  <w:shd w:val="clear" w:color="auto" w:fill="auto"/>
                  <w:noWrap w:val="0"/>
                  <w:vAlign w:val="center"/>
                </w:tcPr>
                <w:p w14:paraId="7D9AF2C2">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封闭缓冲液</w:t>
                  </w:r>
                </w:p>
              </w:tc>
              <w:tc>
                <w:tcPr>
                  <w:tcW w:w="903" w:type="pct"/>
                  <w:shd w:val="clear" w:color="auto" w:fill="auto"/>
                  <w:noWrap w:val="0"/>
                  <w:vAlign w:val="center"/>
                </w:tcPr>
                <w:p w14:paraId="4EA578E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500g</w:t>
                  </w:r>
                </w:p>
              </w:tc>
              <w:tc>
                <w:tcPr>
                  <w:tcW w:w="719" w:type="pct"/>
                  <w:shd w:val="clear" w:color="auto" w:fill="auto"/>
                  <w:noWrap w:val="0"/>
                  <w:vAlign w:val="center"/>
                </w:tcPr>
                <w:p w14:paraId="339B3DB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500g</w:t>
                  </w:r>
                </w:p>
              </w:tc>
              <w:tc>
                <w:tcPr>
                  <w:tcW w:w="855" w:type="pct"/>
                  <w:shd w:val="clear" w:color="auto" w:fill="auto"/>
                  <w:noWrap w:val="0"/>
                  <w:vAlign w:val="center"/>
                </w:tcPr>
                <w:p w14:paraId="1555198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500g</w:t>
                  </w:r>
                </w:p>
              </w:tc>
              <w:tc>
                <w:tcPr>
                  <w:tcW w:w="1038" w:type="pct"/>
                  <w:shd w:val="clear" w:color="auto" w:fill="auto"/>
                  <w:noWrap w:val="0"/>
                  <w:vAlign w:val="center"/>
                </w:tcPr>
                <w:p w14:paraId="0207A17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冰箱</w:t>
                  </w:r>
                </w:p>
              </w:tc>
            </w:tr>
          </w:tbl>
          <w:p w14:paraId="04CFA181">
            <w:pPr>
              <w:pStyle w:val="15"/>
              <w:numPr>
                <w:ilvl w:val="0"/>
                <w:numId w:val="6"/>
              </w:numPr>
              <w:bidi w:val="0"/>
              <w:ind w:left="425" w:leftChars="0" w:hanging="425" w:firstLineChars="0"/>
              <w:rPr>
                <w:rFonts w:hint="eastAsia"/>
                <w:color w:val="auto"/>
                <w:lang w:val="en-US" w:eastAsia="zh-CN"/>
              </w:rPr>
            </w:pPr>
            <w:r>
              <w:rPr>
                <w:rFonts w:hint="eastAsia"/>
                <w:color w:val="auto"/>
                <w:lang w:val="en-US" w:eastAsia="zh-CN"/>
              </w:rPr>
              <w:t>主要原辅材料理化性质一览表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400"/>
              <w:gridCol w:w="5779"/>
            </w:tblGrid>
            <w:tr w14:paraId="6A4D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vAlign w:val="center"/>
                </w:tcPr>
                <w:p w14:paraId="7D145E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1400" w:type="dxa"/>
                  <w:tcBorders>
                    <w:tl2br w:val="nil"/>
                    <w:tr2bl w:val="nil"/>
                  </w:tcBorders>
                  <w:vAlign w:val="center"/>
                </w:tcPr>
                <w:p w14:paraId="02CC6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产品名称</w:t>
                  </w:r>
                </w:p>
              </w:tc>
              <w:tc>
                <w:tcPr>
                  <w:tcW w:w="5779" w:type="dxa"/>
                  <w:tcBorders>
                    <w:tl2br w:val="nil"/>
                    <w:tr2bl w:val="nil"/>
                  </w:tcBorders>
                  <w:vAlign w:val="center"/>
                </w:tcPr>
                <w:p w14:paraId="5CE3BA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理化性质及成分组成表</w:t>
                  </w:r>
                </w:p>
              </w:tc>
            </w:tr>
            <w:tr w14:paraId="7C1E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shd w:val="clear" w:color="auto" w:fill="auto"/>
                  <w:vAlign w:val="center"/>
                </w:tcPr>
                <w:p w14:paraId="2263B2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1400" w:type="dxa"/>
                  <w:tcBorders>
                    <w:tl2br w:val="nil"/>
                    <w:tr2bl w:val="nil"/>
                  </w:tcBorders>
                  <w:shd w:val="clear" w:color="auto" w:fill="auto"/>
                  <w:vAlign w:val="center"/>
                </w:tcPr>
                <w:p w14:paraId="6473E6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生物素</w:t>
                  </w:r>
                </w:p>
              </w:tc>
              <w:tc>
                <w:tcPr>
                  <w:tcW w:w="5779" w:type="dxa"/>
                  <w:tcBorders>
                    <w:tl2br w:val="nil"/>
                    <w:tr2bl w:val="nil"/>
                  </w:tcBorders>
                  <w:shd w:val="clear" w:color="auto" w:fill="auto"/>
                  <w:vAlign w:val="center"/>
                </w:tcPr>
                <w:p w14:paraId="2207C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heme="minorBidi"/>
                      <w:color w:val="auto"/>
                      <w:kern w:val="2"/>
                      <w:sz w:val="21"/>
                      <w:szCs w:val="21"/>
                      <w:vertAlign w:val="baseline"/>
                      <w:lang w:val="en-US" w:eastAsia="zh-CN" w:bidi="ar-SA"/>
                    </w:rPr>
                  </w:pPr>
                  <w:r>
                    <w:rPr>
                      <w:rFonts w:hint="default" w:ascii="Times New Roman" w:hAnsi="Times New Roman" w:eastAsia="宋体"/>
                      <w:color w:val="auto"/>
                      <w:sz w:val="21"/>
                      <w:szCs w:val="21"/>
                      <w:vertAlign w:val="baseline"/>
                      <w:lang w:val="en-US" w:eastAsia="zh-CN"/>
                    </w:rPr>
                    <w:t>又称维生素 B7、维生素H或辅酶R，是一种水溶性维生素。常温常压下为无色的长针状结晶，熔点为 233℃，微溶于水和乙醇，不溶于脂肪和有机溶剂，在稀碱溶液和热水中可溶。在中等强度的酸和中性溶液中可稳定数日，强酸、强碱、甲醛、紫外线处理以及亚硝酸等可使其失活。</w:t>
                  </w:r>
                </w:p>
              </w:tc>
            </w:tr>
            <w:tr w14:paraId="2C0A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shd w:val="clear" w:color="auto" w:fill="auto"/>
                  <w:vAlign w:val="center"/>
                </w:tcPr>
                <w:p w14:paraId="7C2D8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1400" w:type="dxa"/>
                  <w:tcBorders>
                    <w:tl2br w:val="nil"/>
                    <w:tr2bl w:val="nil"/>
                  </w:tcBorders>
                  <w:shd w:val="clear" w:color="auto" w:fill="auto"/>
                  <w:vAlign w:val="center"/>
                </w:tcPr>
                <w:p w14:paraId="5F691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EDCI</w:t>
                  </w:r>
                </w:p>
              </w:tc>
              <w:tc>
                <w:tcPr>
                  <w:tcW w:w="5779" w:type="dxa"/>
                  <w:tcBorders>
                    <w:tl2br w:val="nil"/>
                    <w:tr2bl w:val="nil"/>
                  </w:tcBorders>
                  <w:shd w:val="clear" w:color="auto" w:fill="auto"/>
                  <w:vAlign w:val="center"/>
                </w:tcPr>
                <w:p w14:paraId="3A0532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heme="minorBidi"/>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EDCI是一种常用的</w:t>
                  </w:r>
                  <w:r>
                    <w:rPr>
                      <w:rFonts w:hint="default" w:ascii="Times New Roman" w:hAnsi="Times New Roman" w:eastAsia="宋体"/>
                      <w:color w:val="auto"/>
                      <w:sz w:val="21"/>
                      <w:szCs w:val="21"/>
                      <w:vertAlign w:val="baseline"/>
                      <w:lang w:val="en-US" w:eastAsia="zh-CN"/>
                    </w:rPr>
                    <w:t>肽偶联试剂，全称为</w:t>
                  </w:r>
                  <w:r>
                    <w:rPr>
                      <w:rFonts w:hint="eastAsia"/>
                      <w:color w:val="auto"/>
                      <w:sz w:val="21"/>
                      <w:szCs w:val="21"/>
                      <w:vertAlign w:val="baseline"/>
                      <w:lang w:val="en-US" w:eastAsia="zh-CN"/>
                    </w:rPr>
                    <w:t>1</w:t>
                  </w:r>
                  <w:r>
                    <w:rPr>
                      <w:rFonts w:hint="default" w:ascii="Times New Roman" w:hAnsi="Times New Roman" w:eastAsia="宋体"/>
                      <w:color w:val="auto"/>
                      <w:sz w:val="21"/>
                      <w:szCs w:val="21"/>
                      <w:vertAlign w:val="baseline"/>
                      <w:lang w:val="en-US" w:eastAsia="zh-CN"/>
                    </w:rPr>
                    <w:t xml:space="preserve"> -乙基 -(3 - 二甲基氨基丙基) 碳二亚胺盐酸盐</w:t>
                  </w:r>
                  <w:r>
                    <w:rPr>
                      <w:rFonts w:hint="eastAsia"/>
                      <w:color w:val="auto"/>
                      <w:sz w:val="21"/>
                      <w:szCs w:val="21"/>
                      <w:vertAlign w:val="baseline"/>
                      <w:lang w:val="en-US" w:eastAsia="zh-CN"/>
                    </w:rPr>
                    <w:t>，</w:t>
                  </w:r>
                  <w:r>
                    <w:rPr>
                      <w:rFonts w:hint="eastAsia" w:ascii="Times New Roman" w:hAnsi="Times New Roman" w:eastAsia="宋体"/>
                      <w:color w:val="auto"/>
                      <w:sz w:val="21"/>
                      <w:szCs w:val="21"/>
                      <w:vertAlign w:val="baseline"/>
                      <w:lang w:val="en-US" w:eastAsia="zh-CN"/>
                    </w:rPr>
                    <w:t>作为缩合剂，能高效活化羧基（-COOH），使其与氨基（-NH₂）反应生成酰胺键，是合成肽、蛋白质、酰胺类化合物的关键试剂。</w:t>
                  </w:r>
                </w:p>
              </w:tc>
            </w:tr>
            <w:tr w14:paraId="61EF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shd w:val="clear" w:color="auto" w:fill="auto"/>
                  <w:vAlign w:val="center"/>
                </w:tcPr>
                <w:p w14:paraId="49BDCF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1400" w:type="dxa"/>
                  <w:tcBorders>
                    <w:tl2br w:val="nil"/>
                    <w:tr2bl w:val="nil"/>
                  </w:tcBorders>
                  <w:shd w:val="clear" w:color="auto" w:fill="auto"/>
                  <w:vAlign w:val="center"/>
                </w:tcPr>
                <w:p w14:paraId="6187D6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磷酸二氢钠</w:t>
                  </w:r>
                </w:p>
              </w:tc>
              <w:tc>
                <w:tcPr>
                  <w:tcW w:w="5779" w:type="dxa"/>
                  <w:tcBorders>
                    <w:tl2br w:val="nil"/>
                    <w:tr2bl w:val="nil"/>
                  </w:tcBorders>
                  <w:shd w:val="clear" w:color="auto" w:fill="auto"/>
                  <w:vAlign w:val="top"/>
                </w:tcPr>
                <w:p w14:paraId="66153D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白色结晶性粉末或颗粒，易溶于水，不溶于乙醇、乙醚等有机溶剂；本身无强腐蚀性，固体对皮肤、黏膜刺激性极弱；高浓度水溶液（如 50% 以上）对金属（如铁、锌）有轻微腐蚀作用，但对玻璃、塑料等材质无腐蚀。</w:t>
                  </w:r>
                </w:p>
              </w:tc>
            </w:tr>
            <w:tr w14:paraId="6926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shd w:val="clear" w:color="auto" w:fill="auto"/>
                  <w:vAlign w:val="center"/>
                </w:tcPr>
                <w:p w14:paraId="6FA0C5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w:t>
                  </w:r>
                </w:p>
              </w:tc>
              <w:tc>
                <w:tcPr>
                  <w:tcW w:w="1400" w:type="dxa"/>
                  <w:tcBorders>
                    <w:tl2br w:val="nil"/>
                    <w:tr2bl w:val="nil"/>
                  </w:tcBorders>
                  <w:shd w:val="clear" w:color="auto" w:fill="auto"/>
                  <w:vAlign w:val="center"/>
                </w:tcPr>
                <w:p w14:paraId="7D2B1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磷酸氢二钠</w:t>
                  </w:r>
                </w:p>
              </w:tc>
              <w:tc>
                <w:tcPr>
                  <w:tcW w:w="5779" w:type="dxa"/>
                  <w:tcBorders>
                    <w:tl2br w:val="nil"/>
                    <w:tr2bl w:val="nil"/>
                  </w:tcBorders>
                  <w:shd w:val="clear" w:color="auto" w:fill="auto"/>
                  <w:vAlign w:val="top"/>
                </w:tcPr>
                <w:p w14:paraId="03B744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在空气中易风化，</w:t>
                  </w:r>
                  <w:r>
                    <w:rPr>
                      <w:rFonts w:hint="eastAsia"/>
                      <w:color w:val="auto"/>
                      <w:sz w:val="21"/>
                      <w:szCs w:val="21"/>
                      <w:vertAlign w:val="baseline"/>
                      <w:lang w:val="en-US" w:eastAsia="zh-CN"/>
                    </w:rPr>
                    <w:fldChar w:fldCharType="begin"/>
                  </w:r>
                  <w:r>
                    <w:rPr>
                      <w:rFonts w:hint="eastAsia"/>
                      <w:color w:val="auto"/>
                      <w:sz w:val="21"/>
                      <w:szCs w:val="21"/>
                      <w:vertAlign w:val="baseline"/>
                      <w:lang w:val="en-US" w:eastAsia="zh-CN"/>
                    </w:rPr>
                    <w:instrText xml:space="preserve"> HYPERLINK "https://baike.so.com/doc/1418085-1499028.html" \t "https://baike.so.com/doc/_blank" </w:instrText>
                  </w:r>
                  <w:r>
                    <w:rPr>
                      <w:rFonts w:hint="eastAsia"/>
                      <w:color w:val="auto"/>
                      <w:sz w:val="21"/>
                      <w:szCs w:val="21"/>
                      <w:vertAlign w:val="baseline"/>
                      <w:lang w:val="en-US" w:eastAsia="zh-CN"/>
                    </w:rPr>
                    <w:fldChar w:fldCharType="separate"/>
                  </w:r>
                  <w:r>
                    <w:rPr>
                      <w:rFonts w:hint="eastAsia"/>
                      <w:color w:val="auto"/>
                      <w:sz w:val="21"/>
                      <w:szCs w:val="21"/>
                      <w:vertAlign w:val="baseline"/>
                      <w:lang w:val="en-US" w:eastAsia="zh-CN"/>
                    </w:rPr>
                    <w:t>常温</w:t>
                  </w:r>
                  <w:r>
                    <w:rPr>
                      <w:rFonts w:hint="eastAsia"/>
                      <w:color w:val="auto"/>
                      <w:sz w:val="21"/>
                      <w:szCs w:val="21"/>
                      <w:vertAlign w:val="baseline"/>
                      <w:lang w:val="en-US" w:eastAsia="zh-CN"/>
                    </w:rPr>
                    <w:fldChar w:fldCharType="end"/>
                  </w:r>
                  <w:r>
                    <w:rPr>
                      <w:rFonts w:hint="eastAsia"/>
                      <w:color w:val="auto"/>
                      <w:sz w:val="21"/>
                      <w:szCs w:val="21"/>
                      <w:vertAlign w:val="baseline"/>
                      <w:lang w:val="en-US" w:eastAsia="zh-CN"/>
                    </w:rPr>
                    <w:t>时放置于空气中失去约5个结晶水而形成七水物，加热至100℃时失去全部结晶水而成无水物，250℃时分解变成</w:t>
                  </w:r>
                  <w:r>
                    <w:rPr>
                      <w:rFonts w:hint="eastAsia"/>
                      <w:color w:val="auto"/>
                      <w:sz w:val="21"/>
                      <w:szCs w:val="21"/>
                      <w:vertAlign w:val="baseline"/>
                      <w:lang w:val="en-US" w:eastAsia="zh-CN"/>
                    </w:rPr>
                    <w:fldChar w:fldCharType="begin"/>
                  </w:r>
                  <w:r>
                    <w:rPr>
                      <w:rFonts w:hint="eastAsia"/>
                      <w:color w:val="auto"/>
                      <w:sz w:val="21"/>
                      <w:szCs w:val="21"/>
                      <w:vertAlign w:val="baseline"/>
                      <w:lang w:val="en-US" w:eastAsia="zh-CN"/>
                    </w:rPr>
                    <w:instrText xml:space="preserve"> HYPERLINK "https://baike.so.com/doc/5423770-7124775.html" \t "https://baike.so.com/doc/_blank" </w:instrText>
                  </w:r>
                  <w:r>
                    <w:rPr>
                      <w:rFonts w:hint="eastAsia"/>
                      <w:color w:val="auto"/>
                      <w:sz w:val="21"/>
                      <w:szCs w:val="21"/>
                      <w:vertAlign w:val="baseline"/>
                      <w:lang w:val="en-US" w:eastAsia="zh-CN"/>
                    </w:rPr>
                    <w:fldChar w:fldCharType="separate"/>
                  </w:r>
                  <w:r>
                    <w:rPr>
                      <w:rFonts w:hint="eastAsia"/>
                      <w:color w:val="auto"/>
                      <w:sz w:val="21"/>
                      <w:szCs w:val="21"/>
                      <w:vertAlign w:val="baseline"/>
                      <w:lang w:val="en-US" w:eastAsia="zh-CN"/>
                    </w:rPr>
                    <w:t>焦磷酸钠</w:t>
                  </w:r>
                  <w:r>
                    <w:rPr>
                      <w:rFonts w:hint="eastAsia"/>
                      <w:color w:val="auto"/>
                      <w:sz w:val="21"/>
                      <w:szCs w:val="21"/>
                      <w:vertAlign w:val="baseline"/>
                      <w:lang w:val="en-US" w:eastAsia="zh-CN"/>
                    </w:rPr>
                    <w:fldChar w:fldCharType="end"/>
                  </w:r>
                  <w:r>
                    <w:rPr>
                      <w:rFonts w:hint="eastAsia"/>
                      <w:color w:val="auto"/>
                      <w:sz w:val="21"/>
                      <w:szCs w:val="21"/>
                      <w:vertAlign w:val="baseline"/>
                      <w:lang w:val="en-US" w:eastAsia="zh-CN"/>
                    </w:rPr>
                    <w:t>。在100℃失去结晶水而成</w:t>
                  </w:r>
                  <w:r>
                    <w:rPr>
                      <w:rFonts w:hint="eastAsia"/>
                      <w:color w:val="auto"/>
                      <w:sz w:val="21"/>
                      <w:szCs w:val="21"/>
                      <w:vertAlign w:val="baseline"/>
                      <w:lang w:val="en-US" w:eastAsia="zh-CN"/>
                    </w:rPr>
                    <w:fldChar w:fldCharType="begin"/>
                  </w:r>
                  <w:r>
                    <w:rPr>
                      <w:rFonts w:hint="eastAsia"/>
                      <w:color w:val="auto"/>
                      <w:sz w:val="21"/>
                      <w:szCs w:val="21"/>
                      <w:vertAlign w:val="baseline"/>
                      <w:lang w:val="en-US" w:eastAsia="zh-CN"/>
                    </w:rPr>
                    <w:instrText xml:space="preserve"> HYPERLINK "https://baike.so.com/doc/558001-590777.html" \t "https://baike.so.com/doc/_blank" </w:instrText>
                  </w:r>
                  <w:r>
                    <w:rPr>
                      <w:rFonts w:hint="eastAsia"/>
                      <w:color w:val="auto"/>
                      <w:sz w:val="21"/>
                      <w:szCs w:val="21"/>
                      <w:vertAlign w:val="baseline"/>
                      <w:lang w:val="en-US" w:eastAsia="zh-CN"/>
                    </w:rPr>
                    <w:fldChar w:fldCharType="separate"/>
                  </w:r>
                  <w:r>
                    <w:rPr>
                      <w:rFonts w:hint="eastAsia"/>
                      <w:color w:val="auto"/>
                      <w:sz w:val="21"/>
                      <w:szCs w:val="21"/>
                      <w:vertAlign w:val="baseline"/>
                      <w:lang w:val="en-US" w:eastAsia="zh-CN"/>
                    </w:rPr>
                    <w:t>无水物</w:t>
                  </w:r>
                  <w:r>
                    <w:rPr>
                      <w:rFonts w:hint="eastAsia"/>
                      <w:color w:val="auto"/>
                      <w:sz w:val="21"/>
                      <w:szCs w:val="21"/>
                      <w:vertAlign w:val="baseline"/>
                      <w:lang w:val="en-US" w:eastAsia="zh-CN"/>
                    </w:rPr>
                    <w:fldChar w:fldCharType="end"/>
                  </w:r>
                  <w:r>
                    <w:rPr>
                      <w:rFonts w:hint="eastAsia"/>
                      <w:color w:val="auto"/>
                      <w:sz w:val="21"/>
                      <w:szCs w:val="21"/>
                      <w:vertAlign w:val="baseline"/>
                      <w:lang w:val="en-US" w:eastAsia="zh-CN"/>
                    </w:rPr>
                    <w:t>，250℃时分解成焦</w:t>
                  </w:r>
                  <w:r>
                    <w:rPr>
                      <w:rFonts w:hint="eastAsia"/>
                      <w:color w:val="auto"/>
                      <w:sz w:val="21"/>
                      <w:szCs w:val="21"/>
                      <w:vertAlign w:val="baseline"/>
                      <w:lang w:val="en-US" w:eastAsia="zh-CN"/>
                    </w:rPr>
                    <w:fldChar w:fldCharType="begin"/>
                  </w:r>
                  <w:r>
                    <w:rPr>
                      <w:rFonts w:hint="eastAsia"/>
                      <w:color w:val="auto"/>
                      <w:sz w:val="21"/>
                      <w:szCs w:val="21"/>
                      <w:vertAlign w:val="baseline"/>
                      <w:lang w:val="en-US" w:eastAsia="zh-CN"/>
                    </w:rPr>
                    <w:instrText xml:space="preserve"> HYPERLINK "https://baike.so.com/doc/6948698-7171094.html" \t "https://baike.so.com/doc/_blank" </w:instrText>
                  </w:r>
                  <w:r>
                    <w:rPr>
                      <w:rFonts w:hint="eastAsia"/>
                      <w:color w:val="auto"/>
                      <w:sz w:val="21"/>
                      <w:szCs w:val="21"/>
                      <w:vertAlign w:val="baseline"/>
                      <w:lang w:val="en-US" w:eastAsia="zh-CN"/>
                    </w:rPr>
                    <w:fldChar w:fldCharType="separate"/>
                  </w:r>
                  <w:r>
                    <w:rPr>
                      <w:rFonts w:hint="eastAsia"/>
                      <w:color w:val="auto"/>
                      <w:sz w:val="21"/>
                      <w:szCs w:val="21"/>
                      <w:vertAlign w:val="baseline"/>
                      <w:lang w:val="en-US" w:eastAsia="zh-CN"/>
                    </w:rPr>
                    <w:t>磷酸钠</w:t>
                  </w:r>
                  <w:r>
                    <w:rPr>
                      <w:rFonts w:hint="eastAsia"/>
                      <w:color w:val="auto"/>
                      <w:sz w:val="21"/>
                      <w:szCs w:val="21"/>
                      <w:vertAlign w:val="baseline"/>
                      <w:lang w:val="en-US" w:eastAsia="zh-CN"/>
                    </w:rPr>
                    <w:fldChar w:fldCharType="end"/>
                  </w:r>
                  <w:r>
                    <w:rPr>
                      <w:rFonts w:hint="eastAsia"/>
                      <w:color w:val="auto"/>
                      <w:sz w:val="21"/>
                      <w:szCs w:val="21"/>
                      <w:vertAlign w:val="baseline"/>
                      <w:lang w:val="en-US" w:eastAsia="zh-CN"/>
                    </w:rPr>
                    <w:t>。1%水溶液的pH值为8.8~9.2。</w:t>
                  </w:r>
                </w:p>
              </w:tc>
            </w:tr>
            <w:tr w14:paraId="4490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shd w:val="clear" w:color="auto" w:fill="auto"/>
                  <w:vAlign w:val="center"/>
                </w:tcPr>
                <w:p w14:paraId="00F38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5</w:t>
                  </w:r>
                </w:p>
              </w:tc>
              <w:tc>
                <w:tcPr>
                  <w:tcW w:w="1400" w:type="dxa"/>
                  <w:tcBorders>
                    <w:tl2br w:val="nil"/>
                    <w:tr2bl w:val="nil"/>
                  </w:tcBorders>
                  <w:shd w:val="clear" w:color="auto" w:fill="auto"/>
                  <w:vAlign w:val="center"/>
                </w:tcPr>
                <w:p w14:paraId="68A263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NHS</w:t>
                  </w:r>
                </w:p>
              </w:tc>
              <w:tc>
                <w:tcPr>
                  <w:tcW w:w="5779" w:type="dxa"/>
                  <w:tcBorders>
                    <w:tl2br w:val="nil"/>
                    <w:tr2bl w:val="nil"/>
                  </w:tcBorders>
                  <w:shd w:val="clear" w:color="auto" w:fill="auto"/>
                  <w:vAlign w:val="center"/>
                </w:tcPr>
                <w:p w14:paraId="0FBD8F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heme="minorBidi"/>
                      <w:color w:val="auto"/>
                      <w:kern w:val="2"/>
                      <w:sz w:val="21"/>
                      <w:szCs w:val="21"/>
                      <w:vertAlign w:val="baseline"/>
                      <w:lang w:val="en-US" w:eastAsia="zh-CN" w:bidi="ar-SA"/>
                    </w:rPr>
                  </w:pPr>
                  <w:r>
                    <w:rPr>
                      <w:rFonts w:hint="default" w:ascii="Times New Roman" w:hAnsi="Times New Roman" w:eastAsia="宋体"/>
                      <w:color w:val="auto"/>
                      <w:sz w:val="21"/>
                      <w:szCs w:val="21"/>
                      <w:vertAlign w:val="baseline"/>
                      <w:lang w:val="en-US" w:eastAsia="zh-CN"/>
                    </w:rPr>
                    <w:t>NHS全称为N - 羟基琥珀酰亚胺，是有机合成与生物化学领域常用的活化试剂，核心作用是与羧基反应生成稳定的活性酯，提升后续酰胺化或偶联反应的效率。</w:t>
                  </w:r>
                </w:p>
              </w:tc>
            </w:tr>
            <w:tr w14:paraId="3B53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shd w:val="clear" w:color="auto" w:fill="auto"/>
                  <w:vAlign w:val="center"/>
                </w:tcPr>
                <w:p w14:paraId="4E8383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6</w:t>
                  </w:r>
                </w:p>
              </w:tc>
              <w:tc>
                <w:tcPr>
                  <w:tcW w:w="1400" w:type="dxa"/>
                  <w:tcBorders>
                    <w:tl2br w:val="nil"/>
                    <w:tr2bl w:val="nil"/>
                  </w:tcBorders>
                  <w:shd w:val="clear" w:color="auto" w:fill="auto"/>
                  <w:vAlign w:val="center"/>
                </w:tcPr>
                <w:p w14:paraId="217D9E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新洁尔灭</w:t>
                  </w:r>
                </w:p>
              </w:tc>
              <w:tc>
                <w:tcPr>
                  <w:tcW w:w="5779" w:type="dxa"/>
                  <w:tcBorders>
                    <w:tl2br w:val="nil"/>
                    <w:tr2bl w:val="nil"/>
                  </w:tcBorders>
                  <w:shd w:val="clear" w:color="auto" w:fill="auto"/>
                  <w:vAlign w:val="center"/>
                </w:tcPr>
                <w:p w14:paraId="4720AE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新洁尔灭即苯扎溴铵，分子式</w:t>
                  </w:r>
                  <w:r>
                    <w:rPr>
                      <w:rFonts w:hint="default" w:ascii="Times New Roman" w:hAnsi="Times New Roman" w:eastAsia="宋体"/>
                      <w:color w:val="auto"/>
                      <w:sz w:val="21"/>
                      <w:szCs w:val="21"/>
                      <w:vertAlign w:val="baseline"/>
                      <w:lang w:val="en-US" w:eastAsia="zh-CN"/>
                    </w:rPr>
                    <w:t>C21H38BrN</w:t>
                  </w:r>
                  <w:r>
                    <w:rPr>
                      <w:rFonts w:hint="eastAsia" w:ascii="Times New Roman" w:hAnsi="Times New Roman" w:eastAsia="宋体"/>
                      <w:color w:val="auto"/>
                      <w:sz w:val="21"/>
                      <w:szCs w:val="21"/>
                      <w:vertAlign w:val="baseline"/>
                      <w:lang w:val="en-US" w:eastAsia="zh-CN"/>
                    </w:rPr>
                    <w:t>，熔点</w:t>
                  </w:r>
                  <w:r>
                    <w:rPr>
                      <w:rFonts w:hint="default" w:ascii="Times New Roman" w:hAnsi="Times New Roman" w:eastAsia="宋体"/>
                      <w:color w:val="auto"/>
                      <w:sz w:val="21"/>
                      <w:szCs w:val="21"/>
                      <w:vertAlign w:val="baseline"/>
                      <w:lang w:val="en-US" w:eastAsia="zh-CN"/>
                    </w:rPr>
                    <w:t>46~48℃</w:t>
                  </w:r>
                  <w:r>
                    <w:rPr>
                      <w:rFonts w:hint="eastAsia" w:ascii="Times New Roman" w:hAnsi="Times New Roman" w:eastAsia="宋体"/>
                      <w:color w:val="auto"/>
                      <w:sz w:val="21"/>
                      <w:szCs w:val="21"/>
                      <w:vertAlign w:val="baseline"/>
                      <w:lang w:val="en-US" w:eastAsia="zh-CN"/>
                    </w:rPr>
                    <w:t>，本品为黄白色蜡状固体或胶状体。易溶于水或乙醇，有芳香味，味极苦。强力振摇时产生大量泡沫。具有典型阳离子表面活性剂的性质，水溶液搅拌时能产生大量泡沫。性质稳定，耐光，耐热，无挥发性，可长期存放。苯扎溴铵最常用的表面活性剂之一，具有洁净、杀菌消毒和灭藻作用，广泛用于杀菌、消毒、防腐、乳化、去垢、增溶等方面，是迄今工业循环水处理常用的非氧化性杀菌灭藻剂、黏泥剥离剂和清洗剂之一。</w:t>
                  </w:r>
                </w:p>
              </w:tc>
            </w:tr>
            <w:tr w14:paraId="5BBC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shd w:val="clear" w:color="auto" w:fill="auto"/>
                  <w:vAlign w:val="center"/>
                </w:tcPr>
                <w:p w14:paraId="07F2E8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7</w:t>
                  </w:r>
                </w:p>
              </w:tc>
              <w:tc>
                <w:tcPr>
                  <w:tcW w:w="1400" w:type="dxa"/>
                  <w:tcBorders>
                    <w:tl2br w:val="nil"/>
                    <w:tr2bl w:val="nil"/>
                  </w:tcBorders>
                  <w:shd w:val="clear" w:color="auto" w:fill="auto"/>
                  <w:vAlign w:val="center"/>
                </w:tcPr>
                <w:p w14:paraId="793E1D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default"/>
                      <w:color w:val="auto"/>
                      <w:sz w:val="21"/>
                      <w:szCs w:val="21"/>
                      <w:vertAlign w:val="baseline"/>
                      <w:lang w:val="en-US" w:eastAsia="zh-CN"/>
                    </w:rPr>
                    <w:t>MES缓冲液</w:t>
                  </w:r>
                </w:p>
              </w:tc>
              <w:tc>
                <w:tcPr>
                  <w:tcW w:w="5779" w:type="dxa"/>
                  <w:tcBorders>
                    <w:tl2br w:val="nil"/>
                    <w:tr2bl w:val="nil"/>
                  </w:tcBorders>
                  <w:shd w:val="clear" w:color="auto" w:fill="auto"/>
                  <w:vAlign w:val="center"/>
                </w:tcPr>
                <w:p w14:paraId="5B0437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主要成分：</w:t>
                  </w:r>
                  <w:r>
                    <w:rPr>
                      <w:rFonts w:hint="default" w:ascii="Times New Roman" w:hAnsi="Times New Roman" w:eastAsia="宋体"/>
                      <w:color w:val="auto"/>
                      <w:sz w:val="21"/>
                      <w:szCs w:val="21"/>
                      <w:vertAlign w:val="baseline"/>
                      <w:lang w:val="en-US" w:eastAsia="zh-CN"/>
                    </w:rPr>
                    <w:t>硫酸铵2-吗啉乙磺酸三羟甲基氨基甲烷乙二胺四乙酸</w:t>
                  </w:r>
                  <w:r>
                    <w:rPr>
                      <w:rFonts w:hint="eastAsia" w:ascii="Times New Roman" w:hAnsi="Times New Roman" w:eastAsia="宋体"/>
                      <w:color w:val="auto"/>
                      <w:sz w:val="21"/>
                      <w:szCs w:val="21"/>
                      <w:vertAlign w:val="baseline"/>
                      <w:lang w:val="en-US" w:eastAsia="zh-CN"/>
                    </w:rPr>
                    <w:t>。</w:t>
                  </w:r>
                </w:p>
              </w:tc>
            </w:tr>
            <w:tr w14:paraId="2B6E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shd w:val="clear" w:color="auto" w:fill="auto"/>
                  <w:vAlign w:val="center"/>
                </w:tcPr>
                <w:p w14:paraId="460347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8</w:t>
                  </w:r>
                </w:p>
              </w:tc>
              <w:tc>
                <w:tcPr>
                  <w:tcW w:w="1400" w:type="dxa"/>
                  <w:tcBorders>
                    <w:tl2br w:val="nil"/>
                    <w:tr2bl w:val="nil"/>
                  </w:tcBorders>
                  <w:shd w:val="clear" w:color="auto" w:fill="auto"/>
                  <w:vAlign w:val="center"/>
                </w:tcPr>
                <w:p w14:paraId="78C4A0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default"/>
                      <w:color w:val="auto"/>
                      <w:sz w:val="21"/>
                      <w:szCs w:val="21"/>
                      <w:vertAlign w:val="baseline"/>
                      <w:lang w:val="en-US" w:eastAsia="zh-CN"/>
                    </w:rPr>
                    <w:t>Binding buffer缓冲溶液</w:t>
                  </w:r>
                </w:p>
              </w:tc>
              <w:tc>
                <w:tcPr>
                  <w:tcW w:w="5779" w:type="dxa"/>
                  <w:tcBorders>
                    <w:tl2br w:val="nil"/>
                    <w:tr2bl w:val="nil"/>
                  </w:tcBorders>
                  <w:shd w:val="clear" w:color="auto" w:fill="auto"/>
                  <w:vAlign w:val="center"/>
                </w:tcPr>
                <w:p w14:paraId="1F178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主要成分：</w:t>
                  </w:r>
                  <w:r>
                    <w:rPr>
                      <w:rFonts w:hint="default" w:ascii="Times New Roman" w:hAnsi="Times New Roman" w:eastAsia="宋体"/>
                      <w:color w:val="auto"/>
                      <w:sz w:val="21"/>
                      <w:szCs w:val="21"/>
                      <w:vertAlign w:val="baseline"/>
                      <w:lang w:val="en-US" w:eastAsia="zh-CN"/>
                    </w:rPr>
                    <w:t>磷酸钠，NaCl（氯化钠）和KCl（氯化钾），牛血清蛋白，Tween-20，硫酸铵</w:t>
                  </w:r>
                  <w:r>
                    <w:rPr>
                      <w:rFonts w:hint="eastAsia" w:ascii="Times New Roman" w:hAnsi="Times New Roman" w:eastAsia="宋体"/>
                      <w:color w:val="auto"/>
                      <w:sz w:val="21"/>
                      <w:szCs w:val="21"/>
                      <w:vertAlign w:val="baseline"/>
                      <w:lang w:val="en-US" w:eastAsia="zh-CN"/>
                    </w:rPr>
                    <w:t>。</w:t>
                  </w:r>
                </w:p>
              </w:tc>
            </w:tr>
            <w:tr w14:paraId="6459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shd w:val="clear" w:color="auto" w:fill="auto"/>
                  <w:vAlign w:val="center"/>
                </w:tcPr>
                <w:p w14:paraId="1C1CEA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vertAlign w:val="baseline"/>
                      <w:lang w:val="en-US" w:eastAsia="zh-CN" w:bidi="ar-SA"/>
                    </w:rPr>
                  </w:pPr>
                  <w:r>
                    <w:rPr>
                      <w:rFonts w:hint="eastAsia"/>
                      <w:color w:val="auto"/>
                      <w:sz w:val="21"/>
                      <w:szCs w:val="21"/>
                      <w:vertAlign w:val="baseline"/>
                      <w:lang w:val="en-US" w:eastAsia="zh-CN"/>
                    </w:rPr>
                    <w:t>9</w:t>
                  </w:r>
                </w:p>
              </w:tc>
              <w:tc>
                <w:tcPr>
                  <w:tcW w:w="1400" w:type="dxa"/>
                  <w:tcBorders>
                    <w:tl2br w:val="nil"/>
                    <w:tr2bl w:val="nil"/>
                  </w:tcBorders>
                  <w:shd w:val="clear" w:color="auto" w:fill="auto"/>
                  <w:vAlign w:val="center"/>
                </w:tcPr>
                <w:p w14:paraId="0DE676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NC膜</w:t>
                  </w:r>
                </w:p>
              </w:tc>
              <w:tc>
                <w:tcPr>
                  <w:tcW w:w="5779" w:type="dxa"/>
                  <w:tcBorders>
                    <w:tl2br w:val="nil"/>
                    <w:tr2bl w:val="nil"/>
                  </w:tcBorders>
                  <w:shd w:val="clear" w:color="auto" w:fill="auto"/>
                  <w:vAlign w:val="center"/>
                </w:tcPr>
                <w:p w14:paraId="5BCF80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NC 膜即硝酸纤维素膜，是一种广泛应用于生物医学和实验室检测中的材料。对蛋白质有着极高的亲和力，吸附效率通常可达 80%-90%。在免疫印迹实验里，从凝胶转移过来的蛋白质能够大量且稳定地结合在 NC 膜上，为后续的抗体检测提供充足的靶点，极大地提高了检测的灵敏度和可靠性。</w:t>
                  </w:r>
                </w:p>
              </w:tc>
            </w:tr>
            <w:tr w14:paraId="440B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vAlign w:val="center"/>
                </w:tcPr>
                <w:p w14:paraId="35C58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1400" w:type="dxa"/>
                  <w:tcBorders>
                    <w:tl2br w:val="nil"/>
                    <w:tr2bl w:val="nil"/>
                  </w:tcBorders>
                  <w:shd w:val="clear" w:color="auto" w:fill="auto"/>
                  <w:vAlign w:val="center"/>
                </w:tcPr>
                <w:p w14:paraId="5ADC90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封闭缓冲液</w:t>
                  </w:r>
                </w:p>
              </w:tc>
              <w:tc>
                <w:tcPr>
                  <w:tcW w:w="5779" w:type="dxa"/>
                  <w:tcBorders>
                    <w:tl2br w:val="nil"/>
                    <w:tr2bl w:val="nil"/>
                  </w:tcBorders>
                  <w:shd w:val="clear" w:color="auto" w:fill="auto"/>
                  <w:vAlign w:val="center"/>
                </w:tcPr>
                <w:p w14:paraId="6C91A6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封闭缓冲液是免疫检测（如 Western Blot、ELISA）中用于阻断固相载体非特异性结合位点的关键试剂，核心作用是减少后续抗体与载体的非特异性结合，从而降低实验背景信号。</w:t>
                  </w:r>
                  <w:r>
                    <w:rPr>
                      <w:rFonts w:hint="eastAsia" w:ascii="Times New Roman" w:hAnsi="Times New Roman" w:eastAsia="宋体"/>
                      <w:color w:val="auto"/>
                      <w:sz w:val="21"/>
                      <w:szCs w:val="21"/>
                      <w:vertAlign w:val="baseline"/>
                      <w:lang w:val="en-US" w:eastAsia="zh-CN"/>
                    </w:rPr>
                    <w:t>主要成分包括</w:t>
                  </w:r>
                  <w:r>
                    <w:rPr>
                      <w:rFonts w:hint="default" w:ascii="Times New Roman" w:hAnsi="Times New Roman" w:eastAsia="宋体"/>
                      <w:color w:val="auto"/>
                      <w:sz w:val="21"/>
                      <w:szCs w:val="21"/>
                      <w:vertAlign w:val="baseline"/>
                      <w:lang w:val="en-US" w:eastAsia="zh-CN"/>
                    </w:rPr>
                    <w:t>脱脂奶粉、PBS/Tris 缓冲液</w:t>
                  </w:r>
                  <w:r>
                    <w:rPr>
                      <w:rFonts w:hint="eastAsia" w:ascii="Times New Roman" w:hAnsi="Times New Roman" w:eastAsia="宋体"/>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牛血清白蛋白（BSA）、缓冲液</w:t>
                  </w:r>
                  <w:r>
                    <w:rPr>
                      <w:rFonts w:hint="eastAsia" w:ascii="Times New Roman" w:hAnsi="Times New Roman" w:eastAsia="宋体"/>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酪蛋白（牛奶提取物）、缓冲液</w:t>
                  </w:r>
                  <w:r>
                    <w:rPr>
                      <w:rFonts w:hint="eastAsia" w:ascii="Times New Roman" w:hAnsi="Times New Roman" w:eastAsia="宋体"/>
                      <w:color w:val="auto"/>
                      <w:sz w:val="21"/>
                      <w:szCs w:val="21"/>
                      <w:vertAlign w:val="baseline"/>
                      <w:lang w:val="en-US" w:eastAsia="zh-CN"/>
                    </w:rPr>
                    <w:t>等。</w:t>
                  </w:r>
                </w:p>
              </w:tc>
            </w:tr>
            <w:tr w14:paraId="500C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tcBorders>
                    <w:tl2br w:val="nil"/>
                    <w:tr2bl w:val="nil"/>
                  </w:tcBorders>
                  <w:vAlign w:val="center"/>
                </w:tcPr>
                <w:p w14:paraId="5DA230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11</w:t>
                  </w:r>
                </w:p>
              </w:tc>
              <w:tc>
                <w:tcPr>
                  <w:tcW w:w="1400" w:type="dxa"/>
                  <w:tcBorders>
                    <w:tl2br w:val="nil"/>
                    <w:tr2bl w:val="nil"/>
                  </w:tcBorders>
                  <w:shd w:val="clear" w:color="auto" w:fill="auto"/>
                  <w:vAlign w:val="center"/>
                </w:tcPr>
                <w:p w14:paraId="5ABD86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PBS缓冲液</w:t>
                  </w:r>
                </w:p>
              </w:tc>
              <w:tc>
                <w:tcPr>
                  <w:tcW w:w="5779" w:type="dxa"/>
                  <w:tcBorders>
                    <w:tl2br w:val="nil"/>
                    <w:tr2bl w:val="nil"/>
                  </w:tcBorders>
                  <w:shd w:val="clear" w:color="auto" w:fill="auto"/>
                  <w:vAlign w:val="center"/>
                </w:tcPr>
                <w:p w14:paraId="75E941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磷酸缓冲盐溶液，一般作为溶剂，主要成分为Na</w:t>
                  </w:r>
                  <w:r>
                    <w:rPr>
                      <w:rFonts w:hint="default" w:ascii="Times New Roman" w:hAnsi="Times New Roman" w:eastAsia="宋体"/>
                      <w:color w:val="auto"/>
                      <w:sz w:val="21"/>
                      <w:szCs w:val="21"/>
                      <w:vertAlign w:val="subscript"/>
                      <w:lang w:val="en-US" w:eastAsia="zh-CN"/>
                    </w:rPr>
                    <w:t>2</w:t>
                  </w:r>
                  <w:r>
                    <w:rPr>
                      <w:rFonts w:hint="default" w:ascii="Times New Roman" w:hAnsi="Times New Roman" w:eastAsia="宋体"/>
                      <w:color w:val="auto"/>
                      <w:sz w:val="21"/>
                      <w:szCs w:val="21"/>
                      <w:vertAlign w:val="baseline"/>
                      <w:lang w:val="en-US" w:eastAsia="zh-CN"/>
                    </w:rPr>
                    <w:t>HPO4、KH</w:t>
                  </w:r>
                  <w:r>
                    <w:rPr>
                      <w:rFonts w:hint="default" w:ascii="Times New Roman" w:hAnsi="Times New Roman" w:eastAsia="宋体"/>
                      <w:color w:val="auto"/>
                      <w:sz w:val="21"/>
                      <w:szCs w:val="21"/>
                      <w:vertAlign w:val="subscript"/>
                      <w:lang w:val="en-US" w:eastAsia="zh-CN"/>
                    </w:rPr>
                    <w:t>2</w:t>
                  </w:r>
                  <w:r>
                    <w:rPr>
                      <w:rFonts w:hint="default" w:ascii="Times New Roman" w:hAnsi="Times New Roman" w:eastAsia="宋体"/>
                      <w:color w:val="auto"/>
                      <w:sz w:val="21"/>
                      <w:szCs w:val="21"/>
                      <w:vertAlign w:val="baseline"/>
                      <w:lang w:val="en-US" w:eastAsia="zh-CN"/>
                    </w:rPr>
                    <w:t>PO4、NaCl和KCl。</w:t>
                  </w:r>
                </w:p>
              </w:tc>
            </w:tr>
          </w:tbl>
          <w:p w14:paraId="0A8503B8">
            <w:pPr>
              <w:rPr>
                <w:rFonts w:hint="default"/>
                <w:color w:val="auto"/>
                <w:vertAlign w:val="baseline"/>
                <w:lang w:val="en-US" w:eastAsia="zh-CN"/>
              </w:rPr>
            </w:pPr>
            <w:r>
              <w:rPr>
                <w:rFonts w:hint="eastAsia"/>
                <w:color w:val="auto"/>
                <w:vertAlign w:val="baseline"/>
                <w:lang w:val="en-US" w:eastAsia="zh-CN"/>
              </w:rPr>
              <w:t>（6）主要仪器设备</w:t>
            </w:r>
          </w:p>
          <w:p w14:paraId="02041082">
            <w:pPr>
              <w:rPr>
                <w:rFonts w:hint="eastAsia"/>
                <w:color w:val="auto"/>
                <w:vertAlign w:val="baseline"/>
                <w:lang w:val="en-US" w:eastAsia="zh-CN"/>
              </w:rPr>
            </w:pPr>
            <w:r>
              <w:rPr>
                <w:rFonts w:hint="eastAsia"/>
                <w:color w:val="auto"/>
                <w:vertAlign w:val="baseline"/>
                <w:lang w:val="en-US" w:eastAsia="zh-CN"/>
              </w:rPr>
              <w:t>本项目主要仪器设备见下表。</w:t>
            </w:r>
          </w:p>
          <w:p w14:paraId="520F0170">
            <w:pPr>
              <w:pStyle w:val="15"/>
              <w:numPr>
                <w:ilvl w:val="0"/>
                <w:numId w:val="6"/>
              </w:numPr>
              <w:bidi w:val="0"/>
              <w:ind w:left="425" w:leftChars="0" w:hanging="425" w:firstLineChars="0"/>
              <w:rPr>
                <w:rFonts w:hint="default"/>
                <w:color w:val="auto"/>
                <w:sz w:val="24"/>
                <w:szCs w:val="24"/>
                <w:lang w:val="en-US" w:eastAsia="zh-CN"/>
              </w:rPr>
            </w:pPr>
            <w:r>
              <w:rPr>
                <w:rFonts w:hint="eastAsia"/>
                <w:color w:val="auto"/>
                <w:sz w:val="24"/>
                <w:szCs w:val="24"/>
                <w:lang w:val="en-US" w:eastAsia="zh-CN"/>
              </w:rPr>
              <w:t>主要仪器设备清单一览表</w:t>
            </w:r>
          </w:p>
          <w:tbl>
            <w:tblPr>
              <w:tblStyle w:val="11"/>
              <w:tblW w:w="487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723"/>
              <w:gridCol w:w="1397"/>
              <w:gridCol w:w="1145"/>
              <w:gridCol w:w="1353"/>
              <w:gridCol w:w="1448"/>
            </w:tblGrid>
            <w:tr w14:paraId="4B433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480" w:type="pct"/>
                  <w:tcBorders>
                    <w:tl2br w:val="nil"/>
                    <w:tr2bl w:val="nil"/>
                  </w:tcBorders>
                  <w:noWrap w:val="0"/>
                  <w:vAlign w:val="center"/>
                </w:tcPr>
                <w:p w14:paraId="5C7673A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序号</w:t>
                  </w:r>
                </w:p>
              </w:tc>
              <w:tc>
                <w:tcPr>
                  <w:tcW w:w="1101" w:type="pct"/>
                  <w:tcBorders>
                    <w:tl2br w:val="nil"/>
                    <w:tr2bl w:val="nil"/>
                  </w:tcBorders>
                  <w:noWrap w:val="0"/>
                  <w:vAlign w:val="center"/>
                </w:tcPr>
                <w:p w14:paraId="0A61A24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设备名称</w:t>
                  </w:r>
                </w:p>
              </w:tc>
              <w:tc>
                <w:tcPr>
                  <w:tcW w:w="893" w:type="pct"/>
                  <w:tcBorders>
                    <w:tl2br w:val="nil"/>
                    <w:tr2bl w:val="nil"/>
                  </w:tcBorders>
                  <w:noWrap w:val="0"/>
                  <w:vAlign w:val="center"/>
                </w:tcPr>
                <w:p w14:paraId="3576002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sz w:val="21"/>
                      <w:szCs w:val="21"/>
                      <w:highlight w:val="none"/>
                      <w:lang w:val="en-US" w:eastAsia="zh-CN"/>
                    </w:rPr>
                  </w:pPr>
                  <w:r>
                    <w:rPr>
                      <w:rFonts w:hint="eastAsia"/>
                      <w:b/>
                      <w:bCs/>
                      <w:color w:val="auto"/>
                      <w:sz w:val="21"/>
                      <w:szCs w:val="21"/>
                      <w:highlight w:val="none"/>
                    </w:rPr>
                    <w:t>型号</w:t>
                  </w:r>
                </w:p>
              </w:tc>
              <w:tc>
                <w:tcPr>
                  <w:tcW w:w="732" w:type="pct"/>
                  <w:tcBorders>
                    <w:tl2br w:val="nil"/>
                    <w:tr2bl w:val="nil"/>
                  </w:tcBorders>
                  <w:noWrap w:val="0"/>
                  <w:vAlign w:val="center"/>
                </w:tcPr>
                <w:p w14:paraId="02DBAF6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数量</w:t>
                  </w:r>
                </w:p>
              </w:tc>
              <w:tc>
                <w:tcPr>
                  <w:tcW w:w="865" w:type="pct"/>
                  <w:tcBorders>
                    <w:tl2br w:val="nil"/>
                    <w:tr2bl w:val="nil"/>
                  </w:tcBorders>
                  <w:noWrap w:val="0"/>
                  <w:vAlign w:val="center"/>
                </w:tcPr>
                <w:p w14:paraId="72C406C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位置</w:t>
                  </w:r>
                </w:p>
              </w:tc>
              <w:tc>
                <w:tcPr>
                  <w:tcW w:w="926" w:type="pct"/>
                  <w:tcBorders>
                    <w:tl2br w:val="nil"/>
                    <w:tr2bl w:val="nil"/>
                  </w:tcBorders>
                  <w:noWrap w:val="0"/>
                  <w:vAlign w:val="center"/>
                </w:tcPr>
                <w:p w14:paraId="27DDE79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用途</w:t>
                  </w:r>
                </w:p>
              </w:tc>
            </w:tr>
            <w:tr w14:paraId="7FC384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480" w:type="pct"/>
                  <w:tcBorders>
                    <w:tl2br w:val="nil"/>
                    <w:tr2bl w:val="nil"/>
                  </w:tcBorders>
                  <w:noWrap w:val="0"/>
                  <w:vAlign w:val="center"/>
                </w:tcPr>
                <w:p w14:paraId="1CB8C1A6">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1101" w:type="pct"/>
                  <w:tcBorders>
                    <w:tl2br w:val="nil"/>
                    <w:tr2bl w:val="nil"/>
                  </w:tcBorders>
                  <w:shd w:val="clear" w:color="auto" w:fill="auto"/>
                  <w:noWrap w:val="0"/>
                  <w:vAlign w:val="center"/>
                </w:tcPr>
                <w:p w14:paraId="2F52D77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划膜喷金标机</w:t>
                  </w:r>
                </w:p>
              </w:tc>
              <w:tc>
                <w:tcPr>
                  <w:tcW w:w="893" w:type="pct"/>
                  <w:tcBorders>
                    <w:tl2br w:val="nil"/>
                    <w:tr2bl w:val="nil"/>
                  </w:tcBorders>
                  <w:shd w:val="clear" w:color="auto" w:fill="auto"/>
                  <w:noWrap w:val="0"/>
                  <w:vAlign w:val="center"/>
                </w:tcPr>
                <w:p w14:paraId="56E7F89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HGS510</w:t>
                  </w:r>
                </w:p>
              </w:tc>
              <w:tc>
                <w:tcPr>
                  <w:tcW w:w="732" w:type="pct"/>
                  <w:tcBorders>
                    <w:tl2br w:val="nil"/>
                    <w:tr2bl w:val="nil"/>
                  </w:tcBorders>
                  <w:shd w:val="clear" w:color="auto" w:fill="auto"/>
                  <w:noWrap w:val="0"/>
                  <w:vAlign w:val="center"/>
                </w:tcPr>
                <w:p w14:paraId="0FB75874">
                  <w:pPr>
                    <w:spacing w:line="240" w:lineRule="auto"/>
                    <w:ind w:left="0" w:leftChars="0" w:firstLine="0" w:firstLineChars="0"/>
                    <w:jc w:val="center"/>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w:t>
                  </w:r>
                </w:p>
              </w:tc>
              <w:tc>
                <w:tcPr>
                  <w:tcW w:w="865" w:type="pct"/>
                  <w:tcBorders>
                    <w:tl2br w:val="nil"/>
                    <w:tr2bl w:val="nil"/>
                  </w:tcBorders>
                  <w:shd w:val="clear" w:color="auto" w:fill="auto"/>
                  <w:noWrap w:val="0"/>
                  <w:vAlign w:val="center"/>
                </w:tcPr>
                <w:p w14:paraId="728071B0">
                  <w:pPr>
                    <w:spacing w:line="240" w:lineRule="auto"/>
                    <w:ind w:left="0" w:leftChars="0" w:firstLine="0" w:firstLineChars="0"/>
                    <w:jc w:val="center"/>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实验室1</w:t>
                  </w:r>
                </w:p>
              </w:tc>
              <w:tc>
                <w:tcPr>
                  <w:tcW w:w="926" w:type="pct"/>
                  <w:tcBorders>
                    <w:tl2br w:val="nil"/>
                    <w:tr2bl w:val="nil"/>
                  </w:tcBorders>
                  <w:shd w:val="clear" w:color="auto" w:fill="auto"/>
                  <w:noWrap w:val="0"/>
                  <w:vAlign w:val="center"/>
                </w:tcPr>
                <w:p w14:paraId="25635452">
                  <w:pPr>
                    <w:spacing w:line="240" w:lineRule="auto"/>
                    <w:ind w:left="0" w:leftChars="0" w:firstLine="0" w:firstLineChars="0"/>
                    <w:jc w:val="center"/>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免疫层析</w:t>
                  </w:r>
                </w:p>
              </w:tc>
            </w:tr>
            <w:tr w14:paraId="2E10BB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480" w:type="pct"/>
                  <w:tcBorders>
                    <w:tl2br w:val="nil"/>
                    <w:tr2bl w:val="nil"/>
                  </w:tcBorders>
                  <w:noWrap w:val="0"/>
                  <w:vAlign w:val="center"/>
                </w:tcPr>
                <w:p w14:paraId="52D3793F">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1101" w:type="pct"/>
                  <w:tcBorders>
                    <w:tl2br w:val="nil"/>
                    <w:tr2bl w:val="nil"/>
                  </w:tcBorders>
                  <w:shd w:val="clear" w:color="auto" w:fill="auto"/>
                  <w:noWrap w:val="0"/>
                  <w:vAlign w:val="center"/>
                </w:tcPr>
                <w:p w14:paraId="5440A71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电热鼓风干燥机</w:t>
                  </w:r>
                </w:p>
              </w:tc>
              <w:tc>
                <w:tcPr>
                  <w:tcW w:w="893" w:type="pct"/>
                  <w:tcBorders>
                    <w:tl2br w:val="nil"/>
                    <w:tr2bl w:val="nil"/>
                  </w:tcBorders>
                  <w:shd w:val="clear" w:color="auto" w:fill="auto"/>
                  <w:noWrap w:val="0"/>
                  <w:vAlign w:val="center"/>
                </w:tcPr>
                <w:p w14:paraId="31C368C3">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101-3AR</w:t>
                  </w:r>
                </w:p>
              </w:tc>
              <w:tc>
                <w:tcPr>
                  <w:tcW w:w="732" w:type="pct"/>
                  <w:tcBorders>
                    <w:tl2br w:val="nil"/>
                    <w:tr2bl w:val="nil"/>
                  </w:tcBorders>
                  <w:shd w:val="clear" w:color="auto" w:fill="auto"/>
                  <w:noWrap w:val="0"/>
                  <w:vAlign w:val="center"/>
                </w:tcPr>
                <w:p w14:paraId="0E8C43F4">
                  <w:pPr>
                    <w:spacing w:line="240" w:lineRule="auto"/>
                    <w:ind w:left="0" w:leftChars="0" w:firstLine="0" w:firstLineChars="0"/>
                    <w:jc w:val="center"/>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1</w:t>
                  </w:r>
                </w:p>
              </w:tc>
              <w:tc>
                <w:tcPr>
                  <w:tcW w:w="865" w:type="pct"/>
                  <w:tcBorders>
                    <w:tl2br w:val="nil"/>
                    <w:tr2bl w:val="nil"/>
                  </w:tcBorders>
                  <w:shd w:val="clear" w:color="auto" w:fill="auto"/>
                  <w:noWrap w:val="0"/>
                  <w:vAlign w:val="center"/>
                </w:tcPr>
                <w:p w14:paraId="456731AD">
                  <w:pPr>
                    <w:spacing w:line="240" w:lineRule="auto"/>
                    <w:ind w:left="0" w:leftChars="0" w:firstLine="0" w:firstLineChars="0"/>
                    <w:jc w:val="center"/>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实验室1</w:t>
                  </w:r>
                </w:p>
              </w:tc>
              <w:tc>
                <w:tcPr>
                  <w:tcW w:w="926" w:type="pct"/>
                  <w:tcBorders>
                    <w:tl2br w:val="nil"/>
                    <w:tr2bl w:val="nil"/>
                  </w:tcBorders>
                  <w:shd w:val="clear" w:color="auto" w:fill="auto"/>
                  <w:noWrap w:val="0"/>
                  <w:vAlign w:val="center"/>
                </w:tcPr>
                <w:p w14:paraId="1BFBB719">
                  <w:pPr>
                    <w:spacing w:line="240" w:lineRule="auto"/>
                    <w:ind w:left="0" w:leftChars="0" w:firstLine="0" w:firstLineChars="0"/>
                    <w:jc w:val="center"/>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免疫层析</w:t>
                  </w:r>
                </w:p>
              </w:tc>
            </w:tr>
            <w:tr w14:paraId="1E5108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480" w:type="pct"/>
                  <w:tcBorders>
                    <w:tl2br w:val="nil"/>
                    <w:tr2bl w:val="nil"/>
                  </w:tcBorders>
                  <w:noWrap w:val="0"/>
                  <w:vAlign w:val="center"/>
                </w:tcPr>
                <w:p w14:paraId="38B17F23">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1101" w:type="pct"/>
                  <w:tcBorders>
                    <w:tl2br w:val="nil"/>
                    <w:tr2bl w:val="nil"/>
                  </w:tcBorders>
                  <w:shd w:val="clear" w:color="auto" w:fill="auto"/>
                  <w:noWrap w:val="0"/>
                  <w:vAlign w:val="center"/>
                </w:tcPr>
                <w:p w14:paraId="58ABDE72">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无抽空气压缩机</w:t>
                  </w:r>
                </w:p>
              </w:tc>
              <w:tc>
                <w:tcPr>
                  <w:tcW w:w="893" w:type="pct"/>
                  <w:tcBorders>
                    <w:tl2br w:val="nil"/>
                    <w:tr2bl w:val="nil"/>
                  </w:tcBorders>
                  <w:shd w:val="clear" w:color="auto" w:fill="auto"/>
                  <w:noWrap w:val="0"/>
                  <w:vAlign w:val="center"/>
                </w:tcPr>
                <w:p w14:paraId="3EFE00D2">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3617</w:t>
                  </w:r>
                </w:p>
              </w:tc>
              <w:tc>
                <w:tcPr>
                  <w:tcW w:w="732" w:type="pct"/>
                  <w:tcBorders>
                    <w:tl2br w:val="nil"/>
                    <w:tr2bl w:val="nil"/>
                  </w:tcBorders>
                  <w:shd w:val="clear" w:color="auto" w:fill="auto"/>
                  <w:noWrap w:val="0"/>
                  <w:vAlign w:val="center"/>
                </w:tcPr>
                <w:p w14:paraId="2F75FAFE">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w:t>
                  </w:r>
                </w:p>
              </w:tc>
              <w:tc>
                <w:tcPr>
                  <w:tcW w:w="865" w:type="pct"/>
                  <w:tcBorders>
                    <w:tl2br w:val="nil"/>
                    <w:tr2bl w:val="nil"/>
                  </w:tcBorders>
                  <w:shd w:val="clear" w:color="auto" w:fill="auto"/>
                  <w:noWrap w:val="0"/>
                  <w:vAlign w:val="center"/>
                </w:tcPr>
                <w:p w14:paraId="4990985C">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实验室1</w:t>
                  </w:r>
                </w:p>
              </w:tc>
              <w:tc>
                <w:tcPr>
                  <w:tcW w:w="926" w:type="pct"/>
                  <w:tcBorders>
                    <w:tl2br w:val="nil"/>
                    <w:tr2bl w:val="nil"/>
                  </w:tcBorders>
                  <w:shd w:val="clear" w:color="auto" w:fill="auto"/>
                  <w:noWrap w:val="0"/>
                  <w:vAlign w:val="center"/>
                </w:tcPr>
                <w:p w14:paraId="360F55D0">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免疫层析</w:t>
                  </w:r>
                </w:p>
              </w:tc>
            </w:tr>
            <w:tr w14:paraId="6056AD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480" w:type="pct"/>
                  <w:tcBorders>
                    <w:tl2br w:val="nil"/>
                    <w:tr2bl w:val="nil"/>
                  </w:tcBorders>
                  <w:noWrap w:val="0"/>
                  <w:vAlign w:val="center"/>
                </w:tcPr>
                <w:p w14:paraId="367A91C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1101" w:type="pct"/>
                  <w:tcBorders>
                    <w:tl2br w:val="nil"/>
                    <w:tr2bl w:val="nil"/>
                  </w:tcBorders>
                  <w:shd w:val="clear" w:color="auto" w:fill="auto"/>
                  <w:noWrap w:val="0"/>
                  <w:vAlign w:val="center"/>
                </w:tcPr>
                <w:p w14:paraId="31298C3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可编程切条机</w:t>
                  </w:r>
                </w:p>
              </w:tc>
              <w:tc>
                <w:tcPr>
                  <w:tcW w:w="893" w:type="pct"/>
                  <w:tcBorders>
                    <w:tl2br w:val="nil"/>
                    <w:tr2bl w:val="nil"/>
                  </w:tcBorders>
                  <w:shd w:val="clear" w:color="auto" w:fill="auto"/>
                  <w:noWrap w:val="0"/>
                  <w:vAlign w:val="center"/>
                </w:tcPr>
                <w:p w14:paraId="6E71B9D8">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HG5201</w:t>
                  </w:r>
                </w:p>
              </w:tc>
              <w:tc>
                <w:tcPr>
                  <w:tcW w:w="732" w:type="pct"/>
                  <w:tcBorders>
                    <w:tl2br w:val="nil"/>
                    <w:tr2bl w:val="nil"/>
                  </w:tcBorders>
                  <w:shd w:val="clear" w:color="auto" w:fill="auto"/>
                  <w:noWrap w:val="0"/>
                  <w:vAlign w:val="center"/>
                </w:tcPr>
                <w:p w14:paraId="7A7804BE">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w:t>
                  </w:r>
                </w:p>
              </w:tc>
              <w:tc>
                <w:tcPr>
                  <w:tcW w:w="865" w:type="pct"/>
                  <w:tcBorders>
                    <w:tl2br w:val="nil"/>
                    <w:tr2bl w:val="nil"/>
                  </w:tcBorders>
                  <w:shd w:val="clear" w:color="auto" w:fill="auto"/>
                  <w:noWrap w:val="0"/>
                  <w:vAlign w:val="center"/>
                </w:tcPr>
                <w:p w14:paraId="1C46B04F">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实验室1</w:t>
                  </w:r>
                </w:p>
              </w:tc>
              <w:tc>
                <w:tcPr>
                  <w:tcW w:w="926" w:type="pct"/>
                  <w:tcBorders>
                    <w:tl2br w:val="nil"/>
                    <w:tr2bl w:val="nil"/>
                  </w:tcBorders>
                  <w:shd w:val="clear" w:color="auto" w:fill="auto"/>
                  <w:noWrap w:val="0"/>
                  <w:vAlign w:val="center"/>
                </w:tcPr>
                <w:p w14:paraId="055BB23D">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免疫层析</w:t>
                  </w:r>
                </w:p>
              </w:tc>
            </w:tr>
            <w:tr w14:paraId="561F5B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480" w:type="pct"/>
                  <w:tcBorders>
                    <w:tl2br w:val="nil"/>
                    <w:tr2bl w:val="nil"/>
                  </w:tcBorders>
                  <w:noWrap w:val="0"/>
                  <w:vAlign w:val="center"/>
                </w:tcPr>
                <w:p w14:paraId="3D081B3E">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1101" w:type="pct"/>
                  <w:tcBorders>
                    <w:tl2br w:val="nil"/>
                    <w:tr2bl w:val="nil"/>
                  </w:tcBorders>
                  <w:shd w:val="clear" w:color="auto" w:fill="auto"/>
                  <w:noWrap w:val="0"/>
                  <w:vAlign w:val="center"/>
                </w:tcPr>
                <w:p w14:paraId="3A45805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干燥机</w:t>
                  </w:r>
                </w:p>
              </w:tc>
              <w:tc>
                <w:tcPr>
                  <w:tcW w:w="893" w:type="pct"/>
                  <w:tcBorders>
                    <w:tl2br w:val="nil"/>
                    <w:tr2bl w:val="nil"/>
                  </w:tcBorders>
                  <w:shd w:val="clear" w:color="auto" w:fill="auto"/>
                  <w:noWrap w:val="0"/>
                  <w:vAlign w:val="center"/>
                </w:tcPr>
                <w:p w14:paraId="490965DA">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732" w:type="pct"/>
                  <w:tcBorders>
                    <w:tl2br w:val="nil"/>
                    <w:tr2bl w:val="nil"/>
                  </w:tcBorders>
                  <w:shd w:val="clear" w:color="auto" w:fill="auto"/>
                  <w:noWrap w:val="0"/>
                  <w:vAlign w:val="center"/>
                </w:tcPr>
                <w:p w14:paraId="032DAA37">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w:t>
                  </w:r>
                </w:p>
              </w:tc>
              <w:tc>
                <w:tcPr>
                  <w:tcW w:w="865" w:type="pct"/>
                  <w:tcBorders>
                    <w:tl2br w:val="nil"/>
                    <w:tr2bl w:val="nil"/>
                  </w:tcBorders>
                  <w:shd w:val="clear" w:color="auto" w:fill="auto"/>
                  <w:noWrap w:val="0"/>
                  <w:vAlign w:val="center"/>
                </w:tcPr>
                <w:p w14:paraId="4D7D6A86">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实验室1</w:t>
                  </w:r>
                </w:p>
              </w:tc>
              <w:tc>
                <w:tcPr>
                  <w:tcW w:w="926" w:type="pct"/>
                  <w:tcBorders>
                    <w:tl2br w:val="nil"/>
                    <w:tr2bl w:val="nil"/>
                  </w:tcBorders>
                  <w:shd w:val="clear" w:color="auto" w:fill="auto"/>
                  <w:noWrap w:val="0"/>
                  <w:vAlign w:val="center"/>
                </w:tcPr>
                <w:p w14:paraId="1592F66D">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免疫层析</w:t>
                  </w:r>
                </w:p>
              </w:tc>
            </w:tr>
            <w:tr w14:paraId="214D54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519D5387">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6</w:t>
                  </w:r>
                </w:p>
              </w:tc>
              <w:tc>
                <w:tcPr>
                  <w:tcW w:w="1101" w:type="pct"/>
                  <w:tcBorders>
                    <w:tl2br w:val="nil"/>
                    <w:tr2bl w:val="nil"/>
                  </w:tcBorders>
                  <w:shd w:val="clear" w:color="auto" w:fill="auto"/>
                  <w:noWrap w:val="0"/>
                  <w:vAlign w:val="center"/>
                </w:tcPr>
                <w:p w14:paraId="1CE5D43E">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压壳机</w:t>
                  </w:r>
                </w:p>
              </w:tc>
              <w:tc>
                <w:tcPr>
                  <w:tcW w:w="893" w:type="pct"/>
                  <w:tcBorders>
                    <w:tl2br w:val="nil"/>
                    <w:tr2bl w:val="nil"/>
                  </w:tcBorders>
                  <w:shd w:val="clear" w:color="auto" w:fill="auto"/>
                  <w:noWrap w:val="0"/>
                  <w:vAlign w:val="center"/>
                </w:tcPr>
                <w:p w14:paraId="11E43D29">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HG520</w:t>
                  </w:r>
                </w:p>
              </w:tc>
              <w:tc>
                <w:tcPr>
                  <w:tcW w:w="732" w:type="pct"/>
                  <w:tcBorders>
                    <w:tl2br w:val="nil"/>
                    <w:tr2bl w:val="nil"/>
                  </w:tcBorders>
                  <w:shd w:val="clear" w:color="auto" w:fill="auto"/>
                  <w:noWrap w:val="0"/>
                  <w:vAlign w:val="center"/>
                </w:tcPr>
                <w:p w14:paraId="6ECE8FEF">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w:t>
                  </w:r>
                </w:p>
              </w:tc>
              <w:tc>
                <w:tcPr>
                  <w:tcW w:w="865" w:type="pct"/>
                  <w:tcBorders>
                    <w:tl2br w:val="nil"/>
                    <w:tr2bl w:val="nil"/>
                  </w:tcBorders>
                  <w:shd w:val="clear" w:color="auto" w:fill="auto"/>
                  <w:noWrap w:val="0"/>
                  <w:vAlign w:val="center"/>
                </w:tcPr>
                <w:p w14:paraId="3A6D148F">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实验室1</w:t>
                  </w:r>
                </w:p>
              </w:tc>
              <w:tc>
                <w:tcPr>
                  <w:tcW w:w="926" w:type="pct"/>
                  <w:tcBorders>
                    <w:tl2br w:val="nil"/>
                    <w:tr2bl w:val="nil"/>
                  </w:tcBorders>
                  <w:shd w:val="clear" w:color="auto" w:fill="auto"/>
                  <w:noWrap w:val="0"/>
                  <w:vAlign w:val="center"/>
                </w:tcPr>
                <w:p w14:paraId="02A38AEB">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免疫层析</w:t>
                  </w:r>
                </w:p>
              </w:tc>
            </w:tr>
            <w:tr w14:paraId="0740F5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5C69308C">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7</w:t>
                  </w:r>
                </w:p>
              </w:tc>
              <w:tc>
                <w:tcPr>
                  <w:tcW w:w="1101" w:type="pct"/>
                  <w:tcBorders>
                    <w:tl2br w:val="nil"/>
                    <w:tr2bl w:val="nil"/>
                  </w:tcBorders>
                  <w:shd w:val="clear" w:color="auto" w:fill="auto"/>
                  <w:noWrap w:val="0"/>
                  <w:vAlign w:val="center"/>
                </w:tcPr>
                <w:p w14:paraId="786D8A7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磁力搅拌器</w:t>
                  </w:r>
                </w:p>
              </w:tc>
              <w:tc>
                <w:tcPr>
                  <w:tcW w:w="893" w:type="pct"/>
                  <w:tcBorders>
                    <w:tl2br w:val="nil"/>
                    <w:tr2bl w:val="nil"/>
                  </w:tcBorders>
                  <w:shd w:val="clear" w:color="auto" w:fill="auto"/>
                  <w:noWrap w:val="0"/>
                  <w:vAlign w:val="center"/>
                </w:tcPr>
                <w:p w14:paraId="633CDE49">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732" w:type="pct"/>
                  <w:tcBorders>
                    <w:tl2br w:val="nil"/>
                    <w:tr2bl w:val="nil"/>
                  </w:tcBorders>
                  <w:shd w:val="clear" w:color="auto" w:fill="auto"/>
                  <w:noWrap w:val="0"/>
                  <w:vAlign w:val="center"/>
                </w:tcPr>
                <w:p w14:paraId="28E393AD">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w:t>
                  </w:r>
                </w:p>
              </w:tc>
              <w:tc>
                <w:tcPr>
                  <w:tcW w:w="865" w:type="pct"/>
                  <w:tcBorders>
                    <w:tl2br w:val="nil"/>
                    <w:tr2bl w:val="nil"/>
                  </w:tcBorders>
                  <w:shd w:val="clear" w:color="auto" w:fill="auto"/>
                  <w:noWrap w:val="0"/>
                  <w:vAlign w:val="center"/>
                </w:tcPr>
                <w:p w14:paraId="2D604320">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实验室2</w:t>
                  </w:r>
                </w:p>
              </w:tc>
              <w:tc>
                <w:tcPr>
                  <w:tcW w:w="926" w:type="pct"/>
                  <w:tcBorders>
                    <w:tl2br w:val="nil"/>
                    <w:tr2bl w:val="nil"/>
                  </w:tcBorders>
                  <w:shd w:val="clear" w:color="auto" w:fill="auto"/>
                  <w:noWrap w:val="0"/>
                  <w:vAlign w:val="center"/>
                </w:tcPr>
                <w:p w14:paraId="3BFC256E">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混匀</w:t>
                  </w:r>
                </w:p>
              </w:tc>
            </w:tr>
            <w:tr w14:paraId="384A13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4893F36E">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8</w:t>
                  </w:r>
                </w:p>
              </w:tc>
              <w:tc>
                <w:tcPr>
                  <w:tcW w:w="1101" w:type="pct"/>
                  <w:tcBorders>
                    <w:tl2br w:val="nil"/>
                    <w:tr2bl w:val="nil"/>
                  </w:tcBorders>
                  <w:shd w:val="clear" w:color="auto" w:fill="auto"/>
                  <w:noWrap w:val="0"/>
                  <w:vAlign w:val="center"/>
                </w:tcPr>
                <w:p w14:paraId="4BE2C2B1">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垂直混匀仪</w:t>
                  </w:r>
                </w:p>
              </w:tc>
              <w:tc>
                <w:tcPr>
                  <w:tcW w:w="893" w:type="pct"/>
                  <w:tcBorders>
                    <w:tl2br w:val="nil"/>
                    <w:tr2bl w:val="nil"/>
                  </w:tcBorders>
                  <w:shd w:val="clear" w:color="auto" w:fill="auto"/>
                  <w:noWrap w:val="0"/>
                  <w:vAlign w:val="center"/>
                </w:tcPr>
                <w:p w14:paraId="26E3710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732" w:type="pct"/>
                  <w:tcBorders>
                    <w:tl2br w:val="nil"/>
                    <w:tr2bl w:val="nil"/>
                  </w:tcBorders>
                  <w:shd w:val="clear" w:color="auto" w:fill="auto"/>
                  <w:noWrap w:val="0"/>
                  <w:vAlign w:val="center"/>
                </w:tcPr>
                <w:p w14:paraId="4EEF92C8">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w:t>
                  </w:r>
                </w:p>
              </w:tc>
              <w:tc>
                <w:tcPr>
                  <w:tcW w:w="865" w:type="pct"/>
                  <w:tcBorders>
                    <w:tl2br w:val="nil"/>
                    <w:tr2bl w:val="nil"/>
                  </w:tcBorders>
                  <w:shd w:val="clear" w:color="auto" w:fill="auto"/>
                  <w:noWrap w:val="0"/>
                  <w:vAlign w:val="center"/>
                </w:tcPr>
                <w:p w14:paraId="1CEDDAED">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实验室2</w:t>
                  </w:r>
                </w:p>
              </w:tc>
              <w:tc>
                <w:tcPr>
                  <w:tcW w:w="926" w:type="pct"/>
                  <w:tcBorders>
                    <w:tl2br w:val="nil"/>
                    <w:tr2bl w:val="nil"/>
                  </w:tcBorders>
                  <w:shd w:val="clear" w:color="auto" w:fill="auto"/>
                  <w:noWrap w:val="0"/>
                  <w:vAlign w:val="center"/>
                </w:tcPr>
                <w:p w14:paraId="2E365424">
                  <w:pPr>
                    <w:spacing w:line="240" w:lineRule="auto"/>
                    <w:ind w:left="0" w:leftChars="0" w:firstLine="0" w:firstLineChars="0"/>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混匀</w:t>
                  </w:r>
                </w:p>
              </w:tc>
            </w:tr>
            <w:tr w14:paraId="279BBE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1D1BA21A">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9</w:t>
                  </w:r>
                </w:p>
              </w:tc>
              <w:tc>
                <w:tcPr>
                  <w:tcW w:w="1101" w:type="pct"/>
                  <w:tcBorders>
                    <w:tl2br w:val="nil"/>
                    <w:tr2bl w:val="nil"/>
                  </w:tcBorders>
                  <w:shd w:val="clear" w:color="auto" w:fill="auto"/>
                  <w:noWrap w:val="0"/>
                  <w:vAlign w:val="center"/>
                </w:tcPr>
                <w:p w14:paraId="0DB19AB3">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控温震荡仪</w:t>
                  </w:r>
                </w:p>
              </w:tc>
              <w:tc>
                <w:tcPr>
                  <w:tcW w:w="893" w:type="pct"/>
                  <w:tcBorders>
                    <w:tl2br w:val="nil"/>
                    <w:tr2bl w:val="nil"/>
                  </w:tcBorders>
                  <w:shd w:val="clear" w:color="auto" w:fill="auto"/>
                  <w:noWrap w:val="0"/>
                  <w:vAlign w:val="center"/>
                </w:tcPr>
                <w:p w14:paraId="57A9F55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732" w:type="pct"/>
                  <w:tcBorders>
                    <w:tl2br w:val="nil"/>
                    <w:tr2bl w:val="nil"/>
                  </w:tcBorders>
                  <w:shd w:val="clear" w:color="auto" w:fill="auto"/>
                  <w:noWrap w:val="0"/>
                  <w:vAlign w:val="center"/>
                </w:tcPr>
                <w:p w14:paraId="20B7244A">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w:t>
                  </w:r>
                </w:p>
              </w:tc>
              <w:tc>
                <w:tcPr>
                  <w:tcW w:w="865" w:type="pct"/>
                  <w:tcBorders>
                    <w:tl2br w:val="nil"/>
                    <w:tr2bl w:val="nil"/>
                  </w:tcBorders>
                  <w:shd w:val="clear" w:color="auto" w:fill="auto"/>
                  <w:noWrap w:val="0"/>
                  <w:vAlign w:val="center"/>
                </w:tcPr>
                <w:p w14:paraId="4EBD17CA">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实验室2</w:t>
                  </w:r>
                </w:p>
              </w:tc>
              <w:tc>
                <w:tcPr>
                  <w:tcW w:w="926" w:type="pct"/>
                  <w:tcBorders>
                    <w:tl2br w:val="nil"/>
                    <w:tr2bl w:val="nil"/>
                  </w:tcBorders>
                  <w:shd w:val="clear" w:color="auto" w:fill="auto"/>
                  <w:noWrap w:val="0"/>
                  <w:vAlign w:val="center"/>
                </w:tcPr>
                <w:p w14:paraId="18C2EB0A">
                  <w:pPr>
                    <w:spacing w:line="240" w:lineRule="auto"/>
                    <w:ind w:left="0" w:leftChars="0" w:firstLine="0" w:firstLineChars="0"/>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混匀</w:t>
                  </w:r>
                </w:p>
              </w:tc>
            </w:tr>
            <w:tr w14:paraId="39D5A2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58D1BA44">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1101" w:type="pct"/>
                  <w:tcBorders>
                    <w:tl2br w:val="nil"/>
                    <w:tr2bl w:val="nil"/>
                  </w:tcBorders>
                  <w:shd w:val="clear" w:color="auto" w:fill="auto"/>
                  <w:noWrap w:val="0"/>
                  <w:vAlign w:val="center"/>
                </w:tcPr>
                <w:p w14:paraId="787C6788">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干式荧光检测仪</w:t>
                  </w:r>
                </w:p>
              </w:tc>
              <w:tc>
                <w:tcPr>
                  <w:tcW w:w="893" w:type="pct"/>
                  <w:tcBorders>
                    <w:tl2br w:val="nil"/>
                    <w:tr2bl w:val="nil"/>
                  </w:tcBorders>
                  <w:shd w:val="clear" w:color="auto" w:fill="auto"/>
                  <w:noWrap w:val="0"/>
                  <w:vAlign w:val="center"/>
                </w:tcPr>
                <w:p w14:paraId="24DDA4AE">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FIC-Q100</w:t>
                  </w:r>
                </w:p>
              </w:tc>
              <w:tc>
                <w:tcPr>
                  <w:tcW w:w="732" w:type="pct"/>
                  <w:tcBorders>
                    <w:tl2br w:val="nil"/>
                    <w:tr2bl w:val="nil"/>
                  </w:tcBorders>
                  <w:shd w:val="clear" w:color="auto" w:fill="auto"/>
                  <w:noWrap w:val="0"/>
                  <w:vAlign w:val="center"/>
                </w:tcPr>
                <w:p w14:paraId="3C605E28">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3</w:t>
                  </w:r>
                </w:p>
              </w:tc>
              <w:tc>
                <w:tcPr>
                  <w:tcW w:w="865" w:type="pct"/>
                  <w:tcBorders>
                    <w:tl2br w:val="nil"/>
                    <w:tr2bl w:val="nil"/>
                  </w:tcBorders>
                  <w:shd w:val="clear" w:color="auto" w:fill="auto"/>
                  <w:noWrap w:val="0"/>
                  <w:vAlign w:val="center"/>
                </w:tcPr>
                <w:p w14:paraId="46538112">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实验室2</w:t>
                  </w:r>
                </w:p>
              </w:tc>
              <w:tc>
                <w:tcPr>
                  <w:tcW w:w="926" w:type="pct"/>
                  <w:tcBorders>
                    <w:tl2br w:val="nil"/>
                    <w:tr2bl w:val="nil"/>
                  </w:tcBorders>
                  <w:shd w:val="clear" w:color="auto" w:fill="auto"/>
                  <w:noWrap w:val="0"/>
                  <w:vAlign w:val="center"/>
                </w:tcPr>
                <w:p w14:paraId="079C552E">
                  <w:pPr>
                    <w:spacing w:line="240" w:lineRule="auto"/>
                    <w:ind w:left="0" w:leftChars="0" w:firstLine="0" w:firstLineChars="0"/>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混匀</w:t>
                  </w:r>
                </w:p>
              </w:tc>
            </w:tr>
            <w:tr w14:paraId="317B50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7198408D">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w:t>
                  </w:r>
                </w:p>
              </w:tc>
              <w:tc>
                <w:tcPr>
                  <w:tcW w:w="1101" w:type="pct"/>
                  <w:tcBorders>
                    <w:tl2br w:val="nil"/>
                    <w:tr2bl w:val="nil"/>
                  </w:tcBorders>
                  <w:shd w:val="clear" w:color="auto" w:fill="auto"/>
                  <w:noWrap w:val="0"/>
                  <w:vAlign w:val="center"/>
                </w:tcPr>
                <w:p w14:paraId="777F21EB">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酶标仪</w:t>
                  </w:r>
                </w:p>
              </w:tc>
              <w:tc>
                <w:tcPr>
                  <w:tcW w:w="893" w:type="pct"/>
                  <w:tcBorders>
                    <w:tl2br w:val="nil"/>
                    <w:tr2bl w:val="nil"/>
                  </w:tcBorders>
                  <w:shd w:val="clear" w:color="auto" w:fill="auto"/>
                  <w:noWrap w:val="0"/>
                  <w:vAlign w:val="center"/>
                </w:tcPr>
                <w:p w14:paraId="7CD94FA3">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TECEAN</w:t>
                  </w:r>
                </w:p>
              </w:tc>
              <w:tc>
                <w:tcPr>
                  <w:tcW w:w="732" w:type="pct"/>
                  <w:tcBorders>
                    <w:tl2br w:val="nil"/>
                    <w:tr2bl w:val="nil"/>
                  </w:tcBorders>
                  <w:shd w:val="clear" w:color="auto" w:fill="auto"/>
                  <w:noWrap w:val="0"/>
                  <w:vAlign w:val="center"/>
                </w:tcPr>
                <w:p w14:paraId="2E840F26">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1</w:t>
                  </w:r>
                </w:p>
              </w:tc>
              <w:tc>
                <w:tcPr>
                  <w:tcW w:w="865" w:type="pct"/>
                  <w:tcBorders>
                    <w:tl2br w:val="nil"/>
                    <w:tr2bl w:val="nil"/>
                  </w:tcBorders>
                  <w:shd w:val="clear" w:color="auto" w:fill="auto"/>
                  <w:noWrap w:val="0"/>
                  <w:vAlign w:val="center"/>
                </w:tcPr>
                <w:p w14:paraId="386D308B">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实验室2</w:t>
                  </w:r>
                </w:p>
              </w:tc>
              <w:tc>
                <w:tcPr>
                  <w:tcW w:w="926" w:type="pct"/>
                  <w:tcBorders>
                    <w:tl2br w:val="nil"/>
                    <w:tr2bl w:val="nil"/>
                  </w:tcBorders>
                  <w:shd w:val="clear" w:color="auto" w:fill="auto"/>
                  <w:noWrap w:val="0"/>
                  <w:vAlign w:val="center"/>
                </w:tcPr>
                <w:p w14:paraId="3566EC9A">
                  <w:pPr>
                    <w:spacing w:line="240" w:lineRule="auto"/>
                    <w:ind w:left="0" w:leftChars="0" w:firstLine="0" w:firstLineChars="0"/>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混匀</w:t>
                  </w:r>
                </w:p>
              </w:tc>
            </w:tr>
            <w:tr w14:paraId="0825D3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281E85B0">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1101" w:type="pct"/>
                  <w:tcBorders>
                    <w:tl2br w:val="nil"/>
                    <w:tr2bl w:val="nil"/>
                  </w:tcBorders>
                  <w:shd w:val="clear" w:color="auto" w:fill="auto"/>
                  <w:noWrap w:val="0"/>
                  <w:vAlign w:val="center"/>
                </w:tcPr>
                <w:p w14:paraId="1A622D98">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移液枪</w:t>
                  </w:r>
                </w:p>
              </w:tc>
              <w:tc>
                <w:tcPr>
                  <w:tcW w:w="893" w:type="pct"/>
                  <w:tcBorders>
                    <w:tl2br w:val="nil"/>
                    <w:tr2bl w:val="nil"/>
                  </w:tcBorders>
                  <w:shd w:val="clear" w:color="auto" w:fill="auto"/>
                  <w:noWrap w:val="0"/>
                  <w:vAlign w:val="center"/>
                </w:tcPr>
                <w:p w14:paraId="09F50699">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w:t>
                  </w:r>
                </w:p>
              </w:tc>
              <w:tc>
                <w:tcPr>
                  <w:tcW w:w="732" w:type="pct"/>
                  <w:tcBorders>
                    <w:tl2br w:val="nil"/>
                    <w:tr2bl w:val="nil"/>
                  </w:tcBorders>
                  <w:shd w:val="clear" w:color="auto" w:fill="auto"/>
                  <w:noWrap w:val="0"/>
                  <w:vAlign w:val="center"/>
                </w:tcPr>
                <w:p w14:paraId="09C10A29">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若干</w:t>
                  </w:r>
                </w:p>
              </w:tc>
              <w:tc>
                <w:tcPr>
                  <w:tcW w:w="865" w:type="pct"/>
                  <w:tcBorders>
                    <w:tl2br w:val="nil"/>
                    <w:tr2bl w:val="nil"/>
                  </w:tcBorders>
                  <w:shd w:val="clear" w:color="auto" w:fill="auto"/>
                  <w:noWrap w:val="0"/>
                  <w:vAlign w:val="center"/>
                </w:tcPr>
                <w:p w14:paraId="37D68E7A">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实验室2</w:t>
                  </w:r>
                </w:p>
              </w:tc>
              <w:tc>
                <w:tcPr>
                  <w:tcW w:w="926" w:type="pct"/>
                  <w:tcBorders>
                    <w:tl2br w:val="nil"/>
                    <w:tr2bl w:val="nil"/>
                  </w:tcBorders>
                  <w:shd w:val="clear" w:color="auto" w:fill="auto"/>
                  <w:noWrap w:val="0"/>
                  <w:vAlign w:val="center"/>
                </w:tcPr>
                <w:p w14:paraId="6DA1321F">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混匀</w:t>
                  </w:r>
                </w:p>
              </w:tc>
            </w:tr>
            <w:tr w14:paraId="7E4297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0" w:type="pct"/>
                  <w:tcBorders>
                    <w:tl2br w:val="nil"/>
                    <w:tr2bl w:val="nil"/>
                  </w:tcBorders>
                  <w:noWrap w:val="0"/>
                  <w:vAlign w:val="center"/>
                </w:tcPr>
                <w:p w14:paraId="4434187C">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13</w:t>
                  </w:r>
                </w:p>
              </w:tc>
              <w:tc>
                <w:tcPr>
                  <w:tcW w:w="1101" w:type="pct"/>
                  <w:tcBorders>
                    <w:tl2br w:val="nil"/>
                    <w:tr2bl w:val="nil"/>
                  </w:tcBorders>
                  <w:shd w:val="clear" w:color="auto" w:fill="auto"/>
                  <w:noWrap w:val="0"/>
                  <w:vAlign w:val="center"/>
                </w:tcPr>
                <w:p w14:paraId="3BDE6313">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玻璃仪器</w:t>
                  </w:r>
                </w:p>
              </w:tc>
              <w:tc>
                <w:tcPr>
                  <w:tcW w:w="893" w:type="pct"/>
                  <w:tcBorders>
                    <w:tl2br w:val="nil"/>
                    <w:tr2bl w:val="nil"/>
                  </w:tcBorders>
                  <w:shd w:val="clear" w:color="auto" w:fill="auto"/>
                  <w:noWrap w:val="0"/>
                  <w:vAlign w:val="center"/>
                </w:tcPr>
                <w:p w14:paraId="26B0913A">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w:t>
                  </w:r>
                </w:p>
              </w:tc>
              <w:tc>
                <w:tcPr>
                  <w:tcW w:w="732" w:type="pct"/>
                  <w:tcBorders>
                    <w:tl2br w:val="nil"/>
                    <w:tr2bl w:val="nil"/>
                  </w:tcBorders>
                  <w:shd w:val="clear" w:color="auto" w:fill="auto"/>
                  <w:noWrap w:val="0"/>
                  <w:vAlign w:val="center"/>
                </w:tcPr>
                <w:p w14:paraId="0945F64E">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若干</w:t>
                  </w:r>
                </w:p>
              </w:tc>
              <w:tc>
                <w:tcPr>
                  <w:tcW w:w="865" w:type="pct"/>
                  <w:tcBorders>
                    <w:tl2br w:val="nil"/>
                    <w:tr2bl w:val="nil"/>
                  </w:tcBorders>
                  <w:shd w:val="clear" w:color="auto" w:fill="auto"/>
                  <w:noWrap w:val="0"/>
                  <w:vAlign w:val="center"/>
                </w:tcPr>
                <w:p w14:paraId="1EC25826">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实验室2</w:t>
                  </w:r>
                </w:p>
              </w:tc>
              <w:tc>
                <w:tcPr>
                  <w:tcW w:w="926" w:type="pct"/>
                  <w:tcBorders>
                    <w:tl2br w:val="nil"/>
                    <w:tr2bl w:val="nil"/>
                  </w:tcBorders>
                  <w:shd w:val="clear" w:color="auto" w:fill="auto"/>
                  <w:noWrap w:val="0"/>
                  <w:vAlign w:val="center"/>
                </w:tcPr>
                <w:p w14:paraId="6BE327F7">
                  <w:pPr>
                    <w:spacing w:line="240" w:lineRule="auto"/>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混匀</w:t>
                  </w:r>
                </w:p>
              </w:tc>
            </w:tr>
            <w:tr w14:paraId="1DF479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57A75FBB">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14</w:t>
                  </w:r>
                </w:p>
              </w:tc>
              <w:tc>
                <w:tcPr>
                  <w:tcW w:w="1101" w:type="pct"/>
                  <w:tcBorders>
                    <w:tl2br w:val="nil"/>
                    <w:tr2bl w:val="nil"/>
                  </w:tcBorders>
                  <w:shd w:val="clear" w:color="auto" w:fill="auto"/>
                  <w:noWrap w:val="0"/>
                  <w:vAlign w:val="center"/>
                </w:tcPr>
                <w:p w14:paraId="4B819F71">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荧光检测仪</w:t>
                  </w:r>
                </w:p>
              </w:tc>
              <w:tc>
                <w:tcPr>
                  <w:tcW w:w="893" w:type="pct"/>
                  <w:tcBorders>
                    <w:tl2br w:val="nil"/>
                    <w:tr2bl w:val="nil"/>
                  </w:tcBorders>
                  <w:shd w:val="clear" w:color="auto" w:fill="auto"/>
                  <w:noWrap w:val="0"/>
                  <w:vAlign w:val="center"/>
                </w:tcPr>
                <w:p w14:paraId="5E72BE9B">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p>
              </w:tc>
              <w:tc>
                <w:tcPr>
                  <w:tcW w:w="732" w:type="pct"/>
                  <w:tcBorders>
                    <w:tl2br w:val="nil"/>
                    <w:tr2bl w:val="nil"/>
                  </w:tcBorders>
                  <w:shd w:val="clear" w:color="auto" w:fill="auto"/>
                  <w:noWrap w:val="0"/>
                  <w:vAlign w:val="center"/>
                </w:tcPr>
                <w:p w14:paraId="73874735">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1</w:t>
                  </w:r>
                </w:p>
              </w:tc>
              <w:tc>
                <w:tcPr>
                  <w:tcW w:w="865" w:type="pct"/>
                  <w:tcBorders>
                    <w:tl2br w:val="nil"/>
                    <w:tr2bl w:val="nil"/>
                  </w:tcBorders>
                  <w:shd w:val="clear" w:color="auto" w:fill="auto"/>
                  <w:noWrap w:val="0"/>
                  <w:vAlign w:val="center"/>
                </w:tcPr>
                <w:p w14:paraId="16267F86">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实验室2</w:t>
                  </w:r>
                </w:p>
              </w:tc>
              <w:tc>
                <w:tcPr>
                  <w:tcW w:w="926" w:type="pct"/>
                  <w:tcBorders>
                    <w:tl2br w:val="nil"/>
                    <w:tr2bl w:val="nil"/>
                  </w:tcBorders>
                  <w:shd w:val="clear" w:color="auto" w:fill="auto"/>
                  <w:noWrap w:val="0"/>
                  <w:vAlign w:val="center"/>
                </w:tcPr>
                <w:p w14:paraId="7D853A3E">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检测</w:t>
                  </w:r>
                </w:p>
              </w:tc>
            </w:tr>
            <w:tr w14:paraId="44CCD9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1FD3C252">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15</w:t>
                  </w:r>
                </w:p>
              </w:tc>
              <w:tc>
                <w:tcPr>
                  <w:tcW w:w="1101" w:type="pct"/>
                  <w:tcBorders>
                    <w:tl2br w:val="nil"/>
                    <w:tr2bl w:val="nil"/>
                  </w:tcBorders>
                  <w:shd w:val="clear" w:color="auto" w:fill="auto"/>
                  <w:noWrap w:val="0"/>
                  <w:vAlign w:val="center"/>
                </w:tcPr>
                <w:p w14:paraId="01F32DFE">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高速离心机</w:t>
                  </w:r>
                </w:p>
              </w:tc>
              <w:tc>
                <w:tcPr>
                  <w:tcW w:w="893" w:type="pct"/>
                  <w:tcBorders>
                    <w:tl2br w:val="nil"/>
                    <w:tr2bl w:val="nil"/>
                  </w:tcBorders>
                  <w:shd w:val="clear" w:color="auto" w:fill="auto"/>
                  <w:noWrap w:val="0"/>
                  <w:vAlign w:val="center"/>
                </w:tcPr>
                <w:p w14:paraId="204A844C">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p>
              </w:tc>
              <w:tc>
                <w:tcPr>
                  <w:tcW w:w="732" w:type="pct"/>
                  <w:tcBorders>
                    <w:tl2br w:val="nil"/>
                    <w:tr2bl w:val="nil"/>
                  </w:tcBorders>
                  <w:shd w:val="clear" w:color="auto" w:fill="auto"/>
                  <w:noWrap w:val="0"/>
                  <w:vAlign w:val="center"/>
                </w:tcPr>
                <w:p w14:paraId="2BBC782F">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1</w:t>
                  </w:r>
                </w:p>
              </w:tc>
              <w:tc>
                <w:tcPr>
                  <w:tcW w:w="865" w:type="pct"/>
                  <w:tcBorders>
                    <w:tl2br w:val="nil"/>
                    <w:tr2bl w:val="nil"/>
                  </w:tcBorders>
                  <w:shd w:val="clear" w:color="auto" w:fill="auto"/>
                  <w:noWrap w:val="0"/>
                  <w:vAlign w:val="center"/>
                </w:tcPr>
                <w:p w14:paraId="25CC2276">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实验室2</w:t>
                  </w:r>
                </w:p>
              </w:tc>
              <w:tc>
                <w:tcPr>
                  <w:tcW w:w="926" w:type="pct"/>
                  <w:tcBorders>
                    <w:tl2br w:val="nil"/>
                    <w:tr2bl w:val="nil"/>
                  </w:tcBorders>
                  <w:shd w:val="clear" w:color="auto" w:fill="auto"/>
                  <w:noWrap w:val="0"/>
                  <w:vAlign w:val="center"/>
                </w:tcPr>
                <w:p w14:paraId="3E6CF75B">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分离</w:t>
                  </w:r>
                </w:p>
              </w:tc>
            </w:tr>
            <w:tr w14:paraId="03C802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4E08E2B9">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16</w:t>
                  </w:r>
                </w:p>
              </w:tc>
              <w:tc>
                <w:tcPr>
                  <w:tcW w:w="1101" w:type="pct"/>
                  <w:tcBorders>
                    <w:tl2br w:val="nil"/>
                    <w:tr2bl w:val="nil"/>
                  </w:tcBorders>
                  <w:shd w:val="clear" w:color="auto" w:fill="auto"/>
                  <w:noWrap w:val="0"/>
                  <w:vAlign w:val="center"/>
                </w:tcPr>
                <w:p w14:paraId="562D7047">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color w:val="FF0000"/>
                      <w:sz w:val="21"/>
                      <w:szCs w:val="21"/>
                      <w:vertAlign w:val="baseline"/>
                      <w:lang w:val="en-US" w:eastAsia="zh-CN"/>
                    </w:rPr>
                    <w:t>桌面</w:t>
                  </w:r>
                  <w:r>
                    <w:rPr>
                      <w:rFonts w:hint="eastAsia" w:ascii="Times New Roman" w:hAnsi="Times New Roman"/>
                      <w:color w:val="FF0000"/>
                      <w:sz w:val="21"/>
                      <w:szCs w:val="21"/>
                      <w:vertAlign w:val="baseline"/>
                      <w:lang w:val="en-US" w:eastAsia="zh-CN"/>
                    </w:rPr>
                    <w:t>离心机</w:t>
                  </w:r>
                </w:p>
              </w:tc>
              <w:tc>
                <w:tcPr>
                  <w:tcW w:w="893" w:type="pct"/>
                  <w:tcBorders>
                    <w:tl2br w:val="nil"/>
                    <w:tr2bl w:val="nil"/>
                  </w:tcBorders>
                  <w:shd w:val="clear" w:color="auto" w:fill="auto"/>
                  <w:noWrap w:val="0"/>
                  <w:vAlign w:val="center"/>
                </w:tcPr>
                <w:p w14:paraId="0BA00436">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p>
              </w:tc>
              <w:tc>
                <w:tcPr>
                  <w:tcW w:w="732" w:type="pct"/>
                  <w:tcBorders>
                    <w:tl2br w:val="nil"/>
                    <w:tr2bl w:val="nil"/>
                  </w:tcBorders>
                  <w:shd w:val="clear" w:color="auto" w:fill="auto"/>
                  <w:noWrap w:val="0"/>
                  <w:vAlign w:val="center"/>
                </w:tcPr>
                <w:p w14:paraId="75C75363">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color w:val="FF0000"/>
                      <w:sz w:val="21"/>
                      <w:szCs w:val="21"/>
                      <w:vertAlign w:val="baseline"/>
                      <w:lang w:val="en-US" w:eastAsia="zh-CN"/>
                    </w:rPr>
                    <w:t>2</w:t>
                  </w:r>
                </w:p>
              </w:tc>
              <w:tc>
                <w:tcPr>
                  <w:tcW w:w="865" w:type="pct"/>
                  <w:tcBorders>
                    <w:tl2br w:val="nil"/>
                    <w:tr2bl w:val="nil"/>
                  </w:tcBorders>
                  <w:shd w:val="clear" w:color="auto" w:fill="auto"/>
                  <w:noWrap w:val="0"/>
                  <w:vAlign w:val="center"/>
                </w:tcPr>
                <w:p w14:paraId="060924AD">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实验室2</w:t>
                  </w:r>
                </w:p>
              </w:tc>
              <w:tc>
                <w:tcPr>
                  <w:tcW w:w="926" w:type="pct"/>
                  <w:tcBorders>
                    <w:tl2br w:val="nil"/>
                    <w:tr2bl w:val="nil"/>
                  </w:tcBorders>
                  <w:shd w:val="clear" w:color="auto" w:fill="auto"/>
                  <w:noWrap w:val="0"/>
                  <w:vAlign w:val="center"/>
                </w:tcPr>
                <w:p w14:paraId="12C68EE2">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分离</w:t>
                  </w:r>
                </w:p>
              </w:tc>
            </w:tr>
            <w:tr w14:paraId="3FFD9B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23851E79">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color w:val="FF0000"/>
                      <w:sz w:val="21"/>
                      <w:szCs w:val="21"/>
                      <w:vertAlign w:val="baseline"/>
                      <w:lang w:val="en-US" w:eastAsia="zh-CN"/>
                    </w:rPr>
                    <w:t>17</w:t>
                  </w:r>
                </w:p>
              </w:tc>
              <w:tc>
                <w:tcPr>
                  <w:tcW w:w="1101" w:type="pct"/>
                  <w:tcBorders>
                    <w:tl2br w:val="nil"/>
                    <w:tr2bl w:val="nil"/>
                  </w:tcBorders>
                  <w:shd w:val="clear" w:color="auto" w:fill="auto"/>
                  <w:noWrap w:val="0"/>
                  <w:vAlign w:val="center"/>
                </w:tcPr>
                <w:p w14:paraId="7CB73BA0">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color w:val="FF0000"/>
                      <w:sz w:val="21"/>
                      <w:szCs w:val="21"/>
                      <w:vertAlign w:val="baseline"/>
                      <w:lang w:val="en-US" w:eastAsia="zh-CN"/>
                    </w:rPr>
                    <w:t>恒温箱</w:t>
                  </w:r>
                </w:p>
              </w:tc>
              <w:tc>
                <w:tcPr>
                  <w:tcW w:w="893" w:type="pct"/>
                  <w:tcBorders>
                    <w:tl2br w:val="nil"/>
                    <w:tr2bl w:val="nil"/>
                  </w:tcBorders>
                  <w:shd w:val="clear" w:color="auto" w:fill="auto"/>
                  <w:noWrap w:val="0"/>
                  <w:vAlign w:val="center"/>
                </w:tcPr>
                <w:p w14:paraId="1B274AD2">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p>
              </w:tc>
              <w:tc>
                <w:tcPr>
                  <w:tcW w:w="732" w:type="pct"/>
                  <w:tcBorders>
                    <w:tl2br w:val="nil"/>
                    <w:tr2bl w:val="nil"/>
                  </w:tcBorders>
                  <w:shd w:val="clear" w:color="auto" w:fill="auto"/>
                  <w:noWrap w:val="0"/>
                  <w:vAlign w:val="center"/>
                </w:tcPr>
                <w:p w14:paraId="56D08141">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color w:val="FF0000"/>
                      <w:sz w:val="21"/>
                      <w:szCs w:val="21"/>
                      <w:vertAlign w:val="baseline"/>
                      <w:lang w:val="en-US" w:eastAsia="zh-CN"/>
                    </w:rPr>
                    <w:t>1</w:t>
                  </w:r>
                </w:p>
              </w:tc>
              <w:tc>
                <w:tcPr>
                  <w:tcW w:w="865" w:type="pct"/>
                  <w:tcBorders>
                    <w:tl2br w:val="nil"/>
                    <w:tr2bl w:val="nil"/>
                  </w:tcBorders>
                  <w:shd w:val="clear" w:color="auto" w:fill="auto"/>
                  <w:noWrap w:val="0"/>
                  <w:vAlign w:val="center"/>
                </w:tcPr>
                <w:p w14:paraId="0E9B6AB3">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实验室2</w:t>
                  </w:r>
                </w:p>
              </w:tc>
              <w:tc>
                <w:tcPr>
                  <w:tcW w:w="926" w:type="pct"/>
                  <w:tcBorders>
                    <w:tl2br w:val="nil"/>
                    <w:tr2bl w:val="nil"/>
                  </w:tcBorders>
                  <w:shd w:val="clear" w:color="auto" w:fill="auto"/>
                  <w:noWrap w:val="0"/>
                  <w:vAlign w:val="center"/>
                </w:tcPr>
                <w:p w14:paraId="4CD68634">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color w:val="FF0000"/>
                      <w:sz w:val="21"/>
                      <w:szCs w:val="21"/>
                      <w:vertAlign w:val="baseline"/>
                      <w:lang w:val="en-US" w:eastAsia="zh-CN"/>
                    </w:rPr>
                    <w:t>孵育</w:t>
                  </w:r>
                </w:p>
              </w:tc>
            </w:tr>
            <w:tr w14:paraId="2781C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065AB2AF">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18</w:t>
                  </w:r>
                </w:p>
              </w:tc>
              <w:tc>
                <w:tcPr>
                  <w:tcW w:w="1101" w:type="pct"/>
                  <w:tcBorders>
                    <w:tl2br w:val="nil"/>
                    <w:tr2bl w:val="nil"/>
                  </w:tcBorders>
                  <w:shd w:val="clear" w:color="auto" w:fill="auto"/>
                  <w:noWrap w:val="0"/>
                  <w:vAlign w:val="center"/>
                </w:tcPr>
                <w:p w14:paraId="6F8025A8">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切条机</w:t>
                  </w:r>
                </w:p>
              </w:tc>
              <w:tc>
                <w:tcPr>
                  <w:tcW w:w="893" w:type="pct"/>
                  <w:tcBorders>
                    <w:tl2br w:val="nil"/>
                    <w:tr2bl w:val="nil"/>
                  </w:tcBorders>
                  <w:shd w:val="clear" w:color="auto" w:fill="auto"/>
                  <w:noWrap w:val="0"/>
                  <w:vAlign w:val="center"/>
                </w:tcPr>
                <w:p w14:paraId="1E922D30">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p>
              </w:tc>
              <w:tc>
                <w:tcPr>
                  <w:tcW w:w="732" w:type="pct"/>
                  <w:tcBorders>
                    <w:tl2br w:val="nil"/>
                    <w:tr2bl w:val="nil"/>
                  </w:tcBorders>
                  <w:shd w:val="clear" w:color="auto" w:fill="auto"/>
                  <w:noWrap w:val="0"/>
                  <w:vAlign w:val="center"/>
                </w:tcPr>
                <w:p w14:paraId="2F0526E5">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1</w:t>
                  </w:r>
                </w:p>
              </w:tc>
              <w:tc>
                <w:tcPr>
                  <w:tcW w:w="865" w:type="pct"/>
                  <w:tcBorders>
                    <w:tl2br w:val="nil"/>
                    <w:tr2bl w:val="nil"/>
                  </w:tcBorders>
                  <w:shd w:val="clear" w:color="auto" w:fill="auto"/>
                  <w:noWrap w:val="0"/>
                  <w:vAlign w:val="center"/>
                </w:tcPr>
                <w:p w14:paraId="440B5DB4">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r>
                    <w:rPr>
                      <w:rFonts w:hint="eastAsia" w:ascii="Times New Roman" w:hAnsi="Times New Roman"/>
                      <w:color w:val="FF0000"/>
                      <w:sz w:val="21"/>
                      <w:szCs w:val="21"/>
                      <w:vertAlign w:val="baseline"/>
                      <w:lang w:val="en-US" w:eastAsia="zh-CN"/>
                    </w:rPr>
                    <w:t>实验室2</w:t>
                  </w:r>
                </w:p>
              </w:tc>
              <w:tc>
                <w:tcPr>
                  <w:tcW w:w="926" w:type="pct"/>
                  <w:tcBorders>
                    <w:tl2br w:val="nil"/>
                    <w:tr2bl w:val="nil"/>
                  </w:tcBorders>
                  <w:shd w:val="clear" w:color="auto" w:fill="auto"/>
                  <w:noWrap w:val="0"/>
                  <w:vAlign w:val="center"/>
                </w:tcPr>
                <w:p w14:paraId="653E9730">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切条</w:t>
                  </w:r>
                </w:p>
              </w:tc>
            </w:tr>
            <w:tr w14:paraId="0DBFDB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1F72B6B8">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19</w:t>
                  </w:r>
                </w:p>
              </w:tc>
              <w:tc>
                <w:tcPr>
                  <w:tcW w:w="1101" w:type="pct"/>
                  <w:tcBorders>
                    <w:tl2br w:val="nil"/>
                    <w:tr2bl w:val="nil"/>
                  </w:tcBorders>
                  <w:shd w:val="clear" w:color="auto" w:fill="auto"/>
                  <w:noWrap w:val="0"/>
                  <w:vAlign w:val="center"/>
                </w:tcPr>
                <w:p w14:paraId="3508FF32">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冰箱</w:t>
                  </w:r>
                </w:p>
              </w:tc>
              <w:tc>
                <w:tcPr>
                  <w:tcW w:w="893" w:type="pct"/>
                  <w:tcBorders>
                    <w:tl2br w:val="nil"/>
                    <w:tr2bl w:val="nil"/>
                  </w:tcBorders>
                  <w:shd w:val="clear" w:color="auto" w:fill="auto"/>
                  <w:noWrap w:val="0"/>
                  <w:vAlign w:val="center"/>
                </w:tcPr>
                <w:p w14:paraId="186F6C7F">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SA"/>
                    </w:rPr>
                    <w:t>LSC-368G</w:t>
                  </w:r>
                </w:p>
              </w:tc>
              <w:tc>
                <w:tcPr>
                  <w:tcW w:w="732" w:type="pct"/>
                  <w:tcBorders>
                    <w:tl2br w:val="nil"/>
                    <w:tr2bl w:val="nil"/>
                  </w:tcBorders>
                  <w:shd w:val="clear" w:color="auto" w:fill="auto"/>
                  <w:noWrap w:val="0"/>
                  <w:vAlign w:val="center"/>
                </w:tcPr>
                <w:p w14:paraId="69DAA399">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1</w:t>
                  </w:r>
                </w:p>
              </w:tc>
              <w:tc>
                <w:tcPr>
                  <w:tcW w:w="865" w:type="pct"/>
                  <w:tcBorders>
                    <w:tl2br w:val="nil"/>
                    <w:tr2bl w:val="nil"/>
                  </w:tcBorders>
                  <w:shd w:val="clear" w:color="auto" w:fill="auto"/>
                  <w:noWrap w:val="0"/>
                  <w:vAlign w:val="center"/>
                </w:tcPr>
                <w:p w14:paraId="3CCA8DDB">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color w:val="FF0000"/>
                      <w:sz w:val="21"/>
                      <w:szCs w:val="21"/>
                      <w:vertAlign w:val="baseline"/>
                      <w:lang w:val="en-US" w:eastAsia="zh-CN"/>
                    </w:rPr>
                    <w:t>实验室1</w:t>
                  </w:r>
                </w:p>
              </w:tc>
              <w:tc>
                <w:tcPr>
                  <w:tcW w:w="926" w:type="pct"/>
                  <w:tcBorders>
                    <w:tl2br w:val="nil"/>
                    <w:tr2bl w:val="nil"/>
                  </w:tcBorders>
                  <w:shd w:val="clear" w:color="auto" w:fill="auto"/>
                  <w:noWrap w:val="0"/>
                  <w:vAlign w:val="center"/>
                </w:tcPr>
                <w:p w14:paraId="7D5D4E9D">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原辅料贮存</w:t>
                  </w:r>
                </w:p>
              </w:tc>
            </w:tr>
            <w:tr w14:paraId="3ECEC4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54413C74">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20</w:t>
                  </w:r>
                </w:p>
              </w:tc>
              <w:tc>
                <w:tcPr>
                  <w:tcW w:w="1101" w:type="pct"/>
                  <w:tcBorders>
                    <w:tl2br w:val="nil"/>
                    <w:tr2bl w:val="nil"/>
                  </w:tcBorders>
                  <w:shd w:val="clear" w:color="auto" w:fill="auto"/>
                  <w:noWrap w:val="0"/>
                  <w:vAlign w:val="center"/>
                </w:tcPr>
                <w:p w14:paraId="792ABB77">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常温柜</w:t>
                  </w:r>
                </w:p>
              </w:tc>
              <w:tc>
                <w:tcPr>
                  <w:tcW w:w="893" w:type="pct"/>
                  <w:tcBorders>
                    <w:tl2br w:val="nil"/>
                    <w:tr2bl w:val="nil"/>
                  </w:tcBorders>
                  <w:shd w:val="clear" w:color="auto" w:fill="auto"/>
                  <w:noWrap w:val="0"/>
                  <w:vAlign w:val="center"/>
                </w:tcPr>
                <w:p w14:paraId="5B824DF1">
                  <w:pPr>
                    <w:spacing w:line="240" w:lineRule="auto"/>
                    <w:ind w:left="0" w:leftChars="0" w:firstLine="0" w:firstLineChars="0"/>
                    <w:jc w:val="center"/>
                    <w:rPr>
                      <w:rFonts w:hint="default" w:ascii="Times New Roman" w:hAnsi="Times New Roman"/>
                      <w:color w:val="FF0000"/>
                      <w:sz w:val="21"/>
                      <w:szCs w:val="21"/>
                      <w:vertAlign w:val="baseline"/>
                      <w:lang w:val="en-US" w:eastAsia="zh-CN"/>
                    </w:rPr>
                  </w:pPr>
                  <w:r>
                    <w:rPr>
                      <w:rFonts w:hint="eastAsia"/>
                      <w:color w:val="FF0000"/>
                      <w:sz w:val="21"/>
                      <w:szCs w:val="21"/>
                      <w:vertAlign w:val="baseline"/>
                      <w:lang w:val="en-US" w:eastAsia="zh-CN"/>
                    </w:rPr>
                    <w:t>/</w:t>
                  </w:r>
                </w:p>
              </w:tc>
              <w:tc>
                <w:tcPr>
                  <w:tcW w:w="732" w:type="pct"/>
                  <w:tcBorders>
                    <w:tl2br w:val="nil"/>
                    <w:tr2bl w:val="nil"/>
                  </w:tcBorders>
                  <w:shd w:val="clear" w:color="auto" w:fill="auto"/>
                  <w:noWrap w:val="0"/>
                  <w:vAlign w:val="center"/>
                </w:tcPr>
                <w:p w14:paraId="39056761">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1</w:t>
                  </w:r>
                </w:p>
              </w:tc>
              <w:tc>
                <w:tcPr>
                  <w:tcW w:w="865" w:type="pct"/>
                  <w:tcBorders>
                    <w:tl2br w:val="nil"/>
                    <w:tr2bl w:val="nil"/>
                  </w:tcBorders>
                  <w:shd w:val="clear" w:color="auto" w:fill="auto"/>
                  <w:noWrap w:val="0"/>
                  <w:vAlign w:val="center"/>
                </w:tcPr>
                <w:p w14:paraId="7AA23359">
                  <w:pPr>
                    <w:spacing w:line="240" w:lineRule="auto"/>
                    <w:ind w:left="0" w:leftChars="0" w:firstLine="0" w:firstLineChars="0"/>
                    <w:jc w:val="center"/>
                    <w:rPr>
                      <w:rFonts w:hint="eastAsia" w:ascii="Times New Roman" w:hAnsi="Times New Roman"/>
                      <w:color w:val="FF0000"/>
                      <w:sz w:val="21"/>
                      <w:szCs w:val="21"/>
                      <w:vertAlign w:val="baseline"/>
                      <w:lang w:val="en-US" w:eastAsia="zh-CN"/>
                    </w:rPr>
                  </w:pPr>
                  <w:r>
                    <w:rPr>
                      <w:rFonts w:hint="eastAsia"/>
                      <w:color w:val="FF0000"/>
                      <w:sz w:val="21"/>
                      <w:szCs w:val="21"/>
                      <w:vertAlign w:val="baseline"/>
                      <w:lang w:val="en-US" w:eastAsia="zh-CN"/>
                    </w:rPr>
                    <w:t>实验室1</w:t>
                  </w:r>
                </w:p>
              </w:tc>
              <w:tc>
                <w:tcPr>
                  <w:tcW w:w="926" w:type="pct"/>
                  <w:tcBorders>
                    <w:tl2br w:val="nil"/>
                    <w:tr2bl w:val="nil"/>
                  </w:tcBorders>
                  <w:shd w:val="clear" w:color="auto" w:fill="auto"/>
                  <w:noWrap w:val="0"/>
                  <w:vAlign w:val="center"/>
                </w:tcPr>
                <w:p w14:paraId="2D653DAE">
                  <w:pPr>
                    <w:spacing w:line="240" w:lineRule="auto"/>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原辅料贮存</w:t>
                  </w:r>
                </w:p>
              </w:tc>
            </w:tr>
            <w:tr w14:paraId="6B3C28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0" w:type="pct"/>
                  <w:tcBorders>
                    <w:tl2br w:val="nil"/>
                    <w:tr2bl w:val="nil"/>
                  </w:tcBorders>
                  <w:noWrap w:val="0"/>
                  <w:vAlign w:val="center"/>
                </w:tcPr>
                <w:p w14:paraId="42DBEAEF">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21</w:t>
                  </w:r>
                </w:p>
              </w:tc>
              <w:tc>
                <w:tcPr>
                  <w:tcW w:w="1101" w:type="pct"/>
                  <w:tcBorders>
                    <w:tl2br w:val="nil"/>
                    <w:tr2bl w:val="nil"/>
                  </w:tcBorders>
                  <w:shd w:val="clear" w:color="auto" w:fill="auto"/>
                  <w:noWrap w:val="0"/>
                  <w:vAlign w:val="center"/>
                </w:tcPr>
                <w:p w14:paraId="54CB3314">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生物安全柜</w:t>
                  </w:r>
                </w:p>
              </w:tc>
              <w:tc>
                <w:tcPr>
                  <w:tcW w:w="893" w:type="pct"/>
                  <w:tcBorders>
                    <w:tl2br w:val="nil"/>
                    <w:tr2bl w:val="nil"/>
                  </w:tcBorders>
                  <w:shd w:val="clear" w:color="auto" w:fill="auto"/>
                  <w:noWrap w:val="0"/>
                  <w:vAlign w:val="center"/>
                </w:tcPr>
                <w:p w14:paraId="0DB03F31">
                  <w:pPr>
                    <w:spacing w:line="240" w:lineRule="auto"/>
                    <w:ind w:left="0" w:leftChars="0" w:firstLine="0" w:firstLineChars="0"/>
                    <w:jc w:val="center"/>
                    <w:rPr>
                      <w:rFonts w:hint="eastAsia"/>
                      <w:color w:val="FF0000"/>
                      <w:sz w:val="21"/>
                      <w:szCs w:val="21"/>
                      <w:vertAlign w:val="baseline"/>
                      <w:lang w:val="en-US" w:eastAsia="zh-CN"/>
                    </w:rPr>
                  </w:pPr>
                </w:p>
              </w:tc>
              <w:tc>
                <w:tcPr>
                  <w:tcW w:w="732" w:type="pct"/>
                  <w:tcBorders>
                    <w:tl2br w:val="nil"/>
                    <w:tr2bl w:val="nil"/>
                  </w:tcBorders>
                  <w:shd w:val="clear" w:color="auto" w:fill="auto"/>
                  <w:noWrap w:val="0"/>
                  <w:vAlign w:val="center"/>
                </w:tcPr>
                <w:p w14:paraId="649B11E5">
                  <w:pPr>
                    <w:spacing w:line="240" w:lineRule="auto"/>
                    <w:ind w:left="0" w:leftChars="0" w:firstLine="0" w:firstLineChars="0"/>
                    <w:jc w:val="center"/>
                    <w:rPr>
                      <w:rFonts w:hint="default"/>
                      <w:color w:val="FF0000"/>
                      <w:sz w:val="21"/>
                      <w:szCs w:val="21"/>
                      <w:vertAlign w:val="baseline"/>
                      <w:lang w:val="en-US" w:eastAsia="zh-CN"/>
                    </w:rPr>
                  </w:pPr>
                  <w:r>
                    <w:rPr>
                      <w:rFonts w:hint="eastAsia"/>
                      <w:color w:val="FF0000"/>
                      <w:sz w:val="21"/>
                      <w:szCs w:val="21"/>
                      <w:vertAlign w:val="baseline"/>
                      <w:lang w:val="en-US" w:eastAsia="zh-CN"/>
                    </w:rPr>
                    <w:t>1</w:t>
                  </w:r>
                </w:p>
              </w:tc>
              <w:tc>
                <w:tcPr>
                  <w:tcW w:w="865" w:type="pct"/>
                  <w:tcBorders>
                    <w:tl2br w:val="nil"/>
                    <w:tr2bl w:val="nil"/>
                  </w:tcBorders>
                  <w:shd w:val="clear" w:color="auto" w:fill="auto"/>
                  <w:noWrap w:val="0"/>
                  <w:vAlign w:val="center"/>
                </w:tcPr>
                <w:p w14:paraId="5373DFB8">
                  <w:pPr>
                    <w:spacing w:line="240" w:lineRule="auto"/>
                    <w:ind w:left="0" w:leftChars="0" w:firstLine="0" w:firstLineChars="0"/>
                    <w:jc w:val="center"/>
                    <w:rPr>
                      <w:rFonts w:hint="eastAsia"/>
                      <w:color w:val="FF0000"/>
                      <w:sz w:val="21"/>
                      <w:szCs w:val="21"/>
                      <w:vertAlign w:val="baseline"/>
                      <w:lang w:val="en-US" w:eastAsia="zh-CN"/>
                    </w:rPr>
                  </w:pPr>
                </w:p>
              </w:tc>
              <w:tc>
                <w:tcPr>
                  <w:tcW w:w="926" w:type="pct"/>
                  <w:tcBorders>
                    <w:tl2br w:val="nil"/>
                    <w:tr2bl w:val="nil"/>
                  </w:tcBorders>
                  <w:shd w:val="clear" w:color="auto" w:fill="auto"/>
                  <w:noWrap w:val="0"/>
                  <w:vAlign w:val="center"/>
                </w:tcPr>
                <w:p w14:paraId="5F711D50">
                  <w:pPr>
                    <w:spacing w:line="240" w:lineRule="auto"/>
                    <w:ind w:left="0" w:leftChars="0" w:firstLine="0" w:firstLineChars="0"/>
                    <w:jc w:val="center"/>
                    <w:rPr>
                      <w:rFonts w:hint="eastAsia"/>
                      <w:color w:val="FF0000"/>
                      <w:sz w:val="21"/>
                      <w:szCs w:val="21"/>
                      <w:vertAlign w:val="baseline"/>
                      <w:lang w:val="en-US" w:eastAsia="zh-CN"/>
                    </w:rPr>
                  </w:pPr>
                </w:p>
              </w:tc>
            </w:tr>
          </w:tbl>
          <w:p w14:paraId="27E13063">
            <w:pPr>
              <w:rPr>
                <w:rFonts w:hint="default" w:eastAsia="宋体"/>
                <w:color w:val="auto"/>
                <w:vertAlign w:val="baseline"/>
                <w:lang w:val="en-US" w:eastAsia="zh-CN"/>
              </w:rPr>
            </w:pPr>
            <w:r>
              <w:rPr>
                <w:rFonts w:hint="eastAsia"/>
                <w:color w:val="auto"/>
                <w:vertAlign w:val="baseline"/>
                <w:lang w:val="en-US" w:eastAsia="zh-CN"/>
              </w:rPr>
              <w:t>（7）劳动定员及工作制度</w:t>
            </w:r>
          </w:p>
          <w:p w14:paraId="58DAF6B2">
            <w:pPr>
              <w:rPr>
                <w:rFonts w:hint="default"/>
                <w:color w:val="auto"/>
                <w:vertAlign w:val="baseline"/>
                <w:lang w:val="en-US" w:eastAsia="zh-CN"/>
              </w:rPr>
            </w:pPr>
            <w:r>
              <w:rPr>
                <w:rFonts w:hint="eastAsia"/>
                <w:color w:val="auto"/>
                <w:vertAlign w:val="baseline"/>
                <w:lang w:val="en-US" w:eastAsia="zh-CN"/>
              </w:rPr>
              <w:t>本项目员工10人，全年运行250天，运行班制为1班制，每班昼间8小时。不设置食堂，不提供住宿。</w:t>
            </w:r>
          </w:p>
          <w:p w14:paraId="267F4E1C">
            <w:pPr>
              <w:rPr>
                <w:rFonts w:hint="default"/>
                <w:color w:val="auto"/>
                <w:vertAlign w:val="baseline"/>
                <w:lang w:val="en-US" w:eastAsia="zh-CN"/>
              </w:rPr>
            </w:pPr>
            <w:r>
              <w:rPr>
                <w:rFonts w:hint="eastAsia"/>
                <w:color w:val="auto"/>
                <w:vertAlign w:val="baseline"/>
                <w:lang w:val="en-US" w:eastAsia="zh-CN"/>
              </w:rPr>
              <w:t>（8）公用工程</w:t>
            </w:r>
          </w:p>
          <w:p w14:paraId="1A655617">
            <w:pPr>
              <w:rPr>
                <w:rFonts w:hint="eastAsia"/>
                <w:color w:val="auto"/>
                <w:vertAlign w:val="baseline"/>
                <w:lang w:eastAsia="zh-CN"/>
              </w:rPr>
            </w:pPr>
            <w:r>
              <w:rPr>
                <w:rFonts w:hint="eastAsia"/>
                <w:color w:val="auto"/>
                <w:vertAlign w:val="baseline"/>
                <w:lang w:val="en-US" w:eastAsia="zh-CN"/>
              </w:rPr>
              <w:t>1</w:t>
            </w:r>
            <w:r>
              <w:rPr>
                <w:rFonts w:hint="eastAsia"/>
                <w:color w:val="auto"/>
                <w:vertAlign w:val="baseline"/>
                <w:lang w:eastAsia="zh-CN"/>
              </w:rPr>
              <w:t>）给水工程</w:t>
            </w:r>
          </w:p>
          <w:p w14:paraId="240BCE2D">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本项目用水包括生活用水、</w:t>
            </w:r>
            <w:r>
              <w:rPr>
                <w:color w:val="auto"/>
                <w:sz w:val="24"/>
                <w:highlight w:val="none"/>
              </w:rPr>
              <w:t>实验用水</w:t>
            </w:r>
            <w:r>
              <w:rPr>
                <w:rFonts w:hint="eastAsia"/>
                <w:color w:val="auto"/>
                <w:sz w:val="24"/>
                <w:highlight w:val="none"/>
                <w:lang w:eastAsia="zh-CN"/>
              </w:rPr>
              <w:t>、</w:t>
            </w:r>
            <w:r>
              <w:rPr>
                <w:rFonts w:hint="eastAsia"/>
                <w:color w:val="auto"/>
                <w:vertAlign w:val="baseline"/>
                <w:lang w:eastAsia="zh-CN"/>
              </w:rPr>
              <w:t>消毒稀释用水</w:t>
            </w:r>
            <w:r>
              <w:rPr>
                <w:color w:val="auto"/>
                <w:sz w:val="24"/>
                <w:highlight w:val="none"/>
              </w:rPr>
              <w:t>。</w:t>
            </w:r>
          </w:p>
          <w:p w14:paraId="4A0BF523">
            <w:pPr>
              <w:numPr>
                <w:ilvl w:val="0"/>
                <w:numId w:val="7"/>
              </w:numPr>
              <w:adjustRightInd w:val="0"/>
              <w:snapToGrid w:val="0"/>
              <w:spacing w:line="360" w:lineRule="auto"/>
              <w:ind w:left="0" w:leftChars="0" w:firstLine="480" w:firstLineChars="200"/>
              <w:rPr>
                <w:rFonts w:hint="eastAsia"/>
                <w:bCs/>
                <w:color w:val="auto"/>
                <w:sz w:val="24"/>
                <w:highlight w:val="none"/>
                <w:lang w:val="en-US" w:eastAsia="zh-CN"/>
              </w:rPr>
            </w:pPr>
            <w:r>
              <w:rPr>
                <w:rFonts w:hint="eastAsia"/>
                <w:bCs/>
                <w:color w:val="auto"/>
                <w:sz w:val="24"/>
                <w:highlight w:val="none"/>
                <w:lang w:val="en-US" w:eastAsia="zh-CN"/>
              </w:rPr>
              <w:t>生活用水</w:t>
            </w:r>
          </w:p>
          <w:p w14:paraId="552B7BF5">
            <w:pPr>
              <w:adjustRightInd w:val="0"/>
              <w:snapToGrid w:val="0"/>
              <w:spacing w:line="360" w:lineRule="auto"/>
              <w:ind w:firstLine="480" w:firstLineChars="200"/>
              <w:rPr>
                <w:rFonts w:eastAsia="宋体"/>
                <w:bCs/>
                <w:color w:val="auto"/>
                <w:sz w:val="24"/>
                <w:highlight w:val="none"/>
              </w:rPr>
            </w:pPr>
            <w:r>
              <w:rPr>
                <w:rFonts w:hint="eastAsia"/>
                <w:bCs/>
                <w:color w:val="auto"/>
                <w:sz w:val="24"/>
                <w:highlight w:val="none"/>
                <w:lang w:val="en-US" w:eastAsia="zh-CN"/>
              </w:rPr>
              <w:t>.本</w:t>
            </w:r>
            <w:r>
              <w:rPr>
                <w:rFonts w:hint="eastAsia" w:eastAsia="宋体"/>
                <w:bCs/>
                <w:color w:val="auto"/>
                <w:sz w:val="24"/>
                <w:highlight w:val="none"/>
                <w:lang w:val="en-US" w:eastAsia="zh-CN"/>
              </w:rPr>
              <w:t>项目员工</w:t>
            </w:r>
            <w:r>
              <w:rPr>
                <w:rFonts w:hint="eastAsia"/>
                <w:bCs/>
                <w:color w:val="auto"/>
                <w:sz w:val="24"/>
                <w:highlight w:val="none"/>
                <w:lang w:val="en-US" w:eastAsia="zh-CN"/>
              </w:rPr>
              <w:t>10</w:t>
            </w:r>
            <w:r>
              <w:rPr>
                <w:rFonts w:hint="eastAsia" w:eastAsia="宋体"/>
                <w:bCs/>
                <w:color w:val="auto"/>
                <w:sz w:val="24"/>
                <w:highlight w:val="none"/>
                <w:lang w:val="en-US" w:eastAsia="zh-CN"/>
              </w:rPr>
              <w:t>人，根据《建筑给水排水设计标准》（</w:t>
            </w:r>
            <w:r>
              <w:rPr>
                <w:rFonts w:hint="default" w:eastAsia="宋体"/>
                <w:bCs/>
                <w:color w:val="auto"/>
                <w:sz w:val="24"/>
                <w:highlight w:val="none"/>
                <w:lang w:val="en-US" w:eastAsia="zh-CN"/>
              </w:rPr>
              <w:t>GB50015-2019</w:t>
            </w:r>
            <w:r>
              <w:rPr>
                <w:rFonts w:hint="eastAsia" w:eastAsia="宋体"/>
                <w:bCs/>
                <w:color w:val="auto"/>
                <w:sz w:val="24"/>
                <w:highlight w:val="none"/>
                <w:lang w:val="en-US" w:eastAsia="zh-CN"/>
              </w:rPr>
              <w:t>）规定，人均生活用水定额按</w:t>
            </w:r>
            <w:r>
              <w:rPr>
                <w:rFonts w:hint="default" w:eastAsia="宋体"/>
                <w:bCs/>
                <w:color w:val="auto"/>
                <w:sz w:val="24"/>
                <w:highlight w:val="none"/>
                <w:lang w:val="en-US" w:eastAsia="zh-CN"/>
              </w:rPr>
              <w:t>50L/</w:t>
            </w:r>
            <w:r>
              <w:rPr>
                <w:rFonts w:hint="eastAsia" w:eastAsia="宋体"/>
                <w:bCs/>
                <w:color w:val="auto"/>
                <w:sz w:val="24"/>
                <w:highlight w:val="none"/>
                <w:lang w:val="en-US" w:eastAsia="zh-CN"/>
              </w:rPr>
              <w:t>人</w:t>
            </w:r>
            <w:r>
              <w:rPr>
                <w:rFonts w:hint="default" w:eastAsia="宋体"/>
                <w:bCs/>
                <w:color w:val="auto"/>
                <w:sz w:val="24"/>
                <w:highlight w:val="none"/>
                <w:lang w:val="en-US" w:eastAsia="zh-CN"/>
              </w:rPr>
              <w:t>·d</w:t>
            </w:r>
            <w:r>
              <w:rPr>
                <w:rFonts w:hint="eastAsia" w:eastAsia="宋体"/>
                <w:bCs/>
                <w:color w:val="auto"/>
                <w:sz w:val="24"/>
                <w:highlight w:val="none"/>
                <w:lang w:val="en-US" w:eastAsia="zh-CN"/>
              </w:rPr>
              <w:t>计，</w:t>
            </w:r>
            <w:r>
              <w:rPr>
                <w:rFonts w:hint="eastAsia"/>
                <w:bCs/>
                <w:color w:val="auto"/>
                <w:sz w:val="24"/>
                <w:highlight w:val="none"/>
                <w:lang w:val="en-US" w:eastAsia="zh-CN"/>
              </w:rPr>
              <w:t>项目年工作250d，</w:t>
            </w:r>
            <w:r>
              <w:rPr>
                <w:rFonts w:hint="eastAsia" w:eastAsia="宋体"/>
                <w:bCs/>
                <w:color w:val="auto"/>
                <w:sz w:val="24"/>
                <w:highlight w:val="none"/>
                <w:lang w:val="en-US" w:eastAsia="zh-CN"/>
              </w:rPr>
              <w:t>则生活用水量为</w:t>
            </w:r>
            <w:r>
              <w:rPr>
                <w:rFonts w:hint="eastAsia"/>
                <w:bCs/>
                <w:color w:val="auto"/>
                <w:sz w:val="24"/>
                <w:highlight w:val="none"/>
                <w:lang w:val="en-US" w:eastAsia="zh-CN"/>
              </w:rPr>
              <w:t>125m</w:t>
            </w:r>
            <w:r>
              <w:rPr>
                <w:rFonts w:hint="eastAsia"/>
                <w:bCs/>
                <w:color w:val="auto"/>
                <w:sz w:val="24"/>
                <w:highlight w:val="none"/>
                <w:vertAlign w:val="superscript"/>
                <w:lang w:val="en-US" w:eastAsia="zh-CN"/>
              </w:rPr>
              <w:t>3</w:t>
            </w:r>
            <w:r>
              <w:rPr>
                <w:rFonts w:hint="default" w:eastAsia="宋体"/>
                <w:bCs/>
                <w:color w:val="auto"/>
                <w:sz w:val="24"/>
                <w:highlight w:val="none"/>
                <w:lang w:val="en-US" w:eastAsia="zh-CN"/>
              </w:rPr>
              <w:t>/a</w:t>
            </w:r>
            <w:r>
              <w:rPr>
                <w:rFonts w:hint="eastAsia" w:eastAsia="宋体"/>
                <w:bCs/>
                <w:color w:val="auto"/>
                <w:sz w:val="24"/>
                <w:highlight w:val="none"/>
                <w:lang w:val="en-US" w:eastAsia="zh-CN"/>
              </w:rPr>
              <w:t>。</w:t>
            </w:r>
          </w:p>
          <w:p w14:paraId="3E10CC8F">
            <w:pPr>
              <w:numPr>
                <w:ilvl w:val="0"/>
                <w:numId w:val="7"/>
              </w:numPr>
              <w:adjustRightInd w:val="0"/>
              <w:snapToGrid w:val="0"/>
              <w:spacing w:line="360" w:lineRule="auto"/>
              <w:ind w:left="0" w:leftChars="0" w:firstLine="480" w:firstLineChars="200"/>
              <w:rPr>
                <w:rFonts w:hint="eastAsia" w:ascii="Times New Roman" w:hAnsi="Times New Roman"/>
                <w:bCs/>
                <w:color w:val="auto"/>
                <w:sz w:val="24"/>
                <w:highlight w:val="none"/>
                <w:lang w:val="en-US" w:eastAsia="zh-CN"/>
              </w:rPr>
            </w:pPr>
            <w:r>
              <w:rPr>
                <w:rFonts w:hint="eastAsia" w:ascii="Times New Roman" w:hAnsi="Times New Roman"/>
                <w:bCs/>
                <w:color w:val="auto"/>
                <w:sz w:val="24"/>
                <w:highlight w:val="none"/>
                <w:lang w:val="en-US" w:eastAsia="zh-CN"/>
              </w:rPr>
              <w:t>实验用水</w:t>
            </w:r>
          </w:p>
          <w:p w14:paraId="3248315F">
            <w:pPr>
              <w:numPr>
                <w:ilvl w:val="0"/>
                <w:numId w:val="0"/>
              </w:numPr>
              <w:adjustRightInd w:val="0"/>
              <w:snapToGrid w:val="0"/>
              <w:spacing w:line="360" w:lineRule="auto"/>
              <w:ind w:firstLine="480" w:firstLineChars="200"/>
              <w:rPr>
                <w:rFonts w:hint="eastAsia" w:ascii="Times New Roman" w:hAnsi="Times New Roman"/>
                <w:bCs/>
                <w:color w:val="auto"/>
                <w:sz w:val="24"/>
                <w:highlight w:val="none"/>
                <w:lang w:val="en-US" w:eastAsia="zh-CN"/>
              </w:rPr>
            </w:pPr>
            <w:r>
              <w:rPr>
                <w:rFonts w:hint="eastAsia"/>
                <w:bCs/>
                <w:color w:val="auto"/>
                <w:sz w:val="24"/>
                <w:highlight w:val="none"/>
                <w:lang w:val="en-US" w:eastAsia="zh-CN"/>
              </w:rPr>
              <w:t>本</w:t>
            </w:r>
            <w:r>
              <w:rPr>
                <w:bCs/>
                <w:color w:val="auto"/>
                <w:sz w:val="24"/>
                <w:highlight w:val="none"/>
              </w:rPr>
              <w:t>项目</w:t>
            </w:r>
            <w:r>
              <w:rPr>
                <w:color w:val="auto"/>
                <w:sz w:val="24"/>
                <w:highlight w:val="none"/>
              </w:rPr>
              <w:t>实验用水</w:t>
            </w:r>
            <w:r>
              <w:rPr>
                <w:rFonts w:hint="eastAsia"/>
                <w:color w:val="auto"/>
                <w:sz w:val="24"/>
                <w:highlight w:val="none"/>
                <w:lang w:val="en-US" w:eastAsia="zh-CN"/>
              </w:rPr>
              <w:t>包括</w:t>
            </w:r>
            <w:r>
              <w:rPr>
                <w:bCs/>
                <w:color w:val="auto"/>
                <w:sz w:val="24"/>
                <w:highlight w:val="none"/>
              </w:rPr>
              <w:t>容器清洗</w:t>
            </w:r>
            <w:r>
              <w:rPr>
                <w:rFonts w:hint="eastAsia"/>
                <w:bCs/>
                <w:color w:val="auto"/>
                <w:sz w:val="24"/>
                <w:highlight w:val="none"/>
                <w:lang w:val="en-US" w:eastAsia="zh-CN"/>
              </w:rPr>
              <w:t>用水、</w:t>
            </w:r>
            <w:r>
              <w:rPr>
                <w:bCs/>
                <w:color w:val="auto"/>
                <w:sz w:val="24"/>
                <w:highlight w:val="none"/>
              </w:rPr>
              <w:t>实验</w:t>
            </w:r>
            <w:r>
              <w:rPr>
                <w:rFonts w:hint="eastAsia"/>
                <w:bCs/>
                <w:color w:val="auto"/>
                <w:sz w:val="24"/>
                <w:highlight w:val="none"/>
              </w:rPr>
              <w:t>过程</w:t>
            </w:r>
            <w:r>
              <w:rPr>
                <w:bCs/>
                <w:color w:val="auto"/>
                <w:sz w:val="24"/>
                <w:highlight w:val="none"/>
              </w:rPr>
              <w:t>试剂配置用水</w:t>
            </w:r>
            <w:r>
              <w:rPr>
                <w:rFonts w:hint="eastAsia"/>
                <w:bCs/>
                <w:color w:val="auto"/>
                <w:sz w:val="24"/>
                <w:highlight w:val="none"/>
                <w:lang w:eastAsia="zh-CN"/>
              </w:rPr>
              <w:t>。</w:t>
            </w:r>
            <w:r>
              <w:rPr>
                <w:rFonts w:hint="eastAsia"/>
                <w:bCs/>
                <w:color w:val="auto"/>
                <w:sz w:val="24"/>
                <w:highlight w:val="none"/>
              </w:rPr>
              <w:t>容器</w:t>
            </w:r>
            <w:r>
              <w:rPr>
                <w:rFonts w:hint="eastAsia"/>
                <w:bCs/>
                <w:color w:val="auto"/>
                <w:sz w:val="24"/>
                <w:highlight w:val="none"/>
                <w:lang w:val="en-US" w:eastAsia="zh-CN"/>
              </w:rPr>
              <w:t>清洗</w:t>
            </w:r>
            <w:r>
              <w:rPr>
                <w:bCs/>
                <w:color w:val="auto"/>
                <w:sz w:val="24"/>
                <w:highlight w:val="none"/>
              </w:rPr>
              <w:t>用水</w:t>
            </w:r>
            <w:r>
              <w:rPr>
                <w:rFonts w:hint="eastAsia"/>
                <w:bCs/>
                <w:color w:val="auto"/>
                <w:sz w:val="24"/>
                <w:highlight w:val="none"/>
                <w:lang w:val="en-US" w:eastAsia="zh-CN"/>
              </w:rPr>
              <w:t>1.0m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eastAsia="宋体"/>
                <w:bCs/>
                <w:color w:val="auto"/>
                <w:sz w:val="24"/>
                <w:highlight w:val="none"/>
                <w:lang w:val="en-US" w:eastAsia="zh-CN"/>
              </w:rPr>
              <w:t>前两</w:t>
            </w:r>
            <w:r>
              <w:rPr>
                <w:rFonts w:hint="eastAsia"/>
                <w:bCs/>
                <w:color w:val="auto"/>
                <w:sz w:val="24"/>
                <w:highlight w:val="none"/>
                <w:lang w:val="en-US" w:eastAsia="zh-CN"/>
              </w:rPr>
              <w:t>遍</w:t>
            </w:r>
            <w:r>
              <w:rPr>
                <w:rFonts w:hint="eastAsia" w:eastAsia="宋体"/>
                <w:bCs/>
                <w:color w:val="auto"/>
                <w:sz w:val="24"/>
                <w:highlight w:val="none"/>
                <w:lang w:val="en-US" w:eastAsia="zh-CN"/>
              </w:rPr>
              <w:t>清洗</w:t>
            </w:r>
            <w:r>
              <w:rPr>
                <w:rFonts w:hint="eastAsia"/>
                <w:bCs/>
                <w:color w:val="auto"/>
                <w:sz w:val="24"/>
                <w:highlight w:val="none"/>
                <w:lang w:val="en-US" w:eastAsia="zh-CN"/>
              </w:rPr>
              <w:t>用水、第三遍及以后</w:t>
            </w:r>
            <w:r>
              <w:rPr>
                <w:rFonts w:hint="eastAsia"/>
                <w:bCs/>
                <w:color w:val="auto"/>
                <w:sz w:val="24"/>
                <w:highlight w:val="none"/>
              </w:rPr>
              <w:t>清洗</w:t>
            </w:r>
            <w:r>
              <w:rPr>
                <w:rFonts w:hint="eastAsia"/>
                <w:bCs/>
                <w:color w:val="auto"/>
                <w:sz w:val="24"/>
                <w:highlight w:val="none"/>
                <w:lang w:val="en-US" w:eastAsia="zh-CN"/>
              </w:rPr>
              <w:t>用</w:t>
            </w:r>
            <w:r>
              <w:rPr>
                <w:rFonts w:hint="eastAsia"/>
                <w:bCs/>
                <w:color w:val="auto"/>
                <w:sz w:val="24"/>
                <w:highlight w:val="none"/>
              </w:rPr>
              <w:t>水</w:t>
            </w:r>
            <w:r>
              <w:rPr>
                <w:rFonts w:hint="eastAsia"/>
                <w:bCs/>
                <w:color w:val="auto"/>
                <w:sz w:val="24"/>
                <w:highlight w:val="none"/>
                <w:lang w:val="en-US" w:eastAsia="zh-CN"/>
              </w:rPr>
              <w:t xml:space="preserve">各0.5 </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bCs/>
                <w:color w:val="auto"/>
                <w:sz w:val="24"/>
                <w:highlight w:val="none"/>
                <w:lang w:eastAsia="zh-CN"/>
              </w:rPr>
              <w:t>）；</w:t>
            </w:r>
            <w:r>
              <w:rPr>
                <w:bCs/>
                <w:color w:val="auto"/>
                <w:sz w:val="24"/>
                <w:highlight w:val="none"/>
              </w:rPr>
              <w:t>实验</w:t>
            </w:r>
            <w:r>
              <w:rPr>
                <w:rFonts w:hint="eastAsia"/>
                <w:bCs/>
                <w:color w:val="auto"/>
                <w:sz w:val="24"/>
                <w:highlight w:val="none"/>
              </w:rPr>
              <w:t>过程</w:t>
            </w:r>
            <w:r>
              <w:rPr>
                <w:bCs/>
                <w:color w:val="auto"/>
                <w:sz w:val="24"/>
                <w:highlight w:val="none"/>
              </w:rPr>
              <w:t>试剂配置用水</w:t>
            </w:r>
            <w:r>
              <w:rPr>
                <w:rFonts w:hint="eastAsia"/>
                <w:bCs/>
                <w:color w:val="auto"/>
                <w:sz w:val="24"/>
                <w:highlight w:val="none"/>
                <w:lang w:val="en-US" w:eastAsia="zh-CN"/>
              </w:rPr>
              <w:t>0.1m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实验用水全部使用纯水，合计用纯水1.1m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纯水外购。</w:t>
            </w:r>
          </w:p>
          <w:p w14:paraId="31DE3F80">
            <w:pPr>
              <w:numPr>
                <w:ilvl w:val="0"/>
                <w:numId w:val="7"/>
              </w:numPr>
              <w:adjustRightInd w:val="0"/>
              <w:snapToGrid w:val="0"/>
              <w:spacing w:line="360" w:lineRule="auto"/>
              <w:ind w:left="0" w:leftChars="0" w:firstLine="480" w:firstLineChars="200"/>
              <w:rPr>
                <w:rFonts w:hint="eastAsia"/>
                <w:color w:val="auto"/>
                <w:sz w:val="24"/>
                <w:highlight w:val="none"/>
                <w:lang w:val="en-US" w:eastAsia="zh-CN"/>
              </w:rPr>
            </w:pPr>
            <w:r>
              <w:rPr>
                <w:rFonts w:hint="eastAsia"/>
                <w:color w:val="auto"/>
                <w:vertAlign w:val="baseline"/>
                <w:lang w:eastAsia="zh-CN"/>
              </w:rPr>
              <w:t>消毒稀释用水</w:t>
            </w:r>
          </w:p>
          <w:p w14:paraId="4F8DF19C">
            <w:pPr>
              <w:numPr>
                <w:ilvl w:val="0"/>
                <w:numId w:val="0"/>
              </w:numPr>
              <w:adjustRightInd w:val="0"/>
              <w:snapToGrid w:val="0"/>
              <w:spacing w:line="360" w:lineRule="auto"/>
              <w:ind w:firstLine="480" w:firstLineChars="200"/>
              <w:rPr>
                <w:rFonts w:hint="eastAsia"/>
                <w:color w:val="auto"/>
                <w:vertAlign w:val="baseline"/>
                <w:lang w:eastAsia="zh-CN"/>
              </w:rPr>
            </w:pPr>
            <w:r>
              <w:rPr>
                <w:rFonts w:hint="eastAsia"/>
                <w:color w:val="auto"/>
                <w:vertAlign w:val="baseline"/>
                <w:lang w:eastAsia="zh-CN"/>
              </w:rPr>
              <w:t>新洁尔灭、</w:t>
            </w:r>
            <w:r>
              <w:rPr>
                <w:rFonts w:hint="eastAsia"/>
                <w:color w:val="auto"/>
                <w:vertAlign w:val="baseline"/>
                <w:lang w:val="en-US" w:eastAsia="zh-CN"/>
              </w:rPr>
              <w:t>乙醇</w:t>
            </w:r>
            <w:r>
              <w:rPr>
                <w:rFonts w:hint="eastAsia"/>
                <w:color w:val="auto"/>
                <w:vertAlign w:val="baseline"/>
                <w:lang w:eastAsia="zh-CN"/>
              </w:rPr>
              <w:t>使用自来水按比例稀释后用于</w:t>
            </w:r>
            <w:r>
              <w:rPr>
                <w:rFonts w:hint="eastAsia"/>
                <w:color w:val="auto"/>
                <w:vertAlign w:val="baseline"/>
                <w:lang w:val="en-US" w:eastAsia="zh-CN"/>
              </w:rPr>
              <w:t>工作台面</w:t>
            </w:r>
            <w:r>
              <w:rPr>
                <w:rFonts w:hint="eastAsia"/>
                <w:color w:val="auto"/>
                <w:vertAlign w:val="baseline"/>
                <w:lang w:eastAsia="zh-CN"/>
              </w:rPr>
              <w:t>、地面消毒，根据消毒液用量估算，年用水量为</w:t>
            </w:r>
            <w:r>
              <w:rPr>
                <w:rFonts w:hint="eastAsia"/>
                <w:color w:val="auto"/>
                <w:vertAlign w:val="baseline"/>
                <w:lang w:val="en-US" w:eastAsia="zh-CN"/>
              </w:rPr>
              <w:t>0.5</w:t>
            </w:r>
            <w:r>
              <w:rPr>
                <w:rFonts w:hint="eastAsia"/>
                <w:color w:val="auto"/>
                <w:vertAlign w:val="baseline"/>
                <w:lang w:eastAsia="zh-CN"/>
              </w:rPr>
              <w:t>m</w:t>
            </w:r>
            <w:r>
              <w:rPr>
                <w:rFonts w:hint="eastAsia"/>
                <w:color w:val="auto"/>
                <w:vertAlign w:val="superscript"/>
                <w:lang w:eastAsia="zh-CN"/>
              </w:rPr>
              <w:t>3</w:t>
            </w:r>
            <w:r>
              <w:rPr>
                <w:rFonts w:hint="eastAsia"/>
                <w:color w:val="auto"/>
                <w:vertAlign w:val="baseline"/>
                <w:lang w:val="en-US" w:eastAsia="zh-CN"/>
              </w:rPr>
              <w:t>/a</w:t>
            </w:r>
            <w:r>
              <w:rPr>
                <w:rFonts w:hint="eastAsia"/>
                <w:color w:val="auto"/>
                <w:vertAlign w:val="baseline"/>
                <w:lang w:eastAsia="zh-CN"/>
              </w:rPr>
              <w:t>。</w:t>
            </w:r>
          </w:p>
          <w:p w14:paraId="2B0C9969">
            <w:pPr>
              <w:numPr>
                <w:ilvl w:val="0"/>
                <w:numId w:val="0"/>
              </w:numPr>
              <w:adjustRightInd w:val="0"/>
              <w:snapToGrid w:val="0"/>
              <w:spacing w:line="360" w:lineRule="auto"/>
              <w:ind w:firstLine="480" w:firstLineChars="200"/>
              <w:rPr>
                <w:rFonts w:hint="default"/>
                <w:color w:val="auto"/>
                <w:vertAlign w:val="baseline"/>
                <w:lang w:val="en-US" w:eastAsia="zh-CN"/>
              </w:rPr>
            </w:pPr>
            <w:r>
              <w:rPr>
                <w:rFonts w:hint="eastAsia"/>
                <w:color w:val="auto"/>
                <w:vertAlign w:val="baseline"/>
                <w:lang w:val="en-US" w:eastAsia="zh-CN"/>
              </w:rPr>
              <w:t>工作服对外委托清洗，不在本单位洗涤。</w:t>
            </w:r>
          </w:p>
          <w:p w14:paraId="3404A8CF">
            <w:pPr>
              <w:adjustRightInd w:val="0"/>
              <w:snapToGrid w:val="0"/>
              <w:spacing w:line="360" w:lineRule="auto"/>
              <w:ind w:firstLine="480" w:firstLineChars="200"/>
              <w:rPr>
                <w:rFonts w:hint="default"/>
                <w:color w:val="auto"/>
                <w:vertAlign w:val="baseline"/>
                <w:lang w:val="en-US" w:eastAsia="zh-CN"/>
              </w:rPr>
            </w:pPr>
            <w:r>
              <w:rPr>
                <w:rFonts w:hint="eastAsia"/>
                <w:color w:val="auto"/>
                <w:sz w:val="24"/>
                <w:highlight w:val="none"/>
                <w:lang w:val="en-US" w:eastAsia="zh-CN"/>
              </w:rPr>
              <w:t>本</w:t>
            </w:r>
            <w:r>
              <w:rPr>
                <w:color w:val="auto"/>
                <w:sz w:val="24"/>
                <w:highlight w:val="none"/>
              </w:rPr>
              <w:t>项目</w:t>
            </w:r>
            <w:r>
              <w:rPr>
                <w:rFonts w:hint="eastAsia"/>
                <w:color w:val="auto"/>
                <w:sz w:val="24"/>
                <w:highlight w:val="none"/>
                <w:lang w:val="en-US" w:eastAsia="zh-CN"/>
              </w:rPr>
              <w:t>合计用水量</w:t>
            </w:r>
            <w:r>
              <w:rPr>
                <w:rFonts w:hint="eastAsia"/>
                <w:bCs/>
                <w:color w:val="auto"/>
                <w:sz w:val="24"/>
                <w:highlight w:val="none"/>
                <w:lang w:val="en-US" w:eastAsia="zh-CN"/>
              </w:rPr>
              <w:t>126.6m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5497DC53">
            <w:pPr>
              <w:rPr>
                <w:rFonts w:hint="eastAsia"/>
                <w:color w:val="auto"/>
                <w:vertAlign w:val="baseline"/>
                <w:lang w:eastAsia="zh-CN"/>
              </w:rPr>
            </w:pPr>
            <w:r>
              <w:rPr>
                <w:rFonts w:hint="eastAsia"/>
                <w:color w:val="auto"/>
                <w:vertAlign w:val="baseline"/>
                <w:lang w:eastAsia="zh-CN"/>
              </w:rPr>
              <w:t>2）排水工程</w:t>
            </w:r>
          </w:p>
          <w:p w14:paraId="0AF6FDC2">
            <w:pPr>
              <w:rPr>
                <w:rFonts w:hint="default"/>
                <w:color w:val="auto"/>
                <w:vertAlign w:val="baseline"/>
                <w:lang w:val="en-US" w:eastAsia="zh-CN"/>
              </w:rPr>
            </w:pPr>
            <w:r>
              <w:rPr>
                <w:rFonts w:hint="eastAsia"/>
                <w:color w:val="auto"/>
                <w:vertAlign w:val="baseline"/>
                <w:lang w:val="en-US" w:eastAsia="zh-CN"/>
              </w:rPr>
              <w:t>本</w:t>
            </w:r>
            <w:r>
              <w:rPr>
                <w:rFonts w:hint="eastAsia"/>
                <w:color w:val="auto"/>
                <w:vertAlign w:val="baseline"/>
                <w:lang w:eastAsia="zh-CN"/>
              </w:rPr>
              <w:t>项目</w:t>
            </w:r>
            <w:r>
              <w:rPr>
                <w:rFonts w:hint="eastAsia"/>
                <w:color w:val="auto"/>
                <w:vertAlign w:val="baseline"/>
                <w:lang w:val="en-US" w:eastAsia="zh-CN"/>
              </w:rPr>
              <w:t>消毒稀释用水在消毒过程中全部损耗不产生废水，本项目产生的</w:t>
            </w:r>
            <w:r>
              <w:rPr>
                <w:rFonts w:hint="eastAsia"/>
                <w:color w:val="auto"/>
                <w:vertAlign w:val="baseline"/>
                <w:lang w:eastAsia="zh-CN"/>
              </w:rPr>
              <w:t>废水</w:t>
            </w:r>
            <w:r>
              <w:rPr>
                <w:rFonts w:hint="eastAsia"/>
                <w:color w:val="auto"/>
                <w:vertAlign w:val="baseline"/>
                <w:lang w:val="en-US" w:eastAsia="zh-CN"/>
              </w:rPr>
              <w:t>主要为容器清洗废水、实验废液、生活污水</w:t>
            </w:r>
            <w:r>
              <w:rPr>
                <w:rFonts w:hint="eastAsia"/>
                <w:color w:val="auto"/>
                <w:vertAlign w:val="baseline"/>
                <w:lang w:eastAsia="zh-CN"/>
              </w:rPr>
              <w:t>。</w:t>
            </w:r>
          </w:p>
          <w:p w14:paraId="1F222BB1">
            <w:pPr>
              <w:numPr>
                <w:ilvl w:val="0"/>
                <w:numId w:val="8"/>
              </w:numPr>
              <w:ind w:left="0" w:leftChars="0" w:firstLine="480" w:firstLineChars="200"/>
              <w:rPr>
                <w:rFonts w:hint="eastAsia"/>
                <w:color w:val="auto"/>
                <w:vertAlign w:val="baseline"/>
                <w:lang w:eastAsia="zh-CN"/>
              </w:rPr>
            </w:pPr>
            <w:r>
              <w:rPr>
                <w:rFonts w:hint="eastAsia"/>
                <w:color w:val="auto"/>
                <w:vertAlign w:val="baseline"/>
                <w:lang w:val="en-US" w:eastAsia="zh-CN"/>
              </w:rPr>
              <w:t>容器</w:t>
            </w:r>
            <w:r>
              <w:rPr>
                <w:rFonts w:hint="eastAsia"/>
                <w:color w:val="auto"/>
                <w:vertAlign w:val="baseline"/>
                <w:lang w:eastAsia="zh-CN"/>
              </w:rPr>
              <w:t>清洗废水</w:t>
            </w:r>
          </w:p>
          <w:p w14:paraId="4B75DFFB">
            <w:pPr>
              <w:rPr>
                <w:rFonts w:hint="eastAsia"/>
                <w:color w:val="auto"/>
                <w:vertAlign w:val="baseline"/>
                <w:lang w:eastAsia="zh-CN"/>
              </w:rPr>
            </w:pPr>
            <w:r>
              <w:rPr>
                <w:rFonts w:hint="eastAsia"/>
                <w:color w:val="auto"/>
                <w:vertAlign w:val="baseline"/>
                <w:lang w:val="en-US" w:eastAsia="zh-CN"/>
              </w:rPr>
              <w:t>容器清洗废水产生量按用水量的90%计，产生的前两遍清洗废液收集作为危险废物处置，排放量为0.45m</w:t>
            </w:r>
            <w:r>
              <w:rPr>
                <w:rFonts w:hint="eastAsia"/>
                <w:color w:val="auto"/>
                <w:vertAlign w:val="superscript"/>
                <w:lang w:val="en-US" w:eastAsia="zh-CN"/>
              </w:rPr>
              <w:t>3</w:t>
            </w:r>
            <w:r>
              <w:rPr>
                <w:rFonts w:hint="eastAsia"/>
                <w:color w:val="auto"/>
                <w:vertAlign w:val="baseline"/>
                <w:lang w:val="en-US" w:eastAsia="zh-CN"/>
              </w:rPr>
              <w:t>/a；容器</w:t>
            </w:r>
            <w:r>
              <w:rPr>
                <w:rFonts w:hint="eastAsia"/>
                <w:bCs/>
                <w:color w:val="auto"/>
                <w:sz w:val="24"/>
                <w:highlight w:val="none"/>
                <w:lang w:val="en-US" w:eastAsia="zh-CN"/>
              </w:rPr>
              <w:t>第三遍及以后</w:t>
            </w:r>
            <w:r>
              <w:rPr>
                <w:rFonts w:hint="eastAsia"/>
                <w:color w:val="auto"/>
                <w:vertAlign w:val="baseline"/>
                <w:lang w:val="en-US" w:eastAsia="zh-CN"/>
              </w:rPr>
              <w:t>清洗废水与生活污水一起排入园区化粪池，排放量</w:t>
            </w:r>
            <w:r>
              <w:rPr>
                <w:rFonts w:hint="eastAsia"/>
                <w:color w:val="auto"/>
                <w:vertAlign w:val="baseline"/>
                <w:lang w:eastAsia="zh-CN"/>
              </w:rPr>
              <w:t>为</w:t>
            </w:r>
            <w:r>
              <w:rPr>
                <w:rFonts w:hint="eastAsia"/>
                <w:color w:val="auto"/>
                <w:vertAlign w:val="baseline"/>
                <w:lang w:val="en-US" w:eastAsia="zh-CN"/>
              </w:rPr>
              <w:t>0.45</w:t>
            </w:r>
            <w:r>
              <w:rPr>
                <w:rFonts w:hint="eastAsia"/>
                <w:color w:val="auto"/>
                <w:vertAlign w:val="baseline"/>
                <w:lang w:eastAsia="zh-CN"/>
              </w:rPr>
              <w:t>m</w:t>
            </w:r>
            <w:r>
              <w:rPr>
                <w:rFonts w:hint="eastAsia"/>
                <w:color w:val="auto"/>
                <w:vertAlign w:val="superscript"/>
                <w:lang w:eastAsia="zh-CN"/>
              </w:rPr>
              <w:t>3</w:t>
            </w:r>
            <w:r>
              <w:rPr>
                <w:rFonts w:hint="eastAsia"/>
                <w:color w:val="auto"/>
                <w:vertAlign w:val="baseline"/>
                <w:lang w:eastAsia="zh-CN"/>
              </w:rPr>
              <w:t>/a。</w:t>
            </w:r>
          </w:p>
          <w:p w14:paraId="58395AC1">
            <w:pPr>
              <w:numPr>
                <w:ilvl w:val="0"/>
                <w:numId w:val="8"/>
              </w:numPr>
              <w:ind w:left="0" w:leftChars="0" w:firstLine="480" w:firstLineChars="200"/>
              <w:rPr>
                <w:rFonts w:hint="default"/>
                <w:color w:val="auto"/>
                <w:vertAlign w:val="baseline"/>
                <w:lang w:val="en-US" w:eastAsia="zh-CN"/>
              </w:rPr>
            </w:pPr>
            <w:r>
              <w:rPr>
                <w:rFonts w:hint="eastAsia"/>
                <w:color w:val="auto"/>
                <w:vertAlign w:val="baseline"/>
                <w:lang w:val="en-US" w:eastAsia="zh-CN"/>
              </w:rPr>
              <w:t>实验废液</w:t>
            </w:r>
          </w:p>
          <w:p w14:paraId="2B21483A">
            <w:pPr>
              <w:numPr>
                <w:ilvl w:val="0"/>
                <w:numId w:val="0"/>
              </w:numPr>
              <w:ind w:firstLine="480" w:firstLineChars="200"/>
              <w:rPr>
                <w:rFonts w:hint="default"/>
                <w:color w:val="auto"/>
                <w:vertAlign w:val="baseline"/>
                <w:lang w:val="en-US" w:eastAsia="zh-CN"/>
              </w:rPr>
            </w:pPr>
            <w:r>
              <w:rPr>
                <w:rFonts w:hint="eastAsia"/>
                <w:color w:val="auto"/>
                <w:vertAlign w:val="baseline"/>
                <w:lang w:val="en-US" w:eastAsia="zh-CN"/>
              </w:rPr>
              <w:t>试剂配制用水全部进入实验废液，实验废液收集后作为危险废物处置，排放量为0.1m</w:t>
            </w:r>
            <w:r>
              <w:rPr>
                <w:rFonts w:hint="eastAsia"/>
                <w:color w:val="auto"/>
                <w:vertAlign w:val="superscript"/>
                <w:lang w:val="en-US" w:eastAsia="zh-CN"/>
              </w:rPr>
              <w:t>3</w:t>
            </w:r>
            <w:r>
              <w:rPr>
                <w:rFonts w:hint="eastAsia"/>
                <w:color w:val="auto"/>
                <w:vertAlign w:val="baseline"/>
                <w:lang w:val="en-US" w:eastAsia="zh-CN"/>
              </w:rPr>
              <w:t>/a。</w:t>
            </w:r>
          </w:p>
          <w:p w14:paraId="3AEE2F42">
            <w:pPr>
              <w:numPr>
                <w:ilvl w:val="0"/>
                <w:numId w:val="8"/>
              </w:numPr>
              <w:ind w:left="0" w:leftChars="0" w:firstLine="480" w:firstLineChars="200"/>
              <w:rPr>
                <w:rFonts w:hint="eastAsia"/>
                <w:color w:val="auto"/>
                <w:vertAlign w:val="baseline"/>
                <w:lang w:val="en-US" w:eastAsia="zh-CN"/>
              </w:rPr>
            </w:pPr>
            <w:r>
              <w:rPr>
                <w:rFonts w:hint="eastAsia"/>
                <w:color w:val="auto"/>
                <w:vertAlign w:val="baseline"/>
                <w:lang w:val="en-US" w:eastAsia="zh-CN"/>
              </w:rPr>
              <w:t>生活污水</w:t>
            </w:r>
          </w:p>
          <w:p w14:paraId="60817A6D">
            <w:pPr>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生活废水产生量按用水量的85%，计106.25m</w:t>
            </w:r>
            <w:r>
              <w:rPr>
                <w:rFonts w:hint="eastAsia" w:ascii="Times New Roman" w:hAnsi="Times New Roman"/>
                <w:color w:val="auto"/>
                <w:vertAlign w:val="superscript"/>
                <w:lang w:val="en-US" w:eastAsia="zh-CN"/>
              </w:rPr>
              <w:t>3</w:t>
            </w:r>
            <w:r>
              <w:rPr>
                <w:rFonts w:hint="eastAsia" w:ascii="Times New Roman" w:hAnsi="Times New Roman"/>
                <w:color w:val="auto"/>
                <w:vertAlign w:val="baseline"/>
                <w:lang w:val="en-US" w:eastAsia="zh-CN"/>
              </w:rPr>
              <w:t>/a。</w:t>
            </w:r>
          </w:p>
          <w:p w14:paraId="238849C7">
            <w:pPr>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综上，本项目废水排放量为106.7m</w:t>
            </w:r>
            <w:r>
              <w:rPr>
                <w:rFonts w:hint="eastAsia" w:ascii="Times New Roman" w:hAnsi="Times New Roman"/>
                <w:color w:val="auto"/>
                <w:vertAlign w:val="superscript"/>
                <w:lang w:val="en-US" w:eastAsia="zh-CN"/>
              </w:rPr>
              <w:t>3</w:t>
            </w:r>
            <w:r>
              <w:rPr>
                <w:rFonts w:hint="eastAsia" w:ascii="Times New Roman" w:hAnsi="Times New Roman"/>
                <w:color w:val="auto"/>
                <w:vertAlign w:val="baseline"/>
                <w:lang w:val="en-US" w:eastAsia="zh-CN"/>
              </w:rPr>
              <w:t>/a。</w:t>
            </w:r>
          </w:p>
          <w:p w14:paraId="5BBDB36C">
            <w:pPr>
              <w:rPr>
                <w:rFonts w:hint="eastAsia" w:ascii="Times New Roman" w:hAnsi="Times New Roman"/>
                <w:color w:val="auto"/>
                <w:vertAlign w:val="baseline"/>
                <w:lang w:val="en-US" w:eastAsia="zh-CN"/>
              </w:rPr>
            </w:pPr>
            <w:r>
              <w:rPr>
                <w:rFonts w:hint="eastAsia" w:ascii="Times New Roman" w:hAnsi="Times New Roman"/>
                <w:color w:val="auto"/>
                <w:vertAlign w:val="baseline"/>
                <w:lang w:val="en-US" w:eastAsia="zh-CN"/>
              </w:rPr>
              <w:t>本项目水平衡图见下图。</w:t>
            </w:r>
          </w:p>
          <w:p w14:paraId="6ACE4A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default"/>
                <w:color w:val="auto"/>
                <w:vertAlign w:val="baseline"/>
                <w:lang w:val="en-US" w:eastAsia="zh-CN"/>
              </w:rPr>
              <w:object>
                <v:shape id="_x0000_i1025" o:spt="75" type="#_x0000_t75" style="height:239.7pt;width:400.9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0B0191FC">
            <w:pPr>
              <w:pStyle w:val="15"/>
              <w:numPr>
                <w:ilvl w:val="0"/>
                <w:numId w:val="9"/>
              </w:numPr>
              <w:bidi w:val="0"/>
              <w:ind w:left="425" w:leftChars="0" w:hanging="425" w:firstLineChars="0"/>
              <w:rPr>
                <w:rFonts w:hint="eastAsia"/>
                <w:color w:val="auto"/>
                <w:highlight w:val="none"/>
                <w:vertAlign w:val="baseline"/>
                <w:lang w:val="en-US" w:eastAsia="zh-CN"/>
              </w:rPr>
            </w:pPr>
            <w:r>
              <w:rPr>
                <w:rFonts w:hint="eastAsia"/>
                <w:color w:val="auto"/>
                <w:highlight w:val="none"/>
                <w:vertAlign w:val="baseline"/>
                <w:lang w:val="en-US" w:eastAsia="zh-CN"/>
              </w:rPr>
              <w:t>本项目水平衡图  单位：m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p w14:paraId="7C05D9E4">
            <w:pPr>
              <w:rPr>
                <w:rFonts w:hint="default" w:eastAsia="宋体"/>
                <w:color w:val="auto"/>
                <w:vertAlign w:val="baseline"/>
                <w:lang w:val="en-US" w:eastAsia="zh-CN"/>
              </w:rPr>
            </w:pPr>
            <w:r>
              <w:rPr>
                <w:rFonts w:hint="eastAsia"/>
                <w:color w:val="auto"/>
                <w:vertAlign w:val="baseline"/>
                <w:lang w:val="en-US" w:eastAsia="zh-CN"/>
              </w:rPr>
              <w:t>3</w:t>
            </w:r>
            <w:r>
              <w:rPr>
                <w:rFonts w:hint="eastAsia"/>
                <w:color w:val="auto"/>
                <w:vertAlign w:val="baseline"/>
                <w:lang w:eastAsia="zh-CN"/>
              </w:rPr>
              <w:t>）</w:t>
            </w:r>
            <w:r>
              <w:rPr>
                <w:rFonts w:hint="eastAsia"/>
                <w:color w:val="auto"/>
                <w:vertAlign w:val="baseline"/>
                <w:lang w:val="en-US" w:eastAsia="zh-CN"/>
              </w:rPr>
              <w:t>供电</w:t>
            </w:r>
          </w:p>
          <w:p w14:paraId="4D91CE65">
            <w:pPr>
              <w:rPr>
                <w:color w:val="auto"/>
                <w:vertAlign w:val="baseline"/>
              </w:rPr>
            </w:pPr>
            <w:r>
              <w:rPr>
                <w:rFonts w:hint="eastAsia"/>
                <w:color w:val="auto"/>
                <w:vertAlign w:val="baseline"/>
              </w:rPr>
              <w:t>本项目用电</w:t>
            </w:r>
            <w:r>
              <w:rPr>
                <w:rFonts w:hint="eastAsia"/>
                <w:color w:val="auto"/>
                <w:vertAlign w:val="baseline"/>
                <w:lang w:val="en-US" w:eastAsia="zh-CN"/>
              </w:rPr>
              <w:t>由</w:t>
            </w:r>
            <w:r>
              <w:rPr>
                <w:rFonts w:hint="eastAsia"/>
                <w:color w:val="auto"/>
                <w:vertAlign w:val="baseline"/>
              </w:rPr>
              <w:t>市政电网</w:t>
            </w:r>
            <w:r>
              <w:rPr>
                <w:rFonts w:hint="eastAsia"/>
                <w:color w:val="auto"/>
                <w:vertAlign w:val="baseline"/>
                <w:lang w:val="en-US" w:eastAsia="zh-CN"/>
              </w:rPr>
              <w:t>供给</w:t>
            </w:r>
            <w:r>
              <w:rPr>
                <w:rFonts w:hint="eastAsia"/>
                <w:color w:val="auto"/>
                <w:vertAlign w:val="baseline"/>
              </w:rPr>
              <w:t>。</w:t>
            </w:r>
          </w:p>
          <w:p w14:paraId="254B9329">
            <w:pPr>
              <w:rPr>
                <w:rFonts w:hint="eastAsia" w:eastAsia="宋体"/>
                <w:color w:val="auto"/>
                <w:vertAlign w:val="baseline"/>
                <w:lang w:eastAsia="zh-CN"/>
              </w:rPr>
            </w:pPr>
            <w:r>
              <w:rPr>
                <w:rFonts w:hint="eastAsia"/>
                <w:color w:val="auto"/>
                <w:vertAlign w:val="baseline"/>
                <w:lang w:val="en-US" w:eastAsia="zh-CN"/>
              </w:rPr>
              <w:t>4</w:t>
            </w:r>
            <w:r>
              <w:rPr>
                <w:rFonts w:hint="eastAsia"/>
                <w:color w:val="auto"/>
                <w:vertAlign w:val="baseline"/>
                <w:lang w:eastAsia="zh-CN"/>
              </w:rPr>
              <w:t>）供暖、制冷</w:t>
            </w:r>
          </w:p>
          <w:p w14:paraId="28DFCBB2">
            <w:pPr>
              <w:rPr>
                <w:rFonts w:hint="eastAsia"/>
                <w:color w:val="auto"/>
                <w:vertAlign w:val="baseline"/>
              </w:rPr>
            </w:pPr>
            <w:r>
              <w:rPr>
                <w:rFonts w:hint="eastAsia"/>
                <w:color w:val="auto"/>
                <w:vertAlign w:val="baseline"/>
              </w:rPr>
              <w:t>本项目冬季供暖和夏季制冷均使用空调。</w:t>
            </w:r>
          </w:p>
        </w:tc>
      </w:tr>
      <w:tr w14:paraId="4C25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6CA8C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工艺流程和产排污环节</w:t>
            </w:r>
          </w:p>
        </w:tc>
        <w:tc>
          <w:tcPr>
            <w:tcW w:w="8239" w:type="dxa"/>
            <w:vAlign w:val="center"/>
          </w:tcPr>
          <w:p w14:paraId="5B7F1E78">
            <w:pPr>
              <w:rPr>
                <w:rFonts w:hint="default" w:eastAsia="宋体"/>
                <w:b/>
                <w:bCs/>
                <w:color w:val="auto"/>
                <w:vertAlign w:val="baseline"/>
                <w:lang w:val="en-US" w:eastAsia="zh-CN"/>
              </w:rPr>
            </w:pPr>
            <w:r>
              <w:rPr>
                <w:rFonts w:hint="eastAsia"/>
                <w:b/>
                <w:bCs/>
                <w:color w:val="auto"/>
                <w:vertAlign w:val="baseline"/>
                <w:lang w:val="en-US" w:eastAsia="zh-CN"/>
              </w:rPr>
              <w:t>1、施工期</w:t>
            </w:r>
          </w:p>
          <w:p w14:paraId="669402A3">
            <w:pPr>
              <w:rPr>
                <w:rFonts w:hint="eastAsia"/>
                <w:color w:val="auto"/>
                <w:vertAlign w:val="baseline"/>
                <w:lang w:val="en-US" w:eastAsia="zh-CN"/>
              </w:rPr>
            </w:pPr>
            <w:r>
              <w:rPr>
                <w:rFonts w:hint="default" w:ascii="Times New Roman" w:hAnsi="Times New Roman" w:eastAsia="宋体" w:cs="Times New Roman"/>
                <w:color w:val="auto"/>
                <w:sz w:val="24"/>
                <w:highlight w:val="none"/>
              </w:rPr>
              <w:drawing>
                <wp:anchor distT="0" distB="0" distL="114300" distR="114300" simplePos="0" relativeHeight="251664384" behindDoc="0" locked="0" layoutInCell="1" allowOverlap="1">
                  <wp:simplePos x="0" y="0"/>
                  <wp:positionH relativeFrom="column">
                    <wp:posOffset>316865</wp:posOffset>
                  </wp:positionH>
                  <wp:positionV relativeFrom="paragraph">
                    <wp:posOffset>1106170</wp:posOffset>
                  </wp:positionV>
                  <wp:extent cx="4314825" cy="1774825"/>
                  <wp:effectExtent l="0" t="0" r="0" b="0"/>
                  <wp:wrapTopAndBottom/>
                  <wp:docPr id="150" name="ECB019B1-382A-4266-B25C-5B523AA43C14-1" descr="C:/Users/Administrator/AppData/Local/Temp/wps.sOBR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ECB019B1-382A-4266-B25C-5B523AA43C14-1" descr="C:/Users/Administrator/AppData/Local/Temp/wps.sOBRPnwps"/>
                          <pic:cNvPicPr>
                            <a:picLocks noChangeAspect="1"/>
                          </pic:cNvPicPr>
                        </pic:nvPicPr>
                        <pic:blipFill>
                          <a:blip r:embed="rId13"/>
                          <a:srcRect t="10967" b="5363"/>
                          <a:stretch>
                            <a:fillRect/>
                          </a:stretch>
                        </pic:blipFill>
                        <pic:spPr>
                          <a:xfrm>
                            <a:off x="0" y="0"/>
                            <a:ext cx="4314825" cy="1774825"/>
                          </a:xfrm>
                          <a:prstGeom prst="rect">
                            <a:avLst/>
                          </a:prstGeom>
                        </pic:spPr>
                      </pic:pic>
                    </a:graphicData>
                  </a:graphic>
                </wp:anchor>
              </w:drawing>
            </w:r>
            <w:r>
              <w:rPr>
                <w:rFonts w:hint="eastAsia"/>
                <w:color w:val="auto"/>
                <w:vertAlign w:val="baseline"/>
                <w:lang w:val="en-US" w:eastAsia="zh-CN"/>
              </w:rPr>
              <w:t>本项目租用现有建筑建设实验室，施工期仅为设备安装。主要污染物为施工噪声、施工人员生活污水，同时产生少量施工扬尘、施工固体废物（安装垃圾和生活垃圾）。随着施工期的结束，对环境的影响也随之消失。</w:t>
            </w:r>
          </w:p>
          <w:p w14:paraId="0008AE7E">
            <w:pPr>
              <w:pStyle w:val="15"/>
              <w:numPr>
                <w:ilvl w:val="0"/>
                <w:numId w:val="9"/>
              </w:numPr>
              <w:bidi w:val="0"/>
              <w:ind w:left="425" w:leftChars="0" w:hanging="425" w:firstLineChars="0"/>
              <w:rPr>
                <w:rFonts w:hint="eastAsia"/>
                <w:color w:val="auto"/>
                <w:vertAlign w:val="baseline"/>
                <w:lang w:val="en-US" w:eastAsia="zh-CN"/>
              </w:rPr>
            </w:pPr>
            <w:r>
              <w:rPr>
                <w:rFonts w:hint="default" w:ascii="Times New Roman" w:hAnsi="Times New Roman" w:eastAsia="宋体" w:cs="Times New Roman"/>
                <w:b/>
                <w:bCs/>
                <w:color w:val="auto"/>
                <w:sz w:val="24"/>
                <w:szCs w:val="32"/>
                <w:highlight w:val="none"/>
              </w:rPr>
              <w:t>项目施工期流程及产污节点图</w:t>
            </w:r>
          </w:p>
          <w:p w14:paraId="31B3F745">
            <w:pPr>
              <w:rPr>
                <w:rFonts w:hint="default"/>
                <w:b/>
                <w:bCs/>
                <w:color w:val="auto"/>
                <w:vertAlign w:val="baseline"/>
                <w:lang w:val="en-US" w:eastAsia="zh-CN"/>
              </w:rPr>
            </w:pPr>
            <w:r>
              <w:rPr>
                <w:rFonts w:hint="eastAsia"/>
                <w:b/>
                <w:bCs/>
                <w:color w:val="auto"/>
                <w:vertAlign w:val="baseline"/>
                <w:lang w:val="en-US" w:eastAsia="zh-CN"/>
              </w:rPr>
              <w:t>2、运营期</w:t>
            </w:r>
          </w:p>
          <w:p w14:paraId="6438AC51">
            <w:pPr>
              <w:rPr>
                <w:rFonts w:hint="eastAsia"/>
                <w:color w:val="auto"/>
                <w:vertAlign w:val="baseline"/>
                <w:lang w:val="en-US" w:eastAsia="zh-CN"/>
              </w:rPr>
            </w:pPr>
            <w:r>
              <w:rPr>
                <w:rFonts w:hint="eastAsia" w:cs="Times New Roman"/>
                <w:color w:val="auto"/>
                <w:highlight w:val="none"/>
                <w:vertAlign w:val="baseline"/>
                <w:lang w:val="en-US" w:eastAsia="zh-CN"/>
              </w:rPr>
              <w:t>（1）</w:t>
            </w:r>
            <w:r>
              <w:rPr>
                <w:rFonts w:hint="eastAsia"/>
                <w:color w:val="auto"/>
                <w:vertAlign w:val="baseline"/>
                <w:lang w:val="en-US" w:eastAsia="zh-CN"/>
              </w:rPr>
              <w:t>抗体包被微球实验</w:t>
            </w:r>
          </w:p>
          <w:p w14:paraId="0355C82F">
            <w:pPr>
              <w:ind w:left="0" w:leftChars="0" w:firstLine="0" w:firstLineChars="0"/>
              <w:jc w:val="center"/>
              <w:rPr>
                <w:rFonts w:hint="default"/>
                <w:color w:val="auto"/>
                <w:vertAlign w:val="baseline"/>
                <w:lang w:val="en-US" w:eastAsia="zh-CN"/>
              </w:rPr>
            </w:pPr>
            <w:r>
              <w:rPr>
                <w:rFonts w:hint="default"/>
                <w:color w:val="auto"/>
                <w:vertAlign w:val="baseline"/>
                <w:lang w:val="en-US" w:eastAsia="zh-CN"/>
              </w:rPr>
              <w:object>
                <v:shape id="_x0000_i1026" o:spt="75" type="#_x0000_t75" style="height:141.4pt;width:350.6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14:paraId="3C12DBCE">
            <w:pPr>
              <w:pStyle w:val="15"/>
              <w:numPr>
                <w:ilvl w:val="0"/>
                <w:numId w:val="9"/>
              </w:numPr>
              <w:bidi w:val="0"/>
              <w:ind w:left="425" w:leftChars="0" w:hanging="425" w:firstLineChars="0"/>
              <w:rPr>
                <w:rFonts w:hint="default"/>
                <w:b/>
                <w:bCs/>
                <w:color w:val="auto"/>
                <w:vertAlign w:val="baseline"/>
                <w:lang w:val="en-US" w:eastAsia="zh-CN"/>
              </w:rPr>
            </w:pPr>
            <w:r>
              <w:rPr>
                <w:rFonts w:hint="eastAsia"/>
                <w:color w:val="auto"/>
                <w:vertAlign w:val="baseline"/>
                <w:lang w:val="en-US" w:eastAsia="zh-CN"/>
              </w:rPr>
              <w:t>抗体包被微球实验工艺流程及产物节点图</w:t>
            </w:r>
          </w:p>
          <w:p w14:paraId="4B3058FC">
            <w:pPr>
              <w:numPr>
                <w:ilvl w:val="0"/>
                <w:numId w:val="10"/>
              </w:numPr>
              <w:ind w:left="0" w:leftChars="0" w:firstLine="480" w:firstLineChars="200"/>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微球活化：在烧杯里加入羧基微球（彩色微球或荧光微球），在</w:t>
            </w:r>
            <w:r>
              <w:rPr>
                <w:rFonts w:hint="default"/>
                <w:color w:val="auto"/>
                <w:sz w:val="21"/>
                <w:szCs w:val="21"/>
                <w:vertAlign w:val="baseline"/>
                <w:lang w:val="en-US" w:eastAsia="zh-CN"/>
              </w:rPr>
              <w:t>MES</w:t>
            </w:r>
            <w:r>
              <w:rPr>
                <w:rFonts w:hint="eastAsia" w:ascii="Times New Roman" w:hAnsi="Times New Roman"/>
                <w:color w:val="auto"/>
                <w:vertAlign w:val="baseline"/>
                <w:lang w:val="en-US" w:eastAsia="zh-CN"/>
              </w:rPr>
              <w:t>缓冲液中加入EDCI和NHS，</w:t>
            </w:r>
            <w:r>
              <w:rPr>
                <w:rFonts w:hint="eastAsia"/>
                <w:color w:val="auto"/>
                <w:vertAlign w:val="baseline"/>
                <w:lang w:val="en-US" w:eastAsia="zh-CN"/>
              </w:rPr>
              <w:t>并与</w:t>
            </w:r>
            <w:r>
              <w:rPr>
                <w:rFonts w:hint="eastAsia" w:ascii="Times New Roman" w:hAnsi="Times New Roman"/>
                <w:color w:val="auto"/>
                <w:vertAlign w:val="baseline"/>
                <w:lang w:val="en-US" w:eastAsia="zh-CN"/>
              </w:rPr>
              <w:t>羧基微球</w:t>
            </w:r>
            <w:r>
              <w:rPr>
                <w:rFonts w:hint="eastAsia"/>
                <w:color w:val="auto"/>
                <w:vertAlign w:val="baseline"/>
                <w:lang w:val="en-US" w:eastAsia="zh-CN"/>
              </w:rPr>
              <w:t>充分混合，在常温下</w:t>
            </w:r>
            <w:r>
              <w:rPr>
                <w:rFonts w:hint="eastAsia" w:ascii="Times New Roman" w:hAnsi="Times New Roman"/>
                <w:color w:val="auto"/>
                <w:vertAlign w:val="baseline"/>
                <w:lang w:val="en-US" w:eastAsia="zh-CN"/>
              </w:rPr>
              <w:t>对羧基</w:t>
            </w:r>
            <w:r>
              <w:rPr>
                <w:rFonts w:hint="eastAsia"/>
                <w:color w:val="auto"/>
                <w:vertAlign w:val="baseline"/>
                <w:lang w:val="en-US" w:eastAsia="zh-CN"/>
              </w:rPr>
              <w:t>微球</w:t>
            </w:r>
            <w:r>
              <w:rPr>
                <w:rFonts w:hint="eastAsia" w:ascii="Times New Roman" w:hAnsi="Times New Roman"/>
                <w:color w:val="auto"/>
                <w:vertAlign w:val="baseline"/>
                <w:lang w:val="en-US" w:eastAsia="zh-CN"/>
              </w:rPr>
              <w:t>表面进行活化处理</w:t>
            </w:r>
            <w:r>
              <w:rPr>
                <w:rFonts w:hint="eastAsia"/>
                <w:color w:val="auto"/>
                <w:vertAlign w:val="baseline"/>
                <w:lang w:val="en-US" w:eastAsia="zh-CN"/>
              </w:rPr>
              <w:t>。</w:t>
            </w:r>
          </w:p>
          <w:p w14:paraId="27829F38">
            <w:pPr>
              <w:numPr>
                <w:ilvl w:val="0"/>
                <w:numId w:val="0"/>
              </w:numPr>
              <w:ind w:firstLine="482" w:firstLineChars="200"/>
              <w:rPr>
                <w:rFonts w:hint="default" w:ascii="Times New Roman" w:hAnsi="Times New Roman"/>
                <w:b/>
                <w:bCs/>
                <w:color w:val="auto"/>
                <w:vertAlign w:val="baseline"/>
                <w:lang w:val="en-US" w:eastAsia="zh-CN"/>
              </w:rPr>
            </w:pPr>
            <w:r>
              <w:rPr>
                <w:rFonts w:hint="eastAsia"/>
                <w:b/>
                <w:bCs/>
                <w:color w:val="auto"/>
                <w:vertAlign w:val="baseline"/>
                <w:lang w:val="en-US" w:eastAsia="zh-CN"/>
              </w:rPr>
              <w:t>该过程产生容器清洗废液S1、容器清洗废水W1、废一次性实验耗材S2。</w:t>
            </w:r>
          </w:p>
          <w:p w14:paraId="5B127C0F">
            <w:pPr>
              <w:numPr>
                <w:ilvl w:val="0"/>
                <w:numId w:val="10"/>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离心：将以上活化的微球混合液在桌面离心机中</w:t>
            </w:r>
            <w:r>
              <w:rPr>
                <w:rFonts w:hint="eastAsia" w:ascii="Times New Roman" w:hAnsi="Times New Roman"/>
                <w:color w:val="auto"/>
                <w:vertAlign w:val="baseline"/>
                <w:lang w:val="en-US" w:eastAsia="zh-CN"/>
              </w:rPr>
              <w:t>离心，除去上清液</w:t>
            </w:r>
            <w:r>
              <w:rPr>
                <w:rFonts w:hint="eastAsia"/>
                <w:color w:val="auto"/>
                <w:vertAlign w:val="baseline"/>
                <w:lang w:val="en-US" w:eastAsia="zh-CN"/>
              </w:rPr>
              <w:t>作危险废物处理</w:t>
            </w:r>
            <w:r>
              <w:rPr>
                <w:rFonts w:hint="eastAsia" w:ascii="Times New Roman" w:hAnsi="Times New Roman"/>
                <w:color w:val="auto"/>
                <w:vertAlign w:val="baseline"/>
                <w:lang w:val="en-US" w:eastAsia="zh-CN"/>
              </w:rPr>
              <w:t>，富集收集活化微球</w:t>
            </w:r>
            <w:r>
              <w:rPr>
                <w:rFonts w:hint="eastAsia"/>
                <w:color w:val="auto"/>
                <w:vertAlign w:val="baseline"/>
                <w:lang w:val="en-US" w:eastAsia="zh-CN"/>
              </w:rPr>
              <w:t>。</w:t>
            </w:r>
          </w:p>
          <w:p w14:paraId="7439C59A">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该过程产生实验废液S3、废一次性实验耗材S2。</w:t>
            </w:r>
          </w:p>
          <w:p w14:paraId="65B33FDA">
            <w:pPr>
              <w:numPr>
                <w:ilvl w:val="0"/>
                <w:numId w:val="10"/>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孵育：</w:t>
            </w:r>
            <w:r>
              <w:rPr>
                <w:rFonts w:hint="eastAsia" w:ascii="Times New Roman" w:hAnsi="Times New Roman"/>
                <w:color w:val="auto"/>
                <w:vertAlign w:val="baseline"/>
                <w:lang w:val="en-US" w:eastAsia="zh-CN"/>
              </w:rPr>
              <w:t>向活化微球中加入待</w:t>
            </w:r>
            <w:r>
              <w:rPr>
                <w:rFonts w:hint="eastAsia"/>
                <w:color w:val="auto"/>
                <w:vertAlign w:val="baseline"/>
                <w:lang w:val="en-US" w:eastAsia="zh-CN"/>
              </w:rPr>
              <w:t>包被</w:t>
            </w:r>
            <w:r>
              <w:rPr>
                <w:rFonts w:hint="eastAsia" w:ascii="Times New Roman" w:hAnsi="Times New Roman"/>
                <w:color w:val="auto"/>
                <w:vertAlign w:val="baseline"/>
                <w:lang w:val="en-US" w:eastAsia="zh-CN"/>
              </w:rPr>
              <w:t>的抗体，</w:t>
            </w:r>
            <w:r>
              <w:rPr>
                <w:rFonts w:hint="eastAsia"/>
                <w:color w:val="auto"/>
                <w:vertAlign w:val="baseline"/>
                <w:lang w:val="en-US" w:eastAsia="zh-CN"/>
              </w:rPr>
              <w:t>在恒温箱中</w:t>
            </w:r>
            <w:r>
              <w:rPr>
                <w:rFonts w:hint="eastAsia" w:ascii="Times New Roman" w:hAnsi="Times New Roman"/>
                <w:color w:val="auto"/>
                <w:vertAlign w:val="baseline"/>
                <w:lang w:val="en-US" w:eastAsia="zh-CN"/>
              </w:rPr>
              <w:t>孵育一</w:t>
            </w:r>
            <w:r>
              <w:rPr>
                <w:rFonts w:hint="eastAsia"/>
                <w:color w:val="auto"/>
                <w:vertAlign w:val="baseline"/>
                <w:lang w:val="en-US" w:eastAsia="zh-CN"/>
              </w:rPr>
              <w:t>定</w:t>
            </w:r>
            <w:r>
              <w:rPr>
                <w:rFonts w:hint="eastAsia" w:ascii="Times New Roman" w:hAnsi="Times New Roman"/>
                <w:color w:val="auto"/>
                <w:vertAlign w:val="baseline"/>
                <w:lang w:val="en-US" w:eastAsia="zh-CN"/>
              </w:rPr>
              <w:t>时间</w:t>
            </w:r>
            <w:r>
              <w:rPr>
                <w:rFonts w:hint="eastAsia"/>
                <w:color w:val="auto"/>
                <w:vertAlign w:val="baseline"/>
                <w:lang w:val="en-US" w:eastAsia="zh-CN"/>
              </w:rPr>
              <w:t>。</w:t>
            </w:r>
          </w:p>
          <w:p w14:paraId="2CAC1324">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该过程产生废一次性实验耗材S2。</w:t>
            </w:r>
          </w:p>
          <w:p w14:paraId="28344EA7">
            <w:pPr>
              <w:numPr>
                <w:ilvl w:val="0"/>
                <w:numId w:val="10"/>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离心：将以上孵育后的抗体包被微球在桌面离心机中</w:t>
            </w:r>
            <w:r>
              <w:rPr>
                <w:rFonts w:hint="eastAsia" w:ascii="Times New Roman" w:hAnsi="Times New Roman"/>
                <w:color w:val="auto"/>
                <w:vertAlign w:val="baseline"/>
                <w:lang w:val="en-US" w:eastAsia="zh-CN"/>
              </w:rPr>
              <w:t>离心，除去上清液</w:t>
            </w:r>
            <w:r>
              <w:rPr>
                <w:rFonts w:hint="eastAsia"/>
                <w:color w:val="auto"/>
                <w:vertAlign w:val="baseline"/>
                <w:lang w:val="en-US" w:eastAsia="zh-CN"/>
              </w:rPr>
              <w:t>作危险废物处理</w:t>
            </w:r>
            <w:r>
              <w:rPr>
                <w:rFonts w:hint="eastAsia" w:ascii="Times New Roman" w:hAnsi="Times New Roman"/>
                <w:color w:val="auto"/>
                <w:vertAlign w:val="baseline"/>
                <w:lang w:val="en-US" w:eastAsia="zh-CN"/>
              </w:rPr>
              <w:t>，富集收集</w:t>
            </w:r>
            <w:r>
              <w:rPr>
                <w:rFonts w:hint="eastAsia"/>
                <w:color w:val="auto"/>
                <w:vertAlign w:val="baseline"/>
                <w:lang w:val="en-US" w:eastAsia="zh-CN"/>
              </w:rPr>
              <w:t>抗体包被</w:t>
            </w:r>
            <w:r>
              <w:rPr>
                <w:rFonts w:hint="eastAsia" w:ascii="Times New Roman" w:hAnsi="Times New Roman"/>
                <w:color w:val="auto"/>
                <w:vertAlign w:val="baseline"/>
                <w:lang w:val="en-US" w:eastAsia="zh-CN"/>
              </w:rPr>
              <w:t>微球</w:t>
            </w:r>
            <w:r>
              <w:rPr>
                <w:rFonts w:hint="eastAsia"/>
                <w:color w:val="auto"/>
                <w:vertAlign w:val="baseline"/>
                <w:lang w:val="en-US" w:eastAsia="zh-CN"/>
              </w:rPr>
              <w:t>。</w:t>
            </w:r>
          </w:p>
          <w:p w14:paraId="502CC1DB">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该过程产生实验废液S3、废一次性实验耗材S2。</w:t>
            </w:r>
          </w:p>
          <w:p w14:paraId="4A316469">
            <w:pPr>
              <w:numPr>
                <w:ilvl w:val="0"/>
                <w:numId w:val="10"/>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封闭：</w:t>
            </w:r>
            <w:r>
              <w:rPr>
                <w:rFonts w:hint="eastAsia" w:ascii="Times New Roman" w:hAnsi="Times New Roman"/>
                <w:color w:val="auto"/>
                <w:vertAlign w:val="baseline"/>
                <w:lang w:val="en-US" w:eastAsia="zh-CN"/>
              </w:rPr>
              <w:t>向</w:t>
            </w:r>
            <w:r>
              <w:rPr>
                <w:rFonts w:hint="eastAsia"/>
                <w:color w:val="auto"/>
                <w:vertAlign w:val="baseline"/>
                <w:lang w:val="en-US" w:eastAsia="zh-CN"/>
              </w:rPr>
              <w:t>以上包被</w:t>
            </w:r>
            <w:r>
              <w:rPr>
                <w:rFonts w:hint="eastAsia" w:ascii="Times New Roman" w:hAnsi="Times New Roman"/>
                <w:color w:val="auto"/>
                <w:vertAlign w:val="baseline"/>
                <w:lang w:val="en-US" w:eastAsia="zh-CN"/>
              </w:rPr>
              <w:t>微球中加入封闭剂缓冲液，</w:t>
            </w:r>
            <w:r>
              <w:rPr>
                <w:rFonts w:hint="eastAsia"/>
                <w:color w:val="auto"/>
                <w:vertAlign w:val="baseline"/>
                <w:lang w:val="en-US" w:eastAsia="zh-CN"/>
              </w:rPr>
              <w:t>在恒温箱中</w:t>
            </w:r>
            <w:r>
              <w:rPr>
                <w:rFonts w:hint="eastAsia" w:ascii="Times New Roman" w:hAnsi="Times New Roman"/>
                <w:color w:val="auto"/>
                <w:vertAlign w:val="baseline"/>
                <w:lang w:val="en-US" w:eastAsia="zh-CN"/>
              </w:rPr>
              <w:t>孵育一</w:t>
            </w:r>
            <w:r>
              <w:rPr>
                <w:rFonts w:hint="eastAsia"/>
                <w:color w:val="auto"/>
                <w:vertAlign w:val="baseline"/>
                <w:lang w:val="en-US" w:eastAsia="zh-CN"/>
              </w:rPr>
              <w:t>定</w:t>
            </w:r>
            <w:r>
              <w:rPr>
                <w:rFonts w:hint="eastAsia" w:ascii="Times New Roman" w:hAnsi="Times New Roman"/>
                <w:color w:val="auto"/>
                <w:vertAlign w:val="baseline"/>
                <w:lang w:val="en-US" w:eastAsia="zh-CN"/>
              </w:rPr>
              <w:t>时间，将未完全反应的活化位点进行封闭处理</w:t>
            </w:r>
            <w:r>
              <w:rPr>
                <w:rFonts w:hint="eastAsia"/>
                <w:color w:val="auto"/>
                <w:vertAlign w:val="baseline"/>
                <w:lang w:val="en-US" w:eastAsia="zh-CN"/>
              </w:rPr>
              <w:t>。</w:t>
            </w:r>
          </w:p>
          <w:p w14:paraId="0A0A49DB">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该过程产生废一次性实验耗材S2。</w:t>
            </w:r>
          </w:p>
          <w:p w14:paraId="475964E7">
            <w:pPr>
              <w:numPr>
                <w:ilvl w:val="0"/>
                <w:numId w:val="10"/>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离心：将以上孵育后经封闭的包被微球在桌面离心机中</w:t>
            </w:r>
            <w:r>
              <w:rPr>
                <w:rFonts w:hint="eastAsia" w:ascii="Times New Roman" w:hAnsi="Times New Roman"/>
                <w:color w:val="auto"/>
                <w:vertAlign w:val="baseline"/>
                <w:lang w:val="en-US" w:eastAsia="zh-CN"/>
              </w:rPr>
              <w:t>离心，除去上清液</w:t>
            </w:r>
            <w:r>
              <w:rPr>
                <w:rFonts w:hint="eastAsia"/>
                <w:color w:val="auto"/>
                <w:vertAlign w:val="baseline"/>
                <w:lang w:val="en-US" w:eastAsia="zh-CN"/>
              </w:rPr>
              <w:t>作危险废物处理</w:t>
            </w:r>
            <w:r>
              <w:rPr>
                <w:rFonts w:hint="eastAsia" w:ascii="Times New Roman" w:hAnsi="Times New Roman"/>
                <w:color w:val="auto"/>
                <w:vertAlign w:val="baseline"/>
                <w:lang w:val="en-US" w:eastAsia="zh-CN"/>
              </w:rPr>
              <w:t>，富集收集</w:t>
            </w:r>
            <w:r>
              <w:rPr>
                <w:rFonts w:hint="eastAsia"/>
                <w:color w:val="auto"/>
                <w:vertAlign w:val="baseline"/>
                <w:lang w:val="en-US" w:eastAsia="zh-CN"/>
              </w:rPr>
              <w:t>经</w:t>
            </w:r>
            <w:r>
              <w:rPr>
                <w:rFonts w:hint="eastAsia" w:ascii="Times New Roman" w:hAnsi="Times New Roman"/>
                <w:color w:val="auto"/>
                <w:vertAlign w:val="baseline"/>
                <w:lang w:val="en-US" w:eastAsia="zh-CN"/>
              </w:rPr>
              <w:t>封闭</w:t>
            </w:r>
            <w:r>
              <w:rPr>
                <w:rFonts w:hint="eastAsia"/>
                <w:color w:val="auto"/>
                <w:vertAlign w:val="baseline"/>
                <w:lang w:val="en-US" w:eastAsia="zh-CN"/>
              </w:rPr>
              <w:t>的抗体包被</w:t>
            </w:r>
            <w:r>
              <w:rPr>
                <w:rFonts w:hint="eastAsia" w:ascii="Times New Roman" w:hAnsi="Times New Roman"/>
                <w:color w:val="auto"/>
                <w:vertAlign w:val="baseline"/>
                <w:lang w:val="en-US" w:eastAsia="zh-CN"/>
              </w:rPr>
              <w:t>微球</w:t>
            </w:r>
            <w:r>
              <w:rPr>
                <w:rFonts w:hint="eastAsia"/>
                <w:color w:val="auto"/>
                <w:vertAlign w:val="baseline"/>
                <w:lang w:val="en-US" w:eastAsia="zh-CN"/>
              </w:rPr>
              <w:t>。</w:t>
            </w:r>
          </w:p>
          <w:p w14:paraId="0E08ADA2">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该过程产生实验废液S3、废一次性实验耗材S2。</w:t>
            </w:r>
          </w:p>
          <w:p w14:paraId="2A98E392">
            <w:pPr>
              <w:numPr>
                <w:ilvl w:val="0"/>
                <w:numId w:val="10"/>
              </w:numPr>
              <w:ind w:left="0" w:leftChars="0" w:firstLine="480" w:firstLineChars="200"/>
              <w:rPr>
                <w:rFonts w:hint="default" w:ascii="Times New Roman" w:hAnsi="Times New Roman" w:eastAsia="宋体" w:cs="Times New Roman"/>
                <w:b w:val="0"/>
                <w:bCs w:val="0"/>
                <w:sz w:val="24"/>
                <w:szCs w:val="24"/>
                <w:vertAlign w:val="baseline"/>
              </w:rPr>
            </w:pPr>
            <w:r>
              <w:rPr>
                <w:rFonts w:hint="eastAsia" w:cs="Times New Roman"/>
                <w:b w:val="0"/>
                <w:bCs w:val="0"/>
                <w:sz w:val="24"/>
                <w:szCs w:val="24"/>
                <w:vertAlign w:val="baseline"/>
                <w:lang w:val="en-US" w:eastAsia="zh-CN"/>
              </w:rPr>
              <w:t>分散：在以上经过活化、包被、封闭的抗体包被微球中</w:t>
            </w:r>
            <w:r>
              <w:rPr>
                <w:rFonts w:hint="eastAsia" w:ascii="Times New Roman" w:hAnsi="Times New Roman" w:eastAsia="宋体" w:cs="Times New Roman"/>
                <w:b w:val="0"/>
                <w:bCs w:val="0"/>
                <w:sz w:val="24"/>
                <w:szCs w:val="24"/>
                <w:vertAlign w:val="baseline"/>
                <w:lang w:val="en-US" w:eastAsia="zh-CN"/>
              </w:rPr>
              <w:t>加入缓存液，分散</w:t>
            </w:r>
            <w:r>
              <w:rPr>
                <w:rFonts w:hint="eastAsia" w:cs="Times New Roman"/>
                <w:b w:val="0"/>
                <w:bCs w:val="0"/>
                <w:sz w:val="24"/>
                <w:szCs w:val="24"/>
                <w:vertAlign w:val="baseline"/>
                <w:lang w:val="en-US" w:eastAsia="zh-CN"/>
              </w:rPr>
              <w:t>封闭、包被</w:t>
            </w:r>
            <w:r>
              <w:rPr>
                <w:rFonts w:hint="eastAsia" w:ascii="Times New Roman" w:hAnsi="Times New Roman" w:eastAsia="宋体" w:cs="Times New Roman"/>
                <w:b w:val="0"/>
                <w:bCs w:val="0"/>
                <w:sz w:val="24"/>
                <w:szCs w:val="24"/>
                <w:vertAlign w:val="baseline"/>
                <w:lang w:val="en-US" w:eastAsia="zh-CN"/>
              </w:rPr>
              <w:t>后的微球。</w:t>
            </w:r>
          </w:p>
          <w:p w14:paraId="6B0E3E1E">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该过程产生废一次性实验耗材S2。</w:t>
            </w:r>
          </w:p>
          <w:p w14:paraId="6BD4F4C0">
            <w:pPr>
              <w:numPr>
                <w:ilvl w:val="0"/>
                <w:numId w:val="11"/>
              </w:numPr>
              <w:rPr>
                <w:rFonts w:hint="eastAsia"/>
                <w:color w:val="auto"/>
                <w:vertAlign w:val="baseline"/>
                <w:lang w:val="en-US" w:eastAsia="zh-CN"/>
              </w:rPr>
            </w:pPr>
            <w:r>
              <w:rPr>
                <w:rFonts w:hint="eastAsia"/>
                <w:color w:val="auto"/>
                <w:vertAlign w:val="baseline"/>
                <w:lang w:val="en-US" w:eastAsia="zh-CN"/>
              </w:rPr>
              <w:t>抗体标记实验</w:t>
            </w:r>
          </w:p>
          <w:p w14:paraId="781E07C5">
            <w:pPr>
              <w:numPr>
                <w:ilvl w:val="0"/>
                <w:numId w:val="0"/>
              </w:numPr>
              <w:jc w:val="center"/>
              <w:rPr>
                <w:rFonts w:hint="eastAsia"/>
                <w:color w:val="auto"/>
                <w:vertAlign w:val="baseline"/>
                <w:lang w:val="en-US" w:eastAsia="zh-CN"/>
              </w:rPr>
            </w:pPr>
            <w:r>
              <w:rPr>
                <w:rFonts w:hint="eastAsia"/>
                <w:color w:val="auto"/>
                <w:vertAlign w:val="baseline"/>
                <w:lang w:val="en-US" w:eastAsia="zh-CN"/>
              </w:rPr>
              <w:object>
                <v:shape id="_x0000_i1027" o:spt="75" type="#_x0000_t75" style="height:78.6pt;width:340.8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p>
          <w:p w14:paraId="5ACF1D00">
            <w:pPr>
              <w:pStyle w:val="15"/>
              <w:numPr>
                <w:ilvl w:val="0"/>
                <w:numId w:val="9"/>
              </w:numPr>
              <w:bidi w:val="0"/>
              <w:ind w:left="425" w:leftChars="0" w:hanging="425" w:firstLineChars="0"/>
              <w:rPr>
                <w:rFonts w:hint="default"/>
                <w:b/>
                <w:bCs/>
                <w:color w:val="auto"/>
                <w:vertAlign w:val="baseline"/>
                <w:lang w:val="en-US" w:eastAsia="zh-CN"/>
              </w:rPr>
            </w:pPr>
            <w:r>
              <w:rPr>
                <w:rFonts w:hint="eastAsia"/>
                <w:color w:val="auto"/>
                <w:vertAlign w:val="baseline"/>
                <w:lang w:val="en-US" w:eastAsia="zh-CN"/>
              </w:rPr>
              <w:t>抗体标记实验工艺流程及产物节点图</w:t>
            </w:r>
          </w:p>
          <w:p w14:paraId="737CF0FB">
            <w:pPr>
              <w:numPr>
                <w:ilvl w:val="0"/>
                <w:numId w:val="12"/>
              </w:numPr>
              <w:ind w:left="0" w:leftChars="0" w:firstLine="480" w:firstLineChars="200"/>
              <w:rPr>
                <w:rFonts w:hint="eastAsia" w:ascii="Times New Roman" w:hAnsi="Times New Roman" w:eastAsia="宋体"/>
                <w:color w:val="auto"/>
                <w:vertAlign w:val="baseline"/>
                <w:lang w:val="en-US" w:eastAsia="zh-CN"/>
              </w:rPr>
            </w:pPr>
            <w:r>
              <w:rPr>
                <w:rFonts w:hint="eastAsia" w:eastAsia="宋体"/>
                <w:color w:val="auto"/>
                <w:vertAlign w:val="baseline"/>
                <w:lang w:val="en-US" w:eastAsia="zh-CN"/>
              </w:rPr>
              <w:t>标记：在15-50 mL的一次性离心管中分别加入抗体、PBS缓冲液，使抗体溶解于缓冲液中，然后加入对应的“标记标签”的反应物（如生物素等），在恒温箱中孵育一定时间。</w:t>
            </w:r>
          </w:p>
          <w:p w14:paraId="4BE55D2D">
            <w:pPr>
              <w:numPr>
                <w:ilvl w:val="0"/>
                <w:numId w:val="0"/>
              </w:numPr>
              <w:ind w:firstLine="482" w:firstLineChars="200"/>
              <w:rPr>
                <w:rFonts w:hint="eastAsia" w:ascii="Times New Roman" w:hAnsi="Times New Roman" w:eastAsia="宋体"/>
                <w:color w:val="auto"/>
                <w:vertAlign w:val="baseline"/>
                <w:lang w:val="en-US" w:eastAsia="zh-CN"/>
              </w:rPr>
            </w:pPr>
            <w:r>
              <w:rPr>
                <w:rFonts w:hint="eastAsia"/>
                <w:b/>
                <w:bCs/>
                <w:color w:val="auto"/>
                <w:vertAlign w:val="baseline"/>
                <w:lang w:val="en-US" w:eastAsia="zh-CN"/>
              </w:rPr>
              <w:t>该过程产生废一次性实验耗材S2。</w:t>
            </w:r>
          </w:p>
          <w:p w14:paraId="2EF450B2">
            <w:pPr>
              <w:numPr>
                <w:ilvl w:val="0"/>
                <w:numId w:val="12"/>
              </w:numPr>
              <w:ind w:left="0" w:leftChars="0" w:firstLine="480" w:firstLineChars="200"/>
              <w:rPr>
                <w:rFonts w:hint="eastAsia" w:ascii="Times New Roman" w:hAnsi="Times New Roman" w:eastAsia="宋体"/>
                <w:color w:val="auto"/>
                <w:vertAlign w:val="baseline"/>
                <w:lang w:val="en-US" w:eastAsia="zh-CN"/>
              </w:rPr>
            </w:pPr>
            <w:r>
              <w:rPr>
                <w:rFonts w:hint="eastAsia" w:eastAsia="宋体"/>
                <w:color w:val="auto"/>
                <w:vertAlign w:val="baseline"/>
                <w:lang w:val="en-US" w:eastAsia="zh-CN"/>
              </w:rPr>
              <w:t>纯化：将上述标记后的抗体利用PD-10脱盐柱进行纯化，纯化后如需富集浓缩，则采用超滤管在高速离心机的辅助下浓缩。</w:t>
            </w:r>
          </w:p>
          <w:p w14:paraId="4E1A217E">
            <w:pPr>
              <w:numPr>
                <w:ilvl w:val="0"/>
                <w:numId w:val="0"/>
              </w:numPr>
              <w:ind w:firstLine="482" w:firstLineChars="200"/>
              <w:rPr>
                <w:rFonts w:hint="eastAsia" w:ascii="Times New Roman" w:hAnsi="Times New Roman" w:eastAsia="宋体"/>
                <w:color w:val="auto"/>
                <w:vertAlign w:val="baseline"/>
                <w:lang w:val="en-US" w:eastAsia="zh-CN"/>
              </w:rPr>
            </w:pPr>
            <w:r>
              <w:rPr>
                <w:rFonts w:hint="eastAsia"/>
                <w:b/>
                <w:bCs/>
                <w:color w:val="auto"/>
                <w:vertAlign w:val="baseline"/>
                <w:lang w:val="en-US" w:eastAsia="zh-CN"/>
              </w:rPr>
              <w:t>该过程产生废一次性实验耗材S2。</w:t>
            </w:r>
          </w:p>
          <w:p w14:paraId="00A30D89">
            <w:pPr>
              <w:numPr>
                <w:ilvl w:val="0"/>
                <w:numId w:val="12"/>
              </w:numPr>
              <w:ind w:left="0" w:leftChars="0" w:firstLine="480" w:firstLineChars="200"/>
              <w:rPr>
                <w:rFonts w:hint="eastAsia" w:ascii="Times New Roman" w:hAnsi="Times New Roman" w:eastAsia="宋体"/>
                <w:color w:val="auto"/>
                <w:vertAlign w:val="baseline"/>
                <w:lang w:val="en-US" w:eastAsia="zh-CN"/>
              </w:rPr>
            </w:pPr>
            <w:r>
              <w:rPr>
                <w:rFonts w:hint="eastAsia" w:eastAsia="宋体"/>
                <w:color w:val="auto"/>
                <w:vertAlign w:val="baseline"/>
                <w:lang w:val="en-US" w:eastAsia="zh-CN"/>
              </w:rPr>
              <w:t>分散：将上述纯化后的抗体分散到PBS缓冲液中，配制成对应浓度的抗体溶液。</w:t>
            </w:r>
          </w:p>
          <w:p w14:paraId="3F3998E7">
            <w:pPr>
              <w:numPr>
                <w:ilvl w:val="0"/>
                <w:numId w:val="0"/>
              </w:numPr>
              <w:ind w:firstLine="482" w:firstLineChars="200"/>
              <w:rPr>
                <w:rFonts w:hint="eastAsia" w:eastAsia="宋体"/>
                <w:b/>
                <w:bCs/>
                <w:color w:val="auto"/>
                <w:vertAlign w:val="baseline"/>
                <w:lang w:val="en-US" w:eastAsia="zh-CN"/>
              </w:rPr>
            </w:pPr>
            <w:r>
              <w:rPr>
                <w:rFonts w:hint="eastAsia" w:eastAsia="宋体"/>
                <w:b/>
                <w:bCs/>
                <w:color w:val="auto"/>
                <w:vertAlign w:val="baseline"/>
                <w:lang w:val="en-US" w:eastAsia="zh-CN"/>
              </w:rPr>
              <w:t>该过程产生废一次性实验耗材S2。</w:t>
            </w:r>
          </w:p>
          <w:p w14:paraId="1EF981D7">
            <w:pPr>
              <w:numPr>
                <w:ilvl w:val="0"/>
                <w:numId w:val="11"/>
              </w:numPr>
              <w:ind w:left="0" w:leftChars="0" w:firstLine="480" w:firstLineChars="200"/>
              <w:rPr>
                <w:rFonts w:hint="eastAsia"/>
                <w:color w:val="auto"/>
                <w:vertAlign w:val="baseline"/>
                <w:lang w:val="en-US" w:eastAsia="zh-CN"/>
              </w:rPr>
            </w:pPr>
            <w:r>
              <w:rPr>
                <w:rFonts w:hint="eastAsia"/>
                <w:color w:val="auto"/>
                <w:vertAlign w:val="baseline"/>
                <w:lang w:val="en-US" w:eastAsia="zh-CN"/>
              </w:rPr>
              <w:t>抗体载体标记实验</w:t>
            </w:r>
          </w:p>
          <w:p w14:paraId="38117850">
            <w:pPr>
              <w:numPr>
                <w:ilvl w:val="0"/>
                <w:numId w:val="0"/>
              </w:numPr>
              <w:ind w:leftChars="200"/>
              <w:rPr>
                <w:rFonts w:hint="eastAsia"/>
                <w:color w:val="auto"/>
                <w:vertAlign w:val="baseline"/>
                <w:lang w:val="en-US" w:eastAsia="zh-CN"/>
              </w:rPr>
            </w:pPr>
            <w:r>
              <w:rPr>
                <w:rFonts w:hint="eastAsia"/>
                <w:color w:val="auto"/>
                <w:vertAlign w:val="baseline"/>
                <w:lang w:val="en-US" w:eastAsia="zh-CN"/>
              </w:rPr>
              <w:object>
                <v:shape id="_x0000_i1028" o:spt="75" type="#_x0000_t75" style="height:165.95pt;width:347.6pt;" o:ole="t" filled="f" o:preferrelative="t" stroked="f" coordsize="21600,21600">
                  <v:path/>
                  <v:fill on="f" focussize="0,0"/>
                  <v:stroke on="f"/>
                  <v:imagedata r:id="rId19" o:title=""/>
                  <o:lock v:ext="edit" aspectratio="f"/>
                  <w10:wrap type="none"/>
                  <w10:anchorlock/>
                </v:shape>
                <o:OLEObject Type="Embed" ProgID="Visio.Drawing.11" ShapeID="_x0000_i1028" DrawAspect="Content" ObjectID="_1468075728" r:id="rId18">
                  <o:LockedField>false</o:LockedField>
                </o:OLEObject>
              </w:object>
            </w:r>
          </w:p>
          <w:p w14:paraId="658CB0A3">
            <w:pPr>
              <w:pStyle w:val="15"/>
              <w:numPr>
                <w:ilvl w:val="0"/>
                <w:numId w:val="9"/>
              </w:numPr>
              <w:bidi w:val="0"/>
              <w:ind w:left="425" w:leftChars="0" w:hanging="425" w:firstLineChars="0"/>
              <w:rPr>
                <w:rFonts w:hint="default"/>
                <w:b/>
                <w:bCs/>
                <w:color w:val="auto"/>
                <w:vertAlign w:val="baseline"/>
                <w:lang w:val="en-US" w:eastAsia="zh-CN"/>
              </w:rPr>
            </w:pPr>
            <w:r>
              <w:rPr>
                <w:rFonts w:hint="eastAsia"/>
                <w:color w:val="auto"/>
                <w:vertAlign w:val="baseline"/>
                <w:lang w:val="en-US" w:eastAsia="zh-CN"/>
              </w:rPr>
              <w:t>抗体载体标记实验工艺流程及产物节点图</w:t>
            </w:r>
          </w:p>
          <w:p w14:paraId="3610FB6E">
            <w:pPr>
              <w:numPr>
                <w:ilvl w:val="0"/>
                <w:numId w:val="12"/>
              </w:numPr>
              <w:ind w:left="0" w:leftChars="0" w:firstLine="480" w:firstLineChars="200"/>
              <w:rPr>
                <w:rFonts w:hint="default" w:ascii="Times New Roman" w:hAnsi="Times New Roman"/>
                <w:color w:val="auto"/>
                <w:vertAlign w:val="baseline"/>
                <w:lang w:val="en-US" w:eastAsia="zh-CN"/>
              </w:rPr>
            </w:pPr>
            <w:r>
              <w:rPr>
                <w:rFonts w:hint="eastAsia" w:ascii="Times New Roman" w:hAnsi="Times New Roman"/>
                <w:color w:val="auto"/>
                <w:vertAlign w:val="baseline"/>
                <w:lang w:val="en-US" w:eastAsia="zh-CN"/>
              </w:rPr>
              <w:t>载体活化：在烧杯里加入载体（膜、微粒等），在</w:t>
            </w:r>
            <w:r>
              <w:rPr>
                <w:rFonts w:hint="eastAsia"/>
                <w:color w:val="auto"/>
                <w:vertAlign w:val="baseline"/>
                <w:lang w:val="en-US" w:eastAsia="zh-CN"/>
              </w:rPr>
              <w:t>MES</w:t>
            </w:r>
            <w:r>
              <w:rPr>
                <w:rFonts w:hint="eastAsia" w:ascii="Times New Roman" w:hAnsi="Times New Roman"/>
                <w:color w:val="auto"/>
                <w:vertAlign w:val="baseline"/>
                <w:lang w:val="en-US" w:eastAsia="zh-CN"/>
              </w:rPr>
              <w:t>缓冲液中加入EDCI和NHS，</w:t>
            </w:r>
            <w:r>
              <w:rPr>
                <w:rFonts w:hint="eastAsia"/>
                <w:color w:val="auto"/>
                <w:vertAlign w:val="baseline"/>
                <w:lang w:val="en-US" w:eastAsia="zh-CN"/>
              </w:rPr>
              <w:t>并与</w:t>
            </w:r>
            <w:r>
              <w:rPr>
                <w:rFonts w:hint="eastAsia" w:ascii="Times New Roman" w:hAnsi="Times New Roman"/>
                <w:color w:val="auto"/>
                <w:vertAlign w:val="baseline"/>
                <w:lang w:val="en-US" w:eastAsia="zh-CN"/>
              </w:rPr>
              <w:t>载体</w:t>
            </w:r>
            <w:r>
              <w:rPr>
                <w:rFonts w:hint="eastAsia"/>
                <w:color w:val="auto"/>
                <w:vertAlign w:val="baseline"/>
                <w:lang w:val="en-US" w:eastAsia="zh-CN"/>
              </w:rPr>
              <w:t>充分混合，在常温下</w:t>
            </w:r>
            <w:r>
              <w:rPr>
                <w:rFonts w:hint="eastAsia" w:ascii="Times New Roman" w:hAnsi="Times New Roman"/>
                <w:color w:val="auto"/>
                <w:vertAlign w:val="baseline"/>
                <w:lang w:val="en-US" w:eastAsia="zh-CN"/>
              </w:rPr>
              <w:t>对载体表面进行活化处理</w:t>
            </w:r>
            <w:r>
              <w:rPr>
                <w:rFonts w:hint="eastAsia"/>
                <w:color w:val="auto"/>
                <w:vertAlign w:val="baseline"/>
                <w:lang w:val="en-US" w:eastAsia="zh-CN"/>
              </w:rPr>
              <w:t>。</w:t>
            </w:r>
          </w:p>
          <w:p w14:paraId="0C8684EA">
            <w:pPr>
              <w:numPr>
                <w:ilvl w:val="0"/>
                <w:numId w:val="0"/>
              </w:numPr>
              <w:ind w:firstLine="482" w:firstLineChars="200"/>
              <w:rPr>
                <w:rFonts w:hint="default" w:ascii="Times New Roman" w:hAnsi="Times New Roman"/>
                <w:b/>
                <w:bCs/>
                <w:color w:val="auto"/>
                <w:vertAlign w:val="baseline"/>
                <w:lang w:val="en-US" w:eastAsia="zh-CN"/>
              </w:rPr>
            </w:pPr>
            <w:r>
              <w:rPr>
                <w:rFonts w:hint="eastAsia"/>
                <w:b/>
                <w:bCs/>
                <w:color w:val="auto"/>
                <w:vertAlign w:val="baseline"/>
                <w:lang w:val="en-US" w:eastAsia="zh-CN"/>
              </w:rPr>
              <w:t>该过程产生容器清洗废液S1、容器清洗废水W1、废一次性实验耗材S2。</w:t>
            </w:r>
          </w:p>
          <w:p w14:paraId="1DB3DDB8">
            <w:pPr>
              <w:numPr>
                <w:ilvl w:val="0"/>
                <w:numId w:val="12"/>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离心：将以上活化的载体混合液在桌面离心机中</w:t>
            </w:r>
            <w:r>
              <w:rPr>
                <w:rFonts w:hint="eastAsia" w:ascii="Times New Roman" w:hAnsi="Times New Roman"/>
                <w:color w:val="auto"/>
                <w:vertAlign w:val="baseline"/>
                <w:lang w:val="en-US" w:eastAsia="zh-CN"/>
              </w:rPr>
              <w:t>离心，除去上清液</w:t>
            </w:r>
            <w:r>
              <w:rPr>
                <w:rFonts w:hint="eastAsia"/>
                <w:color w:val="auto"/>
                <w:vertAlign w:val="baseline"/>
                <w:lang w:val="en-US" w:eastAsia="zh-CN"/>
              </w:rPr>
              <w:t>作危险废物处理</w:t>
            </w:r>
            <w:r>
              <w:rPr>
                <w:rFonts w:hint="eastAsia" w:ascii="Times New Roman" w:hAnsi="Times New Roman"/>
                <w:color w:val="auto"/>
                <w:vertAlign w:val="baseline"/>
                <w:lang w:val="en-US" w:eastAsia="zh-CN"/>
              </w:rPr>
              <w:t>，富集收集活化</w:t>
            </w:r>
            <w:r>
              <w:rPr>
                <w:rFonts w:hint="eastAsia"/>
                <w:color w:val="auto"/>
                <w:vertAlign w:val="baseline"/>
                <w:lang w:val="en-US" w:eastAsia="zh-CN"/>
              </w:rPr>
              <w:t>载体。</w:t>
            </w:r>
          </w:p>
          <w:p w14:paraId="539035E4">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该过程产生实验废液S3、废一次性实验耗材S2。</w:t>
            </w:r>
          </w:p>
          <w:p w14:paraId="62B2CED4">
            <w:pPr>
              <w:numPr>
                <w:ilvl w:val="0"/>
                <w:numId w:val="12"/>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孵育：</w:t>
            </w:r>
            <w:r>
              <w:rPr>
                <w:rFonts w:hint="eastAsia" w:ascii="Times New Roman" w:hAnsi="Times New Roman"/>
                <w:color w:val="auto"/>
                <w:vertAlign w:val="baseline"/>
                <w:lang w:val="en-US" w:eastAsia="zh-CN"/>
              </w:rPr>
              <w:t>向活化载体中加入待标记的抗体，</w:t>
            </w:r>
            <w:r>
              <w:rPr>
                <w:rFonts w:hint="eastAsia"/>
                <w:color w:val="auto"/>
                <w:vertAlign w:val="baseline"/>
                <w:lang w:val="en-US" w:eastAsia="zh-CN"/>
              </w:rPr>
              <w:t>在恒温箱中</w:t>
            </w:r>
            <w:r>
              <w:rPr>
                <w:rFonts w:hint="eastAsia" w:ascii="Times New Roman" w:hAnsi="Times New Roman"/>
                <w:color w:val="auto"/>
                <w:vertAlign w:val="baseline"/>
                <w:lang w:val="en-US" w:eastAsia="zh-CN"/>
              </w:rPr>
              <w:t>孵育一</w:t>
            </w:r>
            <w:r>
              <w:rPr>
                <w:rFonts w:hint="eastAsia"/>
                <w:color w:val="auto"/>
                <w:vertAlign w:val="baseline"/>
                <w:lang w:val="en-US" w:eastAsia="zh-CN"/>
              </w:rPr>
              <w:t>定</w:t>
            </w:r>
            <w:r>
              <w:rPr>
                <w:rFonts w:hint="eastAsia" w:ascii="Times New Roman" w:hAnsi="Times New Roman"/>
                <w:color w:val="auto"/>
                <w:vertAlign w:val="baseline"/>
                <w:lang w:val="en-US" w:eastAsia="zh-CN"/>
              </w:rPr>
              <w:t>时间</w:t>
            </w:r>
            <w:r>
              <w:rPr>
                <w:rFonts w:hint="eastAsia"/>
                <w:color w:val="auto"/>
                <w:vertAlign w:val="baseline"/>
                <w:lang w:val="en-US" w:eastAsia="zh-CN"/>
              </w:rPr>
              <w:t>。</w:t>
            </w:r>
          </w:p>
          <w:p w14:paraId="4D46C895">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该过程产生废一次性实验耗材S2。</w:t>
            </w:r>
          </w:p>
          <w:p w14:paraId="133F496A">
            <w:pPr>
              <w:numPr>
                <w:ilvl w:val="0"/>
                <w:numId w:val="12"/>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离心：将以上孵育后的抗体标记载体在桌面离心机中</w:t>
            </w:r>
            <w:r>
              <w:rPr>
                <w:rFonts w:hint="eastAsia" w:ascii="Times New Roman" w:hAnsi="Times New Roman"/>
                <w:color w:val="auto"/>
                <w:vertAlign w:val="baseline"/>
                <w:lang w:val="en-US" w:eastAsia="zh-CN"/>
              </w:rPr>
              <w:t>离心，除去上清液</w:t>
            </w:r>
            <w:r>
              <w:rPr>
                <w:rFonts w:hint="eastAsia"/>
                <w:color w:val="auto"/>
                <w:vertAlign w:val="baseline"/>
                <w:lang w:val="en-US" w:eastAsia="zh-CN"/>
              </w:rPr>
              <w:t>作危险废物处理</w:t>
            </w:r>
            <w:r>
              <w:rPr>
                <w:rFonts w:hint="eastAsia" w:ascii="Times New Roman" w:hAnsi="Times New Roman"/>
                <w:color w:val="auto"/>
                <w:vertAlign w:val="baseline"/>
                <w:lang w:val="en-US" w:eastAsia="zh-CN"/>
              </w:rPr>
              <w:t>，富集收集</w:t>
            </w:r>
            <w:r>
              <w:rPr>
                <w:rFonts w:hint="eastAsia"/>
                <w:color w:val="auto"/>
                <w:vertAlign w:val="baseline"/>
                <w:lang w:val="en-US" w:eastAsia="zh-CN"/>
              </w:rPr>
              <w:t>抗体标记载体。</w:t>
            </w:r>
          </w:p>
          <w:p w14:paraId="4FC4DA45">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该过程产生实验废液S3、废一次性实验耗材S2。</w:t>
            </w:r>
          </w:p>
          <w:p w14:paraId="05DAD89B">
            <w:pPr>
              <w:numPr>
                <w:ilvl w:val="0"/>
                <w:numId w:val="12"/>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封闭：</w:t>
            </w:r>
            <w:r>
              <w:rPr>
                <w:rFonts w:hint="eastAsia" w:ascii="Times New Roman" w:hAnsi="Times New Roman"/>
                <w:color w:val="auto"/>
                <w:vertAlign w:val="baseline"/>
                <w:lang w:val="en-US" w:eastAsia="zh-CN"/>
              </w:rPr>
              <w:t>向</w:t>
            </w:r>
            <w:r>
              <w:rPr>
                <w:rFonts w:hint="eastAsia"/>
                <w:color w:val="auto"/>
                <w:vertAlign w:val="baseline"/>
                <w:lang w:val="en-US" w:eastAsia="zh-CN"/>
              </w:rPr>
              <w:t>以上</w:t>
            </w:r>
            <w:r>
              <w:rPr>
                <w:rFonts w:hint="eastAsia" w:ascii="Times New Roman" w:hAnsi="Times New Roman"/>
                <w:color w:val="auto"/>
                <w:vertAlign w:val="baseline"/>
                <w:lang w:val="en-US" w:eastAsia="zh-CN"/>
              </w:rPr>
              <w:t>标记载体中加入封闭剂缓冲液，</w:t>
            </w:r>
            <w:r>
              <w:rPr>
                <w:rFonts w:hint="eastAsia"/>
                <w:color w:val="auto"/>
                <w:vertAlign w:val="baseline"/>
                <w:lang w:val="en-US" w:eastAsia="zh-CN"/>
              </w:rPr>
              <w:t>在恒温箱中</w:t>
            </w:r>
            <w:r>
              <w:rPr>
                <w:rFonts w:hint="eastAsia" w:ascii="Times New Roman" w:hAnsi="Times New Roman"/>
                <w:color w:val="auto"/>
                <w:vertAlign w:val="baseline"/>
                <w:lang w:val="en-US" w:eastAsia="zh-CN"/>
              </w:rPr>
              <w:t>孵育</w:t>
            </w:r>
            <w:r>
              <w:rPr>
                <w:rFonts w:hint="eastAsia"/>
                <w:color w:val="auto"/>
                <w:vertAlign w:val="baseline"/>
                <w:lang w:val="en-US" w:eastAsia="zh-CN"/>
              </w:rPr>
              <w:t>一定时间</w:t>
            </w:r>
            <w:r>
              <w:rPr>
                <w:rFonts w:hint="eastAsia" w:ascii="Times New Roman" w:hAnsi="Times New Roman"/>
                <w:color w:val="auto"/>
                <w:vertAlign w:val="baseline"/>
                <w:lang w:val="en-US" w:eastAsia="zh-CN"/>
              </w:rPr>
              <w:t>，将未完全反应的活化位点进行封闭处理</w:t>
            </w:r>
            <w:r>
              <w:rPr>
                <w:rFonts w:hint="eastAsia"/>
                <w:color w:val="auto"/>
                <w:vertAlign w:val="baseline"/>
                <w:lang w:val="en-US" w:eastAsia="zh-CN"/>
              </w:rPr>
              <w:t>。</w:t>
            </w:r>
          </w:p>
          <w:p w14:paraId="210A7416">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该过程产生废一次性实验耗材S2。</w:t>
            </w:r>
          </w:p>
          <w:p w14:paraId="16092F4B">
            <w:pPr>
              <w:numPr>
                <w:ilvl w:val="0"/>
                <w:numId w:val="12"/>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离心：将以上经封闭的抗体标记载体在桌面离心机中</w:t>
            </w:r>
            <w:r>
              <w:rPr>
                <w:rFonts w:hint="eastAsia" w:ascii="Times New Roman" w:hAnsi="Times New Roman"/>
                <w:color w:val="auto"/>
                <w:vertAlign w:val="baseline"/>
                <w:lang w:val="en-US" w:eastAsia="zh-CN"/>
              </w:rPr>
              <w:t>离心，除去上清液</w:t>
            </w:r>
            <w:r>
              <w:rPr>
                <w:rFonts w:hint="eastAsia"/>
                <w:color w:val="auto"/>
                <w:vertAlign w:val="baseline"/>
                <w:lang w:val="en-US" w:eastAsia="zh-CN"/>
              </w:rPr>
              <w:t>作危险废物处理</w:t>
            </w:r>
            <w:r>
              <w:rPr>
                <w:rFonts w:hint="eastAsia" w:ascii="Times New Roman" w:hAnsi="Times New Roman"/>
                <w:color w:val="auto"/>
                <w:vertAlign w:val="baseline"/>
                <w:lang w:val="en-US" w:eastAsia="zh-CN"/>
              </w:rPr>
              <w:t>，富集收集</w:t>
            </w:r>
            <w:r>
              <w:rPr>
                <w:rFonts w:hint="eastAsia"/>
                <w:color w:val="auto"/>
                <w:vertAlign w:val="baseline"/>
                <w:lang w:val="en-US" w:eastAsia="zh-CN"/>
              </w:rPr>
              <w:t>经</w:t>
            </w:r>
            <w:r>
              <w:rPr>
                <w:rFonts w:hint="eastAsia" w:ascii="Times New Roman" w:hAnsi="Times New Roman"/>
                <w:color w:val="auto"/>
                <w:vertAlign w:val="baseline"/>
                <w:lang w:val="en-US" w:eastAsia="zh-CN"/>
              </w:rPr>
              <w:t>封闭</w:t>
            </w:r>
            <w:r>
              <w:rPr>
                <w:rFonts w:hint="eastAsia"/>
                <w:color w:val="auto"/>
                <w:vertAlign w:val="baseline"/>
                <w:lang w:val="en-US" w:eastAsia="zh-CN"/>
              </w:rPr>
              <w:t>的抗体标记载体。</w:t>
            </w:r>
          </w:p>
          <w:p w14:paraId="5B583F94">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该过程产生实验废液S3、废一次性实验耗材S2。</w:t>
            </w:r>
          </w:p>
          <w:p w14:paraId="33F3643B">
            <w:pPr>
              <w:numPr>
                <w:ilvl w:val="0"/>
                <w:numId w:val="12"/>
              </w:numPr>
              <w:ind w:left="0" w:leftChars="0" w:firstLine="480" w:firstLineChars="200"/>
              <w:rPr>
                <w:rFonts w:hint="eastAsia" w:ascii="Times New Roman" w:hAnsi="Times New Roman"/>
                <w:color w:val="auto"/>
                <w:vertAlign w:val="baseline"/>
                <w:lang w:val="en-US" w:eastAsia="zh-CN"/>
              </w:rPr>
            </w:pPr>
            <w:r>
              <w:rPr>
                <w:rFonts w:hint="eastAsia" w:cs="Times New Roman"/>
                <w:b w:val="0"/>
                <w:bCs w:val="0"/>
                <w:sz w:val="24"/>
                <w:szCs w:val="24"/>
                <w:vertAlign w:val="baseline"/>
                <w:lang w:val="en-US" w:eastAsia="zh-CN"/>
              </w:rPr>
              <w:t>在以上经过活化、标记、封闭的抗体标记载体中</w:t>
            </w:r>
            <w:r>
              <w:rPr>
                <w:rFonts w:hint="eastAsia" w:ascii="Times New Roman" w:hAnsi="Times New Roman" w:eastAsia="宋体" w:cs="Times New Roman"/>
                <w:b w:val="0"/>
                <w:bCs w:val="0"/>
                <w:sz w:val="24"/>
                <w:szCs w:val="24"/>
                <w:vertAlign w:val="baseline"/>
                <w:lang w:val="en-US" w:eastAsia="zh-CN"/>
              </w:rPr>
              <w:t>加入缓存液，分散</w:t>
            </w:r>
            <w:r>
              <w:rPr>
                <w:rFonts w:hint="eastAsia" w:cs="Times New Roman"/>
                <w:b w:val="0"/>
                <w:bCs w:val="0"/>
                <w:sz w:val="24"/>
                <w:szCs w:val="24"/>
                <w:vertAlign w:val="baseline"/>
                <w:lang w:val="en-US" w:eastAsia="zh-CN"/>
              </w:rPr>
              <w:t>抗体标记</w:t>
            </w:r>
            <w:r>
              <w:rPr>
                <w:rFonts w:hint="eastAsia" w:ascii="Times New Roman" w:hAnsi="Times New Roman" w:eastAsia="宋体" w:cs="Times New Roman"/>
                <w:b w:val="0"/>
                <w:bCs w:val="0"/>
                <w:sz w:val="24"/>
                <w:szCs w:val="24"/>
                <w:vertAlign w:val="baseline"/>
                <w:lang w:val="en-US" w:eastAsia="zh-CN"/>
              </w:rPr>
              <w:t>后的</w:t>
            </w:r>
            <w:r>
              <w:rPr>
                <w:rFonts w:hint="eastAsia" w:cs="Times New Roman"/>
                <w:b w:val="0"/>
                <w:bCs w:val="0"/>
                <w:sz w:val="24"/>
                <w:szCs w:val="24"/>
                <w:vertAlign w:val="baseline"/>
                <w:lang w:val="en-US" w:eastAsia="zh-CN"/>
              </w:rPr>
              <w:t>载体</w:t>
            </w:r>
            <w:r>
              <w:rPr>
                <w:rFonts w:hint="eastAsia" w:ascii="Times New Roman" w:hAnsi="Times New Roman" w:eastAsia="宋体" w:cs="Times New Roman"/>
                <w:b w:val="0"/>
                <w:bCs w:val="0"/>
                <w:sz w:val="24"/>
                <w:szCs w:val="24"/>
                <w:vertAlign w:val="baseline"/>
                <w:lang w:val="en-US" w:eastAsia="zh-CN"/>
              </w:rPr>
              <w:t>。</w:t>
            </w:r>
          </w:p>
          <w:p w14:paraId="6A7E6624">
            <w:pPr>
              <w:numPr>
                <w:ilvl w:val="0"/>
                <w:numId w:val="0"/>
              </w:numPr>
              <w:ind w:leftChars="200"/>
              <w:rPr>
                <w:rFonts w:hint="eastAsia" w:ascii="Times New Roman" w:hAnsi="Times New Roman"/>
                <w:color w:val="auto"/>
                <w:vertAlign w:val="baseline"/>
                <w:lang w:val="en-US" w:eastAsia="zh-CN"/>
              </w:rPr>
            </w:pPr>
            <w:r>
              <w:rPr>
                <w:rFonts w:hint="eastAsia"/>
                <w:b/>
                <w:bCs/>
                <w:color w:val="auto"/>
                <w:vertAlign w:val="baseline"/>
                <w:lang w:val="en-US" w:eastAsia="zh-CN"/>
              </w:rPr>
              <w:t>该过程产生废一次性实验耗材S2。</w:t>
            </w:r>
          </w:p>
          <w:p w14:paraId="60280604">
            <w:pPr>
              <w:numPr>
                <w:ilvl w:val="0"/>
                <w:numId w:val="11"/>
              </w:numPr>
              <w:ind w:left="0" w:leftChars="0" w:firstLine="480" w:firstLineChars="200"/>
              <w:rPr>
                <w:rFonts w:hint="eastAsia"/>
                <w:color w:val="auto"/>
                <w:vertAlign w:val="baseline"/>
                <w:lang w:val="en-US" w:eastAsia="zh-CN"/>
              </w:rPr>
            </w:pPr>
            <w:r>
              <w:rPr>
                <w:rFonts w:hint="eastAsia"/>
                <w:color w:val="auto"/>
                <w:vertAlign w:val="baseline"/>
                <w:lang w:val="en-US" w:eastAsia="zh-CN"/>
              </w:rPr>
              <w:t>免疫层析诊断技术实验</w:t>
            </w:r>
          </w:p>
          <w:p w14:paraId="3BC7933B">
            <w:pPr>
              <w:numPr>
                <w:ilvl w:val="0"/>
                <w:numId w:val="0"/>
              </w:numPr>
              <w:ind w:leftChars="200"/>
              <w:rPr>
                <w:rFonts w:hint="eastAsia"/>
                <w:color w:val="auto"/>
                <w:vertAlign w:val="baseline"/>
                <w:lang w:val="en-US" w:eastAsia="zh-CN"/>
              </w:rPr>
            </w:pPr>
            <w:r>
              <w:rPr>
                <w:rFonts w:hint="eastAsia"/>
                <w:color w:val="auto"/>
                <w:vertAlign w:val="baseline"/>
                <w:lang w:val="en-US" w:eastAsia="zh-CN"/>
              </w:rPr>
              <w:object>
                <v:shape id="_x0000_i1029" o:spt="75" type="#_x0000_t75" style="height:79.75pt;width:319.55pt;" o:ole="t" filled="f" o:preferrelative="t" stroked="f" coordsize="21600,21600">
                  <v:path/>
                  <v:fill on="f" focussize="0,0"/>
                  <v:stroke on="f"/>
                  <v:imagedata r:id="rId21" o:title=""/>
                  <o:lock v:ext="edit" aspectratio="f"/>
                  <w10:wrap type="none"/>
                  <w10:anchorlock/>
                </v:shape>
                <o:OLEObject Type="Embed" ProgID="Visio.Drawing.11" ShapeID="_x0000_i1029" DrawAspect="Content" ObjectID="_1468075729" r:id="rId20">
                  <o:LockedField>false</o:LockedField>
                </o:OLEObject>
              </w:object>
            </w:r>
          </w:p>
          <w:p w14:paraId="3C59AFEA">
            <w:pPr>
              <w:pStyle w:val="15"/>
              <w:numPr>
                <w:ilvl w:val="0"/>
                <w:numId w:val="9"/>
              </w:numPr>
              <w:bidi w:val="0"/>
              <w:ind w:left="425" w:leftChars="0" w:hanging="425" w:firstLineChars="0"/>
              <w:rPr>
                <w:rFonts w:hint="default"/>
                <w:b/>
                <w:bCs/>
                <w:color w:val="auto"/>
                <w:vertAlign w:val="baseline"/>
                <w:lang w:val="en-US" w:eastAsia="zh-CN"/>
              </w:rPr>
            </w:pPr>
            <w:r>
              <w:rPr>
                <w:rFonts w:hint="eastAsia"/>
                <w:color w:val="auto"/>
                <w:vertAlign w:val="baseline"/>
                <w:lang w:val="en-US" w:eastAsia="zh-CN"/>
              </w:rPr>
              <w:t>免疫层析诊断诊断技术实验工艺流程及产物节点图</w:t>
            </w:r>
          </w:p>
          <w:p w14:paraId="3A25CF61">
            <w:pPr>
              <w:numPr>
                <w:ilvl w:val="0"/>
                <w:numId w:val="13"/>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信号垫样品垫制备：</w:t>
            </w:r>
            <w:r>
              <w:rPr>
                <w:rFonts w:hint="eastAsia" w:ascii="Times New Roman" w:hAnsi="Times New Roman"/>
                <w:color w:val="auto"/>
                <w:vertAlign w:val="baseline"/>
                <w:lang w:val="en-US" w:eastAsia="zh-CN"/>
              </w:rPr>
              <w:t>利用</w:t>
            </w:r>
            <w:r>
              <w:rPr>
                <w:rFonts w:hint="eastAsia"/>
                <w:color w:val="auto"/>
                <w:vertAlign w:val="baseline"/>
                <w:lang w:val="en-US" w:eastAsia="zh-CN"/>
              </w:rPr>
              <w:t>“</w:t>
            </w:r>
            <w:r>
              <w:rPr>
                <w:rFonts w:hint="eastAsia" w:ascii="Times New Roman" w:hAnsi="Times New Roman"/>
                <w:color w:val="auto"/>
                <w:vertAlign w:val="baseline"/>
                <w:lang w:val="en-US" w:eastAsia="zh-CN"/>
              </w:rPr>
              <w:t>抗体载体标记</w:t>
            </w:r>
            <w:r>
              <w:rPr>
                <w:rFonts w:hint="eastAsia"/>
                <w:color w:val="auto"/>
                <w:vertAlign w:val="baseline"/>
                <w:lang w:val="en-US" w:eastAsia="zh-CN"/>
              </w:rPr>
              <w:t>”</w:t>
            </w:r>
            <w:r>
              <w:rPr>
                <w:rFonts w:hint="eastAsia" w:ascii="Times New Roman" w:hAnsi="Times New Roman"/>
                <w:color w:val="auto"/>
                <w:vertAlign w:val="baseline"/>
                <w:lang w:val="en-US" w:eastAsia="zh-CN"/>
              </w:rPr>
              <w:t>方法，分别得到抗体标记微球处理的信号垫、抗体标记的NC载体</w:t>
            </w:r>
            <w:r>
              <w:rPr>
                <w:rFonts w:hint="eastAsia"/>
                <w:color w:val="auto"/>
                <w:vertAlign w:val="baseline"/>
                <w:lang w:val="en-US" w:eastAsia="zh-CN"/>
              </w:rPr>
              <w:t>。</w:t>
            </w:r>
          </w:p>
          <w:p w14:paraId="3567F709">
            <w:pPr>
              <w:numPr>
                <w:ilvl w:val="0"/>
                <w:numId w:val="0"/>
              </w:numPr>
              <w:ind w:leftChars="200"/>
              <w:rPr>
                <w:rFonts w:hint="default" w:ascii="Times New Roman" w:hAnsi="Times New Roman"/>
                <w:color w:val="auto"/>
                <w:vertAlign w:val="baseline"/>
                <w:lang w:val="en-US" w:eastAsia="zh-CN"/>
              </w:rPr>
            </w:pPr>
            <w:r>
              <w:rPr>
                <w:rFonts w:hint="eastAsia"/>
                <w:b/>
                <w:bCs/>
                <w:color w:val="auto"/>
                <w:vertAlign w:val="baseline"/>
                <w:lang w:val="en-US" w:eastAsia="zh-CN"/>
              </w:rPr>
              <w:t>该过程产生容器清洗废液S1、实验废液S3、废一次性实验耗材S2、容器清洗废水W1。</w:t>
            </w:r>
          </w:p>
          <w:p w14:paraId="77A60762">
            <w:pPr>
              <w:numPr>
                <w:ilvl w:val="0"/>
                <w:numId w:val="13"/>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组合：</w:t>
            </w:r>
            <w:r>
              <w:rPr>
                <w:rFonts w:hint="eastAsia" w:ascii="Times New Roman" w:hAnsi="Times New Roman"/>
                <w:color w:val="auto"/>
                <w:vertAlign w:val="baseline"/>
                <w:lang w:val="en-US" w:eastAsia="zh-CN"/>
              </w:rPr>
              <w:t>将</w:t>
            </w:r>
            <w:r>
              <w:rPr>
                <w:rFonts w:hint="eastAsia"/>
                <w:color w:val="auto"/>
                <w:vertAlign w:val="baseline"/>
                <w:lang w:val="en-US" w:eastAsia="zh-CN"/>
              </w:rPr>
              <w:t>以上抗体标记是</w:t>
            </w:r>
            <w:r>
              <w:rPr>
                <w:rFonts w:hint="eastAsia" w:ascii="Times New Roman" w:hAnsi="Times New Roman"/>
                <w:color w:val="auto"/>
                <w:vertAlign w:val="baseline"/>
                <w:lang w:val="en-US" w:eastAsia="zh-CN"/>
              </w:rPr>
              <w:t>信号垫、NC</w:t>
            </w:r>
            <w:r>
              <w:rPr>
                <w:rFonts w:hint="eastAsia"/>
                <w:color w:val="auto"/>
                <w:vertAlign w:val="baseline"/>
                <w:lang w:val="en-US" w:eastAsia="zh-CN"/>
              </w:rPr>
              <w:t>载体与</w:t>
            </w:r>
            <w:r>
              <w:rPr>
                <w:rFonts w:hint="eastAsia" w:ascii="Times New Roman" w:hAnsi="Times New Roman"/>
                <w:color w:val="auto"/>
                <w:vertAlign w:val="baseline"/>
                <w:lang w:val="en-US" w:eastAsia="zh-CN"/>
              </w:rPr>
              <w:t>样品垫、吸水垫等按照顺序叠放粘贴组合</w:t>
            </w:r>
            <w:r>
              <w:rPr>
                <w:rFonts w:hint="eastAsia"/>
                <w:color w:val="auto"/>
                <w:vertAlign w:val="baseline"/>
                <w:lang w:val="en-US" w:eastAsia="zh-CN"/>
              </w:rPr>
              <w:t>。</w:t>
            </w:r>
          </w:p>
          <w:p w14:paraId="4E0037D8">
            <w:pPr>
              <w:numPr>
                <w:ilvl w:val="0"/>
                <w:numId w:val="13"/>
              </w:numPr>
              <w:ind w:left="0" w:leftChars="0" w:firstLine="480" w:firstLineChars="200"/>
              <w:rPr>
                <w:rFonts w:hint="default" w:ascii="Times New Roman" w:hAnsi="Times New Roman"/>
                <w:color w:val="auto"/>
                <w:vertAlign w:val="baseline"/>
                <w:lang w:val="en-US" w:eastAsia="zh-CN"/>
              </w:rPr>
            </w:pPr>
            <w:r>
              <w:rPr>
                <w:rFonts w:hint="eastAsia"/>
                <w:color w:val="auto"/>
                <w:vertAlign w:val="baseline"/>
                <w:lang w:val="en-US" w:eastAsia="zh-CN"/>
              </w:rPr>
              <w:t>切条：</w:t>
            </w:r>
            <w:r>
              <w:rPr>
                <w:rFonts w:hint="eastAsia" w:ascii="Times New Roman" w:hAnsi="Times New Roman"/>
                <w:color w:val="auto"/>
                <w:vertAlign w:val="baseline"/>
                <w:lang w:val="en-US" w:eastAsia="zh-CN"/>
              </w:rPr>
              <w:t>利用切条机将组合好的材料进行切条，处理成固定大小的免疫层析试纸</w:t>
            </w:r>
            <w:r>
              <w:rPr>
                <w:rFonts w:hint="eastAsia"/>
                <w:color w:val="auto"/>
                <w:vertAlign w:val="baseline"/>
                <w:lang w:val="en-US" w:eastAsia="zh-CN"/>
              </w:rPr>
              <w:t>条。</w:t>
            </w:r>
          </w:p>
          <w:p w14:paraId="5F42572D">
            <w:pPr>
              <w:numPr>
                <w:ilvl w:val="0"/>
                <w:numId w:val="13"/>
              </w:numPr>
              <w:ind w:left="0" w:leftChars="0" w:firstLine="480" w:firstLineChars="200"/>
              <w:rPr>
                <w:rFonts w:hint="default"/>
                <w:color w:val="auto"/>
                <w:vertAlign w:val="baseline"/>
                <w:lang w:val="en-US" w:eastAsia="zh-CN"/>
              </w:rPr>
            </w:pPr>
            <w:r>
              <w:rPr>
                <w:rFonts w:hint="eastAsia"/>
                <w:color w:val="auto"/>
                <w:vertAlign w:val="baseline"/>
                <w:lang w:val="en-US" w:eastAsia="zh-CN"/>
              </w:rPr>
              <w:t>检测：配制的一定浓度抗原，滴在以上</w:t>
            </w:r>
            <w:r>
              <w:rPr>
                <w:rFonts w:hint="eastAsia" w:ascii="Times New Roman" w:hAnsi="Times New Roman"/>
                <w:color w:val="auto"/>
                <w:vertAlign w:val="baseline"/>
                <w:lang w:val="en-US" w:eastAsia="zh-CN"/>
              </w:rPr>
              <w:t>免疫层析试纸</w:t>
            </w:r>
            <w:r>
              <w:rPr>
                <w:rFonts w:hint="eastAsia"/>
                <w:color w:val="auto"/>
                <w:vertAlign w:val="baseline"/>
                <w:lang w:val="en-US" w:eastAsia="zh-CN"/>
              </w:rPr>
              <w:t>条上检测评价效果</w:t>
            </w:r>
            <w:r>
              <w:rPr>
                <w:rFonts w:hint="eastAsia" w:ascii="Times New Roman" w:hAnsi="Times New Roman"/>
                <w:color w:val="auto"/>
                <w:vertAlign w:val="baseline"/>
                <w:lang w:val="en-US" w:eastAsia="zh-CN"/>
              </w:rPr>
              <w:t>。</w:t>
            </w:r>
          </w:p>
          <w:p w14:paraId="221C6F18">
            <w:pPr>
              <w:numPr>
                <w:ilvl w:val="0"/>
                <w:numId w:val="0"/>
              </w:numPr>
              <w:ind w:leftChars="200"/>
              <w:rPr>
                <w:rFonts w:hint="default"/>
                <w:color w:val="auto"/>
                <w:vertAlign w:val="baseline"/>
                <w:lang w:val="en-US" w:eastAsia="zh-CN"/>
              </w:rPr>
            </w:pPr>
            <w:r>
              <w:rPr>
                <w:rFonts w:hint="eastAsia"/>
                <w:b/>
                <w:bCs/>
                <w:color w:val="auto"/>
                <w:vertAlign w:val="baseline"/>
                <w:lang w:val="en-US" w:eastAsia="zh-CN"/>
              </w:rPr>
              <w:t>该过程产生实验废液S3、废一次性实验耗材S2。</w:t>
            </w:r>
          </w:p>
          <w:p w14:paraId="506C5F5B">
            <w:pPr>
              <w:numPr>
                <w:ilvl w:val="0"/>
                <w:numId w:val="11"/>
              </w:numPr>
              <w:ind w:left="0" w:leftChars="0" w:firstLine="480" w:firstLineChars="200"/>
              <w:rPr>
                <w:rFonts w:hint="eastAsia"/>
                <w:color w:val="auto"/>
                <w:vertAlign w:val="baseline"/>
                <w:lang w:val="en-US" w:eastAsia="zh-CN"/>
              </w:rPr>
            </w:pPr>
            <w:r>
              <w:rPr>
                <w:rFonts w:hint="eastAsia"/>
                <w:lang w:val="en-US" w:eastAsia="zh-CN"/>
              </w:rPr>
              <w:t>荧光/发光免疫诊断技术</w:t>
            </w:r>
            <w:r>
              <w:rPr>
                <w:rFonts w:hint="eastAsia"/>
                <w:color w:val="auto"/>
                <w:vertAlign w:val="baseline"/>
                <w:lang w:val="en-US" w:eastAsia="zh-CN"/>
              </w:rPr>
              <w:t>实验</w:t>
            </w:r>
          </w:p>
          <w:p w14:paraId="69FA305B">
            <w:pPr>
              <w:numPr>
                <w:ilvl w:val="0"/>
                <w:numId w:val="0"/>
              </w:numPr>
              <w:ind w:leftChars="200"/>
              <w:rPr>
                <w:rFonts w:hint="eastAsia"/>
                <w:color w:val="auto"/>
                <w:vertAlign w:val="baseline"/>
                <w:lang w:val="en-US" w:eastAsia="zh-CN"/>
              </w:rPr>
            </w:pPr>
            <w:r>
              <w:rPr>
                <w:rFonts w:hint="eastAsia"/>
                <w:color w:val="auto"/>
                <w:vertAlign w:val="baseline"/>
                <w:lang w:val="en-US" w:eastAsia="zh-CN"/>
              </w:rPr>
              <w:object>
                <v:shape id="_x0000_i1030" o:spt="75" type="#_x0000_t75" style="height:78.85pt;width:343.25pt;" o:ole="t" filled="f" o:preferrelative="t" stroked="f" coordsize="21600,21600">
                  <v:path/>
                  <v:fill on="f" focussize="0,0"/>
                  <v:stroke on="f"/>
                  <v:imagedata r:id="rId23" o:title=""/>
                  <o:lock v:ext="edit" aspectratio="f"/>
                  <w10:wrap type="none"/>
                  <w10:anchorlock/>
                </v:shape>
                <o:OLEObject Type="Embed" ProgID="Visio.Drawing.11" ShapeID="_x0000_i1030" DrawAspect="Content" ObjectID="_1468075730" r:id="rId22">
                  <o:LockedField>false</o:LockedField>
                </o:OLEObject>
              </w:object>
            </w:r>
          </w:p>
          <w:p w14:paraId="00566E98">
            <w:pPr>
              <w:pStyle w:val="15"/>
              <w:numPr>
                <w:ilvl w:val="0"/>
                <w:numId w:val="9"/>
              </w:numPr>
              <w:bidi w:val="0"/>
              <w:ind w:left="425" w:leftChars="0" w:hanging="425" w:firstLineChars="0"/>
              <w:rPr>
                <w:rFonts w:hint="default"/>
                <w:b/>
                <w:bCs/>
                <w:color w:val="auto"/>
                <w:vertAlign w:val="baseline"/>
                <w:lang w:val="en-US" w:eastAsia="zh-CN"/>
              </w:rPr>
            </w:pPr>
            <w:r>
              <w:rPr>
                <w:rFonts w:hint="eastAsia"/>
                <w:color w:val="auto"/>
                <w:vertAlign w:val="baseline"/>
                <w:lang w:val="en-US" w:eastAsia="zh-CN"/>
              </w:rPr>
              <w:t>荧光/发光免疫诊断技术实验工艺流程及产物节点图</w:t>
            </w:r>
          </w:p>
          <w:p w14:paraId="04BE0944">
            <w:pPr>
              <w:numPr>
                <w:ilvl w:val="0"/>
                <w:numId w:val="14"/>
              </w:numPr>
              <w:ind w:left="0" w:leftChars="0" w:firstLine="480" w:firstLineChars="200"/>
              <w:rPr>
                <w:rFonts w:hint="eastAsia"/>
                <w:color w:val="auto"/>
                <w:vertAlign w:val="baseline"/>
                <w:lang w:val="en-US" w:eastAsia="zh-CN"/>
              </w:rPr>
            </w:pPr>
            <w:r>
              <w:rPr>
                <w:rFonts w:hint="eastAsia"/>
                <w:color w:val="auto"/>
                <w:vertAlign w:val="baseline"/>
                <w:lang w:val="en-US" w:eastAsia="zh-CN"/>
              </w:rPr>
              <w:t>抗体包被微球和抗体标记：</w:t>
            </w:r>
            <w:r>
              <w:rPr>
                <w:rFonts w:hint="eastAsia" w:eastAsia="宋体"/>
                <w:color w:val="auto"/>
                <w:vertAlign w:val="baseline"/>
                <w:lang w:val="en-US" w:eastAsia="zh-CN"/>
              </w:rPr>
              <w:t>利用“</w:t>
            </w:r>
            <w:r>
              <w:rPr>
                <w:rFonts w:hint="eastAsia"/>
                <w:color w:val="auto"/>
                <w:vertAlign w:val="baseline"/>
                <w:lang w:val="en-US" w:eastAsia="zh-CN"/>
              </w:rPr>
              <w:t>抗体标记实验”与“抗体包被微球实验”分别制备得到抗体包被微球和标记抗体，作为原材料备用。</w:t>
            </w:r>
          </w:p>
          <w:p w14:paraId="494E1513">
            <w:pPr>
              <w:numPr>
                <w:ilvl w:val="0"/>
                <w:numId w:val="0"/>
              </w:numPr>
              <w:ind w:firstLine="482" w:firstLineChars="200"/>
              <w:rPr>
                <w:rFonts w:hint="default"/>
                <w:color w:val="auto"/>
                <w:vertAlign w:val="baseline"/>
                <w:lang w:val="en-US" w:eastAsia="zh-CN"/>
              </w:rPr>
            </w:pPr>
            <w:r>
              <w:rPr>
                <w:rFonts w:hint="eastAsia"/>
                <w:b/>
                <w:bCs/>
                <w:color w:val="auto"/>
                <w:vertAlign w:val="baseline"/>
                <w:lang w:val="en-US" w:eastAsia="zh-CN"/>
              </w:rPr>
              <w:t>该过程产生容器清洗废液S1、实验废液S3、废一次性实验耗材S2、容器清洗废水W1。</w:t>
            </w:r>
          </w:p>
          <w:p w14:paraId="4C704FFA">
            <w:pPr>
              <w:numPr>
                <w:ilvl w:val="0"/>
                <w:numId w:val="14"/>
              </w:numPr>
              <w:ind w:left="0" w:leftChars="0" w:firstLine="480" w:firstLineChars="200"/>
              <w:rPr>
                <w:rFonts w:hint="eastAsia"/>
                <w:color w:val="auto"/>
                <w:vertAlign w:val="baseline"/>
                <w:lang w:val="en-US" w:eastAsia="zh-CN"/>
              </w:rPr>
            </w:pPr>
            <w:r>
              <w:rPr>
                <w:rFonts w:hint="eastAsia"/>
                <w:color w:val="auto"/>
                <w:vertAlign w:val="baseline"/>
                <w:lang w:val="en-US" w:eastAsia="zh-CN"/>
              </w:rPr>
              <w:t>工作缓冲液制备：用缓冲液将上述原材料配制成对应的的工作缓冲液。</w:t>
            </w:r>
          </w:p>
          <w:p w14:paraId="7F249ADC">
            <w:pPr>
              <w:numPr>
                <w:ilvl w:val="0"/>
                <w:numId w:val="0"/>
              </w:numPr>
              <w:ind w:leftChars="200"/>
              <w:rPr>
                <w:rFonts w:hint="default"/>
                <w:color w:val="auto"/>
                <w:vertAlign w:val="baseline"/>
                <w:lang w:val="en-US" w:eastAsia="zh-CN"/>
              </w:rPr>
            </w:pPr>
            <w:r>
              <w:rPr>
                <w:rFonts w:hint="eastAsia"/>
                <w:b/>
                <w:bCs/>
                <w:color w:val="auto"/>
                <w:vertAlign w:val="baseline"/>
                <w:lang w:val="en-US" w:eastAsia="zh-CN"/>
              </w:rPr>
              <w:t>该过程产生废一次性实验耗材S2。</w:t>
            </w:r>
          </w:p>
          <w:p w14:paraId="6881F9D0">
            <w:pPr>
              <w:numPr>
                <w:ilvl w:val="0"/>
                <w:numId w:val="14"/>
              </w:numPr>
              <w:ind w:left="0" w:leftChars="0" w:firstLine="480" w:firstLineChars="200"/>
              <w:rPr>
                <w:rFonts w:hint="eastAsia"/>
                <w:color w:val="auto"/>
                <w:vertAlign w:val="baseline"/>
                <w:lang w:val="en-US" w:eastAsia="zh-CN"/>
              </w:rPr>
            </w:pPr>
            <w:r>
              <w:rPr>
                <w:rFonts w:hint="eastAsia"/>
                <w:color w:val="auto"/>
                <w:vertAlign w:val="baseline"/>
                <w:lang w:val="en-US" w:eastAsia="zh-CN"/>
              </w:rPr>
              <w:t>检测：将配制所得工作缓冲液按照仪器说明放置在全自动化学发光仪的工作液位置上，启动仪器进行检测，测定发光值，评价其效用。</w:t>
            </w:r>
          </w:p>
          <w:p w14:paraId="4FE04367">
            <w:pPr>
              <w:numPr>
                <w:ilvl w:val="0"/>
                <w:numId w:val="0"/>
              </w:numPr>
              <w:ind w:firstLine="482" w:firstLineChars="200"/>
              <w:rPr>
                <w:rFonts w:hint="default"/>
                <w:color w:val="auto"/>
                <w:vertAlign w:val="baseline"/>
                <w:lang w:val="en-US" w:eastAsia="zh-CN"/>
              </w:rPr>
            </w:pPr>
            <w:r>
              <w:rPr>
                <w:rFonts w:hint="eastAsia"/>
                <w:b/>
                <w:bCs/>
                <w:color w:val="auto"/>
                <w:vertAlign w:val="baseline"/>
                <w:lang w:val="en-US" w:eastAsia="zh-CN"/>
              </w:rPr>
              <w:t>该过程产生容器清洗废液S1、实验废液S3、废一次性实验耗材S2、容器清洗废水W1。</w:t>
            </w:r>
          </w:p>
          <w:p w14:paraId="73B58430">
            <w:pP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eastAsia="zh-CN"/>
              </w:rPr>
              <w:t>（</w:t>
            </w:r>
            <w:r>
              <w:rPr>
                <w:rFonts w:hint="eastAsia" w:cs="Times New Roman"/>
                <w:color w:val="auto"/>
                <w:highlight w:val="none"/>
                <w:vertAlign w:val="baseline"/>
                <w:lang w:val="en-US" w:eastAsia="zh-CN"/>
              </w:rPr>
              <w:t>6</w:t>
            </w:r>
            <w:r>
              <w:rPr>
                <w:rFonts w:hint="eastAsia" w:cs="Times New Roman"/>
                <w:color w:val="auto"/>
                <w:highlight w:val="none"/>
                <w:vertAlign w:val="baseline"/>
                <w:lang w:eastAsia="zh-CN"/>
              </w:rPr>
              <w:t>）</w:t>
            </w:r>
            <w:r>
              <w:rPr>
                <w:rFonts w:hint="eastAsia"/>
                <w:lang w:val="en-US" w:eastAsia="zh-CN"/>
              </w:rPr>
              <w:t>其他产污</w:t>
            </w:r>
          </w:p>
          <w:p w14:paraId="40D38649">
            <w:pPr>
              <w:rPr>
                <w:rFonts w:hint="default" w:ascii="Times New Roman" w:hAnsi="Times New Roman" w:cs="Times New Roman"/>
                <w:color w:val="auto"/>
                <w:highlight w:val="none"/>
                <w:vertAlign w:val="baseline"/>
              </w:rPr>
            </w:pPr>
            <w:r>
              <w:rPr>
                <w:rFonts w:hint="eastAsia" w:cs="Times New Roman"/>
                <w:color w:val="auto"/>
                <w:highlight w:val="none"/>
                <w:vertAlign w:val="baseline"/>
                <w:lang w:val="en-US" w:eastAsia="zh-CN"/>
              </w:rPr>
              <w:t>工作台面使用酒精消毒会产生挥发性有机物G1；原辅料脱包会产生属于一般工业固体废物的废包装物S4、实验过程会产生危险废物废试剂瓶S5、职工生活产生的生活污水W2、实验</w:t>
            </w:r>
            <w:r>
              <w:rPr>
                <w:rFonts w:hint="default" w:ascii="Times New Roman" w:hAnsi="Times New Roman" w:cs="Times New Roman"/>
                <w:color w:val="auto"/>
                <w:highlight w:val="none"/>
                <w:vertAlign w:val="baseline"/>
              </w:rPr>
              <w:t>设备</w:t>
            </w:r>
            <w:r>
              <w:rPr>
                <w:rFonts w:hint="eastAsia" w:cs="Times New Roman"/>
                <w:color w:val="auto"/>
                <w:highlight w:val="none"/>
                <w:vertAlign w:val="baseline"/>
                <w:lang w:eastAsia="zh-CN"/>
              </w:rPr>
              <w:t>、</w:t>
            </w:r>
            <w:r>
              <w:rPr>
                <w:rFonts w:hint="eastAsia" w:cs="Times New Roman"/>
                <w:color w:val="auto"/>
                <w:highlight w:val="none"/>
                <w:vertAlign w:val="baseline"/>
                <w:lang w:val="en-US" w:eastAsia="zh-CN"/>
              </w:rPr>
              <w:t>空调</w:t>
            </w:r>
            <w:r>
              <w:rPr>
                <w:rFonts w:hint="default" w:ascii="Times New Roman" w:hAnsi="Times New Roman" w:cs="Times New Roman"/>
                <w:color w:val="auto"/>
                <w:highlight w:val="none"/>
                <w:vertAlign w:val="baseline"/>
              </w:rPr>
              <w:t>运行</w:t>
            </w:r>
            <w:r>
              <w:rPr>
                <w:rFonts w:hint="eastAsia" w:cs="Times New Roman"/>
                <w:color w:val="auto"/>
                <w:highlight w:val="none"/>
                <w:vertAlign w:val="baseline"/>
                <w:lang w:val="en-US" w:eastAsia="zh-CN"/>
              </w:rPr>
              <w:t>会</w:t>
            </w:r>
            <w:r>
              <w:rPr>
                <w:rFonts w:hint="default" w:ascii="Times New Roman" w:hAnsi="Times New Roman" w:cs="Times New Roman"/>
                <w:color w:val="auto"/>
                <w:highlight w:val="none"/>
                <w:vertAlign w:val="baseline"/>
              </w:rPr>
              <w:t>产生噪声</w:t>
            </w:r>
            <w:r>
              <w:rPr>
                <w:rFonts w:hint="eastAsia" w:cs="Times New Roman"/>
                <w:color w:val="auto"/>
                <w:highlight w:val="none"/>
                <w:vertAlign w:val="baseline"/>
                <w:lang w:val="en-US" w:eastAsia="zh-CN"/>
              </w:rPr>
              <w:t>N1</w:t>
            </w:r>
            <w:r>
              <w:rPr>
                <w:rFonts w:hint="default" w:ascii="Times New Roman" w:hAnsi="Times New Roman" w:cs="Times New Roman"/>
                <w:color w:val="auto"/>
                <w:highlight w:val="none"/>
                <w:vertAlign w:val="baseline"/>
              </w:rPr>
              <w:t>。</w:t>
            </w:r>
          </w:p>
          <w:p w14:paraId="403EC15D">
            <w:pPr>
              <w:pStyle w:val="15"/>
              <w:numPr>
                <w:ilvl w:val="0"/>
                <w:numId w:val="6"/>
              </w:numPr>
              <w:bidi w:val="0"/>
              <w:ind w:left="425" w:leftChars="0" w:hanging="425" w:firstLineChars="0"/>
              <w:rPr>
                <w:rFonts w:hint="eastAsia"/>
                <w:color w:val="auto"/>
                <w:lang w:val="en-US" w:eastAsia="zh-CN"/>
              </w:rPr>
            </w:pPr>
            <w:r>
              <w:rPr>
                <w:rFonts w:hint="eastAsia"/>
                <w:color w:val="auto"/>
                <w:lang w:val="en-US" w:eastAsia="zh-CN"/>
              </w:rPr>
              <w:t>排污节点一览表</w:t>
            </w:r>
          </w:p>
          <w:tbl>
            <w:tblPr>
              <w:tblStyle w:val="1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226"/>
              <w:gridCol w:w="1962"/>
              <w:gridCol w:w="1979"/>
              <w:gridCol w:w="1686"/>
            </w:tblGrid>
            <w:tr w14:paraId="11585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tcBorders>
                    <w:tl2br w:val="nil"/>
                    <w:tr2bl w:val="nil"/>
                  </w:tcBorders>
                  <w:tcMar>
                    <w:top w:w="0" w:type="dxa"/>
                    <w:left w:w="0" w:type="dxa"/>
                    <w:bottom w:w="0" w:type="dxa"/>
                    <w:right w:w="0" w:type="dxa"/>
                  </w:tcMar>
                  <w:vAlign w:val="center"/>
                </w:tcPr>
                <w:p w14:paraId="73AD5B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b/>
                      <w:bCs/>
                      <w:color w:val="auto"/>
                      <w:sz w:val="21"/>
                      <w:szCs w:val="21"/>
                      <w:highlight w:val="none"/>
                    </w:rPr>
                  </w:pPr>
                  <w:r>
                    <w:rPr>
                      <w:b/>
                      <w:bCs/>
                      <w:color w:val="auto"/>
                      <w:sz w:val="21"/>
                      <w:szCs w:val="21"/>
                      <w:highlight w:val="none"/>
                      <w:lang w:val="zh-CN"/>
                    </w:rPr>
                    <w:t>污染物类别</w:t>
                  </w:r>
                </w:p>
              </w:tc>
              <w:tc>
                <w:tcPr>
                  <w:tcW w:w="1226" w:type="dxa"/>
                  <w:tcBorders>
                    <w:tl2br w:val="nil"/>
                    <w:tr2bl w:val="nil"/>
                  </w:tcBorders>
                  <w:tcMar>
                    <w:top w:w="0" w:type="dxa"/>
                    <w:left w:w="0" w:type="dxa"/>
                    <w:bottom w:w="0" w:type="dxa"/>
                    <w:right w:w="0" w:type="dxa"/>
                  </w:tcMar>
                  <w:vAlign w:val="center"/>
                </w:tcPr>
                <w:p w14:paraId="4D3071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b/>
                      <w:bCs/>
                      <w:color w:val="auto"/>
                      <w:sz w:val="21"/>
                      <w:szCs w:val="21"/>
                      <w:highlight w:val="none"/>
                    </w:rPr>
                  </w:pPr>
                  <w:r>
                    <w:rPr>
                      <w:b/>
                      <w:bCs/>
                      <w:color w:val="auto"/>
                      <w:sz w:val="21"/>
                      <w:szCs w:val="21"/>
                      <w:highlight w:val="none"/>
                      <w:lang w:val="zh-CN"/>
                    </w:rPr>
                    <w:t>污染来源</w:t>
                  </w:r>
                </w:p>
              </w:tc>
              <w:tc>
                <w:tcPr>
                  <w:tcW w:w="1962" w:type="dxa"/>
                  <w:tcBorders>
                    <w:tl2br w:val="nil"/>
                    <w:tr2bl w:val="nil"/>
                  </w:tcBorders>
                  <w:tcMar>
                    <w:top w:w="0" w:type="dxa"/>
                    <w:left w:w="0" w:type="dxa"/>
                    <w:bottom w:w="0" w:type="dxa"/>
                    <w:right w:w="0" w:type="dxa"/>
                  </w:tcMar>
                  <w:vAlign w:val="center"/>
                </w:tcPr>
                <w:p w14:paraId="187578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b/>
                      <w:bCs/>
                      <w:color w:val="auto"/>
                      <w:sz w:val="21"/>
                      <w:szCs w:val="21"/>
                      <w:highlight w:val="none"/>
                    </w:rPr>
                  </w:pPr>
                  <w:r>
                    <w:rPr>
                      <w:rFonts w:hint="eastAsia"/>
                      <w:b/>
                      <w:bCs/>
                      <w:color w:val="auto"/>
                      <w:sz w:val="21"/>
                      <w:szCs w:val="21"/>
                      <w:highlight w:val="none"/>
                    </w:rPr>
                    <w:t>污染物名称</w:t>
                  </w:r>
                </w:p>
              </w:tc>
              <w:tc>
                <w:tcPr>
                  <w:tcW w:w="1979" w:type="dxa"/>
                  <w:tcBorders>
                    <w:tl2br w:val="nil"/>
                    <w:tr2bl w:val="nil"/>
                  </w:tcBorders>
                  <w:tcMar>
                    <w:top w:w="0" w:type="dxa"/>
                    <w:left w:w="0" w:type="dxa"/>
                    <w:bottom w:w="0" w:type="dxa"/>
                    <w:right w:w="0" w:type="dxa"/>
                  </w:tcMar>
                  <w:vAlign w:val="center"/>
                </w:tcPr>
                <w:p w14:paraId="73F0A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lang w:val="zh-CN"/>
                    </w:rPr>
                  </w:pPr>
                  <w:r>
                    <w:rPr>
                      <w:b/>
                      <w:bCs/>
                      <w:color w:val="auto"/>
                      <w:sz w:val="21"/>
                      <w:szCs w:val="21"/>
                      <w:highlight w:val="none"/>
                      <w:lang w:val="zh-CN"/>
                    </w:rPr>
                    <w:t>污染因子</w:t>
                  </w:r>
                </w:p>
              </w:tc>
              <w:tc>
                <w:tcPr>
                  <w:tcW w:w="1686" w:type="dxa"/>
                  <w:tcBorders>
                    <w:tl2br w:val="nil"/>
                    <w:tr2bl w:val="nil"/>
                  </w:tcBorders>
                  <w:tcMar>
                    <w:top w:w="0" w:type="dxa"/>
                    <w:left w:w="0" w:type="dxa"/>
                    <w:bottom w:w="0" w:type="dxa"/>
                    <w:right w:w="0" w:type="dxa"/>
                  </w:tcMar>
                  <w:vAlign w:val="center"/>
                </w:tcPr>
                <w:p w14:paraId="47CC5D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b/>
                      <w:bCs/>
                      <w:color w:val="auto"/>
                      <w:sz w:val="21"/>
                      <w:szCs w:val="21"/>
                      <w:highlight w:val="none"/>
                    </w:rPr>
                  </w:pPr>
                  <w:r>
                    <w:rPr>
                      <w:rFonts w:hint="eastAsia"/>
                      <w:b/>
                      <w:bCs/>
                      <w:color w:val="auto"/>
                      <w:sz w:val="21"/>
                      <w:szCs w:val="21"/>
                      <w:highlight w:val="none"/>
                      <w:lang w:val="zh-CN"/>
                    </w:rPr>
                    <w:t>治理措施及排放形式</w:t>
                  </w:r>
                </w:p>
              </w:tc>
            </w:tr>
            <w:tr w14:paraId="7CA20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tcBorders>
                    <w:tl2br w:val="nil"/>
                    <w:tr2bl w:val="nil"/>
                  </w:tcBorders>
                  <w:tcMar>
                    <w:top w:w="0" w:type="dxa"/>
                    <w:left w:w="0" w:type="dxa"/>
                    <w:bottom w:w="0" w:type="dxa"/>
                    <w:right w:w="0" w:type="dxa"/>
                  </w:tcMar>
                  <w:vAlign w:val="center"/>
                </w:tcPr>
                <w:p w14:paraId="592AB1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lang w:val="zh-CN"/>
                    </w:rPr>
                  </w:pPr>
                  <w:r>
                    <w:rPr>
                      <w:rFonts w:hint="eastAsia"/>
                      <w:color w:val="auto"/>
                      <w:sz w:val="21"/>
                      <w:szCs w:val="21"/>
                      <w:highlight w:val="none"/>
                      <w:lang w:val="zh-CN"/>
                    </w:rPr>
                    <w:t>大气污染物</w:t>
                  </w:r>
                </w:p>
              </w:tc>
              <w:tc>
                <w:tcPr>
                  <w:tcW w:w="1226" w:type="dxa"/>
                  <w:tcBorders>
                    <w:tl2br w:val="nil"/>
                    <w:tr2bl w:val="nil"/>
                  </w:tcBorders>
                  <w:shd w:val="clear" w:color="auto" w:fill="auto"/>
                  <w:tcMar>
                    <w:top w:w="0" w:type="dxa"/>
                    <w:left w:w="0" w:type="dxa"/>
                    <w:bottom w:w="0" w:type="dxa"/>
                    <w:right w:w="0" w:type="dxa"/>
                  </w:tcMar>
                  <w:vAlign w:val="center"/>
                </w:tcPr>
                <w:p w14:paraId="166F36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台面消毒</w:t>
                  </w:r>
                </w:p>
              </w:tc>
              <w:tc>
                <w:tcPr>
                  <w:tcW w:w="1962" w:type="dxa"/>
                  <w:tcBorders>
                    <w:tl2br w:val="nil"/>
                    <w:tr2bl w:val="nil"/>
                  </w:tcBorders>
                  <w:shd w:val="clear" w:color="auto" w:fill="auto"/>
                  <w:tcMar>
                    <w:top w:w="0" w:type="dxa"/>
                    <w:left w:w="0" w:type="dxa"/>
                    <w:bottom w:w="0" w:type="dxa"/>
                    <w:right w:w="0" w:type="dxa"/>
                  </w:tcMar>
                  <w:vAlign w:val="center"/>
                </w:tcPr>
                <w:p w14:paraId="72A834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挥发性有机物</w:t>
                  </w:r>
                </w:p>
              </w:tc>
              <w:tc>
                <w:tcPr>
                  <w:tcW w:w="1979" w:type="dxa"/>
                  <w:tcBorders>
                    <w:tl2br w:val="nil"/>
                    <w:tr2bl w:val="nil"/>
                  </w:tcBorders>
                  <w:shd w:val="clear" w:color="auto" w:fill="auto"/>
                  <w:tcMar>
                    <w:top w:w="0" w:type="dxa"/>
                    <w:left w:w="0" w:type="dxa"/>
                    <w:bottom w:w="0" w:type="dxa"/>
                    <w:right w:w="0" w:type="dxa"/>
                  </w:tcMar>
                  <w:vAlign w:val="center"/>
                </w:tcPr>
                <w:p w14:paraId="45E96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非甲烷总烃</w:t>
                  </w:r>
                </w:p>
              </w:tc>
              <w:tc>
                <w:tcPr>
                  <w:tcW w:w="1686" w:type="dxa"/>
                  <w:tcBorders>
                    <w:tl2br w:val="nil"/>
                    <w:tr2bl w:val="nil"/>
                  </w:tcBorders>
                  <w:shd w:val="clear" w:color="auto" w:fill="auto"/>
                  <w:tcMar>
                    <w:top w:w="0" w:type="dxa"/>
                    <w:left w:w="0" w:type="dxa"/>
                    <w:bottom w:w="0" w:type="dxa"/>
                    <w:right w:w="0" w:type="dxa"/>
                  </w:tcMar>
                  <w:vAlign w:val="center"/>
                </w:tcPr>
                <w:p w14:paraId="273D69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无组织排放</w:t>
                  </w:r>
                </w:p>
              </w:tc>
            </w:tr>
            <w:tr w14:paraId="25BA3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restart"/>
                  <w:tcBorders>
                    <w:tl2br w:val="nil"/>
                    <w:tr2bl w:val="nil"/>
                  </w:tcBorders>
                  <w:tcMar>
                    <w:top w:w="0" w:type="dxa"/>
                    <w:left w:w="0" w:type="dxa"/>
                    <w:bottom w:w="0" w:type="dxa"/>
                    <w:right w:w="0" w:type="dxa"/>
                  </w:tcMar>
                  <w:vAlign w:val="center"/>
                </w:tcPr>
                <w:p w14:paraId="1A500F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lang w:val="zh-CN"/>
                    </w:rPr>
                  </w:pPr>
                  <w:r>
                    <w:rPr>
                      <w:color w:val="auto"/>
                      <w:sz w:val="21"/>
                      <w:szCs w:val="21"/>
                      <w:highlight w:val="none"/>
                      <w:lang w:val="zh-CN"/>
                    </w:rPr>
                    <w:t>水污染物</w:t>
                  </w:r>
                </w:p>
              </w:tc>
              <w:tc>
                <w:tcPr>
                  <w:tcW w:w="1226" w:type="dxa"/>
                  <w:tcBorders>
                    <w:tl2br w:val="nil"/>
                    <w:tr2bl w:val="nil"/>
                  </w:tcBorders>
                  <w:tcMar>
                    <w:top w:w="0" w:type="dxa"/>
                    <w:left w:w="0" w:type="dxa"/>
                    <w:bottom w:w="0" w:type="dxa"/>
                    <w:right w:w="0" w:type="dxa"/>
                  </w:tcMar>
                  <w:vAlign w:val="center"/>
                </w:tcPr>
                <w:p w14:paraId="55B8FC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lang w:val="zh-CN"/>
                    </w:rPr>
                  </w:pPr>
                  <w:r>
                    <w:rPr>
                      <w:rFonts w:hint="eastAsia"/>
                      <w:color w:val="auto"/>
                      <w:sz w:val="21"/>
                      <w:szCs w:val="21"/>
                      <w:highlight w:val="none"/>
                      <w:lang w:val="zh-CN"/>
                    </w:rPr>
                    <w:t>员工生活</w:t>
                  </w:r>
                </w:p>
              </w:tc>
              <w:tc>
                <w:tcPr>
                  <w:tcW w:w="1962" w:type="dxa"/>
                  <w:tcBorders>
                    <w:tl2br w:val="nil"/>
                    <w:tr2bl w:val="nil"/>
                  </w:tcBorders>
                  <w:tcMar>
                    <w:top w:w="0" w:type="dxa"/>
                    <w:left w:w="0" w:type="dxa"/>
                    <w:bottom w:w="0" w:type="dxa"/>
                    <w:right w:w="0" w:type="dxa"/>
                  </w:tcMar>
                  <w:vAlign w:val="center"/>
                </w:tcPr>
                <w:p w14:paraId="2CEB15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zh-CN"/>
                    </w:rPr>
                    <w:t>生活污水</w:t>
                  </w:r>
                </w:p>
              </w:tc>
              <w:tc>
                <w:tcPr>
                  <w:tcW w:w="1979" w:type="dxa"/>
                  <w:vMerge w:val="restart"/>
                  <w:tcBorders>
                    <w:tl2br w:val="nil"/>
                    <w:tr2bl w:val="nil"/>
                  </w:tcBorders>
                  <w:tcMar>
                    <w:top w:w="0" w:type="dxa"/>
                    <w:left w:w="0" w:type="dxa"/>
                    <w:bottom w:w="0" w:type="dxa"/>
                    <w:right w:w="0" w:type="dxa"/>
                  </w:tcMar>
                  <w:vAlign w:val="center"/>
                </w:tcPr>
                <w:p w14:paraId="1DD1D7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pH、</w:t>
                  </w:r>
                  <w:r>
                    <w:rPr>
                      <w:color w:val="auto"/>
                      <w:sz w:val="21"/>
                      <w:szCs w:val="21"/>
                      <w:highlight w:val="none"/>
                    </w:rPr>
                    <w:t>COD</w:t>
                  </w:r>
                  <w:r>
                    <w:rPr>
                      <w:color w:val="auto"/>
                      <w:sz w:val="21"/>
                      <w:szCs w:val="21"/>
                      <w:highlight w:val="none"/>
                      <w:vertAlign w:val="subscript"/>
                    </w:rPr>
                    <w:t>Cr</w:t>
                  </w:r>
                  <w:r>
                    <w:rPr>
                      <w:color w:val="auto"/>
                      <w:sz w:val="21"/>
                      <w:szCs w:val="21"/>
                      <w:highlight w:val="none"/>
                      <w:lang w:val="zh-CN"/>
                    </w:rPr>
                    <w:t>、</w:t>
                  </w:r>
                  <w:r>
                    <w:rPr>
                      <w:color w:val="auto"/>
                      <w:sz w:val="21"/>
                      <w:szCs w:val="21"/>
                      <w:highlight w:val="none"/>
                    </w:rPr>
                    <w:t>BOD</w:t>
                  </w:r>
                  <w:r>
                    <w:rPr>
                      <w:color w:val="auto"/>
                      <w:sz w:val="21"/>
                      <w:szCs w:val="21"/>
                      <w:highlight w:val="none"/>
                      <w:vertAlign w:val="subscript"/>
                    </w:rPr>
                    <w:t>5</w:t>
                  </w:r>
                  <w:r>
                    <w:rPr>
                      <w:color w:val="auto"/>
                      <w:sz w:val="21"/>
                      <w:szCs w:val="21"/>
                      <w:highlight w:val="none"/>
                      <w:lang w:val="zh-CN"/>
                    </w:rPr>
                    <w:t>、</w:t>
                  </w:r>
                  <w:r>
                    <w:rPr>
                      <w:color w:val="auto"/>
                      <w:sz w:val="21"/>
                      <w:szCs w:val="21"/>
                      <w:highlight w:val="none"/>
                    </w:rPr>
                    <w:t>SS、氨氮</w:t>
                  </w:r>
                </w:p>
              </w:tc>
              <w:tc>
                <w:tcPr>
                  <w:tcW w:w="1686" w:type="dxa"/>
                  <w:vMerge w:val="restart"/>
                  <w:tcBorders>
                    <w:tl2br w:val="nil"/>
                    <w:tr2bl w:val="nil"/>
                  </w:tcBorders>
                  <w:tcMar>
                    <w:top w:w="0" w:type="dxa"/>
                    <w:left w:w="0" w:type="dxa"/>
                    <w:bottom w:w="0" w:type="dxa"/>
                    <w:right w:w="0" w:type="dxa"/>
                  </w:tcMar>
                  <w:vAlign w:val="center"/>
                </w:tcPr>
                <w:p w14:paraId="16221E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化粪池</w:t>
                  </w:r>
                </w:p>
              </w:tc>
            </w:tr>
            <w:tr w14:paraId="608FB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tcBorders>
                    <w:tl2br w:val="nil"/>
                    <w:tr2bl w:val="nil"/>
                  </w:tcBorders>
                  <w:tcMar>
                    <w:top w:w="0" w:type="dxa"/>
                    <w:left w:w="0" w:type="dxa"/>
                    <w:bottom w:w="0" w:type="dxa"/>
                    <w:right w:w="0" w:type="dxa"/>
                  </w:tcMar>
                  <w:vAlign w:val="center"/>
                </w:tcPr>
                <w:p w14:paraId="7EC310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lang w:val="zh-CN"/>
                    </w:rPr>
                  </w:pPr>
                </w:p>
              </w:tc>
              <w:tc>
                <w:tcPr>
                  <w:tcW w:w="1226" w:type="dxa"/>
                  <w:tcBorders>
                    <w:tl2br w:val="nil"/>
                    <w:tr2bl w:val="nil"/>
                  </w:tcBorders>
                  <w:tcMar>
                    <w:top w:w="0" w:type="dxa"/>
                    <w:left w:w="0" w:type="dxa"/>
                    <w:bottom w:w="0" w:type="dxa"/>
                    <w:right w:w="0" w:type="dxa"/>
                  </w:tcMar>
                  <w:vAlign w:val="center"/>
                </w:tcPr>
                <w:p w14:paraId="5A04E7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实验设备</w:t>
                  </w:r>
                </w:p>
              </w:tc>
              <w:tc>
                <w:tcPr>
                  <w:tcW w:w="1962" w:type="dxa"/>
                  <w:tcBorders>
                    <w:tl2br w:val="nil"/>
                    <w:tr2bl w:val="nil"/>
                  </w:tcBorders>
                  <w:tcMar>
                    <w:top w:w="0" w:type="dxa"/>
                    <w:left w:w="0" w:type="dxa"/>
                    <w:bottom w:w="0" w:type="dxa"/>
                    <w:right w:w="0" w:type="dxa"/>
                  </w:tcMar>
                  <w:vAlign w:val="center"/>
                </w:tcPr>
                <w:p w14:paraId="05347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en-US" w:eastAsia="zh-CN"/>
                    </w:rPr>
                    <w:t>清洗废水</w:t>
                  </w:r>
                </w:p>
              </w:tc>
              <w:tc>
                <w:tcPr>
                  <w:tcW w:w="1979" w:type="dxa"/>
                  <w:vMerge w:val="continue"/>
                  <w:tcBorders>
                    <w:tl2br w:val="nil"/>
                    <w:tr2bl w:val="nil"/>
                  </w:tcBorders>
                  <w:tcMar>
                    <w:top w:w="0" w:type="dxa"/>
                    <w:left w:w="0" w:type="dxa"/>
                    <w:bottom w:w="0" w:type="dxa"/>
                    <w:right w:w="0" w:type="dxa"/>
                  </w:tcMar>
                  <w:vAlign w:val="center"/>
                </w:tcPr>
                <w:p w14:paraId="400209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p>
              </w:tc>
              <w:tc>
                <w:tcPr>
                  <w:tcW w:w="1686" w:type="dxa"/>
                  <w:vMerge w:val="continue"/>
                  <w:tcBorders>
                    <w:tl2br w:val="nil"/>
                    <w:tr2bl w:val="nil"/>
                  </w:tcBorders>
                  <w:tcMar>
                    <w:top w:w="0" w:type="dxa"/>
                    <w:left w:w="0" w:type="dxa"/>
                    <w:bottom w:w="0" w:type="dxa"/>
                    <w:right w:w="0" w:type="dxa"/>
                  </w:tcMar>
                  <w:vAlign w:val="center"/>
                </w:tcPr>
                <w:p w14:paraId="6FDE79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p>
              </w:tc>
            </w:tr>
            <w:tr w14:paraId="4C15A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tcBorders>
                    <w:tl2br w:val="nil"/>
                    <w:tr2bl w:val="nil"/>
                  </w:tcBorders>
                  <w:tcMar>
                    <w:top w:w="0" w:type="dxa"/>
                    <w:left w:w="0" w:type="dxa"/>
                    <w:bottom w:w="0" w:type="dxa"/>
                    <w:right w:w="0" w:type="dxa"/>
                  </w:tcMar>
                  <w:vAlign w:val="center"/>
                </w:tcPr>
                <w:p w14:paraId="70D000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lang w:val="zh-CN"/>
                    </w:rPr>
                    <w:t>噪声</w:t>
                  </w:r>
                </w:p>
              </w:tc>
              <w:tc>
                <w:tcPr>
                  <w:tcW w:w="1226" w:type="dxa"/>
                  <w:tcBorders>
                    <w:tl2br w:val="nil"/>
                    <w:tr2bl w:val="nil"/>
                  </w:tcBorders>
                  <w:tcMar>
                    <w:top w:w="0" w:type="dxa"/>
                    <w:left w:w="0" w:type="dxa"/>
                    <w:bottom w:w="0" w:type="dxa"/>
                    <w:right w:w="0" w:type="dxa"/>
                  </w:tcMar>
                  <w:vAlign w:val="center"/>
                </w:tcPr>
                <w:p w14:paraId="14C061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zh-CN"/>
                    </w:rPr>
                    <w:t>实验</w:t>
                  </w:r>
                  <w:r>
                    <w:rPr>
                      <w:color w:val="auto"/>
                      <w:sz w:val="21"/>
                      <w:szCs w:val="21"/>
                      <w:highlight w:val="none"/>
                      <w:lang w:val="zh-CN"/>
                    </w:rPr>
                    <w:t>设备</w:t>
                  </w:r>
                  <w:r>
                    <w:rPr>
                      <w:rFonts w:hint="eastAsia"/>
                      <w:color w:val="auto"/>
                      <w:sz w:val="21"/>
                      <w:szCs w:val="21"/>
                      <w:highlight w:val="none"/>
                      <w:lang w:val="zh-CN"/>
                    </w:rPr>
                    <w:t>、</w:t>
                  </w:r>
                  <w:r>
                    <w:rPr>
                      <w:rFonts w:hint="eastAsia"/>
                      <w:color w:val="auto"/>
                      <w:sz w:val="21"/>
                      <w:szCs w:val="21"/>
                      <w:highlight w:val="none"/>
                      <w:lang w:val="en-US" w:eastAsia="zh-CN"/>
                    </w:rPr>
                    <w:t>空调</w:t>
                  </w:r>
                </w:p>
              </w:tc>
              <w:tc>
                <w:tcPr>
                  <w:tcW w:w="1962" w:type="dxa"/>
                  <w:tcBorders>
                    <w:tl2br w:val="nil"/>
                    <w:tr2bl w:val="nil"/>
                  </w:tcBorders>
                  <w:tcMar>
                    <w:top w:w="0" w:type="dxa"/>
                    <w:left w:w="0" w:type="dxa"/>
                    <w:bottom w:w="0" w:type="dxa"/>
                    <w:right w:w="0" w:type="dxa"/>
                  </w:tcMar>
                  <w:vAlign w:val="center"/>
                </w:tcPr>
                <w:p w14:paraId="1F7CF1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zh-CN"/>
                    </w:rPr>
                    <w:t>设备</w:t>
                  </w:r>
                  <w:r>
                    <w:rPr>
                      <w:color w:val="auto"/>
                      <w:sz w:val="21"/>
                      <w:szCs w:val="21"/>
                      <w:highlight w:val="none"/>
                      <w:lang w:val="zh-CN"/>
                    </w:rPr>
                    <w:t>噪声</w:t>
                  </w:r>
                </w:p>
              </w:tc>
              <w:tc>
                <w:tcPr>
                  <w:tcW w:w="1979" w:type="dxa"/>
                  <w:tcBorders>
                    <w:tl2br w:val="nil"/>
                    <w:tr2bl w:val="nil"/>
                  </w:tcBorders>
                  <w:tcMar>
                    <w:top w:w="0" w:type="dxa"/>
                    <w:left w:w="0" w:type="dxa"/>
                    <w:bottom w:w="0" w:type="dxa"/>
                    <w:right w:w="0" w:type="dxa"/>
                  </w:tcMar>
                  <w:vAlign w:val="center"/>
                </w:tcPr>
                <w:p w14:paraId="20D3A8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rPr>
                  </w:pPr>
                  <w:r>
                    <w:rPr>
                      <w:rFonts w:hint="eastAsia"/>
                      <w:color w:val="auto"/>
                      <w:sz w:val="21"/>
                      <w:szCs w:val="21"/>
                      <w:highlight w:val="none"/>
                      <w:lang w:val="zh-CN"/>
                    </w:rPr>
                    <w:t>等效连续</w:t>
                  </w:r>
                  <w:r>
                    <w:rPr>
                      <w:rFonts w:hint="eastAsia"/>
                      <w:color w:val="auto"/>
                      <w:sz w:val="21"/>
                      <w:szCs w:val="21"/>
                      <w:highlight w:val="none"/>
                    </w:rPr>
                    <w:t>A声级</w:t>
                  </w:r>
                </w:p>
              </w:tc>
              <w:tc>
                <w:tcPr>
                  <w:tcW w:w="1686" w:type="dxa"/>
                  <w:tcBorders>
                    <w:tl2br w:val="nil"/>
                    <w:tr2bl w:val="nil"/>
                  </w:tcBorders>
                  <w:tcMar>
                    <w:top w:w="0" w:type="dxa"/>
                    <w:left w:w="0" w:type="dxa"/>
                    <w:bottom w:w="0" w:type="dxa"/>
                    <w:right w:w="0" w:type="dxa"/>
                  </w:tcMar>
                  <w:vAlign w:val="center"/>
                </w:tcPr>
                <w:p w14:paraId="5D403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选用低噪声设备、减振等</w:t>
                  </w:r>
                </w:p>
              </w:tc>
            </w:tr>
            <w:tr w14:paraId="44EC4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restart"/>
                  <w:tcBorders>
                    <w:tl2br w:val="nil"/>
                    <w:tr2bl w:val="nil"/>
                  </w:tcBorders>
                  <w:tcMar>
                    <w:top w:w="0" w:type="dxa"/>
                    <w:left w:w="0" w:type="dxa"/>
                    <w:bottom w:w="0" w:type="dxa"/>
                    <w:right w:w="0" w:type="dxa"/>
                  </w:tcMar>
                  <w:vAlign w:val="center"/>
                </w:tcPr>
                <w:p w14:paraId="10970E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lang w:val="zh-CN"/>
                    </w:rPr>
                  </w:pPr>
                  <w:r>
                    <w:rPr>
                      <w:rFonts w:hint="eastAsia"/>
                      <w:color w:val="auto"/>
                      <w:sz w:val="21"/>
                      <w:szCs w:val="21"/>
                      <w:highlight w:val="none"/>
                      <w:lang w:val="zh-CN"/>
                    </w:rPr>
                    <w:t>一般工业</w:t>
                  </w:r>
                  <w:r>
                    <w:rPr>
                      <w:color w:val="auto"/>
                      <w:sz w:val="21"/>
                      <w:szCs w:val="21"/>
                      <w:highlight w:val="none"/>
                      <w:lang w:val="zh-CN"/>
                    </w:rPr>
                    <w:t>固体废物</w:t>
                  </w:r>
                </w:p>
              </w:tc>
              <w:tc>
                <w:tcPr>
                  <w:tcW w:w="1226" w:type="dxa"/>
                  <w:tcBorders>
                    <w:tl2br w:val="nil"/>
                    <w:tr2bl w:val="nil"/>
                  </w:tcBorders>
                  <w:tcMar>
                    <w:top w:w="0" w:type="dxa"/>
                    <w:left w:w="0" w:type="dxa"/>
                    <w:bottom w:w="0" w:type="dxa"/>
                    <w:right w:w="0" w:type="dxa"/>
                  </w:tcMar>
                  <w:vAlign w:val="center"/>
                </w:tcPr>
                <w:p w14:paraId="676C7F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lang w:val="zh-CN"/>
                    </w:rPr>
                  </w:pPr>
                  <w:r>
                    <w:rPr>
                      <w:color w:val="auto"/>
                      <w:sz w:val="21"/>
                      <w:szCs w:val="21"/>
                      <w:highlight w:val="none"/>
                      <w:lang w:val="zh-CN"/>
                    </w:rPr>
                    <w:t>员工生活</w:t>
                  </w:r>
                </w:p>
              </w:tc>
              <w:tc>
                <w:tcPr>
                  <w:tcW w:w="1962" w:type="dxa"/>
                  <w:tcBorders>
                    <w:tl2br w:val="nil"/>
                    <w:tr2bl w:val="nil"/>
                  </w:tcBorders>
                  <w:shd w:val="clear" w:color="auto" w:fill="auto"/>
                  <w:tcMar>
                    <w:top w:w="0" w:type="dxa"/>
                    <w:left w:w="0" w:type="dxa"/>
                    <w:bottom w:w="0" w:type="dxa"/>
                    <w:right w:w="0" w:type="dxa"/>
                  </w:tcMar>
                  <w:vAlign w:val="center"/>
                </w:tcPr>
                <w:p w14:paraId="71965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lang w:val="zh-CN"/>
                    </w:rPr>
                    <w:t>生活垃圾</w:t>
                  </w:r>
                </w:p>
              </w:tc>
              <w:tc>
                <w:tcPr>
                  <w:tcW w:w="1979" w:type="dxa"/>
                  <w:tcBorders>
                    <w:tl2br w:val="nil"/>
                    <w:tr2bl w:val="nil"/>
                  </w:tcBorders>
                  <w:shd w:val="clear" w:color="auto" w:fill="auto"/>
                  <w:tcMar>
                    <w:top w:w="0" w:type="dxa"/>
                    <w:left w:w="0" w:type="dxa"/>
                    <w:bottom w:w="0" w:type="dxa"/>
                    <w:right w:w="0" w:type="dxa"/>
                  </w:tcMar>
                  <w:vAlign w:val="center"/>
                </w:tcPr>
                <w:p w14:paraId="47543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生活垃圾</w:t>
                  </w:r>
                </w:p>
              </w:tc>
              <w:tc>
                <w:tcPr>
                  <w:tcW w:w="1686" w:type="dxa"/>
                  <w:tcBorders>
                    <w:tl2br w:val="nil"/>
                    <w:tr2bl w:val="nil"/>
                  </w:tcBorders>
                  <w:shd w:val="clear" w:color="auto" w:fill="auto"/>
                  <w:tcMar>
                    <w:top w:w="0" w:type="dxa"/>
                    <w:left w:w="0" w:type="dxa"/>
                    <w:bottom w:w="0" w:type="dxa"/>
                    <w:right w:w="0" w:type="dxa"/>
                  </w:tcMar>
                  <w:vAlign w:val="center"/>
                </w:tcPr>
                <w:p w14:paraId="52DB0E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lang w:val="zh-CN"/>
                    </w:rPr>
                  </w:pPr>
                  <w:r>
                    <w:rPr>
                      <w:rFonts w:hint="eastAsia"/>
                      <w:color w:val="auto"/>
                      <w:sz w:val="21"/>
                      <w:szCs w:val="21"/>
                      <w:highlight w:val="none"/>
                    </w:rPr>
                    <w:t>统一收集后交环卫部门定期清运</w:t>
                  </w:r>
                </w:p>
              </w:tc>
            </w:tr>
            <w:tr w14:paraId="5F004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tcBorders>
                    <w:tl2br w:val="nil"/>
                    <w:tr2bl w:val="nil"/>
                  </w:tcBorders>
                  <w:tcMar>
                    <w:top w:w="0" w:type="dxa"/>
                    <w:left w:w="0" w:type="dxa"/>
                    <w:bottom w:w="0" w:type="dxa"/>
                    <w:right w:w="0" w:type="dxa"/>
                  </w:tcMar>
                  <w:vAlign w:val="center"/>
                </w:tcPr>
                <w:p w14:paraId="03C5C8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226" w:type="dxa"/>
                  <w:tcBorders>
                    <w:tl2br w:val="nil"/>
                    <w:tr2bl w:val="nil"/>
                  </w:tcBorders>
                  <w:shd w:val="clear" w:color="auto" w:fill="auto"/>
                  <w:tcMar>
                    <w:top w:w="0" w:type="dxa"/>
                    <w:left w:w="0" w:type="dxa"/>
                    <w:bottom w:w="0" w:type="dxa"/>
                    <w:right w:w="0" w:type="dxa"/>
                  </w:tcMar>
                  <w:vAlign w:val="center"/>
                </w:tcPr>
                <w:p w14:paraId="735219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脱包</w:t>
                  </w:r>
                </w:p>
              </w:tc>
              <w:tc>
                <w:tcPr>
                  <w:tcW w:w="1962" w:type="dxa"/>
                  <w:tcBorders>
                    <w:tl2br w:val="nil"/>
                    <w:tr2bl w:val="nil"/>
                  </w:tcBorders>
                  <w:shd w:val="clear" w:color="auto" w:fill="auto"/>
                  <w:tcMar>
                    <w:top w:w="0" w:type="dxa"/>
                    <w:left w:w="0" w:type="dxa"/>
                    <w:bottom w:w="0" w:type="dxa"/>
                    <w:right w:w="0" w:type="dxa"/>
                  </w:tcMar>
                  <w:vAlign w:val="center"/>
                </w:tcPr>
                <w:p w14:paraId="6FA1BA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zh-CN" w:eastAsia="zh-CN" w:bidi="ar-SA"/>
                    </w:rPr>
                  </w:pPr>
                  <w:r>
                    <w:rPr>
                      <w:rFonts w:hint="eastAsia"/>
                      <w:color w:val="auto"/>
                      <w:sz w:val="21"/>
                      <w:szCs w:val="21"/>
                      <w:highlight w:val="none"/>
                    </w:rPr>
                    <w:t>废包装</w:t>
                  </w:r>
                  <w:r>
                    <w:rPr>
                      <w:rFonts w:hint="eastAsia"/>
                      <w:color w:val="auto"/>
                      <w:sz w:val="21"/>
                      <w:szCs w:val="21"/>
                      <w:highlight w:val="none"/>
                      <w:lang w:val="en-US" w:eastAsia="zh-CN"/>
                    </w:rPr>
                    <w:t>物</w:t>
                  </w:r>
                </w:p>
              </w:tc>
              <w:tc>
                <w:tcPr>
                  <w:tcW w:w="1979" w:type="dxa"/>
                  <w:tcBorders>
                    <w:tl2br w:val="nil"/>
                    <w:tr2bl w:val="nil"/>
                  </w:tcBorders>
                  <w:shd w:val="clear" w:color="auto" w:fill="auto"/>
                  <w:tcMar>
                    <w:top w:w="0" w:type="dxa"/>
                    <w:left w:w="0" w:type="dxa"/>
                    <w:bottom w:w="0" w:type="dxa"/>
                    <w:right w:w="0" w:type="dxa"/>
                  </w:tcMar>
                  <w:vAlign w:val="center"/>
                </w:tcPr>
                <w:p w14:paraId="38161E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废纸、废塑料</w:t>
                  </w:r>
                </w:p>
              </w:tc>
              <w:tc>
                <w:tcPr>
                  <w:tcW w:w="1686" w:type="dxa"/>
                  <w:tcBorders>
                    <w:tl2br w:val="nil"/>
                    <w:tr2bl w:val="nil"/>
                  </w:tcBorders>
                  <w:tcMar>
                    <w:top w:w="0" w:type="dxa"/>
                    <w:left w:w="0" w:type="dxa"/>
                    <w:bottom w:w="0" w:type="dxa"/>
                    <w:right w:w="0" w:type="dxa"/>
                  </w:tcMar>
                  <w:vAlign w:val="center"/>
                </w:tcPr>
                <w:p w14:paraId="29B5E7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物资回收</w:t>
                  </w:r>
                </w:p>
              </w:tc>
            </w:tr>
            <w:tr w14:paraId="691DF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restart"/>
                  <w:tcBorders>
                    <w:tl2br w:val="nil"/>
                    <w:tr2bl w:val="nil"/>
                  </w:tcBorders>
                  <w:tcMar>
                    <w:top w:w="0" w:type="dxa"/>
                    <w:left w:w="0" w:type="dxa"/>
                    <w:bottom w:w="0" w:type="dxa"/>
                    <w:right w:w="0" w:type="dxa"/>
                  </w:tcMar>
                  <w:vAlign w:val="center"/>
                </w:tcPr>
                <w:p w14:paraId="670DC1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危险废物</w:t>
                  </w:r>
                </w:p>
              </w:tc>
              <w:tc>
                <w:tcPr>
                  <w:tcW w:w="1226" w:type="dxa"/>
                  <w:tcBorders>
                    <w:tl2br w:val="nil"/>
                    <w:tr2bl w:val="nil"/>
                  </w:tcBorders>
                  <w:tcMar>
                    <w:top w:w="0" w:type="dxa"/>
                    <w:left w:w="0" w:type="dxa"/>
                    <w:bottom w:w="0" w:type="dxa"/>
                    <w:right w:w="0" w:type="dxa"/>
                  </w:tcMar>
                  <w:vAlign w:val="center"/>
                </w:tcPr>
                <w:p w14:paraId="2521AA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实验过程</w:t>
                  </w:r>
                </w:p>
              </w:tc>
              <w:tc>
                <w:tcPr>
                  <w:tcW w:w="1962" w:type="dxa"/>
                  <w:tcBorders>
                    <w:tl2br w:val="nil"/>
                    <w:tr2bl w:val="nil"/>
                  </w:tcBorders>
                  <w:shd w:val="clear" w:color="auto" w:fill="auto"/>
                  <w:tcMar>
                    <w:top w:w="0" w:type="dxa"/>
                    <w:left w:w="0" w:type="dxa"/>
                    <w:bottom w:w="0" w:type="dxa"/>
                    <w:right w:w="0" w:type="dxa"/>
                  </w:tcMar>
                  <w:vAlign w:val="center"/>
                </w:tcPr>
                <w:p w14:paraId="4A4CE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实验废液</w:t>
                  </w:r>
                </w:p>
              </w:tc>
              <w:tc>
                <w:tcPr>
                  <w:tcW w:w="1979" w:type="dxa"/>
                  <w:tcBorders>
                    <w:tl2br w:val="nil"/>
                    <w:tr2bl w:val="nil"/>
                  </w:tcBorders>
                  <w:shd w:val="clear" w:color="auto" w:fill="auto"/>
                  <w:tcMar>
                    <w:top w:w="0" w:type="dxa"/>
                    <w:left w:w="0" w:type="dxa"/>
                    <w:bottom w:w="0" w:type="dxa"/>
                    <w:right w:w="0" w:type="dxa"/>
                  </w:tcMar>
                  <w:vAlign w:val="center"/>
                </w:tcPr>
                <w:p w14:paraId="7EC395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实验溶液</w:t>
                  </w:r>
                </w:p>
              </w:tc>
              <w:tc>
                <w:tcPr>
                  <w:tcW w:w="1686" w:type="dxa"/>
                  <w:vMerge w:val="restart"/>
                  <w:tcBorders>
                    <w:tl2br w:val="nil"/>
                    <w:tr2bl w:val="nil"/>
                  </w:tcBorders>
                  <w:tcMar>
                    <w:top w:w="0" w:type="dxa"/>
                    <w:left w:w="0" w:type="dxa"/>
                    <w:bottom w:w="0" w:type="dxa"/>
                    <w:right w:w="0" w:type="dxa"/>
                  </w:tcMar>
                  <w:vAlign w:val="center"/>
                </w:tcPr>
                <w:p w14:paraId="43BE0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暂存于危废暂存</w:t>
                  </w:r>
                  <w:r>
                    <w:rPr>
                      <w:rFonts w:hint="eastAsia"/>
                      <w:color w:val="auto"/>
                      <w:sz w:val="21"/>
                      <w:szCs w:val="21"/>
                      <w:highlight w:val="none"/>
                      <w:lang w:val="en-US" w:eastAsia="zh-CN"/>
                    </w:rPr>
                    <w:t>柜</w:t>
                  </w:r>
                  <w:r>
                    <w:rPr>
                      <w:rFonts w:hint="eastAsia"/>
                      <w:color w:val="auto"/>
                      <w:sz w:val="21"/>
                      <w:szCs w:val="21"/>
                      <w:highlight w:val="none"/>
                    </w:rPr>
                    <w:t>，定期委托有资质的单位处置。</w:t>
                  </w:r>
                </w:p>
              </w:tc>
            </w:tr>
            <w:tr w14:paraId="2CD9C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tcBorders>
                    <w:tl2br w:val="nil"/>
                    <w:tr2bl w:val="nil"/>
                  </w:tcBorders>
                  <w:tcMar>
                    <w:top w:w="0" w:type="dxa"/>
                    <w:left w:w="0" w:type="dxa"/>
                    <w:bottom w:w="0" w:type="dxa"/>
                    <w:right w:w="0" w:type="dxa"/>
                  </w:tcMar>
                  <w:vAlign w:val="center"/>
                </w:tcPr>
                <w:p w14:paraId="11831E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1226" w:type="dxa"/>
                  <w:tcBorders>
                    <w:tl2br w:val="nil"/>
                    <w:tr2bl w:val="nil"/>
                  </w:tcBorders>
                  <w:tcMar>
                    <w:top w:w="0" w:type="dxa"/>
                    <w:left w:w="0" w:type="dxa"/>
                    <w:bottom w:w="0" w:type="dxa"/>
                    <w:right w:w="0" w:type="dxa"/>
                  </w:tcMar>
                  <w:vAlign w:val="center"/>
                </w:tcPr>
                <w:p w14:paraId="426083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容器清洗</w:t>
                  </w:r>
                </w:p>
              </w:tc>
              <w:tc>
                <w:tcPr>
                  <w:tcW w:w="1962" w:type="dxa"/>
                  <w:tcBorders>
                    <w:tl2br w:val="nil"/>
                    <w:tr2bl w:val="nil"/>
                  </w:tcBorders>
                  <w:shd w:val="clear" w:color="auto" w:fill="auto"/>
                  <w:tcMar>
                    <w:top w:w="0" w:type="dxa"/>
                    <w:left w:w="0" w:type="dxa"/>
                    <w:bottom w:w="0" w:type="dxa"/>
                    <w:right w:w="0" w:type="dxa"/>
                  </w:tcMar>
                  <w:vAlign w:val="center"/>
                </w:tcPr>
                <w:p w14:paraId="5EF0D1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清洗废</w:t>
                  </w:r>
                  <w:r>
                    <w:rPr>
                      <w:rFonts w:hint="eastAsia"/>
                      <w:color w:val="auto"/>
                      <w:sz w:val="21"/>
                      <w:szCs w:val="21"/>
                      <w:highlight w:val="none"/>
                      <w:lang w:val="en-US" w:eastAsia="zh-CN"/>
                    </w:rPr>
                    <w:t>液</w:t>
                  </w:r>
                </w:p>
              </w:tc>
              <w:tc>
                <w:tcPr>
                  <w:tcW w:w="1979" w:type="dxa"/>
                  <w:tcBorders>
                    <w:tl2br w:val="nil"/>
                    <w:tr2bl w:val="nil"/>
                  </w:tcBorders>
                  <w:shd w:val="clear" w:color="auto" w:fill="auto"/>
                  <w:tcMar>
                    <w:top w:w="0" w:type="dxa"/>
                    <w:left w:w="0" w:type="dxa"/>
                    <w:bottom w:w="0" w:type="dxa"/>
                    <w:right w:w="0" w:type="dxa"/>
                  </w:tcMar>
                  <w:vAlign w:val="center"/>
                </w:tcPr>
                <w:p w14:paraId="7CCF6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实验试剂</w:t>
                  </w:r>
                </w:p>
              </w:tc>
              <w:tc>
                <w:tcPr>
                  <w:tcW w:w="1686" w:type="dxa"/>
                  <w:vMerge w:val="continue"/>
                  <w:tcBorders>
                    <w:tl2br w:val="nil"/>
                    <w:tr2bl w:val="nil"/>
                  </w:tcBorders>
                  <w:tcMar>
                    <w:top w:w="0" w:type="dxa"/>
                    <w:left w:w="0" w:type="dxa"/>
                    <w:bottom w:w="0" w:type="dxa"/>
                    <w:right w:w="0" w:type="dxa"/>
                  </w:tcMar>
                  <w:vAlign w:val="center"/>
                </w:tcPr>
                <w:p w14:paraId="6DFF76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r>
            <w:tr w14:paraId="207FA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tcBorders>
                    <w:tl2br w:val="nil"/>
                    <w:tr2bl w:val="nil"/>
                  </w:tcBorders>
                  <w:tcMar>
                    <w:top w:w="0" w:type="dxa"/>
                    <w:left w:w="0" w:type="dxa"/>
                    <w:bottom w:w="0" w:type="dxa"/>
                    <w:right w:w="0" w:type="dxa"/>
                  </w:tcMar>
                  <w:vAlign w:val="center"/>
                </w:tcPr>
                <w:p w14:paraId="06CE43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1226" w:type="dxa"/>
                  <w:tcBorders>
                    <w:tl2br w:val="nil"/>
                    <w:tr2bl w:val="nil"/>
                  </w:tcBorders>
                  <w:tcMar>
                    <w:top w:w="0" w:type="dxa"/>
                    <w:left w:w="0" w:type="dxa"/>
                    <w:bottom w:w="0" w:type="dxa"/>
                    <w:right w:w="0" w:type="dxa"/>
                  </w:tcMar>
                  <w:vAlign w:val="center"/>
                </w:tcPr>
                <w:p w14:paraId="6FEE37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实验过程</w:t>
                  </w:r>
                </w:p>
              </w:tc>
              <w:tc>
                <w:tcPr>
                  <w:tcW w:w="1962" w:type="dxa"/>
                  <w:tcBorders>
                    <w:tl2br w:val="nil"/>
                    <w:tr2bl w:val="nil"/>
                  </w:tcBorders>
                  <w:shd w:val="clear" w:color="auto" w:fill="auto"/>
                  <w:tcMar>
                    <w:top w:w="0" w:type="dxa"/>
                    <w:left w:w="0" w:type="dxa"/>
                    <w:bottom w:w="0" w:type="dxa"/>
                    <w:right w:w="0" w:type="dxa"/>
                  </w:tcMar>
                  <w:vAlign w:val="center"/>
                </w:tcPr>
                <w:p w14:paraId="59DB9B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废</w:t>
                  </w:r>
                  <w:r>
                    <w:rPr>
                      <w:rFonts w:hint="eastAsia"/>
                      <w:color w:val="auto"/>
                      <w:sz w:val="21"/>
                      <w:szCs w:val="21"/>
                      <w:highlight w:val="none"/>
                      <w:lang w:val="en-US" w:eastAsia="zh-CN"/>
                    </w:rPr>
                    <w:t>一次性试验耗材</w:t>
                  </w:r>
                </w:p>
              </w:tc>
              <w:tc>
                <w:tcPr>
                  <w:tcW w:w="1979" w:type="dxa"/>
                  <w:tcBorders>
                    <w:tl2br w:val="nil"/>
                    <w:tr2bl w:val="nil"/>
                  </w:tcBorders>
                  <w:shd w:val="clear" w:color="auto" w:fill="auto"/>
                  <w:tcMar>
                    <w:top w:w="0" w:type="dxa"/>
                    <w:left w:w="0" w:type="dxa"/>
                    <w:bottom w:w="0" w:type="dxa"/>
                    <w:right w:w="0" w:type="dxa"/>
                  </w:tcMar>
                  <w:vAlign w:val="center"/>
                </w:tcPr>
                <w:p w14:paraId="769FCB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b w:val="0"/>
                      <w:bCs w:val="0"/>
                      <w:color w:val="auto"/>
                      <w:sz w:val="21"/>
                      <w:szCs w:val="21"/>
                      <w:highlight w:val="none"/>
                      <w:lang w:val="en-US" w:eastAsia="zh-CN"/>
                    </w:rPr>
                    <w:t>废移液枪头、废口罩、废手套</w:t>
                  </w:r>
                </w:p>
              </w:tc>
              <w:tc>
                <w:tcPr>
                  <w:tcW w:w="1686" w:type="dxa"/>
                  <w:vMerge w:val="continue"/>
                  <w:tcBorders>
                    <w:tl2br w:val="nil"/>
                    <w:tr2bl w:val="nil"/>
                  </w:tcBorders>
                  <w:tcMar>
                    <w:top w:w="0" w:type="dxa"/>
                    <w:left w:w="0" w:type="dxa"/>
                    <w:bottom w:w="0" w:type="dxa"/>
                    <w:right w:w="0" w:type="dxa"/>
                  </w:tcMar>
                  <w:vAlign w:val="center"/>
                </w:tcPr>
                <w:p w14:paraId="3728B9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r>
            <w:tr w14:paraId="1FED4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8" w:type="dxa"/>
                  <w:vMerge w:val="continue"/>
                  <w:tcBorders>
                    <w:tl2br w:val="nil"/>
                    <w:tr2bl w:val="nil"/>
                  </w:tcBorders>
                  <w:tcMar>
                    <w:top w:w="0" w:type="dxa"/>
                    <w:left w:w="0" w:type="dxa"/>
                    <w:bottom w:w="0" w:type="dxa"/>
                    <w:right w:w="0" w:type="dxa"/>
                  </w:tcMar>
                  <w:vAlign w:val="center"/>
                </w:tcPr>
                <w:p w14:paraId="681935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1226" w:type="dxa"/>
                  <w:tcBorders>
                    <w:tl2br w:val="nil"/>
                    <w:tr2bl w:val="nil"/>
                  </w:tcBorders>
                  <w:tcMar>
                    <w:top w:w="0" w:type="dxa"/>
                    <w:left w:w="0" w:type="dxa"/>
                    <w:bottom w:w="0" w:type="dxa"/>
                    <w:right w:w="0" w:type="dxa"/>
                  </w:tcMar>
                  <w:vAlign w:val="center"/>
                </w:tcPr>
                <w:p w14:paraId="5A8062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实验过程</w:t>
                  </w:r>
                </w:p>
              </w:tc>
              <w:tc>
                <w:tcPr>
                  <w:tcW w:w="1962" w:type="dxa"/>
                  <w:tcBorders>
                    <w:tl2br w:val="nil"/>
                    <w:tr2bl w:val="nil"/>
                  </w:tcBorders>
                  <w:shd w:val="clear" w:color="auto" w:fill="auto"/>
                  <w:tcMar>
                    <w:top w:w="0" w:type="dxa"/>
                    <w:left w:w="0" w:type="dxa"/>
                    <w:bottom w:w="0" w:type="dxa"/>
                    <w:right w:w="0" w:type="dxa"/>
                  </w:tcMar>
                  <w:vAlign w:val="center"/>
                </w:tcPr>
                <w:p w14:paraId="1737A8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废试剂瓶</w:t>
                  </w:r>
                </w:p>
              </w:tc>
              <w:tc>
                <w:tcPr>
                  <w:tcW w:w="1979" w:type="dxa"/>
                  <w:tcBorders>
                    <w:tl2br w:val="nil"/>
                    <w:tr2bl w:val="nil"/>
                  </w:tcBorders>
                  <w:shd w:val="clear" w:color="auto" w:fill="auto"/>
                  <w:tcMar>
                    <w:top w:w="0" w:type="dxa"/>
                    <w:left w:w="0" w:type="dxa"/>
                    <w:bottom w:w="0" w:type="dxa"/>
                    <w:right w:w="0" w:type="dxa"/>
                  </w:tcMar>
                  <w:vAlign w:val="center"/>
                </w:tcPr>
                <w:p w14:paraId="175571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val="0"/>
                      <w:bCs w:val="0"/>
                      <w:color w:val="auto"/>
                      <w:sz w:val="21"/>
                      <w:szCs w:val="21"/>
                      <w:highlight w:val="none"/>
                      <w:lang w:val="en-US" w:eastAsia="zh-CN"/>
                    </w:rPr>
                  </w:pPr>
                  <w:r>
                    <w:rPr>
                      <w:rFonts w:hint="eastAsia"/>
                      <w:color w:val="auto"/>
                      <w:sz w:val="21"/>
                      <w:szCs w:val="21"/>
                      <w:highlight w:val="none"/>
                      <w:lang w:eastAsia="zh-CN"/>
                    </w:rPr>
                    <w:t>实验试剂</w:t>
                  </w:r>
                </w:p>
              </w:tc>
              <w:tc>
                <w:tcPr>
                  <w:tcW w:w="1686" w:type="dxa"/>
                  <w:vMerge w:val="continue"/>
                  <w:tcBorders>
                    <w:tl2br w:val="nil"/>
                    <w:tr2bl w:val="nil"/>
                  </w:tcBorders>
                  <w:tcMar>
                    <w:top w:w="0" w:type="dxa"/>
                    <w:left w:w="0" w:type="dxa"/>
                    <w:bottom w:w="0" w:type="dxa"/>
                    <w:right w:w="0" w:type="dxa"/>
                  </w:tcMar>
                  <w:vAlign w:val="center"/>
                </w:tcPr>
                <w:p w14:paraId="151E21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r>
          </w:tbl>
          <w:p w14:paraId="297E20A4">
            <w:pPr>
              <w:ind w:left="0" w:leftChars="0" w:firstLine="0" w:firstLineChars="0"/>
              <w:rPr>
                <w:color w:val="auto"/>
                <w:vertAlign w:val="baseline"/>
              </w:rPr>
            </w:pPr>
          </w:p>
        </w:tc>
      </w:tr>
      <w:tr w14:paraId="2CB2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09" w:type="dxa"/>
            <w:vAlign w:val="center"/>
          </w:tcPr>
          <w:p w14:paraId="5FF7BC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与项目有关的原有环境污染问题</w:t>
            </w:r>
          </w:p>
        </w:tc>
        <w:tc>
          <w:tcPr>
            <w:tcW w:w="8239" w:type="dxa"/>
            <w:vAlign w:val="center"/>
          </w:tcPr>
          <w:p w14:paraId="58FB4FFC">
            <w:pPr>
              <w:rPr>
                <w:rFonts w:hint="default"/>
                <w:color w:val="auto"/>
                <w:vertAlign w:val="baseline"/>
                <w:lang w:val="en-US" w:eastAsia="zh-CN"/>
              </w:rPr>
            </w:pPr>
            <w:r>
              <w:rPr>
                <w:rFonts w:hint="eastAsia"/>
                <w:color w:val="auto"/>
                <w:vertAlign w:val="baseline"/>
                <w:lang w:val="en-US" w:eastAsia="zh-CN"/>
              </w:rPr>
              <w:t>本项目为新建项目，不存在与项目有关的原有环境污染问题。</w:t>
            </w:r>
          </w:p>
          <w:p w14:paraId="6BBDB196">
            <w:pPr>
              <w:rPr>
                <w:rFonts w:hint="eastAsia"/>
                <w:color w:val="auto"/>
                <w:vertAlign w:val="baseline"/>
                <w:lang w:val="en-US" w:eastAsia="zh-CN"/>
              </w:rPr>
            </w:pPr>
          </w:p>
          <w:p w14:paraId="3AF4EB41">
            <w:pPr>
              <w:rPr>
                <w:rFonts w:hint="default"/>
                <w:color w:val="auto"/>
                <w:vertAlign w:val="baseline"/>
                <w:lang w:val="en-US" w:eastAsia="zh-CN"/>
              </w:rPr>
            </w:pPr>
          </w:p>
        </w:tc>
      </w:tr>
    </w:tbl>
    <w:p w14:paraId="0D5047BC">
      <w:pPr>
        <w:rPr>
          <w:color w:val="auto"/>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348F6A">
      <w:pPr>
        <w:pStyle w:val="2"/>
        <w:bidi w:val="0"/>
        <w:rPr>
          <w:rFonts w:hint="default"/>
          <w:color w:val="auto"/>
          <w:lang w:val="en-US" w:eastAsia="zh-CN"/>
        </w:rPr>
      </w:pPr>
      <w:r>
        <w:rPr>
          <w:rFonts w:hint="eastAsia"/>
          <w:color w:val="auto"/>
          <w:lang w:val="en-US" w:eastAsia="zh-CN"/>
        </w:rPr>
        <w:t>三、区域环境质量现状、环境保护目标及评价标准</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621C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39F023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区域环境质量现状</w:t>
            </w:r>
          </w:p>
        </w:tc>
        <w:tc>
          <w:tcPr>
            <w:tcW w:w="8239" w:type="dxa"/>
            <w:vAlign w:val="center"/>
          </w:tcPr>
          <w:p w14:paraId="398DF0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1、大气环境质量现状</w:t>
            </w:r>
          </w:p>
          <w:p w14:paraId="2D266A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本项目所在区域为二类环境空气功能区，环境空气质量执行《环境空气质量标准》（GB3095-2012）及其修改单中二级标准。本次环评引用《202</w:t>
            </w:r>
            <w:r>
              <w:rPr>
                <w:rFonts w:hint="eastAsia" w:cs="Times New Roman"/>
                <w:sz w:val="24"/>
                <w:szCs w:val="24"/>
                <w:vertAlign w:val="baseline"/>
                <w:lang w:val="en-US" w:eastAsia="zh-CN"/>
              </w:rPr>
              <w:t>4</w:t>
            </w:r>
            <w:r>
              <w:rPr>
                <w:rFonts w:hint="eastAsia" w:ascii="Times New Roman" w:hAnsi="Times New Roman" w:eastAsia="宋体" w:cs="Times New Roman"/>
                <w:sz w:val="24"/>
                <w:szCs w:val="24"/>
                <w:vertAlign w:val="baseline"/>
                <w:lang w:val="en-US" w:eastAsia="zh-CN"/>
              </w:rPr>
              <w:t>年北京市生态环境状况公报》（202</w:t>
            </w:r>
            <w:r>
              <w:rPr>
                <w:rFonts w:hint="eastAsia" w:cs="Times New Roman"/>
                <w:sz w:val="24"/>
                <w:szCs w:val="24"/>
                <w:vertAlign w:val="baseline"/>
                <w:lang w:val="en-US" w:eastAsia="zh-CN"/>
              </w:rPr>
              <w:t>5</w:t>
            </w:r>
            <w:r>
              <w:rPr>
                <w:rFonts w:hint="eastAsia" w:ascii="Times New Roman" w:hAnsi="Times New Roman" w:eastAsia="宋体" w:cs="Times New Roman"/>
                <w:sz w:val="24"/>
                <w:szCs w:val="24"/>
                <w:vertAlign w:val="baseline"/>
                <w:lang w:val="en-US" w:eastAsia="zh-CN"/>
              </w:rPr>
              <w:t>年5月</w:t>
            </w:r>
            <w:r>
              <w:rPr>
                <w:rFonts w:hint="eastAsia" w:cs="Times New Roman"/>
                <w:sz w:val="24"/>
                <w:szCs w:val="24"/>
                <w:vertAlign w:val="baseline"/>
                <w:lang w:val="en-US" w:eastAsia="zh-CN"/>
              </w:rPr>
              <w:t>9日</w:t>
            </w:r>
            <w:r>
              <w:rPr>
                <w:rFonts w:hint="eastAsia" w:ascii="Times New Roman" w:hAnsi="Times New Roman" w:eastAsia="宋体" w:cs="Times New Roman"/>
                <w:sz w:val="24"/>
                <w:szCs w:val="24"/>
                <w:vertAlign w:val="baseline"/>
                <w:lang w:val="en-US" w:eastAsia="zh-CN"/>
              </w:rPr>
              <w:t>）数据对北京市、经济技术开发区空气质量状况进行评价，具体见下表。</w:t>
            </w:r>
          </w:p>
          <w:p w14:paraId="23D7578E">
            <w:pPr>
              <w:pStyle w:val="15"/>
              <w:numPr>
                <w:ilvl w:val="0"/>
                <w:numId w:val="15"/>
              </w:numPr>
              <w:bidi w:val="0"/>
              <w:ind w:left="425" w:leftChars="0" w:hanging="425" w:firstLineChars="0"/>
              <w:rPr>
                <w:rFonts w:hint="default"/>
                <w:sz w:val="24"/>
                <w:szCs w:val="24"/>
                <w:lang w:val="en-US" w:eastAsia="zh-CN"/>
              </w:rPr>
            </w:pPr>
            <w:r>
              <w:rPr>
                <w:rFonts w:hint="eastAsia"/>
                <w:sz w:val="24"/>
                <w:szCs w:val="24"/>
                <w:lang w:val="en-US" w:eastAsia="zh-CN"/>
              </w:rPr>
              <w:t>北京市及经济技术开发区2024年度环境空气监测结果一览表</w:t>
            </w:r>
          </w:p>
          <w:tbl>
            <w:tblPr>
              <w:tblStyle w:val="1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014"/>
              <w:gridCol w:w="1797"/>
              <w:gridCol w:w="1183"/>
              <w:gridCol w:w="1106"/>
              <w:gridCol w:w="1106"/>
              <w:gridCol w:w="914"/>
            </w:tblGrid>
            <w:tr w14:paraId="43C31C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tcBorders>
                    <w:tl2br w:val="nil"/>
                    <w:tr2bl w:val="nil"/>
                  </w:tcBorders>
                  <w:vAlign w:val="center"/>
                </w:tcPr>
                <w:p w14:paraId="6D44C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区域</w:t>
                  </w:r>
                </w:p>
              </w:tc>
              <w:tc>
                <w:tcPr>
                  <w:tcW w:w="990" w:type="dxa"/>
                  <w:tcBorders>
                    <w:tl2br w:val="nil"/>
                    <w:tr2bl w:val="nil"/>
                  </w:tcBorders>
                  <w:vAlign w:val="center"/>
                </w:tcPr>
                <w:p w14:paraId="4EE46D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污染物</w:t>
                  </w:r>
                </w:p>
              </w:tc>
              <w:tc>
                <w:tcPr>
                  <w:tcW w:w="1755" w:type="dxa"/>
                  <w:tcBorders>
                    <w:tl2br w:val="nil"/>
                    <w:tr2bl w:val="nil"/>
                  </w:tcBorders>
                  <w:vAlign w:val="center"/>
                </w:tcPr>
                <w:p w14:paraId="247050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评价指标</w:t>
                  </w:r>
                </w:p>
              </w:tc>
              <w:tc>
                <w:tcPr>
                  <w:tcW w:w="1155" w:type="dxa"/>
                  <w:tcBorders>
                    <w:tl2br w:val="nil"/>
                    <w:tr2bl w:val="nil"/>
                  </w:tcBorders>
                  <w:vAlign w:val="center"/>
                </w:tcPr>
                <w:p w14:paraId="2BEF30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default" w:ascii="Times New Roman" w:hAnsi="Times New Roman" w:eastAsia="宋体" w:cs="Times New Roman"/>
                      <w:b/>
                      <w:bCs/>
                      <w:color w:val="000000"/>
                      <w:kern w:val="0"/>
                      <w:sz w:val="21"/>
                      <w:szCs w:val="21"/>
                      <w:highlight w:val="none"/>
                      <w:vertAlign w:val="baseline"/>
                      <w:lang w:val="en-US" w:eastAsia="zh-CN" w:bidi="ar"/>
                    </w:rPr>
                    <w:t>现状浓度μg/m</w:t>
                  </w:r>
                  <w:r>
                    <w:rPr>
                      <w:rFonts w:hint="default" w:ascii="Times New Roman" w:hAnsi="Times New Roman" w:eastAsia="宋体" w:cs="Times New Roman"/>
                      <w:b/>
                      <w:bCs/>
                      <w:color w:val="000000"/>
                      <w:kern w:val="0"/>
                      <w:sz w:val="21"/>
                      <w:szCs w:val="21"/>
                      <w:highlight w:val="none"/>
                      <w:vertAlign w:val="superscript"/>
                      <w:lang w:val="en-US" w:eastAsia="zh-CN" w:bidi="ar"/>
                    </w:rPr>
                    <w:t>3</w:t>
                  </w:r>
                </w:p>
              </w:tc>
              <w:tc>
                <w:tcPr>
                  <w:tcW w:w="1080" w:type="dxa"/>
                  <w:tcBorders>
                    <w:tl2br w:val="nil"/>
                    <w:tr2bl w:val="nil"/>
                  </w:tcBorders>
                  <w:vAlign w:val="center"/>
                </w:tcPr>
                <w:p w14:paraId="15145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标准值</w:t>
                  </w:r>
                  <w:r>
                    <w:rPr>
                      <w:rFonts w:hint="default" w:ascii="Times New Roman" w:hAnsi="Times New Roman" w:eastAsia="宋体" w:cs="Times New Roman"/>
                      <w:b/>
                      <w:bCs/>
                      <w:color w:val="000000"/>
                      <w:kern w:val="0"/>
                      <w:sz w:val="21"/>
                      <w:szCs w:val="21"/>
                      <w:highlight w:val="none"/>
                      <w:vertAlign w:val="baseline"/>
                      <w:lang w:val="en-US" w:eastAsia="zh-CN" w:bidi="ar"/>
                    </w:rPr>
                    <w:t>μg/m</w:t>
                  </w:r>
                  <w:r>
                    <w:rPr>
                      <w:rFonts w:hint="default" w:ascii="Times New Roman" w:hAnsi="Times New Roman" w:eastAsia="宋体" w:cs="Times New Roman"/>
                      <w:b/>
                      <w:bCs/>
                      <w:color w:val="000000"/>
                      <w:kern w:val="0"/>
                      <w:sz w:val="21"/>
                      <w:szCs w:val="21"/>
                      <w:highlight w:val="none"/>
                      <w:vertAlign w:val="superscript"/>
                      <w:lang w:val="en-US" w:eastAsia="zh-CN" w:bidi="ar"/>
                    </w:rPr>
                    <w:t>3</w:t>
                  </w:r>
                </w:p>
              </w:tc>
              <w:tc>
                <w:tcPr>
                  <w:tcW w:w="1080" w:type="dxa"/>
                  <w:tcBorders>
                    <w:tl2br w:val="nil"/>
                    <w:tr2bl w:val="nil"/>
                  </w:tcBorders>
                  <w:vAlign w:val="center"/>
                </w:tcPr>
                <w:p w14:paraId="5DC7B4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占标率%</w:t>
                  </w:r>
                </w:p>
              </w:tc>
              <w:tc>
                <w:tcPr>
                  <w:tcW w:w="892" w:type="dxa"/>
                  <w:tcBorders>
                    <w:tl2br w:val="nil"/>
                    <w:tr2bl w:val="nil"/>
                  </w:tcBorders>
                  <w:vAlign w:val="center"/>
                </w:tcPr>
                <w:p w14:paraId="4797B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达标</w:t>
                  </w:r>
                </w:p>
                <w:p w14:paraId="67CE57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highlight w:val="none"/>
                      <w:vertAlign w:val="baseline"/>
                      <w:lang w:val="en-US" w:eastAsia="zh-CN" w:bidi="ar"/>
                    </w:rPr>
                  </w:pPr>
                  <w:r>
                    <w:rPr>
                      <w:rFonts w:hint="eastAsia" w:ascii="Times New Roman" w:hAnsi="Times New Roman" w:eastAsia="宋体" w:cs="Times New Roman"/>
                      <w:b/>
                      <w:bCs/>
                      <w:color w:val="000000"/>
                      <w:kern w:val="0"/>
                      <w:sz w:val="21"/>
                      <w:szCs w:val="21"/>
                      <w:highlight w:val="none"/>
                      <w:vertAlign w:val="baseline"/>
                      <w:lang w:val="en-US" w:eastAsia="zh-CN" w:bidi="ar"/>
                    </w:rPr>
                    <w:t>情况</w:t>
                  </w:r>
                </w:p>
              </w:tc>
            </w:tr>
            <w:tr w14:paraId="48EDAB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restart"/>
                  <w:tcBorders>
                    <w:tl2br w:val="nil"/>
                    <w:tr2bl w:val="nil"/>
                  </w:tcBorders>
                  <w:vAlign w:val="center"/>
                </w:tcPr>
                <w:p w14:paraId="179D01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北京市</w:t>
                  </w:r>
                </w:p>
              </w:tc>
              <w:tc>
                <w:tcPr>
                  <w:tcW w:w="990" w:type="dxa"/>
                  <w:tcBorders>
                    <w:tl2br w:val="nil"/>
                    <w:tr2bl w:val="nil"/>
                  </w:tcBorders>
                  <w:vAlign w:val="center"/>
                </w:tcPr>
                <w:p w14:paraId="3C9EF5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2.5</w:t>
                  </w:r>
                </w:p>
              </w:tc>
              <w:tc>
                <w:tcPr>
                  <w:tcW w:w="1755" w:type="dxa"/>
                  <w:tcBorders>
                    <w:tl2br w:val="nil"/>
                    <w:tr2bl w:val="nil"/>
                  </w:tcBorders>
                  <w:vAlign w:val="center"/>
                </w:tcPr>
                <w:p w14:paraId="62E5C7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7CBB23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30.5</w:t>
                  </w:r>
                </w:p>
              </w:tc>
              <w:tc>
                <w:tcPr>
                  <w:tcW w:w="1080" w:type="dxa"/>
                  <w:tcBorders>
                    <w:tl2br w:val="nil"/>
                    <w:tr2bl w:val="nil"/>
                  </w:tcBorders>
                  <w:vAlign w:val="center"/>
                </w:tcPr>
                <w:p w14:paraId="2D3B55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35</w:t>
                  </w:r>
                </w:p>
              </w:tc>
              <w:tc>
                <w:tcPr>
                  <w:tcW w:w="1080" w:type="dxa"/>
                  <w:tcBorders>
                    <w:tl2br w:val="nil"/>
                    <w:tr2bl w:val="nil"/>
                  </w:tcBorders>
                  <w:vAlign w:val="center"/>
                </w:tcPr>
                <w:p w14:paraId="308A66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87.14</w:t>
                  </w:r>
                </w:p>
              </w:tc>
              <w:tc>
                <w:tcPr>
                  <w:tcW w:w="892" w:type="dxa"/>
                  <w:tcBorders>
                    <w:tl2br w:val="nil"/>
                    <w:tr2bl w:val="nil"/>
                  </w:tcBorders>
                  <w:vAlign w:val="center"/>
                </w:tcPr>
                <w:p w14:paraId="1017EC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05796C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4E0652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6EA862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10</w:t>
                  </w:r>
                </w:p>
              </w:tc>
              <w:tc>
                <w:tcPr>
                  <w:tcW w:w="1755" w:type="dxa"/>
                  <w:tcBorders>
                    <w:tl2br w:val="nil"/>
                    <w:tr2bl w:val="nil"/>
                  </w:tcBorders>
                  <w:vAlign w:val="center"/>
                </w:tcPr>
                <w:p w14:paraId="5D7D4D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6D179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54</w:t>
                  </w:r>
                </w:p>
              </w:tc>
              <w:tc>
                <w:tcPr>
                  <w:tcW w:w="1080" w:type="dxa"/>
                  <w:tcBorders>
                    <w:tl2br w:val="nil"/>
                    <w:tr2bl w:val="nil"/>
                  </w:tcBorders>
                  <w:vAlign w:val="center"/>
                </w:tcPr>
                <w:p w14:paraId="6FD1FC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70</w:t>
                  </w:r>
                </w:p>
              </w:tc>
              <w:tc>
                <w:tcPr>
                  <w:tcW w:w="1080" w:type="dxa"/>
                  <w:tcBorders>
                    <w:tl2br w:val="nil"/>
                    <w:tr2bl w:val="nil"/>
                  </w:tcBorders>
                  <w:vAlign w:val="center"/>
                </w:tcPr>
                <w:p w14:paraId="55F965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77.14</w:t>
                  </w:r>
                </w:p>
              </w:tc>
              <w:tc>
                <w:tcPr>
                  <w:tcW w:w="892" w:type="dxa"/>
                  <w:tcBorders>
                    <w:tl2br w:val="nil"/>
                    <w:tr2bl w:val="nil"/>
                  </w:tcBorders>
                  <w:vAlign w:val="center"/>
                </w:tcPr>
                <w:p w14:paraId="543DA3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6D790D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429B66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1872C0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SO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tcBorders>
                    <w:tl2br w:val="nil"/>
                    <w:tr2bl w:val="nil"/>
                  </w:tcBorders>
                  <w:vAlign w:val="center"/>
                </w:tcPr>
                <w:p w14:paraId="09EEAB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761C4F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w:t>
                  </w:r>
                </w:p>
              </w:tc>
              <w:tc>
                <w:tcPr>
                  <w:tcW w:w="1080" w:type="dxa"/>
                  <w:tcBorders>
                    <w:tl2br w:val="nil"/>
                    <w:tr2bl w:val="nil"/>
                  </w:tcBorders>
                  <w:vAlign w:val="center"/>
                </w:tcPr>
                <w:p w14:paraId="55E430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60</w:t>
                  </w:r>
                </w:p>
              </w:tc>
              <w:tc>
                <w:tcPr>
                  <w:tcW w:w="1080" w:type="dxa"/>
                  <w:tcBorders>
                    <w:tl2br w:val="nil"/>
                    <w:tr2bl w:val="nil"/>
                  </w:tcBorders>
                  <w:vAlign w:val="center"/>
                </w:tcPr>
                <w:p w14:paraId="6C649C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5.00</w:t>
                  </w:r>
                </w:p>
              </w:tc>
              <w:tc>
                <w:tcPr>
                  <w:tcW w:w="892" w:type="dxa"/>
                  <w:tcBorders>
                    <w:tl2br w:val="nil"/>
                    <w:tr2bl w:val="nil"/>
                  </w:tcBorders>
                  <w:vAlign w:val="center"/>
                </w:tcPr>
                <w:p w14:paraId="4BBA09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6B8D8B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1EF4DB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4CFA1E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NO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tcBorders>
                    <w:tl2br w:val="nil"/>
                    <w:tr2bl w:val="nil"/>
                  </w:tcBorders>
                  <w:vAlign w:val="center"/>
                </w:tcPr>
                <w:p w14:paraId="3D368E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17407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24</w:t>
                  </w:r>
                </w:p>
              </w:tc>
              <w:tc>
                <w:tcPr>
                  <w:tcW w:w="1080" w:type="dxa"/>
                  <w:tcBorders>
                    <w:tl2br w:val="nil"/>
                    <w:tr2bl w:val="nil"/>
                  </w:tcBorders>
                  <w:vAlign w:val="center"/>
                </w:tcPr>
                <w:p w14:paraId="3F6D52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40</w:t>
                  </w:r>
                </w:p>
              </w:tc>
              <w:tc>
                <w:tcPr>
                  <w:tcW w:w="1080" w:type="dxa"/>
                  <w:tcBorders>
                    <w:tl2br w:val="nil"/>
                    <w:tr2bl w:val="nil"/>
                  </w:tcBorders>
                  <w:vAlign w:val="center"/>
                </w:tcPr>
                <w:p w14:paraId="6761B5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60.00</w:t>
                  </w:r>
                </w:p>
              </w:tc>
              <w:tc>
                <w:tcPr>
                  <w:tcW w:w="892" w:type="dxa"/>
                  <w:tcBorders>
                    <w:tl2br w:val="nil"/>
                    <w:tr2bl w:val="nil"/>
                  </w:tcBorders>
                  <w:vAlign w:val="center"/>
                </w:tcPr>
                <w:p w14:paraId="297915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0A807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773516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4F02D0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O</w:t>
                  </w:r>
                  <w:r>
                    <w:rPr>
                      <w:rFonts w:hint="eastAsia" w:ascii="Times New Roman" w:hAnsi="Times New Roman" w:eastAsia="宋体" w:cs="Times New Roman"/>
                      <w:b w:val="0"/>
                      <w:bCs w:val="0"/>
                      <w:color w:val="000000"/>
                      <w:kern w:val="0"/>
                      <w:sz w:val="21"/>
                      <w:szCs w:val="21"/>
                      <w:highlight w:val="none"/>
                      <w:vertAlign w:val="subscript"/>
                      <w:lang w:val="en-US" w:eastAsia="zh-CN" w:bidi="ar"/>
                    </w:rPr>
                    <w:t>3</w:t>
                  </w:r>
                </w:p>
              </w:tc>
              <w:tc>
                <w:tcPr>
                  <w:tcW w:w="1755" w:type="dxa"/>
                  <w:tcBorders>
                    <w:tl2br w:val="nil"/>
                    <w:tr2bl w:val="nil"/>
                  </w:tcBorders>
                  <w:vAlign w:val="center"/>
                </w:tcPr>
                <w:p w14:paraId="6D9927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日最大8小时</w:t>
                  </w:r>
                </w:p>
                <w:p w14:paraId="798077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平均浓度</w:t>
                  </w:r>
                </w:p>
              </w:tc>
              <w:tc>
                <w:tcPr>
                  <w:tcW w:w="1155" w:type="dxa"/>
                  <w:tcBorders>
                    <w:tl2br w:val="nil"/>
                    <w:tr2bl w:val="nil"/>
                  </w:tcBorders>
                  <w:vAlign w:val="center"/>
                </w:tcPr>
                <w:p w14:paraId="0B4181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171</w:t>
                  </w:r>
                </w:p>
              </w:tc>
              <w:tc>
                <w:tcPr>
                  <w:tcW w:w="1080" w:type="dxa"/>
                  <w:tcBorders>
                    <w:tl2br w:val="nil"/>
                    <w:tr2bl w:val="nil"/>
                  </w:tcBorders>
                  <w:vAlign w:val="center"/>
                </w:tcPr>
                <w:p w14:paraId="63324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160</w:t>
                  </w:r>
                </w:p>
              </w:tc>
              <w:tc>
                <w:tcPr>
                  <w:tcW w:w="1080" w:type="dxa"/>
                  <w:tcBorders>
                    <w:tl2br w:val="nil"/>
                    <w:tr2bl w:val="nil"/>
                  </w:tcBorders>
                  <w:vAlign w:val="center"/>
                </w:tcPr>
                <w:p w14:paraId="7A9992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106.88</w:t>
                  </w:r>
                </w:p>
              </w:tc>
              <w:tc>
                <w:tcPr>
                  <w:tcW w:w="892" w:type="dxa"/>
                  <w:tcBorders>
                    <w:tl2br w:val="nil"/>
                    <w:tr2bl w:val="nil"/>
                  </w:tcBorders>
                  <w:vAlign w:val="center"/>
                </w:tcPr>
                <w:p w14:paraId="57C11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不达标</w:t>
                  </w:r>
                </w:p>
              </w:tc>
            </w:tr>
            <w:tr w14:paraId="0E6444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61A25C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63A23A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CO</w:t>
                  </w:r>
                </w:p>
              </w:tc>
              <w:tc>
                <w:tcPr>
                  <w:tcW w:w="1755" w:type="dxa"/>
                  <w:tcBorders>
                    <w:tl2br w:val="nil"/>
                    <w:tr2bl w:val="nil"/>
                  </w:tcBorders>
                  <w:vAlign w:val="center"/>
                </w:tcPr>
                <w:p w14:paraId="6A004A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24小时平均浓度</w:t>
                  </w:r>
                </w:p>
              </w:tc>
              <w:tc>
                <w:tcPr>
                  <w:tcW w:w="1155" w:type="dxa"/>
                  <w:tcBorders>
                    <w:tl2br w:val="nil"/>
                    <w:tr2bl w:val="nil"/>
                  </w:tcBorders>
                  <w:vAlign w:val="center"/>
                </w:tcPr>
                <w:p w14:paraId="029E47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900</w:t>
                  </w:r>
                </w:p>
              </w:tc>
              <w:tc>
                <w:tcPr>
                  <w:tcW w:w="1080" w:type="dxa"/>
                  <w:tcBorders>
                    <w:tl2br w:val="nil"/>
                    <w:tr2bl w:val="nil"/>
                  </w:tcBorders>
                  <w:vAlign w:val="center"/>
                </w:tcPr>
                <w:p w14:paraId="3D9520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4000</w:t>
                  </w:r>
                </w:p>
              </w:tc>
              <w:tc>
                <w:tcPr>
                  <w:tcW w:w="1080" w:type="dxa"/>
                  <w:tcBorders>
                    <w:tl2br w:val="nil"/>
                    <w:tr2bl w:val="nil"/>
                  </w:tcBorders>
                  <w:vAlign w:val="center"/>
                </w:tcPr>
                <w:p w14:paraId="1292AE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22.50</w:t>
                  </w:r>
                </w:p>
              </w:tc>
              <w:tc>
                <w:tcPr>
                  <w:tcW w:w="892" w:type="dxa"/>
                  <w:tcBorders>
                    <w:tl2br w:val="nil"/>
                    <w:tr2bl w:val="nil"/>
                  </w:tcBorders>
                  <w:vAlign w:val="center"/>
                </w:tcPr>
                <w:p w14:paraId="7895EB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达标</w:t>
                  </w:r>
                </w:p>
              </w:tc>
            </w:tr>
            <w:tr w14:paraId="69D5E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restart"/>
                  <w:tcBorders>
                    <w:tl2br w:val="nil"/>
                    <w:tr2bl w:val="nil"/>
                  </w:tcBorders>
                  <w:vAlign w:val="center"/>
                </w:tcPr>
                <w:p w14:paraId="14C37E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经济技术开发区</w:t>
                  </w:r>
                </w:p>
              </w:tc>
              <w:tc>
                <w:tcPr>
                  <w:tcW w:w="990" w:type="dxa"/>
                  <w:tcBorders>
                    <w:tl2br w:val="nil"/>
                    <w:tr2bl w:val="nil"/>
                  </w:tcBorders>
                  <w:vAlign w:val="center"/>
                </w:tcPr>
                <w:p w14:paraId="22BFBE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2.5</w:t>
                  </w:r>
                </w:p>
              </w:tc>
              <w:tc>
                <w:tcPr>
                  <w:tcW w:w="1755" w:type="dxa"/>
                  <w:tcBorders>
                    <w:tl2br w:val="nil"/>
                    <w:tr2bl w:val="nil"/>
                  </w:tcBorders>
                  <w:vAlign w:val="center"/>
                </w:tcPr>
                <w:p w14:paraId="5F58E8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04D0F4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32.6</w:t>
                  </w:r>
                </w:p>
              </w:tc>
              <w:tc>
                <w:tcPr>
                  <w:tcW w:w="1080" w:type="dxa"/>
                  <w:tcBorders>
                    <w:tl2br w:val="nil"/>
                    <w:tr2bl w:val="nil"/>
                  </w:tcBorders>
                  <w:vAlign w:val="center"/>
                </w:tcPr>
                <w:p w14:paraId="41CC2F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35</w:t>
                  </w:r>
                </w:p>
              </w:tc>
              <w:tc>
                <w:tcPr>
                  <w:tcW w:w="1080" w:type="dxa"/>
                  <w:tcBorders>
                    <w:tl2br w:val="nil"/>
                    <w:tr2bl w:val="nil"/>
                  </w:tcBorders>
                  <w:vAlign w:val="center"/>
                </w:tcPr>
                <w:p w14:paraId="04613E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93.14</w:t>
                  </w:r>
                </w:p>
              </w:tc>
              <w:tc>
                <w:tcPr>
                  <w:tcW w:w="892" w:type="dxa"/>
                  <w:tcBorders>
                    <w:tl2br w:val="nil"/>
                    <w:tr2bl w:val="nil"/>
                  </w:tcBorders>
                  <w:vAlign w:val="center"/>
                </w:tcPr>
                <w:p w14:paraId="195340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达标</w:t>
                  </w:r>
                </w:p>
              </w:tc>
            </w:tr>
            <w:tr w14:paraId="2384D1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tcBorders>
                    <w:tl2br w:val="nil"/>
                    <w:tr2bl w:val="nil"/>
                  </w:tcBorders>
                  <w:vAlign w:val="center"/>
                </w:tcPr>
                <w:p w14:paraId="3A561F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tcBorders>
                    <w:tl2br w:val="nil"/>
                    <w:tr2bl w:val="nil"/>
                  </w:tcBorders>
                  <w:vAlign w:val="center"/>
                </w:tcPr>
                <w:p w14:paraId="70B5B4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PM</w:t>
                  </w:r>
                  <w:r>
                    <w:rPr>
                      <w:rFonts w:hint="eastAsia" w:ascii="Times New Roman" w:hAnsi="Times New Roman" w:eastAsia="宋体" w:cs="Times New Roman"/>
                      <w:b w:val="0"/>
                      <w:bCs w:val="0"/>
                      <w:color w:val="000000"/>
                      <w:kern w:val="0"/>
                      <w:sz w:val="21"/>
                      <w:szCs w:val="21"/>
                      <w:highlight w:val="none"/>
                      <w:vertAlign w:val="subscript"/>
                      <w:lang w:val="en-US" w:eastAsia="zh-CN" w:bidi="ar"/>
                    </w:rPr>
                    <w:t>10</w:t>
                  </w:r>
                </w:p>
              </w:tc>
              <w:tc>
                <w:tcPr>
                  <w:tcW w:w="1755" w:type="dxa"/>
                  <w:tcBorders>
                    <w:tl2br w:val="nil"/>
                    <w:tr2bl w:val="nil"/>
                  </w:tcBorders>
                  <w:vAlign w:val="center"/>
                </w:tcPr>
                <w:p w14:paraId="63CE6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tcBorders>
                    <w:tl2br w:val="nil"/>
                    <w:tr2bl w:val="nil"/>
                  </w:tcBorders>
                  <w:vAlign w:val="center"/>
                </w:tcPr>
                <w:p w14:paraId="4F1BEF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57</w:t>
                  </w:r>
                </w:p>
              </w:tc>
              <w:tc>
                <w:tcPr>
                  <w:tcW w:w="1080" w:type="dxa"/>
                  <w:tcBorders>
                    <w:tl2br w:val="nil"/>
                    <w:tr2bl w:val="nil"/>
                  </w:tcBorders>
                  <w:vAlign w:val="center"/>
                </w:tcPr>
                <w:p w14:paraId="0A973A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70</w:t>
                  </w:r>
                </w:p>
              </w:tc>
              <w:tc>
                <w:tcPr>
                  <w:tcW w:w="1080" w:type="dxa"/>
                  <w:tcBorders>
                    <w:tl2br w:val="nil"/>
                    <w:tr2bl w:val="nil"/>
                  </w:tcBorders>
                  <w:vAlign w:val="center"/>
                </w:tcPr>
                <w:p w14:paraId="52EC52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81.43</w:t>
                  </w:r>
                </w:p>
              </w:tc>
              <w:tc>
                <w:tcPr>
                  <w:tcW w:w="892" w:type="dxa"/>
                  <w:tcBorders>
                    <w:tl2br w:val="nil"/>
                    <w:tr2bl w:val="nil"/>
                  </w:tcBorders>
                  <w:vAlign w:val="center"/>
                </w:tcPr>
                <w:p w14:paraId="5D2412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达标</w:t>
                  </w:r>
                </w:p>
              </w:tc>
            </w:tr>
            <w:tr w14:paraId="595BF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vAlign w:val="center"/>
                </w:tcPr>
                <w:p w14:paraId="76E078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vAlign w:val="center"/>
                </w:tcPr>
                <w:p w14:paraId="469E29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SO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vAlign w:val="center"/>
                </w:tcPr>
                <w:p w14:paraId="082EAE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vAlign w:val="center"/>
                </w:tcPr>
                <w:p w14:paraId="706478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2</w:t>
                  </w:r>
                </w:p>
              </w:tc>
              <w:tc>
                <w:tcPr>
                  <w:tcW w:w="1080" w:type="dxa"/>
                  <w:vAlign w:val="center"/>
                </w:tcPr>
                <w:p w14:paraId="2FC149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60</w:t>
                  </w:r>
                </w:p>
              </w:tc>
              <w:tc>
                <w:tcPr>
                  <w:tcW w:w="1080" w:type="dxa"/>
                  <w:vAlign w:val="center"/>
                </w:tcPr>
                <w:p w14:paraId="63200D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3.33</w:t>
                  </w:r>
                </w:p>
              </w:tc>
              <w:tc>
                <w:tcPr>
                  <w:tcW w:w="892" w:type="dxa"/>
                  <w:vAlign w:val="center"/>
                </w:tcPr>
                <w:p w14:paraId="57581E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达标</w:t>
                  </w:r>
                </w:p>
              </w:tc>
            </w:tr>
            <w:tr w14:paraId="78CEB5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vAlign w:val="center"/>
                </w:tcPr>
                <w:p w14:paraId="62F056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p>
              </w:tc>
              <w:tc>
                <w:tcPr>
                  <w:tcW w:w="990" w:type="dxa"/>
                  <w:vAlign w:val="center"/>
                </w:tcPr>
                <w:p w14:paraId="1B1268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NO</w:t>
                  </w:r>
                  <w:r>
                    <w:rPr>
                      <w:rFonts w:hint="eastAsia" w:ascii="Times New Roman" w:hAnsi="Times New Roman" w:eastAsia="宋体" w:cs="Times New Roman"/>
                      <w:b w:val="0"/>
                      <w:bCs w:val="0"/>
                      <w:color w:val="000000"/>
                      <w:kern w:val="0"/>
                      <w:sz w:val="21"/>
                      <w:szCs w:val="21"/>
                      <w:highlight w:val="none"/>
                      <w:vertAlign w:val="subscript"/>
                      <w:lang w:val="en-US" w:eastAsia="zh-CN" w:bidi="ar"/>
                    </w:rPr>
                    <w:t>2</w:t>
                  </w:r>
                </w:p>
              </w:tc>
              <w:tc>
                <w:tcPr>
                  <w:tcW w:w="1755" w:type="dxa"/>
                  <w:vAlign w:val="center"/>
                </w:tcPr>
                <w:p w14:paraId="2C5F1F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年平均浓度</w:t>
                  </w:r>
                </w:p>
              </w:tc>
              <w:tc>
                <w:tcPr>
                  <w:tcW w:w="1155" w:type="dxa"/>
                  <w:vAlign w:val="center"/>
                </w:tcPr>
                <w:p w14:paraId="669DF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34</w:t>
                  </w:r>
                </w:p>
              </w:tc>
              <w:tc>
                <w:tcPr>
                  <w:tcW w:w="1080" w:type="dxa"/>
                  <w:vAlign w:val="center"/>
                </w:tcPr>
                <w:p w14:paraId="2F2532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40</w:t>
                  </w:r>
                </w:p>
              </w:tc>
              <w:tc>
                <w:tcPr>
                  <w:tcW w:w="1080" w:type="dxa"/>
                  <w:vAlign w:val="center"/>
                </w:tcPr>
                <w:p w14:paraId="3D8BD6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cs="Times New Roman"/>
                      <w:b w:val="0"/>
                      <w:bCs w:val="0"/>
                      <w:color w:val="000000"/>
                      <w:kern w:val="0"/>
                      <w:sz w:val="21"/>
                      <w:szCs w:val="21"/>
                      <w:highlight w:val="none"/>
                      <w:vertAlign w:val="baseline"/>
                      <w:lang w:val="en-US" w:eastAsia="zh-CN" w:bidi="ar"/>
                    </w:rPr>
                    <w:t>85.00</w:t>
                  </w:r>
                </w:p>
              </w:tc>
              <w:tc>
                <w:tcPr>
                  <w:tcW w:w="892" w:type="dxa"/>
                  <w:vAlign w:val="center"/>
                </w:tcPr>
                <w:p w14:paraId="5DC467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0"/>
                      <w:sz w:val="21"/>
                      <w:szCs w:val="21"/>
                      <w:highlight w:val="none"/>
                      <w:vertAlign w:val="baseline"/>
                      <w:lang w:val="en-US" w:eastAsia="zh-CN" w:bidi="ar"/>
                    </w:rPr>
                  </w:pPr>
                  <w:r>
                    <w:rPr>
                      <w:rFonts w:hint="eastAsia" w:ascii="Times New Roman" w:hAnsi="Times New Roman" w:eastAsia="宋体" w:cs="Times New Roman"/>
                      <w:b w:val="0"/>
                      <w:bCs w:val="0"/>
                      <w:color w:val="000000"/>
                      <w:kern w:val="0"/>
                      <w:sz w:val="21"/>
                      <w:szCs w:val="21"/>
                      <w:highlight w:val="none"/>
                      <w:vertAlign w:val="baseline"/>
                      <w:lang w:val="en-US" w:eastAsia="zh-CN" w:bidi="ar"/>
                    </w:rPr>
                    <w:t>达标</w:t>
                  </w:r>
                </w:p>
              </w:tc>
            </w:tr>
          </w:tbl>
          <w:p w14:paraId="5DE93521">
            <w:pPr>
              <w:pStyle w:val="16"/>
              <w:bidi w:val="0"/>
              <w:rPr>
                <w:rFonts w:hint="default"/>
              </w:rPr>
            </w:pPr>
            <w:r>
              <w:rPr>
                <w:rFonts w:hint="default"/>
              </w:rPr>
              <w:t>注：*CO为24小时平均浓度第95百分位数，O</w:t>
            </w:r>
            <w:r>
              <w:rPr>
                <w:rFonts w:hint="default"/>
                <w:vertAlign w:val="subscript"/>
              </w:rPr>
              <w:t>3</w:t>
            </w:r>
            <w:r>
              <w:rPr>
                <w:rFonts w:hint="default"/>
              </w:rPr>
              <w:t>为日最大8小时平均浓度第90位百分位数。</w:t>
            </w:r>
          </w:p>
          <w:p w14:paraId="49DB0A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rPr>
              <w:t>根据以上监测结果可知，202</w:t>
            </w:r>
            <w:r>
              <w:rPr>
                <w:rFonts w:hint="eastAsia" w:cs="Times New Roman"/>
                <w:sz w:val="24"/>
                <w:szCs w:val="24"/>
                <w:vertAlign w:val="baseline"/>
                <w:lang w:val="en-US" w:eastAsia="zh-CN"/>
              </w:rPr>
              <w:t>4</w:t>
            </w:r>
            <w:r>
              <w:rPr>
                <w:rFonts w:hint="default" w:ascii="Times New Roman" w:hAnsi="Times New Roman" w:eastAsia="宋体" w:cs="Times New Roman"/>
                <w:sz w:val="24"/>
                <w:szCs w:val="24"/>
                <w:vertAlign w:val="baseline"/>
              </w:rPr>
              <w:t>年本项目所在区域PM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vertAlign w:val="baseline"/>
              </w:rPr>
              <w:t>年平均浓度、PM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vertAlign w:val="baseline"/>
              </w:rPr>
              <w:t>年平均浓度</w:t>
            </w:r>
            <w:r>
              <w:rPr>
                <w:rFonts w:hint="eastAsia" w:ascii="Times New Roman" w:hAnsi="Times New Roman" w:eastAsia="宋体" w:cs="Times New Roman"/>
                <w:sz w:val="24"/>
                <w:szCs w:val="24"/>
                <w:vertAlign w:val="baseline"/>
                <w:lang w:eastAsia="zh-CN"/>
              </w:rPr>
              <w:t>、</w:t>
            </w:r>
            <w:r>
              <w:rPr>
                <w:rFonts w:hint="default" w:ascii="Times New Roman" w:hAnsi="Times New Roman" w:eastAsia="宋体" w:cs="Times New Roman"/>
                <w:sz w:val="24"/>
                <w:szCs w:val="24"/>
                <w:vertAlign w:val="baseline"/>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vertAlign w:val="baseline"/>
              </w:rPr>
              <w:t>年平均浓度、SO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vertAlign w:val="baseline"/>
              </w:rPr>
              <w:t>年平均浓度</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sz w:val="24"/>
                <w:szCs w:val="24"/>
                <w:vertAlign w:val="baseline"/>
              </w:rPr>
              <w:t>《环境空气质量标准》（GB3095-2012）及其修改单（公告[2018]第29号）（二级）标准要求</w:t>
            </w:r>
            <w:r>
              <w:rPr>
                <w:rFonts w:hint="eastAsia"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经济技术开发区</w:t>
            </w:r>
            <w:r>
              <w:rPr>
                <w:rFonts w:hint="default" w:ascii="Times New Roman" w:hAnsi="Times New Roman" w:eastAsia="宋体" w:cs="Times New Roman"/>
                <w:sz w:val="24"/>
                <w:szCs w:val="24"/>
                <w:vertAlign w:val="baseline"/>
              </w:rPr>
              <w:t>无</w:t>
            </w:r>
            <w:r>
              <w:rPr>
                <w:rFonts w:hint="eastAsia" w:cs="Times New Roman"/>
                <w:sz w:val="24"/>
                <w:szCs w:val="24"/>
                <w:vertAlign w:val="baseline"/>
                <w:lang w:val="en-US" w:eastAsia="zh-CN"/>
              </w:rPr>
              <w:t>CO、O</w:t>
            </w:r>
            <w:r>
              <w:rPr>
                <w:rFonts w:hint="eastAsia" w:cs="Times New Roman"/>
                <w:sz w:val="24"/>
                <w:szCs w:val="24"/>
                <w:vertAlign w:val="subscript"/>
                <w:lang w:val="en-US" w:eastAsia="zh-CN"/>
              </w:rPr>
              <w:t>3</w:t>
            </w:r>
            <w:r>
              <w:rPr>
                <w:rFonts w:hint="default" w:ascii="Times New Roman" w:hAnsi="Times New Roman" w:eastAsia="宋体" w:cs="Times New Roman"/>
                <w:sz w:val="24"/>
                <w:szCs w:val="24"/>
                <w:vertAlign w:val="baseline"/>
              </w:rPr>
              <w:t>监测数据，引用北京市现状监测值，北京市</w:t>
            </w:r>
            <w:r>
              <w:rPr>
                <w:rFonts w:hint="eastAsia" w:cs="Times New Roman"/>
                <w:sz w:val="24"/>
                <w:szCs w:val="24"/>
                <w:vertAlign w:val="baseline"/>
                <w:lang w:val="en-US" w:eastAsia="zh-CN"/>
              </w:rPr>
              <w:t>CO24小时平均浓度</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sz w:val="24"/>
                <w:szCs w:val="24"/>
                <w:vertAlign w:val="baseline"/>
              </w:rPr>
              <w:t>《环境空气质量标准》（GB3095-2012）及其修改单（公告[2018]第29号）（二级）标准要求</w:t>
            </w:r>
            <w:r>
              <w:rPr>
                <w:rFonts w:hint="eastAsia" w:cs="Times New Roman"/>
                <w:sz w:val="24"/>
                <w:szCs w:val="24"/>
                <w:vertAlign w:val="baseline"/>
                <w:lang w:eastAsia="zh-CN"/>
              </w:rPr>
              <w:t>，</w:t>
            </w:r>
            <w:r>
              <w:rPr>
                <w:rFonts w:hint="default" w:ascii="Times New Roman" w:hAnsi="Times New Roman" w:eastAsia="宋体" w:cs="Times New Roman"/>
                <w:sz w:val="24"/>
                <w:szCs w:val="24"/>
                <w:vertAlign w:val="baseline"/>
              </w:rPr>
              <w:t>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vertAlign w:val="baseline"/>
              </w:rPr>
              <w:t>日最大8小时平均浓度超过《环境空气质量标准》（GB3095-2012）及其修改单（公告[2018]第29号）（二级）标准限值。因此，本项目所在评价区域为不达标区。</w:t>
            </w:r>
          </w:p>
          <w:p w14:paraId="7BDBBA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2、地表水环境质量现状</w:t>
            </w:r>
          </w:p>
          <w:p w14:paraId="437CC2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项目所在地附近地表水为凉水河中下段，位于项目南侧</w:t>
            </w:r>
            <w:r>
              <w:rPr>
                <w:rFonts w:hint="eastAsia" w:cs="Times New Roman"/>
                <w:sz w:val="24"/>
                <w:szCs w:val="24"/>
                <w:vertAlign w:val="baseline"/>
                <w:lang w:val="en-US" w:eastAsia="zh-CN"/>
              </w:rPr>
              <w:t>1.2k</w:t>
            </w:r>
            <w:r>
              <w:rPr>
                <w:rFonts w:hint="eastAsia" w:ascii="Times New Roman" w:hAnsi="Times New Roman" w:eastAsia="宋体" w:cs="Times New Roman"/>
                <w:sz w:val="24"/>
                <w:szCs w:val="24"/>
                <w:vertAlign w:val="baseline"/>
                <w:lang w:val="en-US" w:eastAsia="zh-CN"/>
              </w:rPr>
              <w:t>m。根据北京市五大水系各河流、水库水体功能划分与</w:t>
            </w:r>
            <w:r>
              <w:rPr>
                <w:sz w:val="24"/>
                <w:highlight w:val="none"/>
              </w:rPr>
              <w:t>水质分类，</w:t>
            </w:r>
            <w:r>
              <w:rPr>
                <w:rFonts w:hint="eastAsia"/>
                <w:sz w:val="24"/>
                <w:highlight w:val="none"/>
              </w:rPr>
              <w:t>凉水河中下段</w:t>
            </w:r>
            <w:r>
              <w:rPr>
                <w:sz w:val="24"/>
                <w:highlight w:val="none"/>
              </w:rPr>
              <w:t>为Ⅴ类功能水体（农业用水区及一般景观要求水域），执行《地表水环境质量标准》（G</w:t>
            </w:r>
            <w:r>
              <w:rPr>
                <w:rFonts w:hint="eastAsia" w:ascii="Times New Roman" w:hAnsi="Times New Roman" w:eastAsia="宋体" w:cs="Times New Roman"/>
                <w:sz w:val="24"/>
                <w:szCs w:val="24"/>
                <w:vertAlign w:val="baseline"/>
                <w:lang w:val="en-US" w:eastAsia="zh-CN"/>
              </w:rPr>
              <w:t>B3838-2002）中的Ⅴ类标准。</w:t>
            </w:r>
          </w:p>
          <w:p w14:paraId="243978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根据北京市生态环境局网站公布的2024年</w:t>
            </w:r>
            <w:r>
              <w:rPr>
                <w:rFonts w:hint="eastAsia" w:cs="Times New Roman"/>
                <w:sz w:val="24"/>
                <w:szCs w:val="24"/>
                <w:vertAlign w:val="baseline"/>
                <w:lang w:val="en-US" w:eastAsia="zh-CN"/>
              </w:rPr>
              <w:t>9</w:t>
            </w:r>
            <w:r>
              <w:rPr>
                <w:rFonts w:hint="eastAsia" w:ascii="Times New Roman" w:hAnsi="Times New Roman" w:eastAsia="宋体" w:cs="Times New Roman"/>
                <w:sz w:val="24"/>
                <w:szCs w:val="24"/>
                <w:vertAlign w:val="baseline"/>
                <w:lang w:val="en-US" w:eastAsia="zh-CN"/>
              </w:rPr>
              <w:t>月至2025年8月河流水质状况，凉水河中下段水质均能达到《地表水环境质量标准》（GB3838-2002）中的Ⅴ类水质标准要求。具体统计结果见下表。</w:t>
            </w:r>
          </w:p>
          <w:p w14:paraId="4BC04845">
            <w:pPr>
              <w:pStyle w:val="15"/>
              <w:numPr>
                <w:ilvl w:val="0"/>
                <w:numId w:val="15"/>
              </w:numPr>
              <w:bidi w:val="0"/>
              <w:ind w:left="425" w:leftChars="0" w:hanging="425" w:firstLineChars="0"/>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凉水河中下段</w:t>
            </w:r>
            <w:r>
              <w:rPr>
                <w:rFonts w:hint="default" w:ascii="Times New Roman" w:hAnsi="Times New Roman" w:eastAsia="宋体"/>
                <w:sz w:val="24"/>
                <w:szCs w:val="24"/>
                <w:lang w:val="en-US" w:eastAsia="zh-CN"/>
              </w:rPr>
              <w:t>水质状况一览表</w:t>
            </w:r>
          </w:p>
          <w:tbl>
            <w:tblPr>
              <w:tblStyle w:val="11"/>
              <w:tblW w:w="498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67"/>
              <w:gridCol w:w="667"/>
              <w:gridCol w:w="667"/>
              <w:gridCol w:w="661"/>
              <w:gridCol w:w="6"/>
              <w:gridCol w:w="667"/>
              <w:gridCol w:w="667"/>
              <w:gridCol w:w="668"/>
              <w:gridCol w:w="668"/>
              <w:gridCol w:w="668"/>
              <w:gridCol w:w="668"/>
              <w:gridCol w:w="668"/>
              <w:gridCol w:w="668"/>
            </w:tblGrid>
            <w:tr w14:paraId="7965FF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2630" w:type="dxa"/>
                  <w:gridSpan w:val="4"/>
                  <w:tcBorders>
                    <w:tl2br w:val="nil"/>
                    <w:tr2bl w:val="nil"/>
                  </w:tcBorders>
                  <w:vAlign w:val="center"/>
                </w:tcPr>
                <w:p w14:paraId="5FAD9522">
                  <w:pPr>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2024年</w:t>
                  </w:r>
                </w:p>
              </w:tc>
              <w:tc>
                <w:tcPr>
                  <w:tcW w:w="5284" w:type="dxa"/>
                  <w:gridSpan w:val="9"/>
                  <w:tcBorders>
                    <w:tl2br w:val="nil"/>
                    <w:tr2bl w:val="nil"/>
                  </w:tcBorders>
                  <w:vAlign w:val="center"/>
                </w:tcPr>
                <w:p w14:paraId="7DCEE96A">
                  <w:pPr>
                    <w:adjustRightInd w:val="0"/>
                    <w:snapToGrid w:val="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2025年</w:t>
                  </w:r>
                </w:p>
              </w:tc>
            </w:tr>
            <w:tr w14:paraId="2F57B2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9" w:type="dxa"/>
                  <w:tcBorders>
                    <w:tl2br w:val="nil"/>
                    <w:tr2bl w:val="nil"/>
                  </w:tcBorders>
                  <w:shd w:val="clear" w:color="auto" w:fill="auto"/>
                  <w:vAlign w:val="center"/>
                </w:tcPr>
                <w:p w14:paraId="424EF3F4">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月</w:t>
                  </w:r>
                </w:p>
              </w:tc>
              <w:tc>
                <w:tcPr>
                  <w:tcW w:w="659" w:type="dxa"/>
                  <w:tcBorders>
                    <w:tl2br w:val="nil"/>
                    <w:tr2bl w:val="nil"/>
                  </w:tcBorders>
                  <w:shd w:val="clear" w:color="auto" w:fill="auto"/>
                  <w:vAlign w:val="center"/>
                </w:tcPr>
                <w:p w14:paraId="1DDF8071">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月</w:t>
                  </w:r>
                </w:p>
              </w:tc>
              <w:tc>
                <w:tcPr>
                  <w:tcW w:w="659" w:type="dxa"/>
                  <w:tcBorders>
                    <w:tl2br w:val="nil"/>
                    <w:tr2bl w:val="nil"/>
                  </w:tcBorders>
                  <w:shd w:val="clear" w:color="auto" w:fill="auto"/>
                  <w:vAlign w:val="center"/>
                </w:tcPr>
                <w:p w14:paraId="6FC5D15E">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rPr>
                    <w:t>月</w:t>
                  </w:r>
                </w:p>
              </w:tc>
              <w:tc>
                <w:tcPr>
                  <w:tcW w:w="659" w:type="dxa"/>
                  <w:gridSpan w:val="2"/>
                  <w:tcBorders>
                    <w:tl2br w:val="nil"/>
                    <w:tr2bl w:val="nil"/>
                  </w:tcBorders>
                  <w:shd w:val="clear" w:color="auto" w:fill="auto"/>
                  <w:vAlign w:val="center"/>
                </w:tcPr>
                <w:p w14:paraId="4C29BFDC">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rPr>
                    <w:t>月</w:t>
                  </w:r>
                </w:p>
              </w:tc>
              <w:tc>
                <w:tcPr>
                  <w:tcW w:w="659" w:type="dxa"/>
                  <w:tcBorders>
                    <w:right w:val="single" w:color="000000" w:sz="4" w:space="0"/>
                    <w:tl2br w:val="nil"/>
                    <w:tr2bl w:val="nil"/>
                  </w:tcBorders>
                  <w:shd w:val="clear" w:color="auto" w:fill="auto"/>
                  <w:vAlign w:val="center"/>
                </w:tcPr>
                <w:p w14:paraId="792662AE">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月</w:t>
                  </w:r>
                </w:p>
              </w:tc>
              <w:tc>
                <w:tcPr>
                  <w:tcW w:w="659" w:type="dxa"/>
                  <w:tcBorders>
                    <w:left w:val="single" w:color="000000" w:sz="4" w:space="0"/>
                    <w:tl2br w:val="nil"/>
                    <w:tr2bl w:val="nil"/>
                  </w:tcBorders>
                  <w:shd w:val="clear" w:color="auto" w:fill="auto"/>
                  <w:vAlign w:val="center"/>
                </w:tcPr>
                <w:p w14:paraId="4C0E12CE">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月</w:t>
                  </w:r>
                </w:p>
              </w:tc>
              <w:tc>
                <w:tcPr>
                  <w:tcW w:w="660" w:type="dxa"/>
                  <w:tcBorders>
                    <w:tl2br w:val="nil"/>
                    <w:tr2bl w:val="nil"/>
                  </w:tcBorders>
                  <w:shd w:val="clear" w:color="auto" w:fill="auto"/>
                  <w:vAlign w:val="center"/>
                </w:tcPr>
                <w:p w14:paraId="53B30675">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月</w:t>
                  </w:r>
                </w:p>
              </w:tc>
              <w:tc>
                <w:tcPr>
                  <w:tcW w:w="660" w:type="dxa"/>
                  <w:tcBorders>
                    <w:tl2br w:val="nil"/>
                    <w:tr2bl w:val="nil"/>
                  </w:tcBorders>
                  <w:shd w:val="clear" w:color="auto" w:fill="auto"/>
                  <w:vAlign w:val="center"/>
                </w:tcPr>
                <w:p w14:paraId="32825BEF">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月</w:t>
                  </w:r>
                </w:p>
              </w:tc>
              <w:tc>
                <w:tcPr>
                  <w:tcW w:w="660" w:type="dxa"/>
                  <w:tcBorders>
                    <w:tl2br w:val="nil"/>
                    <w:tr2bl w:val="nil"/>
                  </w:tcBorders>
                  <w:shd w:val="clear" w:color="auto" w:fill="auto"/>
                  <w:vAlign w:val="center"/>
                </w:tcPr>
                <w:p w14:paraId="41A65D53">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月</w:t>
                  </w:r>
                </w:p>
              </w:tc>
              <w:tc>
                <w:tcPr>
                  <w:tcW w:w="660" w:type="dxa"/>
                  <w:tcBorders>
                    <w:tl2br w:val="nil"/>
                    <w:tr2bl w:val="nil"/>
                  </w:tcBorders>
                  <w:shd w:val="clear" w:color="auto" w:fill="auto"/>
                  <w:vAlign w:val="center"/>
                </w:tcPr>
                <w:p w14:paraId="1FFF8270">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月</w:t>
                  </w:r>
                </w:p>
              </w:tc>
              <w:tc>
                <w:tcPr>
                  <w:tcW w:w="660" w:type="dxa"/>
                  <w:tcBorders>
                    <w:tl2br w:val="nil"/>
                    <w:tr2bl w:val="nil"/>
                  </w:tcBorders>
                  <w:shd w:val="clear" w:color="auto" w:fill="auto"/>
                  <w:vAlign w:val="center"/>
                </w:tcPr>
                <w:p w14:paraId="539B6A4A">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月</w:t>
                  </w:r>
                </w:p>
              </w:tc>
              <w:tc>
                <w:tcPr>
                  <w:tcW w:w="660" w:type="dxa"/>
                  <w:tcBorders>
                    <w:tl2br w:val="nil"/>
                    <w:tr2bl w:val="nil"/>
                  </w:tcBorders>
                  <w:shd w:val="clear" w:color="auto" w:fill="auto"/>
                  <w:vAlign w:val="center"/>
                </w:tcPr>
                <w:p w14:paraId="1C1F5CA4">
                  <w:pPr>
                    <w:adjustRightInd w:val="0"/>
                    <w:snapToGrid w:val="0"/>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月</w:t>
                  </w:r>
                </w:p>
              </w:tc>
            </w:tr>
            <w:tr w14:paraId="4EF08E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9" w:type="dxa"/>
                  <w:tcBorders>
                    <w:tl2br w:val="nil"/>
                    <w:tr2bl w:val="nil"/>
                  </w:tcBorders>
                  <w:shd w:val="clear" w:color="auto" w:fill="auto"/>
                  <w:vAlign w:val="center"/>
                </w:tcPr>
                <w:p w14:paraId="13F2F3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Ⅲ</w:t>
                  </w:r>
                </w:p>
              </w:tc>
              <w:tc>
                <w:tcPr>
                  <w:tcW w:w="659" w:type="dxa"/>
                  <w:tcBorders>
                    <w:tl2br w:val="nil"/>
                    <w:tr2bl w:val="nil"/>
                  </w:tcBorders>
                  <w:shd w:val="clear" w:color="auto" w:fill="auto"/>
                  <w:vAlign w:val="center"/>
                </w:tcPr>
                <w:p w14:paraId="5594F2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Ⅱ</w:t>
                  </w:r>
                </w:p>
              </w:tc>
              <w:tc>
                <w:tcPr>
                  <w:tcW w:w="659" w:type="dxa"/>
                  <w:tcBorders>
                    <w:tl2br w:val="nil"/>
                    <w:tr2bl w:val="nil"/>
                  </w:tcBorders>
                  <w:shd w:val="clear" w:color="auto" w:fill="auto"/>
                  <w:vAlign w:val="center"/>
                </w:tcPr>
                <w:p w14:paraId="627B5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Ⅱ</w:t>
                  </w:r>
                </w:p>
              </w:tc>
              <w:tc>
                <w:tcPr>
                  <w:tcW w:w="659" w:type="dxa"/>
                  <w:gridSpan w:val="2"/>
                  <w:tcBorders>
                    <w:tl2br w:val="nil"/>
                    <w:tr2bl w:val="nil"/>
                  </w:tcBorders>
                  <w:shd w:val="clear" w:color="auto" w:fill="auto"/>
                  <w:vAlign w:val="center"/>
                </w:tcPr>
                <w:p w14:paraId="5B11D9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Ⅱ</w:t>
                  </w:r>
                </w:p>
              </w:tc>
              <w:tc>
                <w:tcPr>
                  <w:tcW w:w="659" w:type="dxa"/>
                  <w:tcBorders>
                    <w:tl2br w:val="nil"/>
                    <w:tr2bl w:val="nil"/>
                  </w:tcBorders>
                  <w:shd w:val="clear" w:color="auto" w:fill="auto"/>
                  <w:vAlign w:val="center"/>
                </w:tcPr>
                <w:p w14:paraId="2D2D40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Ⅲ</w:t>
                  </w:r>
                </w:p>
              </w:tc>
              <w:tc>
                <w:tcPr>
                  <w:tcW w:w="659" w:type="dxa"/>
                  <w:tcBorders>
                    <w:tl2br w:val="nil"/>
                    <w:tr2bl w:val="nil"/>
                  </w:tcBorders>
                  <w:shd w:val="clear" w:color="auto" w:fill="auto"/>
                  <w:vAlign w:val="center"/>
                </w:tcPr>
                <w:p w14:paraId="7E2411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Ⅱ</w:t>
                  </w:r>
                </w:p>
              </w:tc>
              <w:tc>
                <w:tcPr>
                  <w:tcW w:w="660" w:type="dxa"/>
                  <w:tcBorders>
                    <w:tl2br w:val="nil"/>
                    <w:tr2bl w:val="nil"/>
                  </w:tcBorders>
                  <w:shd w:val="clear" w:color="auto" w:fill="auto"/>
                  <w:vAlign w:val="center"/>
                </w:tcPr>
                <w:p w14:paraId="4131B1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Ⅱ</w:t>
                  </w:r>
                </w:p>
              </w:tc>
              <w:tc>
                <w:tcPr>
                  <w:tcW w:w="660" w:type="dxa"/>
                  <w:tcBorders>
                    <w:tl2br w:val="nil"/>
                    <w:tr2bl w:val="nil"/>
                  </w:tcBorders>
                  <w:shd w:val="clear" w:color="auto" w:fill="auto"/>
                  <w:vAlign w:val="center"/>
                </w:tcPr>
                <w:p w14:paraId="318F9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Ⅲ</w:t>
                  </w:r>
                </w:p>
              </w:tc>
              <w:tc>
                <w:tcPr>
                  <w:tcW w:w="660" w:type="dxa"/>
                  <w:tcBorders>
                    <w:tl2br w:val="nil"/>
                    <w:tr2bl w:val="nil"/>
                  </w:tcBorders>
                  <w:shd w:val="clear" w:color="auto" w:fill="auto"/>
                  <w:vAlign w:val="center"/>
                </w:tcPr>
                <w:p w14:paraId="1914EA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Ⅲ</w:t>
                  </w:r>
                </w:p>
              </w:tc>
              <w:tc>
                <w:tcPr>
                  <w:tcW w:w="660" w:type="dxa"/>
                  <w:tcBorders>
                    <w:tl2br w:val="nil"/>
                    <w:tr2bl w:val="nil"/>
                  </w:tcBorders>
                  <w:shd w:val="clear" w:color="auto" w:fill="auto"/>
                  <w:vAlign w:val="center"/>
                </w:tcPr>
                <w:p w14:paraId="671B8B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Ⅲ</w:t>
                  </w:r>
                </w:p>
              </w:tc>
              <w:tc>
                <w:tcPr>
                  <w:tcW w:w="660" w:type="dxa"/>
                  <w:tcBorders>
                    <w:tl2br w:val="nil"/>
                    <w:tr2bl w:val="nil"/>
                  </w:tcBorders>
                  <w:shd w:val="clear" w:color="auto" w:fill="auto"/>
                  <w:vAlign w:val="center"/>
                </w:tcPr>
                <w:p w14:paraId="7215D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Ⅲ</w:t>
                  </w:r>
                </w:p>
              </w:tc>
              <w:tc>
                <w:tcPr>
                  <w:tcW w:w="660" w:type="dxa"/>
                  <w:tcBorders>
                    <w:tl2br w:val="nil"/>
                    <w:tr2bl w:val="nil"/>
                  </w:tcBorders>
                  <w:shd w:val="clear" w:color="auto" w:fill="auto"/>
                  <w:vAlign w:val="center"/>
                </w:tcPr>
                <w:p w14:paraId="0962B9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highlight w:val="none"/>
                      <w:vertAlign w:val="baseline"/>
                      <w:lang w:val="en-US" w:eastAsia="zh-CN"/>
                    </w:rPr>
                    <w:t>Ⅲ</w:t>
                  </w:r>
                </w:p>
              </w:tc>
            </w:tr>
          </w:tbl>
          <w:p w14:paraId="1C7633C8">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根据上述分析， 2024年0</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eastAsia="zh-CN"/>
              </w:rPr>
              <w:t>凉水河中下段</w:t>
            </w:r>
            <w:r>
              <w:rPr>
                <w:rFonts w:hint="default" w:ascii="Times New Roman" w:hAnsi="Times New Roman" w:eastAsia="宋体" w:cs="Times New Roman"/>
                <w:color w:val="auto"/>
                <w:sz w:val="24"/>
                <w:highlight w:val="none"/>
              </w:rPr>
              <w:t>现状水质均能达到《地表水环境质量标准》（GB3838-2002）中的Ⅴ类水质标准要求。</w:t>
            </w:r>
          </w:p>
          <w:p w14:paraId="394A74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3、声环境质量现状</w:t>
            </w:r>
          </w:p>
          <w:p w14:paraId="2019CB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eastAsia="宋体" w:cs="Times New Roman"/>
                <w:color w:val="auto"/>
                <w:kern w:val="2"/>
                <w:sz w:val="24"/>
                <w:szCs w:val="24"/>
                <w:vertAlign w:val="baseline"/>
                <w:lang w:val="en-US" w:eastAsia="zh-CN" w:bidi="ar-SA"/>
              </w:rPr>
              <w:t>根据“北京经济技术开发区管理委员会关于印发《北京经济技术开发区声环境功能区划实施细则》的通知”，本项目所在区域属于3类区，高速公路、一级公路、二级公路、城市快速路、城市主干路、城市次干路、城市轨道交通（地面段）两侧2</w:t>
            </w:r>
            <w:r>
              <w:rPr>
                <w:rFonts w:hint="eastAsia" w:cs="Times New Roman"/>
                <w:color w:val="auto"/>
                <w:kern w:val="2"/>
                <w:sz w:val="24"/>
                <w:szCs w:val="24"/>
                <w:vertAlign w:val="baseline"/>
                <w:lang w:val="en-US" w:eastAsia="zh-CN" w:bidi="ar-SA"/>
              </w:rPr>
              <w:t>5</w:t>
            </w:r>
            <w:r>
              <w:rPr>
                <w:rFonts w:hint="eastAsia" w:ascii="Times New Roman" w:hAnsi="Times New Roman" w:eastAsia="宋体" w:cs="Times New Roman"/>
                <w:color w:val="auto"/>
                <w:kern w:val="2"/>
                <w:sz w:val="24"/>
                <w:szCs w:val="24"/>
                <w:vertAlign w:val="baseline"/>
                <w:lang w:val="en-US" w:eastAsia="zh-CN" w:bidi="ar-SA"/>
              </w:rPr>
              <w:t>m</w:t>
            </w:r>
            <w:r>
              <w:rPr>
                <w:rFonts w:hint="eastAsia" w:cs="Times New Roman"/>
                <w:color w:val="auto"/>
                <w:kern w:val="2"/>
                <w:sz w:val="24"/>
                <w:szCs w:val="24"/>
                <w:vertAlign w:val="baseline"/>
                <w:lang w:val="en-US" w:eastAsia="zh-CN" w:bidi="ar-SA"/>
              </w:rPr>
              <w:t>范围内区域</w:t>
            </w:r>
            <w:r>
              <w:rPr>
                <w:rFonts w:hint="eastAsia" w:ascii="Times New Roman" w:hAnsi="Times New Roman" w:eastAsia="宋体" w:cs="Times New Roman"/>
                <w:color w:val="auto"/>
                <w:kern w:val="2"/>
                <w:sz w:val="24"/>
                <w:szCs w:val="24"/>
                <w:vertAlign w:val="baseline"/>
                <w:lang w:val="en-US" w:eastAsia="zh-CN" w:bidi="ar-SA"/>
              </w:rPr>
              <w:t>执行《声环境质量标准》（GB3096-2008）中4a类标准。项目北侧科创十三街为城市支路，与本项目距离约</w:t>
            </w:r>
            <w:r>
              <w:rPr>
                <w:rFonts w:hint="eastAsia" w:cs="Times New Roman"/>
                <w:color w:val="auto"/>
                <w:kern w:val="2"/>
                <w:sz w:val="24"/>
                <w:szCs w:val="24"/>
                <w:vertAlign w:val="baseline"/>
                <w:lang w:val="en-US" w:eastAsia="zh-CN" w:bidi="ar-SA"/>
              </w:rPr>
              <w:t>49</w:t>
            </w:r>
            <w:r>
              <w:rPr>
                <w:rFonts w:hint="eastAsia" w:ascii="Times New Roman" w:hAnsi="Times New Roman" w:eastAsia="宋体" w:cs="Times New Roman"/>
                <w:color w:val="auto"/>
                <w:kern w:val="2"/>
                <w:sz w:val="24"/>
                <w:szCs w:val="24"/>
                <w:vertAlign w:val="baseline"/>
                <w:lang w:val="en-US" w:eastAsia="zh-CN" w:bidi="ar-SA"/>
              </w:rPr>
              <w:t>m；项目东侧经海五路为城市支路，与本项目距离为</w:t>
            </w:r>
            <w:r>
              <w:rPr>
                <w:rFonts w:hint="eastAsia" w:cs="Times New Roman"/>
                <w:color w:val="auto"/>
                <w:kern w:val="2"/>
                <w:sz w:val="24"/>
                <w:szCs w:val="24"/>
                <w:vertAlign w:val="baseline"/>
                <w:lang w:val="en-US" w:eastAsia="zh-CN" w:bidi="ar-SA"/>
              </w:rPr>
              <w:t>74</w:t>
            </w:r>
            <w:r>
              <w:rPr>
                <w:rFonts w:hint="eastAsia" w:ascii="Times New Roman" w:hAnsi="Times New Roman" w:eastAsia="宋体" w:cs="Times New Roman"/>
                <w:color w:val="auto"/>
                <w:kern w:val="2"/>
                <w:sz w:val="24"/>
                <w:szCs w:val="24"/>
                <w:vertAlign w:val="baseline"/>
                <w:lang w:val="en-US" w:eastAsia="zh-CN" w:bidi="ar-SA"/>
              </w:rPr>
              <w:t>m</w:t>
            </w:r>
            <w:r>
              <w:rPr>
                <w:rFonts w:hint="eastAsia" w:cs="Times New Roman"/>
                <w:color w:val="auto"/>
                <w:kern w:val="2"/>
                <w:sz w:val="24"/>
                <w:szCs w:val="24"/>
                <w:vertAlign w:val="baseline"/>
                <w:lang w:val="en-US" w:eastAsia="zh-CN" w:bidi="ar-SA"/>
              </w:rPr>
              <w:t>；</w:t>
            </w:r>
            <w:r>
              <w:rPr>
                <w:rFonts w:hint="eastAsia" w:ascii="Times New Roman" w:hAnsi="Times New Roman" w:eastAsia="宋体" w:cs="Times New Roman"/>
                <w:color w:val="auto"/>
                <w:kern w:val="2"/>
                <w:sz w:val="24"/>
                <w:szCs w:val="24"/>
                <w:vertAlign w:val="baseline"/>
                <w:lang w:val="en-US" w:eastAsia="zh-CN" w:bidi="ar-SA"/>
              </w:rPr>
              <w:t>项目</w:t>
            </w:r>
            <w:r>
              <w:rPr>
                <w:rFonts w:hint="eastAsia" w:cs="Times New Roman"/>
                <w:color w:val="auto"/>
                <w:kern w:val="2"/>
                <w:sz w:val="24"/>
                <w:szCs w:val="24"/>
                <w:vertAlign w:val="baseline"/>
                <w:lang w:val="en-US" w:eastAsia="zh-CN" w:bidi="ar-SA"/>
              </w:rPr>
              <w:t>西</w:t>
            </w:r>
            <w:r>
              <w:rPr>
                <w:rFonts w:hint="eastAsia" w:ascii="Times New Roman" w:hAnsi="Times New Roman" w:eastAsia="宋体" w:cs="Times New Roman"/>
                <w:color w:val="auto"/>
                <w:kern w:val="2"/>
                <w:sz w:val="24"/>
                <w:szCs w:val="24"/>
                <w:vertAlign w:val="baseline"/>
                <w:lang w:val="en-US" w:eastAsia="zh-CN" w:bidi="ar-SA"/>
              </w:rPr>
              <w:t>侧经海路为</w:t>
            </w:r>
            <w:r>
              <w:rPr>
                <w:rFonts w:hint="eastAsia" w:cs="Times New Roman"/>
                <w:color w:val="auto"/>
                <w:kern w:val="2"/>
                <w:sz w:val="24"/>
                <w:szCs w:val="24"/>
                <w:vertAlign w:val="baseline"/>
                <w:lang w:val="en-US" w:eastAsia="zh-CN" w:bidi="ar-SA"/>
              </w:rPr>
              <w:t>主干</w:t>
            </w:r>
            <w:r>
              <w:rPr>
                <w:rFonts w:hint="eastAsia" w:ascii="Times New Roman" w:hAnsi="Times New Roman" w:eastAsia="宋体" w:cs="Times New Roman"/>
                <w:color w:val="auto"/>
                <w:kern w:val="2"/>
                <w:sz w:val="24"/>
                <w:szCs w:val="24"/>
                <w:vertAlign w:val="baseline"/>
                <w:lang w:val="en-US" w:eastAsia="zh-CN" w:bidi="ar-SA"/>
              </w:rPr>
              <w:t>路，与本项目距离为</w:t>
            </w:r>
            <w:r>
              <w:rPr>
                <w:rFonts w:hint="eastAsia" w:cs="Times New Roman"/>
                <w:color w:val="auto"/>
                <w:kern w:val="2"/>
                <w:sz w:val="24"/>
                <w:szCs w:val="24"/>
                <w:vertAlign w:val="baseline"/>
                <w:lang w:val="en-US" w:eastAsia="zh-CN" w:bidi="ar-SA"/>
              </w:rPr>
              <w:t>230</w:t>
            </w:r>
            <w:r>
              <w:rPr>
                <w:rFonts w:hint="eastAsia" w:ascii="Times New Roman" w:hAnsi="Times New Roman" w:eastAsia="宋体" w:cs="Times New Roman"/>
                <w:color w:val="auto"/>
                <w:kern w:val="2"/>
                <w:sz w:val="24"/>
                <w:szCs w:val="24"/>
                <w:vertAlign w:val="baseline"/>
                <w:lang w:val="en-US" w:eastAsia="zh-CN" w:bidi="ar-SA"/>
              </w:rPr>
              <w:t>m。因此，本项目执行《声环境质量标准》（GB3096-2008）中3类标准。</w:t>
            </w:r>
          </w:p>
          <w:p w14:paraId="428D79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vertAlign w:val="baseline"/>
                <w:lang w:val="en-US" w:eastAsia="zh-CN"/>
              </w:rPr>
            </w:pPr>
            <w:r>
              <w:rPr>
                <w:rFonts w:hint="eastAsia" w:ascii="Times New Roman" w:hAnsi="Times New Roman" w:eastAsia="宋体" w:cs="Times New Roman"/>
                <w:color w:val="auto"/>
                <w:kern w:val="2"/>
                <w:sz w:val="24"/>
                <w:szCs w:val="24"/>
                <w:vertAlign w:val="baseline"/>
                <w:lang w:val="en-US" w:eastAsia="zh-CN" w:bidi="ar-SA"/>
              </w:rPr>
              <w:t>根据《建设项目环境影响报告表编制技术指南（污染类）》中规定，“厂界外周边50米范围内存在声环境保护目标的建设项目，</w:t>
            </w:r>
            <w:r>
              <w:rPr>
                <w:rFonts w:hint="eastAsia" w:cs="Times New Roman"/>
                <w:color w:val="auto"/>
                <w:sz w:val="24"/>
                <w:szCs w:val="24"/>
                <w:vertAlign w:val="baseline"/>
                <w:lang w:val="en-US" w:eastAsia="zh-CN"/>
              </w:rPr>
              <w:t>应监测保护目标声环境质量现状并评价达标情况”。根据现场调查，本项目50m范围内不存在医院、学校、机关、科研单位、住宅等声环境敏感目标。因此，无需对项目周边声环境现状进行监测。</w:t>
            </w:r>
          </w:p>
          <w:p w14:paraId="5940E0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4、生态环境</w:t>
            </w:r>
          </w:p>
          <w:p w14:paraId="533243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项目利用已有建筑，不新增用地且无生态环境目标，无需进行生态现状调查。</w:t>
            </w:r>
          </w:p>
          <w:p w14:paraId="7E39FC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5、地下水、土壤环境</w:t>
            </w:r>
          </w:p>
          <w:p w14:paraId="59CFC3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vertAlign w:val="baseline"/>
              </w:rPr>
            </w:pPr>
            <w:r>
              <w:rPr>
                <w:rFonts w:hint="eastAsia" w:cs="Times New Roman"/>
                <w:color w:val="auto"/>
                <w:sz w:val="24"/>
                <w:szCs w:val="24"/>
                <w:vertAlign w:val="baseline"/>
                <w:lang w:val="en-US" w:eastAsia="zh-CN"/>
              </w:rPr>
              <w:t>根据《建设项目环境影响报告表编制技术指南（污染影响类）》（试行），原则上不开展土壤、地下水环境质量现状调查。根据《北京市人民政府关于通州区集中式饮用水水源保护区划定方案的批复》（京政函[2014]164号）、《北京市人民政府关于调整通州区集中式饮用水水源保护区范围的批复》（京政函[2016]24号）、《北京市人民政府关于调整市级地下饮用水水源保护区范围的通知》（京政发[2015]33号）和《北京市人民政府关于调整部分市级饮用水水源保护区范围的批复》（京政字[2021]41号），项目不在地下水源保护区范围内。根据分析，项目不涉及重金属、持久性有机污染物、难降解有机物的大气沉降，且企业已做好实验室、危废暂存间等的防渗漏措施，项目位于所在建筑三层，与土壤、地下水有空间阻隔，因此正常工况下，项目不存在垂直入渗、地面漫流影响等地下水、土壤环境污染途径，故无需开展土壤、地下水环境质量现状调查。</w:t>
            </w:r>
          </w:p>
        </w:tc>
      </w:tr>
      <w:tr w14:paraId="1879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4582E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环境保护目标</w:t>
            </w:r>
          </w:p>
        </w:tc>
        <w:tc>
          <w:tcPr>
            <w:tcW w:w="8239" w:type="dxa"/>
            <w:vAlign w:val="center"/>
          </w:tcPr>
          <w:p w14:paraId="34FEF5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1、大气环境</w:t>
            </w:r>
          </w:p>
          <w:p w14:paraId="00BDD6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vertAlign w:val="baseline"/>
                <w:lang w:val="en-US" w:eastAsia="zh-CN"/>
              </w:rPr>
            </w:pPr>
            <w:r>
              <w:rPr>
                <w:rFonts w:hint="eastAsia" w:cs="Times New Roman"/>
                <w:color w:val="auto"/>
                <w:sz w:val="24"/>
                <w:szCs w:val="24"/>
                <w:vertAlign w:val="baseline"/>
                <w:lang w:val="en-US" w:eastAsia="zh-CN"/>
              </w:rPr>
              <w:t>根据现场踏勘，项目500m评价范围内大气环境保护目标具体情况详见下表。</w:t>
            </w:r>
          </w:p>
          <w:p w14:paraId="482DC9EC">
            <w:pPr>
              <w:pStyle w:val="15"/>
              <w:numPr>
                <w:ilvl w:val="0"/>
                <w:numId w:val="15"/>
              </w:numPr>
              <w:bidi w:val="0"/>
              <w:ind w:left="425" w:leftChars="0" w:hanging="425" w:firstLineChars="0"/>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项目评价范围内主要环境保护目标一览表</w:t>
            </w:r>
          </w:p>
          <w:tbl>
            <w:tblPr>
              <w:tblStyle w:val="11"/>
              <w:tblW w:w="49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392"/>
              <w:gridCol w:w="1337"/>
              <w:gridCol w:w="1212"/>
              <w:gridCol w:w="1092"/>
              <w:gridCol w:w="852"/>
              <w:gridCol w:w="864"/>
              <w:gridCol w:w="948"/>
              <w:gridCol w:w="1166"/>
            </w:tblGrid>
            <w:tr w14:paraId="12F9258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2" w:type="dxa"/>
                  <w:vMerge w:val="restart"/>
                  <w:tcBorders>
                    <w:tl2br w:val="nil"/>
                    <w:tr2bl w:val="nil"/>
                  </w:tcBorders>
                  <w:shd w:val="clear" w:color="auto" w:fill="FFFFFF"/>
                  <w:vAlign w:val="center"/>
                </w:tcPr>
                <w:p w14:paraId="5DED811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序号</w:t>
                  </w:r>
                </w:p>
              </w:tc>
              <w:tc>
                <w:tcPr>
                  <w:tcW w:w="1337" w:type="dxa"/>
                  <w:vMerge w:val="restart"/>
                  <w:tcBorders>
                    <w:tl2br w:val="nil"/>
                    <w:tr2bl w:val="nil"/>
                  </w:tcBorders>
                  <w:shd w:val="clear" w:color="auto" w:fill="FFFFFF"/>
                  <w:vAlign w:val="center"/>
                </w:tcPr>
                <w:p w14:paraId="33203A8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名称</w:t>
                  </w:r>
                </w:p>
              </w:tc>
              <w:tc>
                <w:tcPr>
                  <w:tcW w:w="2304" w:type="dxa"/>
                  <w:gridSpan w:val="2"/>
                  <w:tcBorders>
                    <w:tl2br w:val="nil"/>
                    <w:tr2bl w:val="nil"/>
                  </w:tcBorders>
                  <w:shd w:val="clear" w:color="auto" w:fill="FFFFFF"/>
                  <w:vAlign w:val="center"/>
                </w:tcPr>
                <w:p w14:paraId="29F78AA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坐标</w:t>
                  </w:r>
                </w:p>
              </w:tc>
              <w:tc>
                <w:tcPr>
                  <w:tcW w:w="852" w:type="dxa"/>
                  <w:vMerge w:val="restart"/>
                  <w:tcBorders>
                    <w:tl2br w:val="nil"/>
                    <w:tr2bl w:val="nil"/>
                  </w:tcBorders>
                  <w:shd w:val="clear" w:color="auto" w:fill="FFFFFF"/>
                  <w:vAlign w:val="center"/>
                </w:tcPr>
                <w:p w14:paraId="5F45F47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保护</w:t>
                  </w:r>
                </w:p>
                <w:p w14:paraId="3E3752C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对象</w:t>
                  </w:r>
                </w:p>
              </w:tc>
              <w:tc>
                <w:tcPr>
                  <w:tcW w:w="864" w:type="dxa"/>
                  <w:vMerge w:val="restart"/>
                  <w:tcBorders>
                    <w:tl2br w:val="nil"/>
                    <w:tr2bl w:val="nil"/>
                  </w:tcBorders>
                  <w:shd w:val="clear" w:color="auto" w:fill="FFFFFF"/>
                  <w:vAlign w:val="center"/>
                </w:tcPr>
                <w:p w14:paraId="17BCBC4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环境</w:t>
                  </w:r>
                </w:p>
                <w:p w14:paraId="31154A8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功能区</w:t>
                  </w:r>
                </w:p>
              </w:tc>
              <w:tc>
                <w:tcPr>
                  <w:tcW w:w="948" w:type="dxa"/>
                  <w:vMerge w:val="restart"/>
                  <w:tcBorders>
                    <w:tl2br w:val="nil"/>
                    <w:tr2bl w:val="nil"/>
                  </w:tcBorders>
                  <w:shd w:val="clear" w:color="auto" w:fill="FFFFFF"/>
                  <w:vAlign w:val="center"/>
                </w:tcPr>
                <w:p w14:paraId="4E2AF27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相对厂址方位</w:t>
                  </w:r>
                </w:p>
              </w:tc>
              <w:tc>
                <w:tcPr>
                  <w:tcW w:w="1166" w:type="dxa"/>
                  <w:vMerge w:val="restart"/>
                  <w:tcBorders>
                    <w:tl2br w:val="nil"/>
                    <w:tr2bl w:val="nil"/>
                  </w:tcBorders>
                  <w:shd w:val="clear" w:color="auto" w:fill="FFFFFF"/>
                  <w:vAlign w:val="center"/>
                </w:tcPr>
                <w:p w14:paraId="03331F5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相对厂界距离/m</w:t>
                  </w:r>
                </w:p>
              </w:tc>
            </w:tr>
            <w:tr w14:paraId="310C158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2" w:type="dxa"/>
                  <w:vMerge w:val="continue"/>
                  <w:tcBorders>
                    <w:tl2br w:val="nil"/>
                    <w:tr2bl w:val="nil"/>
                  </w:tcBorders>
                  <w:shd w:val="clear" w:color="auto" w:fill="FFFFFF"/>
                  <w:vAlign w:val="center"/>
                </w:tcPr>
                <w:p w14:paraId="4CBEDAA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18"/>
                      <w:szCs w:val="18"/>
                      <w:highlight w:val="none"/>
                    </w:rPr>
                  </w:pPr>
                </w:p>
              </w:tc>
              <w:tc>
                <w:tcPr>
                  <w:tcW w:w="1337" w:type="dxa"/>
                  <w:vMerge w:val="continue"/>
                  <w:tcBorders>
                    <w:tl2br w:val="nil"/>
                    <w:tr2bl w:val="nil"/>
                  </w:tcBorders>
                  <w:shd w:val="clear" w:color="auto" w:fill="FFFFFF"/>
                  <w:vAlign w:val="center"/>
                </w:tcPr>
                <w:p w14:paraId="49D8775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18"/>
                      <w:szCs w:val="18"/>
                      <w:highlight w:val="none"/>
                    </w:rPr>
                  </w:pPr>
                </w:p>
              </w:tc>
              <w:tc>
                <w:tcPr>
                  <w:tcW w:w="1212" w:type="dxa"/>
                  <w:tcBorders>
                    <w:tl2br w:val="nil"/>
                    <w:tr2bl w:val="nil"/>
                  </w:tcBorders>
                  <w:shd w:val="clear" w:color="auto" w:fill="FFFFFF"/>
                  <w:vAlign w:val="center"/>
                </w:tcPr>
                <w:p w14:paraId="1CD9189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X</w:t>
                  </w:r>
                </w:p>
              </w:tc>
              <w:tc>
                <w:tcPr>
                  <w:tcW w:w="1092" w:type="dxa"/>
                  <w:tcBorders>
                    <w:tl2br w:val="nil"/>
                    <w:tr2bl w:val="nil"/>
                  </w:tcBorders>
                  <w:shd w:val="clear" w:color="auto" w:fill="FFFFFF"/>
                  <w:vAlign w:val="center"/>
                </w:tcPr>
                <w:p w14:paraId="2E409B0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21"/>
                      <w:szCs w:val="21"/>
                      <w:highlight w:val="none"/>
                    </w:rPr>
                  </w:pPr>
                  <w:r>
                    <w:rPr>
                      <w:b/>
                      <w:bCs/>
                      <w:color w:val="auto"/>
                      <w:sz w:val="21"/>
                      <w:szCs w:val="21"/>
                      <w:highlight w:val="none"/>
                    </w:rPr>
                    <w:t>Y</w:t>
                  </w:r>
                </w:p>
              </w:tc>
              <w:tc>
                <w:tcPr>
                  <w:tcW w:w="852" w:type="dxa"/>
                  <w:vMerge w:val="continue"/>
                  <w:tcBorders>
                    <w:tl2br w:val="nil"/>
                    <w:tr2bl w:val="nil"/>
                  </w:tcBorders>
                  <w:shd w:val="clear" w:color="auto" w:fill="FFFFFF"/>
                  <w:vAlign w:val="center"/>
                </w:tcPr>
                <w:p w14:paraId="07CC1E7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18"/>
                      <w:szCs w:val="18"/>
                      <w:highlight w:val="none"/>
                    </w:rPr>
                  </w:pPr>
                </w:p>
              </w:tc>
              <w:tc>
                <w:tcPr>
                  <w:tcW w:w="864" w:type="dxa"/>
                  <w:vMerge w:val="continue"/>
                  <w:tcBorders>
                    <w:tl2br w:val="nil"/>
                    <w:tr2bl w:val="nil"/>
                  </w:tcBorders>
                  <w:shd w:val="clear" w:color="auto" w:fill="FFFFFF"/>
                  <w:vAlign w:val="center"/>
                </w:tcPr>
                <w:p w14:paraId="6C5730B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18"/>
                      <w:szCs w:val="18"/>
                      <w:highlight w:val="none"/>
                    </w:rPr>
                  </w:pPr>
                </w:p>
              </w:tc>
              <w:tc>
                <w:tcPr>
                  <w:tcW w:w="948" w:type="dxa"/>
                  <w:vMerge w:val="continue"/>
                  <w:tcBorders>
                    <w:tl2br w:val="nil"/>
                    <w:tr2bl w:val="nil"/>
                  </w:tcBorders>
                  <w:shd w:val="clear" w:color="auto" w:fill="FFFFFF"/>
                  <w:vAlign w:val="center"/>
                </w:tcPr>
                <w:p w14:paraId="0C1A079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18"/>
                      <w:szCs w:val="18"/>
                      <w:highlight w:val="none"/>
                    </w:rPr>
                  </w:pPr>
                </w:p>
              </w:tc>
              <w:tc>
                <w:tcPr>
                  <w:tcW w:w="1166" w:type="dxa"/>
                  <w:vMerge w:val="continue"/>
                  <w:tcBorders>
                    <w:tl2br w:val="nil"/>
                    <w:tr2bl w:val="nil"/>
                  </w:tcBorders>
                  <w:shd w:val="clear" w:color="auto" w:fill="FFFFFF"/>
                  <w:vAlign w:val="center"/>
                </w:tcPr>
                <w:p w14:paraId="130DC51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b/>
                      <w:bCs/>
                      <w:color w:val="auto"/>
                      <w:sz w:val="18"/>
                      <w:szCs w:val="18"/>
                      <w:highlight w:val="none"/>
                    </w:rPr>
                  </w:pPr>
                </w:p>
              </w:tc>
            </w:tr>
            <w:tr w14:paraId="3A34A0D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2" w:type="dxa"/>
                  <w:tcBorders>
                    <w:tl2br w:val="nil"/>
                    <w:tr2bl w:val="nil"/>
                  </w:tcBorders>
                  <w:shd w:val="clear" w:color="auto" w:fill="FFFFFF"/>
                  <w:vAlign w:val="center"/>
                </w:tcPr>
                <w:p w14:paraId="57495CEB">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1337" w:type="dxa"/>
                  <w:tcBorders>
                    <w:tl2br w:val="nil"/>
                    <w:tr2bl w:val="nil"/>
                  </w:tcBorders>
                  <w:shd w:val="clear" w:color="auto" w:fill="FFFFFF"/>
                  <w:vAlign w:val="center"/>
                </w:tcPr>
                <w:p w14:paraId="3764ED3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both"/>
                    <w:textAlignment w:val="auto"/>
                    <w:rPr>
                      <w:rFonts w:hint="eastAsia" w:eastAsia="宋体"/>
                      <w:color w:val="auto"/>
                      <w:sz w:val="21"/>
                      <w:szCs w:val="21"/>
                      <w:highlight w:val="none"/>
                      <w:lang w:eastAsia="zh-CN"/>
                    </w:rPr>
                  </w:pPr>
                  <w:r>
                    <w:rPr>
                      <w:rFonts w:hint="eastAsia"/>
                      <w:color w:val="auto"/>
                      <w:sz w:val="21"/>
                      <w:szCs w:val="21"/>
                      <w:highlight w:val="none"/>
                      <w:lang w:eastAsia="zh-CN"/>
                    </w:rPr>
                    <w:t>万泽经海广场- 菁英荟住宅区</w:t>
                  </w:r>
                </w:p>
              </w:tc>
              <w:tc>
                <w:tcPr>
                  <w:tcW w:w="1212" w:type="dxa"/>
                  <w:tcBorders>
                    <w:tl2br w:val="nil"/>
                    <w:tr2bl w:val="nil"/>
                  </w:tcBorders>
                  <w:shd w:val="clear" w:color="auto" w:fill="FFFFFF"/>
                  <w:vAlign w:val="center"/>
                </w:tcPr>
                <w:p w14:paraId="23EBE9A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rFonts w:hint="default" w:eastAsia="宋体"/>
                      <w:color w:val="auto"/>
                      <w:sz w:val="21"/>
                      <w:szCs w:val="21"/>
                      <w:highlight w:val="none"/>
                      <w:lang w:val="en-US" w:eastAsia="zh-CN"/>
                    </w:rPr>
                  </w:pPr>
                  <w:r>
                    <w:rPr>
                      <w:rFonts w:hint="eastAsia"/>
                      <w:color w:val="auto"/>
                      <w:sz w:val="21"/>
                      <w:szCs w:val="21"/>
                      <w:highlight w:val="none"/>
                    </w:rPr>
                    <w:t>116.55</w:t>
                  </w:r>
                  <w:r>
                    <w:rPr>
                      <w:rFonts w:hint="eastAsia"/>
                      <w:color w:val="auto"/>
                      <w:sz w:val="21"/>
                      <w:szCs w:val="21"/>
                      <w:highlight w:val="none"/>
                      <w:lang w:val="en-US" w:eastAsia="zh-CN"/>
                    </w:rPr>
                    <w:t>683</w:t>
                  </w:r>
                  <w:r>
                    <w:rPr>
                      <w:rFonts w:hint="eastAsia"/>
                      <w:color w:val="auto"/>
                      <w:sz w:val="21"/>
                      <w:szCs w:val="21"/>
                      <w:highlight w:val="none"/>
                      <w:vertAlign w:val="superscript"/>
                      <w:lang w:val="en-US" w:eastAsia="zh-CN"/>
                    </w:rPr>
                    <w:t>。</w:t>
                  </w:r>
                </w:p>
              </w:tc>
              <w:tc>
                <w:tcPr>
                  <w:tcW w:w="1092" w:type="dxa"/>
                  <w:tcBorders>
                    <w:tl2br w:val="nil"/>
                    <w:tr2bl w:val="nil"/>
                  </w:tcBorders>
                  <w:shd w:val="clear" w:color="auto" w:fill="FFFFFF"/>
                  <w:vAlign w:val="center"/>
                </w:tcPr>
                <w:p w14:paraId="71BE06E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rFonts w:hint="default" w:eastAsia="宋体"/>
                      <w:color w:val="auto"/>
                      <w:sz w:val="21"/>
                      <w:szCs w:val="21"/>
                      <w:highlight w:val="none"/>
                      <w:lang w:val="en-US" w:eastAsia="zh-CN"/>
                    </w:rPr>
                  </w:pPr>
                  <w:r>
                    <w:rPr>
                      <w:rFonts w:hint="eastAsia"/>
                      <w:color w:val="auto"/>
                      <w:sz w:val="21"/>
                      <w:szCs w:val="21"/>
                      <w:highlight w:val="none"/>
                    </w:rPr>
                    <w:t>39.</w:t>
                  </w:r>
                  <w:r>
                    <w:rPr>
                      <w:rFonts w:hint="eastAsia"/>
                      <w:color w:val="auto"/>
                      <w:sz w:val="21"/>
                      <w:szCs w:val="21"/>
                      <w:highlight w:val="none"/>
                      <w:lang w:val="en-US" w:eastAsia="zh-CN"/>
                    </w:rPr>
                    <w:t>77990</w:t>
                  </w:r>
                  <w:r>
                    <w:rPr>
                      <w:rFonts w:hint="eastAsia"/>
                      <w:color w:val="auto"/>
                      <w:sz w:val="21"/>
                      <w:szCs w:val="21"/>
                      <w:highlight w:val="none"/>
                      <w:vertAlign w:val="superscript"/>
                      <w:lang w:val="en-US" w:eastAsia="zh-CN"/>
                    </w:rPr>
                    <w:t>。</w:t>
                  </w:r>
                </w:p>
              </w:tc>
              <w:tc>
                <w:tcPr>
                  <w:tcW w:w="852" w:type="dxa"/>
                  <w:tcBorders>
                    <w:tl2br w:val="nil"/>
                    <w:tr2bl w:val="nil"/>
                  </w:tcBorders>
                  <w:shd w:val="clear" w:color="auto" w:fill="FFFFFF"/>
                  <w:vAlign w:val="center"/>
                </w:tcPr>
                <w:p w14:paraId="3C2932B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sz w:val="21"/>
                      <w:szCs w:val="21"/>
                      <w:highlight w:val="none"/>
                    </w:rPr>
                  </w:pPr>
                  <w:r>
                    <w:rPr>
                      <w:rFonts w:hint="eastAsia"/>
                      <w:color w:val="auto"/>
                      <w:sz w:val="21"/>
                      <w:szCs w:val="21"/>
                      <w:highlight w:val="none"/>
                      <w:lang w:val="en-US" w:eastAsia="zh-CN"/>
                    </w:rPr>
                    <w:t>居住区</w:t>
                  </w:r>
                </w:p>
              </w:tc>
              <w:tc>
                <w:tcPr>
                  <w:tcW w:w="864" w:type="dxa"/>
                  <w:tcBorders>
                    <w:tl2br w:val="nil"/>
                    <w:tr2bl w:val="nil"/>
                  </w:tcBorders>
                  <w:shd w:val="clear" w:color="auto" w:fill="FFFFFF"/>
                  <w:vAlign w:val="center"/>
                </w:tcPr>
                <w:p w14:paraId="2BE9549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sz w:val="21"/>
                      <w:szCs w:val="21"/>
                      <w:highlight w:val="none"/>
                    </w:rPr>
                  </w:pPr>
                  <w:r>
                    <w:rPr>
                      <w:color w:val="auto"/>
                      <w:sz w:val="21"/>
                      <w:szCs w:val="21"/>
                      <w:highlight w:val="none"/>
                    </w:rPr>
                    <w:t>二类</w:t>
                  </w:r>
                </w:p>
              </w:tc>
              <w:tc>
                <w:tcPr>
                  <w:tcW w:w="948" w:type="dxa"/>
                  <w:tcBorders>
                    <w:tl2br w:val="nil"/>
                    <w:tr2bl w:val="nil"/>
                  </w:tcBorders>
                  <w:shd w:val="clear" w:color="auto" w:fill="FFFFFF"/>
                  <w:vAlign w:val="center"/>
                </w:tcPr>
                <w:p w14:paraId="7397667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rFonts w:hint="default"/>
                      <w:color w:val="auto"/>
                      <w:sz w:val="21"/>
                      <w:szCs w:val="21"/>
                      <w:highlight w:val="none"/>
                      <w:lang w:val="en-US" w:eastAsia="zh-CN"/>
                    </w:rPr>
                  </w:pPr>
                  <w:r>
                    <w:rPr>
                      <w:rFonts w:hint="eastAsia"/>
                      <w:color w:val="auto"/>
                      <w:sz w:val="21"/>
                      <w:szCs w:val="21"/>
                      <w:highlight w:val="none"/>
                      <w:lang w:val="en-US" w:eastAsia="zh-CN"/>
                    </w:rPr>
                    <w:t>SW</w:t>
                  </w:r>
                </w:p>
              </w:tc>
              <w:tc>
                <w:tcPr>
                  <w:tcW w:w="1166" w:type="dxa"/>
                  <w:tcBorders>
                    <w:tl2br w:val="nil"/>
                    <w:tr2bl w:val="nil"/>
                  </w:tcBorders>
                  <w:shd w:val="clear" w:color="auto" w:fill="FFFFFF"/>
                  <w:vAlign w:val="center"/>
                </w:tcPr>
                <w:p w14:paraId="21D6B34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470</w:t>
                  </w:r>
                </w:p>
              </w:tc>
            </w:tr>
          </w:tbl>
          <w:p w14:paraId="25E3B6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vertAlign w:val="baseline"/>
                <w:lang w:val="en-US" w:eastAsia="zh-CN"/>
              </w:rPr>
            </w:pPr>
            <w:r>
              <w:rPr>
                <w:rFonts w:hint="default" w:cs="Times New Roman"/>
                <w:color w:val="auto"/>
                <w:sz w:val="24"/>
                <w:szCs w:val="24"/>
                <w:vertAlign w:val="baseline"/>
                <w:lang w:val="en-US" w:eastAsia="zh-CN"/>
              </w:rPr>
              <w:t>2、声环境</w:t>
            </w:r>
          </w:p>
          <w:p w14:paraId="6B40B3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vertAlign w:val="baseline"/>
                <w:lang w:val="en-US" w:eastAsia="zh-CN"/>
              </w:rPr>
            </w:pPr>
            <w:r>
              <w:rPr>
                <w:rFonts w:hint="default" w:cs="Times New Roman"/>
                <w:color w:val="auto"/>
                <w:sz w:val="24"/>
                <w:szCs w:val="24"/>
                <w:vertAlign w:val="baseline"/>
                <w:lang w:val="en-US" w:eastAsia="zh-CN"/>
              </w:rPr>
              <w:t>项目厂界外50米范围内</w:t>
            </w:r>
            <w:r>
              <w:rPr>
                <w:rFonts w:hint="eastAsia" w:cs="Times New Roman"/>
                <w:color w:val="auto"/>
                <w:sz w:val="24"/>
                <w:szCs w:val="24"/>
                <w:vertAlign w:val="baseline"/>
                <w:lang w:val="en-US" w:eastAsia="zh-CN"/>
              </w:rPr>
              <w:t>无</w:t>
            </w:r>
            <w:r>
              <w:rPr>
                <w:rFonts w:hint="default" w:cs="Times New Roman"/>
                <w:color w:val="auto"/>
                <w:sz w:val="24"/>
                <w:szCs w:val="24"/>
                <w:vertAlign w:val="baseline"/>
                <w:lang w:val="en-US" w:eastAsia="zh-CN"/>
              </w:rPr>
              <w:t>声环境保护目标。</w:t>
            </w:r>
          </w:p>
          <w:p w14:paraId="37D6B5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vertAlign w:val="baseline"/>
                <w:lang w:val="en-US" w:eastAsia="zh-CN"/>
              </w:rPr>
            </w:pPr>
            <w:r>
              <w:rPr>
                <w:rFonts w:hint="default" w:cs="Times New Roman"/>
                <w:color w:val="auto"/>
                <w:sz w:val="24"/>
                <w:szCs w:val="24"/>
                <w:vertAlign w:val="baseline"/>
                <w:lang w:val="en-US" w:eastAsia="zh-CN"/>
              </w:rPr>
              <w:t>3、地下水环境</w:t>
            </w:r>
          </w:p>
          <w:p w14:paraId="2272B5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vertAlign w:val="baseline"/>
                <w:lang w:val="en-US" w:eastAsia="zh-CN"/>
              </w:rPr>
            </w:pPr>
            <w:r>
              <w:rPr>
                <w:rFonts w:hint="default" w:cs="Times New Roman"/>
                <w:color w:val="auto"/>
                <w:sz w:val="24"/>
                <w:szCs w:val="24"/>
                <w:vertAlign w:val="baseline"/>
                <w:lang w:val="en-US" w:eastAsia="zh-CN"/>
              </w:rPr>
              <w:t>项目厂界外500m范围无地下水集中式饮用水水源和内热水、矿泉水、温泉等特殊地下水资源。</w:t>
            </w:r>
          </w:p>
          <w:p w14:paraId="067063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vertAlign w:val="baseline"/>
                <w:lang w:val="en-US" w:eastAsia="zh-CN"/>
              </w:rPr>
            </w:pPr>
            <w:r>
              <w:rPr>
                <w:rFonts w:hint="default" w:cs="Times New Roman"/>
                <w:color w:val="auto"/>
                <w:sz w:val="24"/>
                <w:szCs w:val="24"/>
                <w:vertAlign w:val="baseline"/>
                <w:lang w:val="en-US" w:eastAsia="zh-CN"/>
              </w:rPr>
              <w:t>4、生态环境</w:t>
            </w:r>
          </w:p>
          <w:p w14:paraId="1FEEFE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lang w:val="en-US" w:eastAsia="zh-CN"/>
              </w:rPr>
            </w:pPr>
            <w:r>
              <w:rPr>
                <w:rFonts w:hint="default" w:cs="Times New Roman"/>
                <w:color w:val="auto"/>
                <w:sz w:val="24"/>
                <w:szCs w:val="24"/>
                <w:vertAlign w:val="baseline"/>
                <w:lang w:val="en-US" w:eastAsia="zh-CN"/>
              </w:rPr>
              <w:t>项目利用已规划为工业用地的土地，评价地区无珍稀动植物和国家保护物种、风景名胜区、森林公园、自然保护区、世界文化和自然遗产地等，周围没有生态保护目标。</w:t>
            </w:r>
          </w:p>
        </w:tc>
      </w:tr>
      <w:tr w14:paraId="25C7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775C6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污染物排放控制标准</w:t>
            </w:r>
          </w:p>
        </w:tc>
        <w:tc>
          <w:tcPr>
            <w:tcW w:w="8239" w:type="dxa"/>
            <w:vAlign w:val="center"/>
          </w:tcPr>
          <w:p w14:paraId="4725D350">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1、废气</w:t>
            </w:r>
          </w:p>
          <w:p w14:paraId="1B064D53">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本项目实验过程不使用产生挥发性有机物的原辅料，工作台面定期用酒精消毒，乙醇挥发会产生挥发性有机物（以非甲烷总烃计）。项目乙醇使用量较少，消毒产生的挥发性有机物以无组织形式排放。执行标准见下表。</w:t>
            </w:r>
          </w:p>
          <w:p w14:paraId="4369C000">
            <w:pPr>
              <w:pStyle w:val="15"/>
              <w:numPr>
                <w:ilvl w:val="0"/>
                <w:numId w:val="15"/>
              </w:numPr>
              <w:bidi w:val="0"/>
              <w:ind w:left="425" w:leftChars="0" w:hanging="425" w:firstLineChars="0"/>
              <w:rPr>
                <w:rFonts w:hint="default"/>
                <w:lang w:val="en-US" w:eastAsia="zh-CN"/>
              </w:rPr>
            </w:pPr>
            <w:r>
              <w:rPr>
                <w:rFonts w:hint="eastAsia"/>
                <w:lang w:val="en-US" w:eastAsia="zh-CN"/>
              </w:rPr>
              <w:t>项目废气执行标准</w:t>
            </w:r>
          </w:p>
          <w:tbl>
            <w:tblPr>
              <w:tblStyle w:val="1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632"/>
              <w:gridCol w:w="1464"/>
              <w:gridCol w:w="3656"/>
            </w:tblGrid>
            <w:tr w14:paraId="6CE64B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8" w:type="dxa"/>
                  <w:tcBorders>
                    <w:tl2br w:val="nil"/>
                    <w:tr2bl w:val="nil"/>
                  </w:tcBorders>
                  <w:vAlign w:val="center"/>
                </w:tcPr>
                <w:p w14:paraId="50737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排放形式</w:t>
                  </w:r>
                </w:p>
              </w:tc>
              <w:tc>
                <w:tcPr>
                  <w:tcW w:w="1632" w:type="dxa"/>
                  <w:tcBorders>
                    <w:tl2br w:val="nil"/>
                    <w:tr2bl w:val="nil"/>
                  </w:tcBorders>
                  <w:vAlign w:val="center"/>
                </w:tcPr>
                <w:p w14:paraId="3ED9B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污染物</w:t>
                  </w:r>
                </w:p>
              </w:tc>
              <w:tc>
                <w:tcPr>
                  <w:tcW w:w="1464" w:type="dxa"/>
                  <w:tcBorders>
                    <w:tl2br w:val="nil"/>
                    <w:tr2bl w:val="nil"/>
                  </w:tcBorders>
                  <w:vAlign w:val="center"/>
                </w:tcPr>
                <w:p w14:paraId="3ACBE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标准限值</w:t>
                  </w:r>
                </w:p>
              </w:tc>
              <w:tc>
                <w:tcPr>
                  <w:tcW w:w="3656" w:type="dxa"/>
                  <w:tcBorders>
                    <w:tl2br w:val="nil"/>
                    <w:tr2bl w:val="nil"/>
                  </w:tcBorders>
                  <w:vAlign w:val="center"/>
                </w:tcPr>
                <w:p w14:paraId="508595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执行标准</w:t>
                  </w:r>
                </w:p>
              </w:tc>
            </w:tr>
            <w:tr w14:paraId="166ABF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8" w:type="dxa"/>
                  <w:tcBorders>
                    <w:tl2br w:val="nil"/>
                    <w:tr2bl w:val="nil"/>
                  </w:tcBorders>
                  <w:vAlign w:val="center"/>
                </w:tcPr>
                <w:p w14:paraId="0B1E6B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1632" w:type="dxa"/>
                  <w:tcBorders>
                    <w:tl2br w:val="nil"/>
                    <w:tr2bl w:val="nil"/>
                  </w:tcBorders>
                  <w:vAlign w:val="center"/>
                </w:tcPr>
                <w:p w14:paraId="1024E5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非甲烷总烃</w:t>
                  </w:r>
                </w:p>
              </w:tc>
              <w:tc>
                <w:tcPr>
                  <w:tcW w:w="1464" w:type="dxa"/>
                  <w:tcBorders>
                    <w:tl2br w:val="nil"/>
                    <w:tr2bl w:val="nil"/>
                  </w:tcBorders>
                  <w:vAlign w:val="center"/>
                </w:tcPr>
                <w:p w14:paraId="4CC74E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1.0mg/cm</w:t>
                  </w:r>
                  <w:r>
                    <w:rPr>
                      <w:rFonts w:hint="eastAsia"/>
                      <w:color w:val="auto"/>
                      <w:sz w:val="21"/>
                      <w:szCs w:val="21"/>
                      <w:vertAlign w:val="superscript"/>
                      <w:lang w:val="en-US" w:eastAsia="zh-CN"/>
                    </w:rPr>
                    <w:t>3</w:t>
                  </w:r>
                </w:p>
              </w:tc>
              <w:tc>
                <w:tcPr>
                  <w:tcW w:w="3656" w:type="dxa"/>
                  <w:tcBorders>
                    <w:tl2br w:val="nil"/>
                    <w:tr2bl w:val="nil"/>
                  </w:tcBorders>
                  <w:vAlign w:val="center"/>
                </w:tcPr>
                <w:p w14:paraId="694FB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《大气污染物综合排放标准》DB11/501-2017中“表3 生产工艺废气及其他废气大气污染物排放限值-单位周界无组织排放监控点浓度限值”</w:t>
                  </w:r>
                </w:p>
              </w:tc>
            </w:tr>
          </w:tbl>
          <w:p w14:paraId="283D959A">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2、废水</w:t>
            </w:r>
          </w:p>
          <w:p w14:paraId="51875677">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highlight w:val="none"/>
                <w:lang w:val="en-US" w:eastAsia="zh-CN"/>
              </w:rPr>
              <w:t>本项目容器前两遍清洗废水收集后作为危险废物处理；第三遍及以后洗废水与生活污水一起进园区化粪池，最后经由市政污水管网排入北京亦庄环境科技集团有限公司东区污水处理厂处理。本项目废水排放执行《水污染物综合排放标准》（DB11/307-2013）中“表3 排入公共污水处理系统的水污染物排放限值”。具体执行标准详见</w:t>
            </w:r>
            <w:r>
              <w:rPr>
                <w:rFonts w:hint="eastAsia"/>
                <w:color w:val="auto"/>
                <w:lang w:val="en-US" w:eastAsia="zh-CN"/>
              </w:rPr>
              <w:t>下表。</w:t>
            </w:r>
          </w:p>
          <w:p w14:paraId="26C38670">
            <w:pPr>
              <w:pStyle w:val="15"/>
              <w:numPr>
                <w:ilvl w:val="0"/>
                <w:numId w:val="15"/>
              </w:numPr>
              <w:bidi w:val="0"/>
              <w:ind w:left="425" w:leftChars="0" w:hanging="425"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项目废水排放标准</w:t>
            </w:r>
          </w:p>
          <w:tbl>
            <w:tblPr>
              <w:tblStyle w:val="1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478"/>
              <w:gridCol w:w="1306"/>
              <w:gridCol w:w="1427"/>
              <w:gridCol w:w="2018"/>
            </w:tblGrid>
            <w:tr w14:paraId="69D349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vAlign w:val="center"/>
                </w:tcPr>
                <w:p w14:paraId="6971B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2478" w:type="dxa"/>
                  <w:tcBorders>
                    <w:tl2br w:val="nil"/>
                    <w:tr2bl w:val="nil"/>
                  </w:tcBorders>
                  <w:vAlign w:val="center"/>
                </w:tcPr>
                <w:p w14:paraId="727E11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污染物</w:t>
                  </w:r>
                </w:p>
              </w:tc>
              <w:tc>
                <w:tcPr>
                  <w:tcW w:w="1306" w:type="dxa"/>
                  <w:tcBorders>
                    <w:tl2br w:val="nil"/>
                    <w:tr2bl w:val="nil"/>
                  </w:tcBorders>
                  <w:vAlign w:val="center"/>
                </w:tcPr>
                <w:p w14:paraId="31AD7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标准限值</w:t>
                  </w:r>
                </w:p>
              </w:tc>
              <w:tc>
                <w:tcPr>
                  <w:tcW w:w="1427" w:type="dxa"/>
                  <w:tcBorders>
                    <w:tl2br w:val="nil"/>
                    <w:tr2bl w:val="nil"/>
                  </w:tcBorders>
                  <w:vAlign w:val="center"/>
                </w:tcPr>
                <w:p w14:paraId="486EEE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单位</w:t>
                  </w:r>
                </w:p>
              </w:tc>
              <w:tc>
                <w:tcPr>
                  <w:tcW w:w="2018" w:type="dxa"/>
                  <w:tcBorders>
                    <w:tl2br w:val="nil"/>
                    <w:tr2bl w:val="nil"/>
                  </w:tcBorders>
                  <w:vAlign w:val="center"/>
                </w:tcPr>
                <w:p w14:paraId="625CA5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执行标准</w:t>
                  </w:r>
                </w:p>
              </w:tc>
            </w:tr>
            <w:tr w14:paraId="350F5C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vAlign w:val="center"/>
                </w:tcPr>
                <w:p w14:paraId="4D14D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2478" w:type="dxa"/>
                  <w:tcBorders>
                    <w:tl2br w:val="nil"/>
                    <w:tr2bl w:val="nil"/>
                  </w:tcBorders>
                  <w:vAlign w:val="center"/>
                </w:tcPr>
                <w:p w14:paraId="4BE92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pH值</w:t>
                  </w:r>
                </w:p>
              </w:tc>
              <w:tc>
                <w:tcPr>
                  <w:tcW w:w="1306" w:type="dxa"/>
                  <w:tcBorders>
                    <w:tl2br w:val="nil"/>
                    <w:tr2bl w:val="nil"/>
                  </w:tcBorders>
                  <w:vAlign w:val="center"/>
                </w:tcPr>
                <w:p w14:paraId="16EE5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6.5-9</w:t>
                  </w:r>
                </w:p>
              </w:tc>
              <w:tc>
                <w:tcPr>
                  <w:tcW w:w="1427" w:type="dxa"/>
                  <w:tcBorders>
                    <w:tl2br w:val="nil"/>
                    <w:tr2bl w:val="nil"/>
                  </w:tcBorders>
                  <w:vAlign w:val="center"/>
                </w:tcPr>
                <w:p w14:paraId="55B69E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无量纲</w:t>
                  </w:r>
                </w:p>
              </w:tc>
              <w:tc>
                <w:tcPr>
                  <w:tcW w:w="2018" w:type="dxa"/>
                  <w:vMerge w:val="restart"/>
                  <w:tcBorders>
                    <w:tl2br w:val="nil"/>
                    <w:tr2bl w:val="nil"/>
                  </w:tcBorders>
                  <w:vAlign w:val="center"/>
                </w:tcPr>
                <w:p w14:paraId="71AF7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《水污染物综合排放标准》（DB11/307-2013）中“表3 排入公共污水处理系统的水污染物排放限值”</w:t>
                  </w:r>
                </w:p>
              </w:tc>
            </w:tr>
            <w:tr w14:paraId="7772C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vAlign w:val="center"/>
                </w:tcPr>
                <w:p w14:paraId="24B05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2478" w:type="dxa"/>
                  <w:tcBorders>
                    <w:tl2br w:val="nil"/>
                    <w:tr2bl w:val="nil"/>
                  </w:tcBorders>
                  <w:vAlign w:val="center"/>
                </w:tcPr>
                <w:p w14:paraId="3A6D7B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悬浮物（SS）</w:t>
                  </w:r>
                </w:p>
              </w:tc>
              <w:tc>
                <w:tcPr>
                  <w:tcW w:w="1306" w:type="dxa"/>
                  <w:tcBorders>
                    <w:tl2br w:val="nil"/>
                    <w:tr2bl w:val="nil"/>
                  </w:tcBorders>
                  <w:vAlign w:val="center"/>
                </w:tcPr>
                <w:p w14:paraId="63A58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400</w:t>
                  </w:r>
                </w:p>
              </w:tc>
              <w:tc>
                <w:tcPr>
                  <w:tcW w:w="1427" w:type="dxa"/>
                  <w:tcBorders>
                    <w:tl2br w:val="nil"/>
                    <w:tr2bl w:val="nil"/>
                  </w:tcBorders>
                  <w:vAlign w:val="center"/>
                </w:tcPr>
                <w:p w14:paraId="05FE55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mg/L</w:t>
                  </w:r>
                </w:p>
              </w:tc>
              <w:tc>
                <w:tcPr>
                  <w:tcW w:w="2018" w:type="dxa"/>
                  <w:vMerge w:val="continue"/>
                  <w:tcBorders>
                    <w:tl2br w:val="nil"/>
                    <w:tr2bl w:val="nil"/>
                  </w:tcBorders>
                  <w:vAlign w:val="center"/>
                </w:tcPr>
                <w:p w14:paraId="5C8BE8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p>
              </w:tc>
            </w:tr>
            <w:tr w14:paraId="647EEC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vAlign w:val="center"/>
                </w:tcPr>
                <w:p w14:paraId="34A78C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2478" w:type="dxa"/>
                  <w:tcBorders>
                    <w:tl2br w:val="nil"/>
                    <w:tr2bl w:val="nil"/>
                  </w:tcBorders>
                  <w:vAlign w:val="center"/>
                </w:tcPr>
                <w:p w14:paraId="7D991E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五日生化需氧量（BOD</w:t>
                  </w:r>
                  <w:r>
                    <w:rPr>
                      <w:rFonts w:hint="eastAsia"/>
                      <w:color w:val="auto"/>
                      <w:sz w:val="21"/>
                      <w:szCs w:val="21"/>
                      <w:vertAlign w:val="subscript"/>
                      <w:lang w:val="en-US" w:eastAsia="zh-CN"/>
                    </w:rPr>
                    <w:t>5</w:t>
                  </w:r>
                  <w:r>
                    <w:rPr>
                      <w:rFonts w:hint="eastAsia"/>
                      <w:color w:val="auto"/>
                      <w:sz w:val="21"/>
                      <w:szCs w:val="21"/>
                      <w:vertAlign w:val="baseline"/>
                      <w:lang w:val="en-US" w:eastAsia="zh-CN"/>
                    </w:rPr>
                    <w:t>）</w:t>
                  </w:r>
                </w:p>
              </w:tc>
              <w:tc>
                <w:tcPr>
                  <w:tcW w:w="1306" w:type="dxa"/>
                  <w:tcBorders>
                    <w:tl2br w:val="nil"/>
                    <w:tr2bl w:val="nil"/>
                  </w:tcBorders>
                  <w:vAlign w:val="center"/>
                </w:tcPr>
                <w:p w14:paraId="7B16AB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300</w:t>
                  </w:r>
                </w:p>
              </w:tc>
              <w:tc>
                <w:tcPr>
                  <w:tcW w:w="1427" w:type="dxa"/>
                  <w:tcBorders>
                    <w:tl2br w:val="nil"/>
                    <w:tr2bl w:val="nil"/>
                  </w:tcBorders>
                  <w:vAlign w:val="center"/>
                </w:tcPr>
                <w:p w14:paraId="389B1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mg/L</w:t>
                  </w:r>
                </w:p>
              </w:tc>
              <w:tc>
                <w:tcPr>
                  <w:tcW w:w="2018" w:type="dxa"/>
                  <w:vMerge w:val="continue"/>
                  <w:tcBorders>
                    <w:tl2br w:val="nil"/>
                    <w:tr2bl w:val="nil"/>
                  </w:tcBorders>
                  <w:vAlign w:val="center"/>
                </w:tcPr>
                <w:p w14:paraId="16904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p>
              </w:tc>
            </w:tr>
            <w:tr w14:paraId="363494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vAlign w:val="center"/>
                </w:tcPr>
                <w:p w14:paraId="421D2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2478" w:type="dxa"/>
                  <w:tcBorders>
                    <w:tl2br w:val="nil"/>
                    <w:tr2bl w:val="nil"/>
                  </w:tcBorders>
                  <w:vAlign w:val="center"/>
                </w:tcPr>
                <w:p w14:paraId="4E4D0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化学需氧量（CODcr）</w:t>
                  </w:r>
                </w:p>
              </w:tc>
              <w:tc>
                <w:tcPr>
                  <w:tcW w:w="1306" w:type="dxa"/>
                  <w:tcBorders>
                    <w:tl2br w:val="nil"/>
                    <w:tr2bl w:val="nil"/>
                  </w:tcBorders>
                  <w:vAlign w:val="center"/>
                </w:tcPr>
                <w:p w14:paraId="3C8D4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500</w:t>
                  </w:r>
                </w:p>
              </w:tc>
              <w:tc>
                <w:tcPr>
                  <w:tcW w:w="1427" w:type="dxa"/>
                  <w:tcBorders>
                    <w:tl2br w:val="nil"/>
                    <w:tr2bl w:val="nil"/>
                  </w:tcBorders>
                  <w:vAlign w:val="center"/>
                </w:tcPr>
                <w:p w14:paraId="7FCE13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mg/L</w:t>
                  </w:r>
                </w:p>
              </w:tc>
              <w:tc>
                <w:tcPr>
                  <w:tcW w:w="2018" w:type="dxa"/>
                  <w:vMerge w:val="continue"/>
                  <w:tcBorders>
                    <w:tl2br w:val="nil"/>
                    <w:tr2bl w:val="nil"/>
                  </w:tcBorders>
                  <w:vAlign w:val="center"/>
                </w:tcPr>
                <w:p w14:paraId="288F94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p>
              </w:tc>
            </w:tr>
            <w:tr w14:paraId="101E76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2" w:type="dxa"/>
                  <w:tcBorders>
                    <w:tl2br w:val="nil"/>
                    <w:tr2bl w:val="nil"/>
                  </w:tcBorders>
                  <w:vAlign w:val="center"/>
                </w:tcPr>
                <w:p w14:paraId="7A2D4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2478" w:type="dxa"/>
                  <w:tcBorders>
                    <w:tl2br w:val="nil"/>
                    <w:tr2bl w:val="nil"/>
                  </w:tcBorders>
                  <w:vAlign w:val="center"/>
                </w:tcPr>
                <w:p w14:paraId="48FFF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氨氮（NH</w:t>
                  </w:r>
                  <w:r>
                    <w:rPr>
                      <w:rFonts w:hint="eastAsia"/>
                      <w:color w:val="auto"/>
                      <w:sz w:val="21"/>
                      <w:szCs w:val="21"/>
                      <w:vertAlign w:val="subscript"/>
                      <w:lang w:val="en-US" w:eastAsia="zh-CN"/>
                    </w:rPr>
                    <w:t>3</w:t>
                  </w:r>
                  <w:r>
                    <w:rPr>
                      <w:rFonts w:hint="eastAsia"/>
                      <w:color w:val="auto"/>
                      <w:sz w:val="21"/>
                      <w:szCs w:val="21"/>
                      <w:vertAlign w:val="baseline"/>
                      <w:lang w:val="en-US" w:eastAsia="zh-CN"/>
                    </w:rPr>
                    <w:t>-N）</w:t>
                  </w:r>
                </w:p>
              </w:tc>
              <w:tc>
                <w:tcPr>
                  <w:tcW w:w="1306" w:type="dxa"/>
                  <w:tcBorders>
                    <w:tl2br w:val="nil"/>
                    <w:tr2bl w:val="nil"/>
                  </w:tcBorders>
                  <w:vAlign w:val="center"/>
                </w:tcPr>
                <w:p w14:paraId="5C0FC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45</w:t>
                  </w:r>
                </w:p>
              </w:tc>
              <w:tc>
                <w:tcPr>
                  <w:tcW w:w="1427" w:type="dxa"/>
                  <w:tcBorders>
                    <w:tl2br w:val="nil"/>
                    <w:tr2bl w:val="nil"/>
                  </w:tcBorders>
                  <w:vAlign w:val="center"/>
                </w:tcPr>
                <w:p w14:paraId="259501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mg/L</w:t>
                  </w:r>
                </w:p>
              </w:tc>
              <w:tc>
                <w:tcPr>
                  <w:tcW w:w="2018" w:type="dxa"/>
                  <w:vMerge w:val="continue"/>
                  <w:tcBorders>
                    <w:tl2br w:val="nil"/>
                    <w:tr2bl w:val="nil"/>
                  </w:tcBorders>
                  <w:vAlign w:val="center"/>
                </w:tcPr>
                <w:p w14:paraId="1ECD0B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p>
              </w:tc>
            </w:tr>
          </w:tbl>
          <w:p w14:paraId="332F6C60">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3、噪声</w:t>
            </w:r>
          </w:p>
          <w:p w14:paraId="0BED253C">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项目施工期噪声排放执行《建筑施工场界环境噪声排放标准》（GB12523-2011）规定的建筑施工场界环境噪声排放限值，营运期四周厂界昼夜噪声执行《工业企业厂界环境噪声排放标准》（GB 12348-2008）3类标准，具体情况详见下表。</w:t>
            </w:r>
          </w:p>
          <w:p w14:paraId="60D6A3E1">
            <w:pPr>
              <w:pStyle w:val="15"/>
              <w:numPr>
                <w:ilvl w:val="0"/>
                <w:numId w:val="15"/>
              </w:numPr>
              <w:bidi w:val="0"/>
              <w:ind w:left="425" w:leftChars="0" w:hanging="425" w:firstLineChars="0"/>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厂界环境噪声排放标准</w:t>
            </w:r>
          </w:p>
          <w:tbl>
            <w:tblPr>
              <w:tblStyle w:val="11"/>
              <w:tblW w:w="49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897"/>
              <w:gridCol w:w="1397"/>
              <w:gridCol w:w="1738"/>
              <w:gridCol w:w="3831"/>
            </w:tblGrid>
            <w:tr w14:paraId="418AB24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751" w:type="dxa"/>
                  <w:tcBorders>
                    <w:tl2br w:val="nil"/>
                    <w:tr2bl w:val="nil"/>
                  </w:tcBorders>
                  <w:shd w:val="clear" w:color="auto" w:fill="FFFFFF"/>
                  <w:vAlign w:val="center"/>
                </w:tcPr>
                <w:p w14:paraId="2A1D65C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b/>
                      <w:bCs/>
                      <w:color w:val="auto"/>
                      <w:sz w:val="21"/>
                      <w:szCs w:val="21"/>
                      <w:highlight w:val="none"/>
                      <w:lang w:eastAsia="zh-CN"/>
                    </w:rPr>
                  </w:pPr>
                  <w:r>
                    <w:rPr>
                      <w:rFonts w:hint="eastAsia"/>
                      <w:b/>
                      <w:bCs/>
                      <w:color w:val="auto"/>
                      <w:sz w:val="21"/>
                      <w:szCs w:val="21"/>
                      <w:highlight w:val="none"/>
                      <w:lang w:eastAsia="zh-CN"/>
                    </w:rPr>
                    <w:t>序号</w:t>
                  </w:r>
                </w:p>
              </w:tc>
              <w:tc>
                <w:tcPr>
                  <w:tcW w:w="1170" w:type="dxa"/>
                  <w:tcBorders>
                    <w:tl2br w:val="nil"/>
                    <w:tr2bl w:val="nil"/>
                  </w:tcBorders>
                  <w:shd w:val="clear" w:color="auto" w:fill="FFFFFF"/>
                  <w:vAlign w:val="center"/>
                </w:tcPr>
                <w:p w14:paraId="159D9D4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b/>
                      <w:bCs/>
                      <w:color w:val="auto"/>
                      <w:sz w:val="21"/>
                      <w:szCs w:val="21"/>
                      <w:highlight w:val="none"/>
                      <w:lang w:eastAsia="zh-CN"/>
                    </w:rPr>
                  </w:pPr>
                  <w:r>
                    <w:rPr>
                      <w:rFonts w:hint="eastAsia"/>
                      <w:b/>
                      <w:bCs/>
                      <w:color w:val="auto"/>
                      <w:sz w:val="21"/>
                      <w:szCs w:val="21"/>
                      <w:highlight w:val="none"/>
                      <w:lang w:eastAsia="zh-CN"/>
                    </w:rPr>
                    <w:t>时期</w:t>
                  </w:r>
                </w:p>
              </w:tc>
              <w:tc>
                <w:tcPr>
                  <w:tcW w:w="1455" w:type="dxa"/>
                  <w:tcBorders>
                    <w:tl2br w:val="nil"/>
                    <w:tr2bl w:val="nil"/>
                  </w:tcBorders>
                  <w:shd w:val="clear" w:color="auto" w:fill="FFFFFF"/>
                  <w:vAlign w:val="center"/>
                </w:tcPr>
                <w:p w14:paraId="16B1461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仿宋"/>
                      <w:b/>
                      <w:bCs/>
                      <w:color w:val="auto"/>
                      <w:sz w:val="21"/>
                      <w:szCs w:val="21"/>
                      <w:highlight w:val="none"/>
                    </w:rPr>
                  </w:pPr>
                  <w:r>
                    <w:rPr>
                      <w:b/>
                      <w:bCs/>
                      <w:color w:val="auto"/>
                      <w:sz w:val="21"/>
                      <w:szCs w:val="21"/>
                      <w:highlight w:val="none"/>
                    </w:rPr>
                    <w:t>昼间dB（A）</w:t>
                  </w:r>
                </w:p>
              </w:tc>
              <w:tc>
                <w:tcPr>
                  <w:tcW w:w="3207" w:type="dxa"/>
                  <w:tcBorders>
                    <w:tl2br w:val="nil"/>
                    <w:tr2bl w:val="nil"/>
                  </w:tcBorders>
                  <w:shd w:val="clear" w:color="auto" w:fill="FFFFFF"/>
                  <w:vAlign w:val="center"/>
                </w:tcPr>
                <w:p w14:paraId="32A2161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执行标准</w:t>
                  </w:r>
                </w:p>
              </w:tc>
            </w:tr>
            <w:tr w14:paraId="2472EFA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751" w:type="dxa"/>
                  <w:tcBorders>
                    <w:tl2br w:val="nil"/>
                    <w:tr2bl w:val="nil"/>
                  </w:tcBorders>
                  <w:shd w:val="clear" w:color="auto" w:fill="FFFFFF"/>
                  <w:vAlign w:val="center"/>
                </w:tcPr>
                <w:p w14:paraId="429CD845">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default" w:ascii="Times New Roman" w:hAnsi="Times New Roman" w:eastAsia="宋体" w:cstheme="minorBidi"/>
                      <w:color w:val="auto"/>
                      <w:kern w:val="2"/>
                      <w:sz w:val="21"/>
                      <w:szCs w:val="21"/>
                      <w:lang w:val="en-US" w:eastAsia="zh-CN" w:bidi="ar-SA"/>
                    </w:rPr>
                    <w:t>1</w:t>
                  </w:r>
                </w:p>
              </w:tc>
              <w:tc>
                <w:tcPr>
                  <w:tcW w:w="1170" w:type="dxa"/>
                  <w:tcBorders>
                    <w:tl2br w:val="nil"/>
                    <w:tr2bl w:val="nil"/>
                  </w:tcBorders>
                  <w:shd w:val="clear" w:color="auto" w:fill="FFFFFF"/>
                  <w:vAlign w:val="center"/>
                </w:tcPr>
                <w:p w14:paraId="4ABDBA1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施工期</w:t>
                  </w:r>
                </w:p>
              </w:tc>
              <w:tc>
                <w:tcPr>
                  <w:tcW w:w="1455" w:type="dxa"/>
                  <w:tcBorders>
                    <w:tl2br w:val="nil"/>
                    <w:tr2bl w:val="nil"/>
                  </w:tcBorders>
                  <w:shd w:val="clear" w:color="auto" w:fill="FFFFFF"/>
                  <w:vAlign w:val="center"/>
                </w:tcPr>
                <w:p w14:paraId="5DBC051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70</w:t>
                  </w:r>
                </w:p>
              </w:tc>
              <w:tc>
                <w:tcPr>
                  <w:tcW w:w="3207" w:type="dxa"/>
                  <w:tcBorders>
                    <w:tl2br w:val="nil"/>
                    <w:tr2bl w:val="nil"/>
                  </w:tcBorders>
                  <w:shd w:val="clear" w:color="auto" w:fill="FFFFFF"/>
                  <w:vAlign w:val="center"/>
                </w:tcPr>
                <w:p w14:paraId="3C34A75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《建筑施工场界环境噪声排放标准》（GB12523-2011）</w:t>
                  </w:r>
                </w:p>
              </w:tc>
            </w:tr>
            <w:tr w14:paraId="5B969E2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751" w:type="dxa"/>
                  <w:tcBorders>
                    <w:tl2br w:val="nil"/>
                    <w:tr2bl w:val="nil"/>
                  </w:tcBorders>
                  <w:shd w:val="clear" w:color="auto" w:fill="FFFFFF"/>
                  <w:vAlign w:val="center"/>
                </w:tcPr>
                <w:p w14:paraId="7B193F89">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w:t>
                  </w:r>
                </w:p>
              </w:tc>
              <w:tc>
                <w:tcPr>
                  <w:tcW w:w="1170" w:type="dxa"/>
                  <w:tcBorders>
                    <w:tl2br w:val="nil"/>
                    <w:tr2bl w:val="nil"/>
                  </w:tcBorders>
                  <w:shd w:val="clear" w:color="auto" w:fill="FFFFFF"/>
                  <w:vAlign w:val="center"/>
                </w:tcPr>
                <w:p w14:paraId="70F63E8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营运期</w:t>
                  </w:r>
                </w:p>
              </w:tc>
              <w:tc>
                <w:tcPr>
                  <w:tcW w:w="1455" w:type="dxa"/>
                  <w:tcBorders>
                    <w:tl2br w:val="nil"/>
                    <w:tr2bl w:val="nil"/>
                  </w:tcBorders>
                  <w:shd w:val="clear" w:color="auto" w:fill="FFFFFF"/>
                  <w:vAlign w:val="center"/>
                </w:tcPr>
                <w:p w14:paraId="36DEDB0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color w:val="auto"/>
                      <w:sz w:val="21"/>
                      <w:szCs w:val="21"/>
                      <w:highlight w:val="none"/>
                    </w:rPr>
                  </w:pPr>
                  <w:r>
                    <w:rPr>
                      <w:color w:val="auto"/>
                      <w:sz w:val="21"/>
                      <w:szCs w:val="21"/>
                      <w:highlight w:val="none"/>
                    </w:rPr>
                    <w:t>65</w:t>
                  </w:r>
                </w:p>
              </w:tc>
              <w:tc>
                <w:tcPr>
                  <w:tcW w:w="3207" w:type="dxa"/>
                  <w:tcBorders>
                    <w:tl2br w:val="nil"/>
                    <w:tr2bl w:val="nil"/>
                  </w:tcBorders>
                  <w:shd w:val="clear" w:color="auto" w:fill="FFFFFF"/>
                  <w:vAlign w:val="center"/>
                </w:tcPr>
                <w:p w14:paraId="1BB8BCE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《工业企业厂界环境噪声排放标准》（GB 12348-2008）3类标准</w:t>
                  </w:r>
                </w:p>
              </w:tc>
            </w:tr>
          </w:tbl>
          <w:p w14:paraId="4BAA1909">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4、固体废物</w:t>
            </w:r>
          </w:p>
          <w:p w14:paraId="7DB52467">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生活垃圾处置执行《中华人民共和国固体废物污染环境防治法》（2020年版）、《北京市生活垃圾管理条例》（2020年5月1日起施行）中的相关规定。</w:t>
            </w:r>
          </w:p>
          <w:p w14:paraId="52A3D149">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一般固体废物执行《中华人民共和国固体废物污染环境防治法》（2020年版）、《一般工业固体废物贮存和填埋污染控制标准》（GB18599-2020）中的有关规定。</w:t>
            </w:r>
          </w:p>
          <w:p w14:paraId="06B6873B">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ascii="Times New Roman" w:hAnsi="Times New Roman" w:eastAsia="宋体" w:cs="Times New Roman"/>
                <w:bCs/>
                <w:color w:val="auto"/>
                <w:sz w:val="24"/>
                <w:highlight w:val="none"/>
              </w:rPr>
              <w:t>危险废物收集、储存、转运执行《北京市危险废物污染环境防治条例》、（2020年9月1日实施）、《危险废物收集贮存运输技术规范》（HJ2025-2012）、《危险废物贮存污染控制标准》（GB18597-2023）、《危险废物污染防治技术政策》（环发[2021]199号）和《危险废物转移管理办法》（2022年1月1日起施行）、《实验室危险废物污染防治技术规范》（DB11 /T 1368—2016）中的有关规定。</w:t>
            </w:r>
          </w:p>
        </w:tc>
      </w:tr>
      <w:tr w14:paraId="396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118AF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总量控制指标</w:t>
            </w:r>
          </w:p>
        </w:tc>
        <w:tc>
          <w:tcPr>
            <w:tcW w:w="8239" w:type="dxa"/>
            <w:vAlign w:val="center"/>
          </w:tcPr>
          <w:p w14:paraId="5A54686C">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1、污染物排放总量控制原则</w:t>
            </w:r>
          </w:p>
          <w:p w14:paraId="74D41958">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根据环境保护部《建设项目主要污染物排放总量指标审核及管理办法》（环发[2014]197号）、《北京市环境保护局关于转发环境保护部＜建设项目主要污染物排放总量指标审核及管理暂行办法＞的通知》（京环发[2015]19号）及《北京市环境保护局关于建设项目主要污染物排放总量指标审核及管理的补充通知》（2016年8月19日），北京市实施建设项目总量指标审核及管理的污染物包括：二氧化硫、氮氧化物、烟粉尘、挥发性有机物（工业及汽车维修行业）、化学需氧量、氨氮。</w:t>
            </w:r>
          </w:p>
          <w:p w14:paraId="236C13AF">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结合项目特征，确定本项目总量控制指标为：化学需氧量、氨氮。</w:t>
            </w:r>
          </w:p>
          <w:p w14:paraId="399AEE2D">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2、建设项目污染物排放总量核算</w:t>
            </w:r>
          </w:p>
          <w:p w14:paraId="7D0FF6E8">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根据本项目特点，本项目需要申请总量控制指标的污染物为：化学需氧量、氨氮。根据《北京市环境保护局关于建设项目主要污染物排放总量指标审核及管理的补充通知》（京环发</w:t>
            </w:r>
            <w:r>
              <w:rPr>
                <w:rFonts w:hint="eastAsia"/>
                <w:color w:val="auto"/>
                <w:lang w:val="en-US" w:eastAsia="zh-CN"/>
              </w:rPr>
              <w:t>[</w:t>
            </w:r>
            <w:r>
              <w:rPr>
                <w:rFonts w:hint="eastAsia"/>
                <w:color w:val="auto"/>
                <w:highlight w:val="none"/>
                <w:lang w:val="en-US" w:eastAsia="zh-CN"/>
              </w:rPr>
              <w:t>2016</w:t>
            </w:r>
            <w:r>
              <w:rPr>
                <w:rFonts w:hint="eastAsia"/>
                <w:color w:val="auto"/>
                <w:lang w:val="en-US" w:eastAsia="zh-CN"/>
              </w:rPr>
              <w:t>]</w:t>
            </w:r>
            <w:r>
              <w:rPr>
                <w:rFonts w:hint="eastAsia"/>
                <w:color w:val="auto"/>
                <w:highlight w:val="none"/>
                <w:lang w:val="en-US" w:eastAsia="zh-CN"/>
              </w:rPr>
              <w:t>24号）附件1，“为了使污染物源强的核算更接近实际的排放情况，在污染物源强的核算过程中优先使用实测法，类比分析法、物料衡算法及排放系数法次之。同时在核算过程中应选择不少于两种方法对污染物源强的产生进行核算，当核算的污染物排放总量差别较大时还应继续采用其他方法进行校验，以便得到更接近实际情况的排放量核算数据”。</w:t>
            </w:r>
          </w:p>
          <w:p w14:paraId="5E68AD38">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highlight w:val="none"/>
                <w:lang w:val="en-US" w:eastAsia="zh-CN"/>
              </w:rPr>
              <w:t>本项目排放废水总排放量为106.7m</w:t>
            </w:r>
            <w:r>
              <w:rPr>
                <w:rFonts w:hint="eastAsia"/>
                <w:color w:val="auto"/>
                <w:highlight w:val="none"/>
                <w:vertAlign w:val="superscript"/>
                <w:lang w:val="en-US" w:eastAsia="zh-CN"/>
              </w:rPr>
              <w:t>3</w:t>
            </w:r>
            <w:r>
              <w:rPr>
                <w:rFonts w:hint="eastAsia"/>
                <w:color w:val="auto"/>
                <w:highlight w:val="none"/>
                <w:lang w:val="en-US" w:eastAsia="zh-CN"/>
              </w:rPr>
              <w:t>/a。则本项目水污染物排放量如下：</w:t>
            </w:r>
          </w:p>
          <w:p w14:paraId="012F6F65">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lang w:val="en-US" w:eastAsia="zh-CN"/>
              </w:rPr>
              <w:t>（1）</w:t>
            </w:r>
            <w:r>
              <w:rPr>
                <w:rFonts w:hint="eastAsia"/>
                <w:color w:val="auto"/>
                <w:highlight w:val="none"/>
                <w:lang w:val="en-US" w:eastAsia="zh-CN"/>
              </w:rPr>
              <w:t>排污系数法</w:t>
            </w:r>
          </w:p>
          <w:p w14:paraId="4CF529A7">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ascii="Times New Roman" w:hAnsi="Times New Roman" w:eastAsia="宋体" w:cs="Times New Roman"/>
                <w:color w:val="auto"/>
                <w:sz w:val="24"/>
                <w:highlight w:val="none"/>
                <w:lang w:val="en-US" w:eastAsia="zh-CN"/>
              </w:rPr>
              <w:t>根</w:t>
            </w:r>
            <w:r>
              <w:rPr>
                <w:rFonts w:hint="default" w:eastAsia="宋体"/>
                <w:color w:val="auto"/>
                <w:lang w:val="en-US" w:eastAsia="zh-CN"/>
              </w:rPr>
              <w:t>据本报告</w:t>
            </w:r>
            <w:r>
              <w:rPr>
                <w:rFonts w:hint="eastAsia" w:eastAsia="宋体"/>
                <w:color w:val="auto"/>
                <w:lang w:val="en-US" w:eastAsia="zh-CN"/>
              </w:rPr>
              <w:t>“</w:t>
            </w:r>
            <w:r>
              <w:rPr>
                <w:rFonts w:hint="default" w:eastAsia="宋体"/>
                <w:color w:val="auto"/>
                <w:lang w:val="en-US" w:eastAsia="zh-CN"/>
              </w:rPr>
              <w:t>四、主要环境影响和保护措施</w:t>
            </w:r>
            <w:r>
              <w:rPr>
                <w:rFonts w:hint="eastAsia" w:eastAsia="宋体"/>
                <w:color w:val="auto"/>
                <w:lang w:val="en-US" w:eastAsia="zh-CN"/>
              </w:rPr>
              <w:t>”</w:t>
            </w:r>
            <w:r>
              <w:rPr>
                <w:rFonts w:hint="default" w:eastAsia="宋体"/>
                <w:color w:val="auto"/>
                <w:lang w:val="en-US" w:eastAsia="zh-CN"/>
              </w:rPr>
              <w:t>章节中废水源强核算结果，</w:t>
            </w:r>
            <w:r>
              <w:rPr>
                <w:rFonts w:hint="eastAsia" w:eastAsia="宋体"/>
                <w:color w:val="auto"/>
                <w:lang w:val="en-US" w:eastAsia="zh-CN"/>
              </w:rPr>
              <w:t>本</w:t>
            </w:r>
            <w:r>
              <w:rPr>
                <w:rFonts w:hint="default" w:eastAsia="宋体"/>
                <w:color w:val="auto"/>
                <w:lang w:val="en-US" w:eastAsia="zh-CN"/>
              </w:rPr>
              <w:t>项目水污染物排放量为：化学需氧量CODcr排放量</w:t>
            </w:r>
            <w:r>
              <w:rPr>
                <w:rFonts w:hint="eastAsia" w:eastAsia="宋体"/>
                <w:color w:val="auto"/>
                <w:lang w:val="en-US" w:eastAsia="zh-CN"/>
              </w:rPr>
              <w:t>0.0407</w:t>
            </w:r>
            <w:r>
              <w:rPr>
                <w:rFonts w:hint="default" w:eastAsia="宋体"/>
                <w:color w:val="auto"/>
                <w:lang w:val="en-US" w:eastAsia="zh-CN"/>
              </w:rPr>
              <w:t>t/a、氨氮排放量</w:t>
            </w:r>
            <w:r>
              <w:rPr>
                <w:rFonts w:hint="eastAsia" w:eastAsia="宋体"/>
                <w:color w:val="auto"/>
                <w:lang w:val="en-US" w:eastAsia="zh-CN"/>
              </w:rPr>
              <w:t>0.0042</w:t>
            </w:r>
            <w:r>
              <w:rPr>
                <w:rFonts w:hint="default" w:eastAsia="宋体"/>
                <w:color w:val="auto"/>
                <w:lang w:val="en-US" w:eastAsia="zh-CN"/>
              </w:rPr>
              <w:t>t/a。</w:t>
            </w:r>
          </w:p>
          <w:p w14:paraId="2C7F7434">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（2）类比分析法</w:t>
            </w:r>
          </w:p>
          <w:p w14:paraId="4BF15397">
            <w:pPr>
              <w:snapToGrid w:val="0"/>
              <w:spacing w:line="360" w:lineRule="auto"/>
              <w:ind w:firstLine="480" w:firstLineChars="200"/>
              <w:jc w:val="left"/>
              <w:rPr>
                <w:bCs/>
                <w:color w:val="auto"/>
                <w:sz w:val="24"/>
              </w:rPr>
            </w:pPr>
            <w:r>
              <w:rPr>
                <w:rFonts w:hint="default" w:ascii="Times New Roman" w:hAnsi="Times New Roman" w:eastAsia="宋体" w:cs="Times New Roman"/>
                <w:color w:val="auto"/>
                <w:sz w:val="24"/>
                <w:highlight w:val="none"/>
                <w:lang w:val="en-US" w:eastAsia="zh-CN"/>
              </w:rPr>
              <w:t>本项目废水类比《联合智业组装环境检测设备及检测实验室项目竣工环境保护验收监测报告》中相关数据，该项目于2021年4月完成自主验收。该项目外排废水为员工生活污水、仪器器皿二三遍清洗废水以及制备纯水产生的浓缩水，产生的废水全部排入园区内公共化粪池预处理，然后排入市政污水管网，最终进入金桥污水处理厂进行处理，该项目与本项目具有可类比性，</w:t>
            </w:r>
            <w:r>
              <w:rPr>
                <w:rFonts w:hint="eastAsia"/>
                <w:color w:val="auto"/>
                <w:sz w:val="24"/>
              </w:rPr>
              <w:t>类比对象与本项目的情况对比见下表。</w:t>
            </w:r>
          </w:p>
          <w:p w14:paraId="11FC66D6">
            <w:pPr>
              <w:pStyle w:val="15"/>
              <w:numPr>
                <w:ilvl w:val="0"/>
                <w:numId w:val="15"/>
              </w:numPr>
              <w:bidi w:val="0"/>
              <w:ind w:left="425" w:leftChars="0" w:hanging="425" w:firstLineChars="0"/>
              <w:rPr>
                <w:b/>
                <w:bCs/>
                <w:color w:val="auto"/>
                <w:sz w:val="24"/>
              </w:rPr>
            </w:pPr>
            <w:r>
              <w:rPr>
                <w:b/>
                <w:bCs/>
                <w:color w:val="auto"/>
                <w:sz w:val="24"/>
              </w:rPr>
              <w:t>类比项目与本项目对比一览表（废水）</w:t>
            </w:r>
          </w:p>
          <w:tbl>
            <w:tblPr>
              <w:tblStyle w:val="12"/>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2727"/>
              <w:gridCol w:w="2913"/>
              <w:gridCol w:w="1154"/>
            </w:tblGrid>
            <w:tr w14:paraId="4CFCC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84" w:type="dxa"/>
                  <w:tcBorders>
                    <w:tl2br w:val="nil"/>
                    <w:tr2bl w:val="nil"/>
                  </w:tcBorders>
                  <w:vAlign w:val="center"/>
                </w:tcPr>
                <w:p w14:paraId="4C3F100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b/>
                      <w:bCs/>
                      <w:color w:val="auto"/>
                      <w:sz w:val="21"/>
                      <w:szCs w:val="21"/>
                      <w:highlight w:val="none"/>
                      <w:lang w:val="en-US" w:eastAsia="zh-CN"/>
                    </w:rPr>
                  </w:pPr>
                  <w:r>
                    <w:rPr>
                      <w:rFonts w:hint="eastAsia" w:eastAsia="宋体"/>
                      <w:b/>
                      <w:bCs/>
                      <w:color w:val="auto"/>
                      <w:sz w:val="21"/>
                      <w:szCs w:val="21"/>
                      <w:highlight w:val="none"/>
                      <w:lang w:val="en-US" w:eastAsia="zh-CN"/>
                    </w:rPr>
                    <w:t>名称</w:t>
                  </w:r>
                </w:p>
              </w:tc>
              <w:tc>
                <w:tcPr>
                  <w:tcW w:w="2727" w:type="dxa"/>
                  <w:tcBorders>
                    <w:tl2br w:val="nil"/>
                    <w:tr2bl w:val="nil"/>
                  </w:tcBorders>
                  <w:vAlign w:val="center"/>
                </w:tcPr>
                <w:p w14:paraId="0587ECE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b/>
                      <w:bCs/>
                      <w:color w:val="auto"/>
                      <w:sz w:val="21"/>
                      <w:szCs w:val="21"/>
                      <w:highlight w:val="none"/>
                      <w:lang w:eastAsia="zh-CN"/>
                    </w:rPr>
                  </w:pPr>
                  <w:r>
                    <w:rPr>
                      <w:rFonts w:hint="eastAsia" w:eastAsia="宋体"/>
                      <w:b/>
                      <w:bCs/>
                      <w:color w:val="auto"/>
                      <w:sz w:val="21"/>
                      <w:szCs w:val="21"/>
                      <w:highlight w:val="none"/>
                      <w:lang w:eastAsia="zh-CN"/>
                    </w:rPr>
                    <w:t>类比项目</w:t>
                  </w:r>
                </w:p>
              </w:tc>
              <w:tc>
                <w:tcPr>
                  <w:tcW w:w="2913" w:type="dxa"/>
                  <w:tcBorders>
                    <w:tl2br w:val="nil"/>
                    <w:tr2bl w:val="nil"/>
                  </w:tcBorders>
                  <w:vAlign w:val="center"/>
                </w:tcPr>
                <w:p w14:paraId="0A583B4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b/>
                      <w:bCs/>
                      <w:color w:val="auto"/>
                      <w:sz w:val="21"/>
                      <w:szCs w:val="21"/>
                      <w:highlight w:val="none"/>
                      <w:lang w:eastAsia="zh-CN"/>
                    </w:rPr>
                  </w:pPr>
                  <w:r>
                    <w:rPr>
                      <w:rFonts w:hint="eastAsia" w:eastAsia="宋体"/>
                      <w:b/>
                      <w:bCs/>
                      <w:color w:val="auto"/>
                      <w:sz w:val="21"/>
                      <w:szCs w:val="21"/>
                      <w:highlight w:val="none"/>
                      <w:lang w:eastAsia="zh-CN"/>
                    </w:rPr>
                    <w:t>本项目</w:t>
                  </w:r>
                </w:p>
              </w:tc>
              <w:tc>
                <w:tcPr>
                  <w:tcW w:w="1154" w:type="dxa"/>
                  <w:tcBorders>
                    <w:tl2br w:val="nil"/>
                    <w:tr2bl w:val="nil"/>
                  </w:tcBorders>
                  <w:vAlign w:val="center"/>
                </w:tcPr>
                <w:p w14:paraId="017A7EA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可类比性</w:t>
                  </w:r>
                </w:p>
              </w:tc>
            </w:tr>
            <w:tr w14:paraId="3A4FA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4" w:type="dxa"/>
                  <w:tcBorders>
                    <w:tl2br w:val="nil"/>
                    <w:tr2bl w:val="nil"/>
                  </w:tcBorders>
                  <w:vAlign w:val="center"/>
                </w:tcPr>
                <w:p w14:paraId="5977DA2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项目</w:t>
                  </w:r>
                  <w:r>
                    <w:rPr>
                      <w:rFonts w:hint="eastAsia" w:eastAsia="宋体"/>
                      <w:color w:val="auto"/>
                      <w:sz w:val="21"/>
                      <w:szCs w:val="21"/>
                      <w:highlight w:val="none"/>
                      <w:lang w:val="en-US" w:eastAsia="zh-CN"/>
                    </w:rPr>
                    <w:t>性质</w:t>
                  </w:r>
                </w:p>
              </w:tc>
              <w:tc>
                <w:tcPr>
                  <w:tcW w:w="2727" w:type="dxa"/>
                  <w:tcBorders>
                    <w:tl2br w:val="nil"/>
                    <w:tr2bl w:val="nil"/>
                  </w:tcBorders>
                  <w:vAlign w:val="center"/>
                </w:tcPr>
                <w:p w14:paraId="6C6A45A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val="en-US" w:eastAsia="zh-CN"/>
                    </w:rPr>
                    <w:t>新建</w:t>
                  </w:r>
                </w:p>
              </w:tc>
              <w:tc>
                <w:tcPr>
                  <w:tcW w:w="2913" w:type="dxa"/>
                  <w:tcBorders>
                    <w:tl2br w:val="nil"/>
                    <w:tr2bl w:val="nil"/>
                  </w:tcBorders>
                  <w:vAlign w:val="center"/>
                </w:tcPr>
                <w:p w14:paraId="57DBC2E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val="en-US" w:eastAsia="zh-CN"/>
                    </w:rPr>
                    <w:t>新建</w:t>
                  </w:r>
                </w:p>
              </w:tc>
              <w:tc>
                <w:tcPr>
                  <w:tcW w:w="1154" w:type="dxa"/>
                  <w:tcBorders>
                    <w:tl2br w:val="nil"/>
                    <w:tr2bl w:val="nil"/>
                  </w:tcBorders>
                  <w:vAlign w:val="center"/>
                </w:tcPr>
                <w:p w14:paraId="534B9FE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val="en-US" w:eastAsia="zh-CN"/>
                    </w:rPr>
                  </w:pPr>
                  <w:r>
                    <w:rPr>
                      <w:rFonts w:hint="default" w:eastAsia="宋体"/>
                      <w:color w:val="auto"/>
                      <w:sz w:val="21"/>
                      <w:szCs w:val="21"/>
                      <w:highlight w:val="none"/>
                      <w:lang w:val="en-US" w:eastAsia="zh-CN"/>
                    </w:rPr>
                    <w:t>可类比</w:t>
                  </w:r>
                </w:p>
              </w:tc>
            </w:tr>
            <w:tr w14:paraId="5F2B7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4" w:type="dxa"/>
                  <w:tcBorders>
                    <w:tl2br w:val="nil"/>
                    <w:tr2bl w:val="nil"/>
                  </w:tcBorders>
                  <w:vAlign w:val="center"/>
                </w:tcPr>
                <w:p w14:paraId="567FFBF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项目内容</w:t>
                  </w:r>
                </w:p>
              </w:tc>
              <w:tc>
                <w:tcPr>
                  <w:tcW w:w="2727" w:type="dxa"/>
                  <w:tcBorders>
                    <w:tl2br w:val="nil"/>
                    <w:tr2bl w:val="nil"/>
                  </w:tcBorders>
                  <w:shd w:val="clear" w:color="auto" w:fill="auto"/>
                  <w:vAlign w:val="center"/>
                </w:tcPr>
                <w:p w14:paraId="14F96FE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检测实验</w:t>
                  </w:r>
                </w:p>
              </w:tc>
              <w:tc>
                <w:tcPr>
                  <w:tcW w:w="2913" w:type="dxa"/>
                  <w:tcBorders>
                    <w:tl2br w:val="nil"/>
                    <w:tr2bl w:val="nil"/>
                  </w:tcBorders>
                  <w:vAlign w:val="center"/>
                </w:tcPr>
                <w:p w14:paraId="48546CC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研发实验</w:t>
                  </w:r>
                </w:p>
              </w:tc>
              <w:tc>
                <w:tcPr>
                  <w:tcW w:w="1154" w:type="dxa"/>
                  <w:tcBorders>
                    <w:tl2br w:val="nil"/>
                    <w:tr2bl w:val="nil"/>
                  </w:tcBorders>
                  <w:vAlign w:val="center"/>
                </w:tcPr>
                <w:p w14:paraId="7C6C977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val="en-US" w:eastAsia="zh-CN"/>
                    </w:rPr>
                  </w:pPr>
                  <w:r>
                    <w:rPr>
                      <w:rFonts w:hint="default" w:eastAsia="宋体"/>
                      <w:color w:val="auto"/>
                      <w:sz w:val="21"/>
                      <w:szCs w:val="21"/>
                      <w:highlight w:val="none"/>
                      <w:lang w:val="en-US" w:eastAsia="zh-CN"/>
                    </w:rPr>
                    <w:t>可类比</w:t>
                  </w:r>
                </w:p>
              </w:tc>
            </w:tr>
            <w:tr w14:paraId="6802B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184" w:type="dxa"/>
                  <w:tcBorders>
                    <w:tl2br w:val="nil"/>
                    <w:tr2bl w:val="nil"/>
                  </w:tcBorders>
                  <w:vAlign w:val="center"/>
                </w:tcPr>
                <w:p w14:paraId="18E6522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废水类别</w:t>
                  </w:r>
                </w:p>
              </w:tc>
              <w:tc>
                <w:tcPr>
                  <w:tcW w:w="2727" w:type="dxa"/>
                  <w:tcBorders>
                    <w:tl2br w:val="nil"/>
                    <w:tr2bl w:val="nil"/>
                  </w:tcBorders>
                  <w:shd w:val="clear" w:color="auto" w:fill="auto"/>
                  <w:vAlign w:val="center"/>
                </w:tcPr>
                <w:p w14:paraId="51740B9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val="en-US" w:eastAsia="zh-CN"/>
                    </w:rPr>
                  </w:pPr>
                  <w:r>
                    <w:rPr>
                      <w:rFonts w:hint="default" w:eastAsia="宋体"/>
                      <w:color w:val="auto"/>
                      <w:sz w:val="21"/>
                      <w:szCs w:val="21"/>
                      <w:highlight w:val="none"/>
                      <w:lang w:val="en-US" w:eastAsia="zh-CN"/>
                    </w:rPr>
                    <w:t>员工生活污水、仪器器皿二三遍清洗废水</w:t>
                  </w:r>
                  <w:r>
                    <w:rPr>
                      <w:rFonts w:hint="eastAsia" w:eastAsia="宋体"/>
                      <w:color w:val="auto"/>
                      <w:sz w:val="21"/>
                      <w:szCs w:val="21"/>
                      <w:highlight w:val="none"/>
                      <w:lang w:val="en-US" w:eastAsia="zh-CN"/>
                    </w:rPr>
                    <w:t>、</w:t>
                  </w:r>
                  <w:r>
                    <w:rPr>
                      <w:rFonts w:hint="default" w:eastAsia="宋体"/>
                      <w:color w:val="auto"/>
                      <w:sz w:val="21"/>
                      <w:szCs w:val="21"/>
                      <w:highlight w:val="none"/>
                      <w:lang w:val="en-US" w:eastAsia="zh-CN"/>
                    </w:rPr>
                    <w:t>制备纯水产生的浓缩水</w:t>
                  </w:r>
                </w:p>
              </w:tc>
              <w:tc>
                <w:tcPr>
                  <w:tcW w:w="2913" w:type="dxa"/>
                  <w:tcBorders>
                    <w:tl2br w:val="nil"/>
                    <w:tr2bl w:val="nil"/>
                  </w:tcBorders>
                  <w:vAlign w:val="center"/>
                </w:tcPr>
                <w:p w14:paraId="4C3B95E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员工生活污水、</w:t>
                  </w:r>
                  <w:r>
                    <w:rPr>
                      <w:rFonts w:hint="eastAsia" w:eastAsia="宋体"/>
                      <w:color w:val="auto"/>
                      <w:sz w:val="21"/>
                      <w:szCs w:val="21"/>
                      <w:highlight w:val="none"/>
                      <w:lang w:val="en-US" w:eastAsia="zh-CN"/>
                    </w:rPr>
                    <w:t>容器第</w:t>
                  </w:r>
                  <w:r>
                    <w:rPr>
                      <w:rFonts w:hint="default" w:eastAsia="宋体"/>
                      <w:color w:val="auto"/>
                      <w:sz w:val="21"/>
                      <w:szCs w:val="21"/>
                      <w:highlight w:val="none"/>
                      <w:lang w:val="en-US" w:eastAsia="zh-CN"/>
                    </w:rPr>
                    <w:t>三遍</w:t>
                  </w:r>
                  <w:r>
                    <w:rPr>
                      <w:rFonts w:hint="eastAsia" w:eastAsia="宋体"/>
                      <w:color w:val="auto"/>
                      <w:sz w:val="21"/>
                      <w:szCs w:val="21"/>
                      <w:highlight w:val="none"/>
                      <w:lang w:val="en-US" w:eastAsia="zh-CN"/>
                    </w:rPr>
                    <w:t>及以后</w:t>
                  </w:r>
                  <w:r>
                    <w:rPr>
                      <w:rFonts w:hint="default" w:eastAsia="宋体"/>
                      <w:color w:val="auto"/>
                      <w:sz w:val="21"/>
                      <w:szCs w:val="21"/>
                      <w:highlight w:val="none"/>
                      <w:lang w:val="en-US" w:eastAsia="zh-CN"/>
                    </w:rPr>
                    <w:t>清洗废水</w:t>
                  </w:r>
                </w:p>
              </w:tc>
              <w:tc>
                <w:tcPr>
                  <w:tcW w:w="1154" w:type="dxa"/>
                  <w:tcBorders>
                    <w:tl2br w:val="nil"/>
                    <w:tr2bl w:val="nil"/>
                  </w:tcBorders>
                  <w:vAlign w:val="center"/>
                </w:tcPr>
                <w:p w14:paraId="4BF0059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可类比</w:t>
                  </w:r>
                </w:p>
              </w:tc>
            </w:tr>
            <w:tr w14:paraId="5BECD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184" w:type="dxa"/>
                  <w:tcBorders>
                    <w:tl2br w:val="nil"/>
                    <w:tr2bl w:val="nil"/>
                  </w:tcBorders>
                  <w:vAlign w:val="center"/>
                </w:tcPr>
                <w:p w14:paraId="1ECE35B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废水处理措施及排放方式</w:t>
                  </w:r>
                </w:p>
              </w:tc>
              <w:tc>
                <w:tcPr>
                  <w:tcW w:w="2727" w:type="dxa"/>
                  <w:tcBorders>
                    <w:tl2br w:val="nil"/>
                    <w:tr2bl w:val="nil"/>
                  </w:tcBorders>
                  <w:vAlign w:val="center"/>
                </w:tcPr>
                <w:p w14:paraId="55FF011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val="en-US" w:eastAsia="zh-CN"/>
                    </w:rPr>
                  </w:pPr>
                  <w:r>
                    <w:rPr>
                      <w:rFonts w:hint="default" w:eastAsia="宋体"/>
                      <w:color w:val="auto"/>
                      <w:sz w:val="21"/>
                      <w:szCs w:val="21"/>
                      <w:highlight w:val="none"/>
                      <w:lang w:val="en-US" w:eastAsia="zh-CN"/>
                    </w:rPr>
                    <w:t>化粪池预处理，然后排入市政污水管网</w:t>
                  </w:r>
                </w:p>
              </w:tc>
              <w:tc>
                <w:tcPr>
                  <w:tcW w:w="2913" w:type="dxa"/>
                  <w:tcBorders>
                    <w:tl2br w:val="nil"/>
                    <w:tr2bl w:val="nil"/>
                  </w:tcBorders>
                  <w:vAlign w:val="center"/>
                </w:tcPr>
                <w:p w14:paraId="11465A0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highlight w:val="none"/>
                      <w:lang w:val="en-US" w:eastAsia="zh-CN"/>
                    </w:rPr>
                  </w:pPr>
                  <w:r>
                    <w:rPr>
                      <w:rFonts w:hint="default" w:eastAsia="宋体"/>
                      <w:color w:val="auto"/>
                      <w:sz w:val="21"/>
                      <w:szCs w:val="21"/>
                      <w:highlight w:val="none"/>
                      <w:lang w:val="en-US" w:eastAsia="zh-CN"/>
                    </w:rPr>
                    <w:t>化粪池预处理，然后排入市政污水管网</w:t>
                  </w:r>
                </w:p>
              </w:tc>
              <w:tc>
                <w:tcPr>
                  <w:tcW w:w="1154" w:type="dxa"/>
                  <w:tcBorders>
                    <w:tl2br w:val="nil"/>
                    <w:tr2bl w:val="nil"/>
                  </w:tcBorders>
                  <w:vAlign w:val="center"/>
                </w:tcPr>
                <w:p w14:paraId="590737C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可类比</w:t>
                  </w:r>
                </w:p>
              </w:tc>
            </w:tr>
          </w:tbl>
          <w:p w14:paraId="4F12BE3E">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类比项目检测报告中废水污染物最高排放浓度为COD</w:t>
            </w:r>
            <w:r>
              <w:rPr>
                <w:rFonts w:hint="default" w:ascii="Times New Roman" w:hAnsi="Times New Roman" w:eastAsia="宋体" w:cs="Times New Roman"/>
                <w:color w:val="auto"/>
                <w:sz w:val="24"/>
                <w:highlight w:val="none"/>
                <w:vertAlign w:val="subscript"/>
                <w:lang w:val="en-US" w:eastAsia="zh-CN"/>
              </w:rPr>
              <w:t>Cr</w:t>
            </w:r>
            <w:r>
              <w:rPr>
                <w:rFonts w:hint="eastAsia" w:cs="Times New Roman"/>
                <w:color w:val="auto"/>
                <w:sz w:val="24"/>
                <w:highlight w:val="none"/>
                <w:vertAlign w:val="subscript"/>
                <w:lang w:val="en-US" w:eastAsia="zh-CN"/>
              </w:rPr>
              <w:t xml:space="preserve"> </w:t>
            </w:r>
            <w:r>
              <w:rPr>
                <w:rFonts w:hint="default" w:ascii="Times New Roman" w:hAnsi="Times New Roman" w:eastAsia="宋体" w:cs="Times New Roman"/>
                <w:color w:val="auto"/>
                <w:sz w:val="24"/>
                <w:highlight w:val="none"/>
                <w:lang w:val="en-US" w:eastAsia="zh-CN"/>
              </w:rPr>
              <w:t>47mg/L，氨氮0.501mg/L，则本项目COD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、氨氮排放量如下：</w:t>
            </w:r>
          </w:p>
          <w:p w14:paraId="2EC2F627">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106.7</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/a×47mg/L×10</w:t>
            </w:r>
            <w:r>
              <w:rPr>
                <w:rFonts w:hint="default" w:ascii="Times New Roman" w:hAnsi="Times New Roman" w:eastAsia="宋体" w:cs="Times New Roman"/>
                <w:color w:val="auto"/>
                <w:sz w:val="24"/>
                <w:highlight w:val="none"/>
                <w:vertAlign w:val="superscript"/>
                <w:lang w:val="en-US" w:eastAsia="zh-CN"/>
              </w:rPr>
              <w:t>-6</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0.005</w:t>
            </w:r>
            <w:r>
              <w:rPr>
                <w:rFonts w:hint="default" w:ascii="Times New Roman" w:hAnsi="Times New Roman" w:eastAsia="宋体" w:cs="Times New Roman"/>
                <w:color w:val="auto"/>
                <w:sz w:val="24"/>
                <w:highlight w:val="none"/>
                <w:lang w:val="en-US" w:eastAsia="zh-CN"/>
              </w:rPr>
              <w:t xml:space="preserve"> t/a</w:t>
            </w:r>
          </w:p>
          <w:p w14:paraId="6F583F81">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氨氮=</w:t>
            </w:r>
            <w:r>
              <w:rPr>
                <w:rFonts w:hint="eastAsia" w:cs="Times New Roman"/>
                <w:color w:val="auto"/>
                <w:sz w:val="24"/>
                <w:highlight w:val="none"/>
                <w:lang w:val="en-US" w:eastAsia="zh-CN"/>
              </w:rPr>
              <w:t>106.7</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/a×0.501mg/L×10</w:t>
            </w:r>
            <w:r>
              <w:rPr>
                <w:rFonts w:hint="default" w:ascii="Times New Roman" w:hAnsi="Times New Roman" w:eastAsia="宋体" w:cs="Times New Roman"/>
                <w:color w:val="auto"/>
                <w:sz w:val="24"/>
                <w:highlight w:val="none"/>
                <w:vertAlign w:val="superscript"/>
                <w:lang w:val="en-US" w:eastAsia="zh-CN"/>
              </w:rPr>
              <w:t>-6</w:t>
            </w:r>
            <w:r>
              <w:rPr>
                <w:rFonts w:hint="default" w:ascii="Times New Roman" w:hAnsi="Times New Roman" w:eastAsia="宋体" w:cs="Times New Roman"/>
                <w:color w:val="auto"/>
                <w:sz w:val="24"/>
                <w:highlight w:val="none"/>
                <w:lang w:val="en-US" w:eastAsia="zh-CN"/>
              </w:rPr>
              <w:t>=0.000</w:t>
            </w:r>
            <w:r>
              <w:rPr>
                <w:rFonts w:hint="eastAsia"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eastAsia="zh-CN"/>
              </w:rPr>
              <w:t xml:space="preserve"> t/a</w:t>
            </w:r>
          </w:p>
          <w:p w14:paraId="67D4C710">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ascii="Times New Roman" w:hAnsi="Times New Roman" w:eastAsia="宋体" w:cs="Times New Roman"/>
                <w:color w:val="auto"/>
                <w:sz w:val="24"/>
                <w:highlight w:val="none"/>
                <w:lang w:val="en-US" w:eastAsia="zh-CN"/>
              </w:rPr>
              <w:t>综上，据上述两种源强核算方法分析，考虑到不同企业实际运行过程中存在差异，类比数据存在一定的误差。因此，本项目选用排污系数法进行总量核算</w:t>
            </w:r>
            <w:r>
              <w:rPr>
                <w:rFonts w:hint="eastAsia" w:cs="Times New Roman"/>
                <w:color w:val="auto"/>
                <w:sz w:val="24"/>
                <w:highlight w:val="none"/>
                <w:lang w:val="en-US" w:eastAsia="zh-CN"/>
              </w:rPr>
              <w:t>排放量</w:t>
            </w:r>
            <w:r>
              <w:rPr>
                <w:rFonts w:hint="default" w:ascii="Times New Roman" w:hAnsi="Times New Roman" w:eastAsia="宋体" w:cs="Times New Roman"/>
                <w:color w:val="auto"/>
                <w:sz w:val="24"/>
                <w:highlight w:val="none"/>
                <w:lang w:val="en-US" w:eastAsia="zh-CN"/>
              </w:rPr>
              <w:t>，</w:t>
            </w:r>
            <w:r>
              <w:rPr>
                <w:rFonts w:hint="default"/>
                <w:color w:val="auto"/>
                <w:lang w:val="en-US" w:eastAsia="zh-CN"/>
              </w:rPr>
              <w:t>即：化学需氧量、氨氮的排放总量分别为</w:t>
            </w:r>
            <w:r>
              <w:rPr>
                <w:rFonts w:hint="eastAsia"/>
                <w:color w:val="auto"/>
                <w:lang w:val="en-US" w:eastAsia="zh-CN"/>
              </w:rPr>
              <w:t>0.0407</w:t>
            </w:r>
            <w:r>
              <w:rPr>
                <w:rFonts w:hint="default"/>
                <w:color w:val="auto"/>
                <w:lang w:val="en-US" w:eastAsia="zh-CN"/>
              </w:rPr>
              <w:t>t/a、</w:t>
            </w:r>
            <w:r>
              <w:rPr>
                <w:rFonts w:hint="eastAsia"/>
                <w:color w:val="auto"/>
                <w:lang w:val="en-US" w:eastAsia="zh-CN"/>
              </w:rPr>
              <w:t>0.0042</w:t>
            </w:r>
            <w:r>
              <w:rPr>
                <w:rFonts w:hint="default"/>
                <w:color w:val="auto"/>
                <w:lang w:val="en-US" w:eastAsia="zh-CN"/>
              </w:rPr>
              <w:t>t/a。</w:t>
            </w:r>
          </w:p>
          <w:p w14:paraId="51AA707C">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、总量</w:t>
            </w:r>
            <w:r>
              <w:rPr>
                <w:rFonts w:hint="eastAsia"/>
                <w:color w:val="auto"/>
                <w:highlight w:val="none"/>
                <w:lang w:val="en-US" w:eastAsia="zh-CN"/>
              </w:rPr>
              <w:t>控制</w:t>
            </w:r>
          </w:p>
          <w:p w14:paraId="47F8D226">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根据工程分析，本项目纳入总量控制污染物总量情况详见下表。</w:t>
            </w:r>
          </w:p>
          <w:p w14:paraId="0D60C32F">
            <w:pPr>
              <w:pStyle w:val="15"/>
              <w:numPr>
                <w:ilvl w:val="0"/>
                <w:numId w:val="15"/>
              </w:numPr>
              <w:bidi w:val="0"/>
              <w:ind w:left="425" w:leftChars="0" w:hanging="425" w:firstLineChars="0"/>
              <w:rPr>
                <w:rFonts w:hint="eastAsia"/>
                <w:color w:val="auto"/>
                <w:lang w:val="en-US" w:eastAsia="zh-CN"/>
              </w:rPr>
            </w:pPr>
            <w:r>
              <w:rPr>
                <w:rFonts w:hint="eastAsia"/>
                <w:color w:val="auto"/>
                <w:lang w:val="en-US" w:eastAsia="zh-CN"/>
              </w:rPr>
              <w:t>本项目总量指标</w:t>
            </w:r>
          </w:p>
          <w:tbl>
            <w:tblPr>
              <w:tblStyle w:val="1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1402"/>
              <w:gridCol w:w="1732"/>
              <w:gridCol w:w="1271"/>
              <w:gridCol w:w="1736"/>
            </w:tblGrid>
            <w:tr w14:paraId="70E9CD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8" w:type="dxa"/>
                  <w:tcBorders>
                    <w:tl2br w:val="nil"/>
                    <w:tr2bl w:val="nil"/>
                  </w:tcBorders>
                  <w:vAlign w:val="center"/>
                </w:tcPr>
                <w:p w14:paraId="5268EA6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b/>
                      <w:bCs/>
                      <w:color w:val="auto"/>
                      <w:lang w:val="en-US" w:eastAsia="zh-CN"/>
                    </w:rPr>
                  </w:pPr>
                  <w:r>
                    <w:rPr>
                      <w:rFonts w:hint="eastAsia"/>
                      <w:b/>
                      <w:bCs/>
                      <w:color w:val="auto"/>
                      <w:lang w:val="en-US" w:eastAsia="zh-CN"/>
                    </w:rPr>
                    <w:t>总量控制指标</w:t>
                  </w:r>
                </w:p>
              </w:tc>
              <w:tc>
                <w:tcPr>
                  <w:tcW w:w="1400" w:type="dxa"/>
                  <w:tcBorders>
                    <w:tl2br w:val="nil"/>
                    <w:tr2bl w:val="nil"/>
                  </w:tcBorders>
                  <w:vAlign w:val="center"/>
                </w:tcPr>
                <w:p w14:paraId="32B6F1F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b/>
                      <w:bCs/>
                      <w:color w:val="auto"/>
                      <w:lang w:val="en-US" w:eastAsia="zh-CN"/>
                    </w:rPr>
                  </w:pPr>
                  <w:r>
                    <w:rPr>
                      <w:rFonts w:hint="eastAsia"/>
                      <w:b/>
                      <w:bCs/>
                      <w:color w:val="auto"/>
                      <w:lang w:val="en-US" w:eastAsia="zh-CN"/>
                    </w:rPr>
                    <w:t>项目排放量</w:t>
                  </w:r>
                </w:p>
              </w:tc>
              <w:tc>
                <w:tcPr>
                  <w:tcW w:w="1730" w:type="dxa"/>
                  <w:tcBorders>
                    <w:tl2br w:val="nil"/>
                    <w:tr2bl w:val="nil"/>
                  </w:tcBorders>
                  <w:vAlign w:val="center"/>
                </w:tcPr>
                <w:p w14:paraId="213C357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b/>
                      <w:bCs/>
                      <w:color w:val="auto"/>
                      <w:lang w:val="en-US" w:eastAsia="zh-CN"/>
                    </w:rPr>
                  </w:pPr>
                  <w:r>
                    <w:rPr>
                      <w:rFonts w:hint="eastAsia"/>
                      <w:b/>
                      <w:bCs/>
                      <w:color w:val="auto"/>
                      <w:lang w:val="en-US" w:eastAsia="zh-CN"/>
                    </w:rPr>
                    <w:t>是否需要排污权</w:t>
                  </w:r>
                </w:p>
              </w:tc>
              <w:tc>
                <w:tcPr>
                  <w:tcW w:w="1270" w:type="dxa"/>
                  <w:tcBorders>
                    <w:tl2br w:val="nil"/>
                    <w:tr2bl w:val="nil"/>
                  </w:tcBorders>
                  <w:vAlign w:val="center"/>
                </w:tcPr>
                <w:p w14:paraId="700ED1A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b/>
                      <w:bCs/>
                      <w:color w:val="auto"/>
                      <w:lang w:val="en-US" w:eastAsia="zh-CN"/>
                    </w:rPr>
                  </w:pPr>
                  <w:r>
                    <w:rPr>
                      <w:rFonts w:hint="eastAsia"/>
                      <w:b/>
                      <w:bCs/>
                      <w:color w:val="auto"/>
                      <w:lang w:val="en-US" w:eastAsia="zh-CN"/>
                    </w:rPr>
                    <w:t>削减比例</w:t>
                  </w:r>
                </w:p>
              </w:tc>
              <w:tc>
                <w:tcPr>
                  <w:tcW w:w="1734" w:type="dxa"/>
                  <w:tcBorders>
                    <w:tl2br w:val="nil"/>
                    <w:tr2bl w:val="nil"/>
                  </w:tcBorders>
                  <w:vAlign w:val="center"/>
                </w:tcPr>
                <w:p w14:paraId="42BDF5D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color w:val="auto"/>
                    </w:rPr>
                  </w:pPr>
                  <w:r>
                    <w:rPr>
                      <w:rFonts w:hint="eastAsia"/>
                      <w:b/>
                      <w:bCs/>
                      <w:color w:val="auto"/>
                      <w:lang w:val="en-US" w:eastAsia="zh-CN"/>
                    </w:rPr>
                    <w:t>总量控制建议值</w:t>
                  </w:r>
                </w:p>
              </w:tc>
            </w:tr>
            <w:tr w14:paraId="5EB48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8" w:type="dxa"/>
                  <w:tcBorders>
                    <w:tl2br w:val="nil"/>
                    <w:tr2bl w:val="nil"/>
                  </w:tcBorders>
                  <w:vAlign w:val="center"/>
                </w:tcPr>
                <w:p w14:paraId="4D119A3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化学需氧量CODcr</w:t>
                  </w:r>
                </w:p>
              </w:tc>
              <w:tc>
                <w:tcPr>
                  <w:tcW w:w="1400" w:type="dxa"/>
                  <w:tcBorders>
                    <w:tl2br w:val="nil"/>
                    <w:tr2bl w:val="nil"/>
                  </w:tcBorders>
                  <w:vAlign w:val="center"/>
                </w:tcPr>
                <w:p w14:paraId="5015B3B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0.0407t/a</w:t>
                  </w:r>
                </w:p>
              </w:tc>
              <w:tc>
                <w:tcPr>
                  <w:tcW w:w="1730" w:type="dxa"/>
                  <w:tcBorders>
                    <w:tl2br w:val="nil"/>
                    <w:tr2bl w:val="nil"/>
                  </w:tcBorders>
                  <w:vAlign w:val="center"/>
                </w:tcPr>
                <w:p w14:paraId="3E94AEE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color w:val="auto"/>
                      <w:lang w:val="en-US" w:eastAsia="zh-CN"/>
                    </w:rPr>
                  </w:pPr>
                  <w:r>
                    <w:rPr>
                      <w:rFonts w:hint="eastAsia"/>
                      <w:color w:val="auto"/>
                      <w:lang w:val="en-US" w:eastAsia="zh-CN"/>
                    </w:rPr>
                    <w:t>是</w:t>
                  </w:r>
                </w:p>
              </w:tc>
              <w:tc>
                <w:tcPr>
                  <w:tcW w:w="1270" w:type="dxa"/>
                  <w:tcBorders>
                    <w:tl2br w:val="nil"/>
                    <w:tr2bl w:val="nil"/>
                  </w:tcBorders>
                  <w:vAlign w:val="center"/>
                </w:tcPr>
                <w:p w14:paraId="3F0C741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1:1</w:t>
                  </w:r>
                </w:p>
              </w:tc>
              <w:tc>
                <w:tcPr>
                  <w:tcW w:w="1734" w:type="dxa"/>
                  <w:tcBorders>
                    <w:tl2br w:val="nil"/>
                    <w:tr2bl w:val="nil"/>
                  </w:tcBorders>
                  <w:vAlign w:val="center"/>
                </w:tcPr>
                <w:p w14:paraId="677D88A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lang w:val="en-US" w:eastAsia="zh-CN"/>
                    </w:rPr>
                  </w:pPr>
                  <w:r>
                    <w:rPr>
                      <w:rFonts w:hint="eastAsia"/>
                      <w:color w:val="auto"/>
                      <w:lang w:val="en-US" w:eastAsia="zh-CN"/>
                    </w:rPr>
                    <w:t>0.0407t/a</w:t>
                  </w:r>
                </w:p>
              </w:tc>
            </w:tr>
            <w:tr w14:paraId="46E233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8" w:type="dxa"/>
                  <w:tcBorders>
                    <w:tl2br w:val="nil"/>
                    <w:tr2bl w:val="nil"/>
                  </w:tcBorders>
                  <w:vAlign w:val="center"/>
                </w:tcPr>
                <w:p w14:paraId="7E908AB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氨氮NH</w:t>
                  </w:r>
                  <w:r>
                    <w:rPr>
                      <w:rFonts w:hint="eastAsia"/>
                      <w:color w:val="auto"/>
                      <w:vertAlign w:val="subscript"/>
                      <w:lang w:val="en-US" w:eastAsia="zh-CN"/>
                    </w:rPr>
                    <w:t>3</w:t>
                  </w:r>
                  <w:r>
                    <w:rPr>
                      <w:rFonts w:hint="eastAsia"/>
                      <w:color w:val="auto"/>
                      <w:lang w:val="en-US" w:eastAsia="zh-CN"/>
                    </w:rPr>
                    <w:t>-N</w:t>
                  </w:r>
                </w:p>
              </w:tc>
              <w:tc>
                <w:tcPr>
                  <w:tcW w:w="1400" w:type="dxa"/>
                  <w:tcBorders>
                    <w:tl2br w:val="nil"/>
                    <w:tr2bl w:val="nil"/>
                  </w:tcBorders>
                  <w:vAlign w:val="center"/>
                </w:tcPr>
                <w:p w14:paraId="685E40E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0.0042t/a</w:t>
                  </w:r>
                </w:p>
              </w:tc>
              <w:tc>
                <w:tcPr>
                  <w:tcW w:w="1730" w:type="dxa"/>
                  <w:tcBorders>
                    <w:tl2br w:val="nil"/>
                    <w:tr2bl w:val="nil"/>
                  </w:tcBorders>
                  <w:vAlign w:val="center"/>
                </w:tcPr>
                <w:p w14:paraId="438778A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color w:val="auto"/>
                      <w:lang w:val="en-US" w:eastAsia="zh-CN"/>
                    </w:rPr>
                  </w:pPr>
                  <w:r>
                    <w:rPr>
                      <w:rFonts w:hint="eastAsia"/>
                      <w:color w:val="auto"/>
                      <w:lang w:val="en-US" w:eastAsia="zh-CN"/>
                    </w:rPr>
                    <w:t>是</w:t>
                  </w:r>
                </w:p>
              </w:tc>
              <w:tc>
                <w:tcPr>
                  <w:tcW w:w="1270" w:type="dxa"/>
                  <w:tcBorders>
                    <w:tl2br w:val="nil"/>
                    <w:tr2bl w:val="nil"/>
                  </w:tcBorders>
                  <w:vAlign w:val="center"/>
                </w:tcPr>
                <w:p w14:paraId="15AA721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lang w:val="en-US" w:eastAsia="zh-CN"/>
                    </w:rPr>
                  </w:pPr>
                  <w:r>
                    <w:rPr>
                      <w:rFonts w:hint="eastAsia"/>
                      <w:color w:val="auto"/>
                      <w:lang w:val="en-US" w:eastAsia="zh-CN"/>
                    </w:rPr>
                    <w:t>1:1</w:t>
                  </w:r>
                </w:p>
              </w:tc>
              <w:tc>
                <w:tcPr>
                  <w:tcW w:w="1734" w:type="dxa"/>
                  <w:tcBorders>
                    <w:tl2br w:val="nil"/>
                    <w:tr2bl w:val="nil"/>
                  </w:tcBorders>
                  <w:vAlign w:val="center"/>
                </w:tcPr>
                <w:p w14:paraId="421597C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lang w:val="en-US" w:eastAsia="zh-CN"/>
                    </w:rPr>
                  </w:pPr>
                  <w:r>
                    <w:rPr>
                      <w:rFonts w:hint="eastAsia"/>
                      <w:color w:val="auto"/>
                      <w:lang w:val="en-US" w:eastAsia="zh-CN"/>
                    </w:rPr>
                    <w:t>0.0042t/a</w:t>
                  </w:r>
                </w:p>
              </w:tc>
            </w:tr>
          </w:tbl>
          <w:p w14:paraId="51A718D4">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根据《北京市环境保护局关于＜转发环境保护部</w:t>
            </w:r>
            <w:r>
              <w:rPr>
                <w:rFonts w:hint="eastAsia"/>
                <w:color w:val="auto"/>
                <w:lang w:val="en-US" w:eastAsia="zh-CN"/>
              </w:rPr>
              <w:t>〈</w:t>
            </w:r>
            <w:r>
              <w:rPr>
                <w:rFonts w:hint="default"/>
                <w:color w:val="auto"/>
                <w:lang w:val="en-US" w:eastAsia="zh-CN"/>
              </w:rPr>
              <w:t>建设项目主要污染物排放总量指标审核及管理暂行办法＞的通知》（京环发〔2015〕19号，2015年7月15日起执行）中的相关规定：“该办法适用于各级环境保护主管部门对建设项目（不含城镇生活污水处理厂、垃圾处理场、危险废物和医疗废物处置场）主要污染排放总量指标的审核与管理。本项目污染物总量指标由项目所在区域内协调解决。</w:t>
            </w:r>
          </w:p>
          <w:p w14:paraId="106BA0E1">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4、减排潜力分析</w:t>
            </w:r>
          </w:p>
          <w:p w14:paraId="3EE3C210">
            <w:pPr>
              <w:adjustRightInd w:val="0"/>
              <w:spacing w:line="360" w:lineRule="auto"/>
              <w:ind w:firstLine="480" w:firstLineChars="200"/>
              <w:textAlignment w:val="baseline"/>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bCs/>
                <w:color w:val="auto"/>
                <w:sz w:val="24"/>
                <w:highlight w:val="none"/>
                <w:lang w:val="en-US" w:eastAsia="zh-CN"/>
              </w:rPr>
              <w:t>为</w:t>
            </w:r>
            <w:r>
              <w:rPr>
                <w:rFonts w:hint="eastAsia" w:cs="Times New Roman"/>
                <w:bCs/>
                <w:color w:val="auto"/>
                <w:sz w:val="24"/>
                <w:highlight w:val="none"/>
                <w:lang w:val="en-US" w:eastAsia="zh-CN"/>
              </w:rPr>
              <w:t>新</w:t>
            </w:r>
            <w:r>
              <w:rPr>
                <w:rFonts w:hint="default" w:ascii="Times New Roman" w:hAnsi="Times New Roman" w:eastAsia="宋体" w:cs="Times New Roman"/>
                <w:bCs/>
                <w:color w:val="auto"/>
                <w:sz w:val="24"/>
                <w:highlight w:val="none"/>
                <w:lang w:val="en-US" w:eastAsia="zh-CN"/>
              </w:rPr>
              <w:t>建项目，</w:t>
            </w:r>
            <w:r>
              <w:rPr>
                <w:rFonts w:hint="eastAsia" w:cs="Times New Roman"/>
                <w:bCs/>
                <w:color w:val="auto"/>
                <w:sz w:val="24"/>
                <w:highlight w:val="none"/>
                <w:lang w:val="en-US" w:eastAsia="zh-CN"/>
              </w:rPr>
              <w:t>在本区内没有其他建设项目，</w:t>
            </w:r>
            <w:r>
              <w:rPr>
                <w:rFonts w:hint="default" w:ascii="Times New Roman" w:hAnsi="Times New Roman" w:eastAsia="宋体" w:cs="Times New Roman"/>
                <w:bCs/>
                <w:color w:val="auto"/>
                <w:sz w:val="24"/>
                <w:highlight w:val="none"/>
              </w:rPr>
              <w:t>没有进一步减排空间。因此本项目不具备废水污染物总量指标</w:t>
            </w:r>
            <w:r>
              <w:rPr>
                <w:rFonts w:hint="eastAsia" w:ascii="Times New Roman" w:hAnsi="Times New Roman" w:eastAsia="宋体" w:cs="Times New Roman"/>
                <w:bCs/>
                <w:color w:val="auto"/>
                <w:sz w:val="24"/>
                <w:highlight w:val="none"/>
                <w:lang w:val="en-US" w:eastAsia="zh-CN"/>
              </w:rPr>
              <w:t>削</w:t>
            </w:r>
            <w:r>
              <w:rPr>
                <w:rFonts w:hint="default" w:ascii="Times New Roman" w:hAnsi="Times New Roman" w:eastAsia="宋体" w:cs="Times New Roman"/>
                <w:bCs/>
                <w:color w:val="auto"/>
                <w:sz w:val="24"/>
                <w:highlight w:val="none"/>
              </w:rPr>
              <w:t>减能力，需重新申请。</w:t>
            </w:r>
          </w:p>
          <w:p w14:paraId="0201DA4D">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tc>
      </w:tr>
    </w:tbl>
    <w:p w14:paraId="68DEB187">
      <w:pPr>
        <w:rPr>
          <w:color w:val="auto"/>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29257D1">
      <w:pPr>
        <w:pStyle w:val="2"/>
        <w:bidi w:val="0"/>
        <w:rPr>
          <w:rFonts w:hint="default"/>
          <w:color w:val="auto"/>
          <w:lang w:val="en-US" w:eastAsia="zh-CN"/>
        </w:rPr>
      </w:pPr>
      <w:r>
        <w:rPr>
          <w:rFonts w:hint="eastAsia"/>
          <w:color w:val="auto"/>
          <w:lang w:val="en-US" w:eastAsia="zh-CN"/>
        </w:rPr>
        <w:t>四、主要环境影响和保护措施</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239"/>
      </w:tblGrid>
      <w:tr w14:paraId="66F7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223AF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施工期环境保护措施</w:t>
            </w:r>
          </w:p>
        </w:tc>
        <w:tc>
          <w:tcPr>
            <w:tcW w:w="8239" w:type="dxa"/>
            <w:vAlign w:val="center"/>
          </w:tcPr>
          <w:p w14:paraId="30BBBF56">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w:t>
            </w:r>
            <w:r>
              <w:rPr>
                <w:rFonts w:hint="eastAsia" w:ascii="Times New Roman" w:hAnsi="Times New Roman" w:cs="Times New Roman"/>
                <w:color w:val="auto"/>
                <w:kern w:val="0"/>
                <w:sz w:val="24"/>
                <w:highlight w:val="none"/>
                <w:lang w:val="en-US" w:eastAsia="zh-CN"/>
              </w:rPr>
              <w:t>租用现有建筑进行建设</w:t>
            </w:r>
            <w:r>
              <w:rPr>
                <w:rFonts w:hint="eastAsia" w:cs="Times New Roman"/>
                <w:color w:val="auto"/>
                <w:kern w:val="0"/>
                <w:sz w:val="24"/>
                <w:highlight w:val="none"/>
                <w:lang w:val="en-US" w:eastAsia="zh-CN"/>
              </w:rPr>
              <w:t>，</w:t>
            </w:r>
            <w:r>
              <w:rPr>
                <w:rFonts w:hint="default" w:cs="Times New Roman"/>
                <w:color w:val="auto"/>
                <w:kern w:val="0"/>
                <w:sz w:val="24"/>
                <w:highlight w:val="none"/>
                <w:lang w:val="en-US" w:eastAsia="zh-CN"/>
              </w:rPr>
              <w:t>施工期无土石方施工，仅室内装修</w:t>
            </w:r>
            <w:r>
              <w:rPr>
                <w:rFonts w:hint="eastAsia" w:cs="Times New Roman"/>
                <w:color w:val="auto"/>
                <w:kern w:val="0"/>
                <w:sz w:val="24"/>
                <w:highlight w:val="none"/>
                <w:lang w:val="en-US" w:eastAsia="zh-CN"/>
              </w:rPr>
              <w:t>(</w:t>
            </w:r>
            <w:r>
              <w:rPr>
                <w:rFonts w:hint="default" w:cs="Times New Roman"/>
                <w:color w:val="auto"/>
                <w:kern w:val="0"/>
                <w:sz w:val="24"/>
                <w:highlight w:val="none"/>
                <w:lang w:val="en-US" w:eastAsia="zh-CN"/>
              </w:rPr>
              <w:t>如内墙表面粉刷、设备安装</w:t>
            </w:r>
            <w:r>
              <w:rPr>
                <w:rFonts w:hint="default" w:ascii="Times New Roman" w:hAnsi="Times New Roman" w:eastAsia="宋体" w:cs="Times New Roman"/>
                <w:color w:val="auto"/>
                <w:kern w:val="0"/>
                <w:sz w:val="24"/>
                <w:highlight w:val="none"/>
              </w:rPr>
              <w:t>等</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。主要污染物为施工扬尘，施工人员生活污水，施工噪声，施工固体废物</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装修垃圾、生活垃圾等</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p>
          <w:p w14:paraId="2DA81239">
            <w:pPr>
              <w:numPr>
                <w:ilvl w:val="0"/>
                <w:numId w:val="16"/>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废气：扬尘主要产生在装修施工期间的各种作业，其产生量与天气、温度、施工队文明程度和管理水平等因素有关，其排放量较难定量估算。但鉴于装修施工主要在室内，因此施工时只要加强管理，采取一些必要措施，如采取及时清除建筑装修垃圾、做好洒水抑尘、关闭门窗施工等办法可有效降低扬尘浓度。油漆粉刷时产生的少量挥发性有机气体，影响范围局限在室内，对外环境影响较小。通过加强通风、选用优质的低污染油漆和涂料等措施可有效减小施工废气对周围环境的影响。</w:t>
            </w:r>
          </w:p>
          <w:p w14:paraId="23CFCF3A">
            <w:pPr>
              <w:numPr>
                <w:ilvl w:val="0"/>
                <w:numId w:val="16"/>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废水：本项目施工期不设施工营地，食宿自行解决，故施工期产生的废水主要为生活污水，生活污水主要依托园区的化粪池进行处理。故施工期产生的废水不会对周围环境的影响。</w:t>
            </w:r>
          </w:p>
          <w:p w14:paraId="764DB896">
            <w:pPr>
              <w:numPr>
                <w:ilvl w:val="0"/>
                <w:numId w:val="16"/>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噪声：施工期间噪声主要来自项目内部装修和设备安装过程中使用的电钻、木工设备和空气压缩机等设备。施工阶段应采取如下措施：按规定操作机械设备，遵守作业规定，减少人为机械碰撞噪声；规划施工方案，尽量避免高噪声机械设备同时使用；施工时间应安排在白天，禁止夜间装修扰民；建设单位及装修施工单位应配备必要的专职或兼职环保监管人员，负责监督装修施工过程中噪声防治措施的落实情况。采取上述措施后，施工期噪声对区域声环境影响较小。</w:t>
            </w:r>
          </w:p>
          <w:p w14:paraId="3883AD2B">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ascii="Times New Roman" w:hAnsi="Times New Roman" w:eastAsia="宋体" w:cs="Times New Roman"/>
                <w:color w:val="auto"/>
                <w:kern w:val="0"/>
                <w:sz w:val="24"/>
                <w:highlight w:val="none"/>
              </w:rPr>
              <w:t>固体废物：施工期固体废物主要为施工人员生活垃圾、施工渣土及损坏或浪费的各种建筑装修材料。该项目施工期产生的固体废物将会对其周边环境产生一定的影响，因此，对于施工中固体废物应集中堆放、及时清运，外运到环卫部门指定地点，防止露天长期堆放可能产生的二次污染；对于可回收废料应尽量由施工单位回收利用。综上所述，本项目施工期工程量不大，时间较短，施工完成后对周边环境的影响即可消除。建设单位在施工过程中必须严格按照《北京市建设工程施工现场环境保护标准》(京建施[2003]3 号)和《北京市建设工程施工现场管理办法》(2013 年市政府令第 247 号)对施工现场进行管理，以尽量降低施工过程对周围环境的影响。</w:t>
            </w:r>
          </w:p>
        </w:tc>
      </w:tr>
      <w:tr w14:paraId="7308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vAlign w:val="center"/>
          </w:tcPr>
          <w:p w14:paraId="5D4F4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运营期环境影响和保护措施</w:t>
            </w:r>
          </w:p>
        </w:tc>
        <w:tc>
          <w:tcPr>
            <w:tcW w:w="8239" w:type="dxa"/>
            <w:vAlign w:val="center"/>
          </w:tcPr>
          <w:p w14:paraId="47998F5C">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b/>
                <w:bCs/>
                <w:color w:val="auto"/>
                <w:lang w:val="en-US" w:eastAsia="zh-CN"/>
              </w:rPr>
              <w:t>1、大气环境影响分析</w:t>
            </w:r>
          </w:p>
          <w:p w14:paraId="48FB5656">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4"/>
                <w:szCs w:val="24"/>
                <w:lang w:val="en-US" w:eastAsia="zh-CN"/>
              </w:rPr>
            </w:pPr>
            <w:r>
              <w:rPr>
                <w:rFonts w:hint="eastAsia"/>
                <w:color w:val="auto"/>
                <w:sz w:val="24"/>
                <w:szCs w:val="24"/>
                <w:lang w:val="en-US" w:eastAsia="zh-CN"/>
              </w:rPr>
              <w:t>（1）非甲烷总烃环境影响分析</w:t>
            </w:r>
          </w:p>
          <w:p w14:paraId="6690F81A">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4"/>
                <w:szCs w:val="24"/>
                <w:lang w:val="en-US" w:eastAsia="zh-CN"/>
              </w:rPr>
            </w:pPr>
            <w:r>
              <w:rPr>
                <w:rFonts w:hint="eastAsia"/>
                <w:color w:val="auto"/>
                <w:sz w:val="24"/>
                <w:szCs w:val="24"/>
                <w:lang w:val="en-US" w:eastAsia="zh-CN"/>
              </w:rPr>
              <w:t>本项目实验过程不使用产生挥发性有机物的原辅料，室内地面采用新洁尔灭消毒，工作台面使用酒精消毒。使用无水乙醇配制消毒酒精，根据建设单位提供的资料，本项目台面消毒年使用乙醇5L，消毒过程乙醇全部挥发，则本项目挥发性有机物的产生量及排放量为3.945 kg/a（0.004t/a）。本项目消毒使用乙醇量比较少，使用时间、区域比较分散，消毒产生的挥发性有机物无组织排放。</w:t>
            </w:r>
          </w:p>
          <w:p w14:paraId="2D95BDF5">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利用AERSCREEN估算模式对无组织废气污染物无组织排放浓度进行预测，详情见下表。</w:t>
            </w:r>
          </w:p>
          <w:p w14:paraId="0169BFF0">
            <w:pPr>
              <w:pStyle w:val="15"/>
              <w:numPr>
                <w:ilvl w:val="0"/>
                <w:numId w:val="17"/>
              </w:numPr>
              <w:bidi w:val="0"/>
              <w:ind w:left="425" w:leftChars="0" w:hanging="425"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采用 AERSCREEN 估算模型计算无组织排放废气结果一览表</w:t>
            </w:r>
          </w:p>
          <w:tbl>
            <w:tblPr>
              <w:tblStyle w:val="1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948"/>
              <w:gridCol w:w="1444"/>
              <w:gridCol w:w="1860"/>
              <w:gridCol w:w="1620"/>
              <w:gridCol w:w="946"/>
            </w:tblGrid>
            <w:tr w14:paraId="2518DA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dxa"/>
                  <w:tcBorders>
                    <w:tl2br w:val="nil"/>
                    <w:tr2bl w:val="nil"/>
                  </w:tcBorders>
                  <w:vAlign w:val="center"/>
                </w:tcPr>
                <w:p w14:paraId="710896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排放方式</w:t>
                  </w:r>
                </w:p>
              </w:tc>
              <w:tc>
                <w:tcPr>
                  <w:tcW w:w="948" w:type="dxa"/>
                  <w:tcBorders>
                    <w:tl2br w:val="nil"/>
                    <w:tr2bl w:val="nil"/>
                  </w:tcBorders>
                  <w:vAlign w:val="center"/>
                </w:tcPr>
                <w:p w14:paraId="17DC01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污染源</w:t>
                  </w:r>
                </w:p>
              </w:tc>
              <w:tc>
                <w:tcPr>
                  <w:tcW w:w="1444" w:type="dxa"/>
                  <w:tcBorders>
                    <w:tl2br w:val="nil"/>
                    <w:tr2bl w:val="nil"/>
                  </w:tcBorders>
                  <w:vAlign w:val="center"/>
                </w:tcPr>
                <w:p w14:paraId="672C39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污染物</w:t>
                  </w:r>
                </w:p>
              </w:tc>
              <w:tc>
                <w:tcPr>
                  <w:tcW w:w="1860" w:type="dxa"/>
                  <w:tcBorders>
                    <w:tl2br w:val="nil"/>
                    <w:tr2bl w:val="nil"/>
                  </w:tcBorders>
                  <w:vAlign w:val="center"/>
                </w:tcPr>
                <w:p w14:paraId="057B1A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下风向最大质量浓度</w:t>
                  </w:r>
                  <w:r>
                    <w:rPr>
                      <w:rFonts w:hint="default"/>
                      <w:b/>
                      <w:bCs/>
                      <w:color w:val="000000" w:themeColor="text1"/>
                      <w:sz w:val="21"/>
                      <w:szCs w:val="21"/>
                      <w:lang w:val="en-US" w:eastAsia="zh-CN"/>
                      <w14:textFill>
                        <w14:solidFill>
                          <w14:schemeClr w14:val="tx1"/>
                        </w14:solidFill>
                      </w14:textFill>
                    </w:rPr>
                    <w:t>mg/m</w:t>
                  </w:r>
                  <w:r>
                    <w:rPr>
                      <w:rFonts w:hint="eastAsia"/>
                      <w:b/>
                      <w:bCs/>
                      <w:color w:val="000000" w:themeColor="text1"/>
                      <w:sz w:val="21"/>
                      <w:szCs w:val="21"/>
                      <w:vertAlign w:val="superscript"/>
                      <w:lang w:val="en-US" w:eastAsia="zh-CN"/>
                      <w14:textFill>
                        <w14:solidFill>
                          <w14:schemeClr w14:val="tx1"/>
                        </w14:solidFill>
                      </w14:textFill>
                    </w:rPr>
                    <w:t>3</w:t>
                  </w:r>
                </w:p>
              </w:tc>
              <w:tc>
                <w:tcPr>
                  <w:tcW w:w="1620" w:type="dxa"/>
                  <w:tcBorders>
                    <w:tl2br w:val="nil"/>
                    <w:tr2bl w:val="nil"/>
                  </w:tcBorders>
                  <w:vAlign w:val="center"/>
                </w:tcPr>
                <w:p w14:paraId="48880D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最大落地浓度距离</w:t>
                  </w:r>
                  <w:r>
                    <w:rPr>
                      <w:rFonts w:hint="default"/>
                      <w:b/>
                      <w:bCs/>
                      <w:color w:val="000000" w:themeColor="text1"/>
                      <w:sz w:val="21"/>
                      <w:szCs w:val="21"/>
                      <w:lang w:val="en-US" w:eastAsia="zh-CN"/>
                      <w14:textFill>
                        <w14:solidFill>
                          <w14:schemeClr w14:val="tx1"/>
                        </w14:solidFill>
                      </w14:textFill>
                    </w:rPr>
                    <w:t>m</w:t>
                  </w:r>
                </w:p>
              </w:tc>
              <w:tc>
                <w:tcPr>
                  <w:tcW w:w="946" w:type="dxa"/>
                  <w:tcBorders>
                    <w:tl2br w:val="nil"/>
                    <w:tr2bl w:val="nil"/>
                  </w:tcBorders>
                  <w:vAlign w:val="center"/>
                </w:tcPr>
                <w:p w14:paraId="20E450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标准值</w:t>
                  </w:r>
                </w:p>
                <w:p w14:paraId="324A4D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21"/>
                      <w:szCs w:val="21"/>
                      <w:vertAlign w:val="baseline"/>
                      <w:lang w:val="en-US" w:eastAsia="zh-CN"/>
                      <w14:textFill>
                        <w14:solidFill>
                          <w14:schemeClr w14:val="tx1"/>
                        </w14:solidFill>
                      </w14:textFill>
                    </w:rPr>
                  </w:pPr>
                  <w:r>
                    <w:rPr>
                      <w:rFonts w:hint="default"/>
                      <w:b/>
                      <w:bCs/>
                      <w:color w:val="000000" w:themeColor="text1"/>
                      <w:sz w:val="21"/>
                      <w:szCs w:val="21"/>
                      <w:lang w:val="en-US" w:eastAsia="zh-CN"/>
                      <w14:textFill>
                        <w14:solidFill>
                          <w14:schemeClr w14:val="tx1"/>
                        </w14:solidFill>
                      </w14:textFill>
                    </w:rPr>
                    <w:t>mg/m</w:t>
                  </w:r>
                  <w:r>
                    <w:rPr>
                      <w:rFonts w:hint="default"/>
                      <w:b/>
                      <w:bCs/>
                      <w:color w:val="000000" w:themeColor="text1"/>
                      <w:sz w:val="21"/>
                      <w:szCs w:val="21"/>
                      <w:vertAlign w:val="superscript"/>
                      <w:lang w:val="en-US" w:eastAsia="zh-CN"/>
                      <w14:textFill>
                        <w14:solidFill>
                          <w14:schemeClr w14:val="tx1"/>
                        </w14:solidFill>
                      </w14:textFill>
                    </w:rPr>
                    <w:t>3</w:t>
                  </w:r>
                </w:p>
              </w:tc>
            </w:tr>
            <w:tr w14:paraId="3BF649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5" w:type="dxa"/>
                  <w:tcBorders>
                    <w:tl2br w:val="nil"/>
                    <w:tr2bl w:val="nil"/>
                  </w:tcBorders>
                  <w:vAlign w:val="center"/>
                </w:tcPr>
                <w:p w14:paraId="0A79DB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面源</w:t>
                  </w:r>
                </w:p>
              </w:tc>
              <w:tc>
                <w:tcPr>
                  <w:tcW w:w="948" w:type="dxa"/>
                  <w:tcBorders>
                    <w:tl2br w:val="nil"/>
                    <w:tr2bl w:val="nil"/>
                  </w:tcBorders>
                  <w:vAlign w:val="center"/>
                </w:tcPr>
                <w:p w14:paraId="222D04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实验室</w:t>
                  </w:r>
                </w:p>
              </w:tc>
              <w:tc>
                <w:tcPr>
                  <w:tcW w:w="1444" w:type="dxa"/>
                  <w:tcBorders>
                    <w:tl2br w:val="nil"/>
                    <w:tr2bl w:val="nil"/>
                  </w:tcBorders>
                  <w:shd w:val="clear" w:color="auto" w:fill="auto"/>
                  <w:vAlign w:val="center"/>
                </w:tcPr>
                <w:p w14:paraId="2F936B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heme="minorBidi"/>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非甲烷总烃</w:t>
                  </w:r>
                </w:p>
              </w:tc>
              <w:tc>
                <w:tcPr>
                  <w:tcW w:w="1860" w:type="dxa"/>
                  <w:tcBorders>
                    <w:tl2br w:val="nil"/>
                    <w:tr2bl w:val="nil"/>
                  </w:tcBorders>
                  <w:shd w:val="clear" w:color="auto" w:fill="auto"/>
                  <w:vAlign w:val="center"/>
                </w:tcPr>
                <w:p w14:paraId="0613E7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0.047</w:t>
                  </w:r>
                </w:p>
              </w:tc>
              <w:tc>
                <w:tcPr>
                  <w:tcW w:w="1620" w:type="dxa"/>
                  <w:tcBorders>
                    <w:tl2br w:val="nil"/>
                    <w:tr2bl w:val="nil"/>
                  </w:tcBorders>
                  <w:shd w:val="clear" w:color="auto" w:fill="auto"/>
                  <w:vAlign w:val="center"/>
                </w:tcPr>
                <w:p w14:paraId="599D42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12</w:t>
                  </w:r>
                </w:p>
              </w:tc>
              <w:tc>
                <w:tcPr>
                  <w:tcW w:w="946" w:type="dxa"/>
                  <w:tcBorders>
                    <w:tl2br w:val="nil"/>
                    <w:tr2bl w:val="nil"/>
                  </w:tcBorders>
                  <w:shd w:val="clear" w:color="auto" w:fill="auto"/>
                  <w:vAlign w:val="center"/>
                </w:tcPr>
                <w:p w14:paraId="4F46C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r>
          </w:tbl>
          <w:p w14:paraId="31D74B31">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综上，本项目建设完成后无组织废气排放浓度满足北京市《大气污染物综合排放标准》（DB11/501-2017）表3中单位周界无组织排放监控点浓度限值要求。</w:t>
            </w:r>
          </w:p>
          <w:p w14:paraId="085DBA10">
            <w:pPr>
              <w:keepNext w:val="0"/>
              <w:keepLines w:val="0"/>
              <w:pageBreakBefore w:val="0"/>
              <w:widowControl w:val="0"/>
              <w:kinsoku/>
              <w:wordWrap/>
              <w:overflowPunct/>
              <w:topLinePunct w:val="0"/>
              <w:autoSpaceDE/>
              <w:autoSpaceDN/>
              <w:bidi w:val="0"/>
              <w:adjustRightInd w:val="0"/>
              <w:snapToGrid w:val="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（2）生物气溶胶</w:t>
            </w:r>
          </w:p>
          <w:p w14:paraId="53691C6D">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本项目产品研发过程会产生生物气溶胶，接触到生物性样本的相关实验在生物安全柜内进行，生物安全柜配备了高效过滤器和紫外线消毒设施，采用符合EN1822标准的HEPA（ISO5级）高效过滤器，对</w:t>
            </w:r>
            <w:r>
              <w:rPr>
                <w:rFonts w:hint="default" w:ascii="Times New Roman" w:hAnsi="Times New Roman" w:cs="Times New Roman"/>
                <w:color w:val="000000" w:themeColor="text1"/>
                <w:sz w:val="24"/>
                <w:szCs w:val="24"/>
                <w:lang w:val="en-US" w:eastAsia="zh-CN"/>
                <w14:textFill>
                  <w14:solidFill>
                    <w14:schemeClr w14:val="tx1"/>
                  </w14:solidFill>
                </w14:textFill>
              </w:rPr>
              <w:t>0.3μm粒子</w:t>
            </w:r>
            <w:r>
              <w:rPr>
                <w:rFonts w:hint="eastAsia"/>
                <w:color w:val="000000" w:themeColor="text1"/>
                <w:sz w:val="24"/>
                <w:szCs w:val="24"/>
                <w:lang w:val="en-US" w:eastAsia="zh-CN"/>
                <w14:textFill>
                  <w14:solidFill>
                    <w14:schemeClr w14:val="tx1"/>
                  </w14:solidFill>
                </w14:textFill>
              </w:rPr>
              <w:t>的截留效率大于99.99%以上。工作区所有生物污染部位均处于负压状态。生物性废气（微生物气溶胶）排放过程：污染气流→高效过滤→通过外接管道排放至室外，可确保室内环境洁净度，不对环境造成污染，对周围大气环境影响较小。</w:t>
            </w:r>
          </w:p>
          <w:p w14:paraId="1A5CE4DF">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为保障净化效率，企业应根据项目生物样本的使用情况定期联系生物安全柜生产厂家更换过滤材料，废过滤材料暂存于危险废物暂存间内，定期委托有资质单位处理处置。</w:t>
            </w:r>
          </w:p>
          <w:p w14:paraId="3C364DD3">
            <w:pPr>
              <w:keepNext w:val="0"/>
              <w:keepLines w:val="0"/>
              <w:pageBreakBefore w:val="0"/>
              <w:widowControl w:val="0"/>
              <w:kinsoku/>
              <w:wordWrap/>
              <w:overflowPunct/>
              <w:topLinePunct w:val="0"/>
              <w:autoSpaceDE/>
              <w:autoSpaceDN/>
              <w:bidi w:val="0"/>
              <w:adjustRightInd w:val="0"/>
              <w:snapToGrid w:val="0"/>
              <w:textAlignment w:val="auto"/>
              <w:rPr>
                <w:rFonts w:hint="default"/>
                <w:color w:val="000000" w:themeColor="text1"/>
                <w:sz w:val="24"/>
                <w:szCs w:val="24"/>
                <w:lang w:val="en-US" w:eastAsia="zh-CN"/>
                <w14:textFill>
                  <w14:solidFill>
                    <w14:schemeClr w14:val="tx1"/>
                  </w14:solidFill>
                </w14:textFill>
              </w:rPr>
            </w:pPr>
          </w:p>
          <w:p w14:paraId="666C7B15">
            <w:pPr>
              <w:keepNext w:val="0"/>
              <w:keepLines w:val="0"/>
              <w:pageBreakBefore w:val="0"/>
              <w:widowControl w:val="0"/>
              <w:kinsoku/>
              <w:wordWrap/>
              <w:overflowPunct/>
              <w:topLinePunct w:val="0"/>
              <w:autoSpaceDE/>
              <w:autoSpaceDN/>
              <w:bidi w:val="0"/>
              <w:adjustRightInd w:val="0"/>
              <w:snapToGrid w:val="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（3）废气监测计划</w:t>
            </w:r>
          </w:p>
          <w:p w14:paraId="4EFCC66E">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按照《排污单位自行监测技术指南 总则》（HJ819-2017）的要求，本项目废气监测计划详见下表。</w:t>
            </w:r>
          </w:p>
          <w:p w14:paraId="5CF8CF35">
            <w:pPr>
              <w:pStyle w:val="15"/>
              <w:numPr>
                <w:ilvl w:val="0"/>
                <w:numId w:val="17"/>
              </w:numPr>
              <w:bidi w:val="0"/>
              <w:ind w:left="425" w:leftChars="0" w:hanging="425" w:firstLineChars="0"/>
              <w:rPr>
                <w:rFonts w:hint="default"/>
                <w:color w:val="auto"/>
                <w:lang w:val="en-US" w:eastAsia="zh-CN"/>
              </w:rPr>
            </w:pPr>
            <w:r>
              <w:rPr>
                <w:rFonts w:hint="eastAsia"/>
                <w:color w:val="auto"/>
                <w:lang w:val="en-US" w:eastAsia="zh-CN"/>
              </w:rPr>
              <w:t xml:space="preserve"> 废气监测计划一览表</w:t>
            </w:r>
          </w:p>
          <w:tbl>
            <w:tblPr>
              <w:tblStyle w:val="12"/>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19"/>
              <w:gridCol w:w="1126"/>
              <w:gridCol w:w="1287"/>
              <w:gridCol w:w="1126"/>
              <w:gridCol w:w="3265"/>
            </w:tblGrid>
            <w:tr w14:paraId="2E3E26F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8" w:type="dxa"/>
                  <w:tcBorders>
                    <w:tl2br w:val="nil"/>
                    <w:tr2bl w:val="nil"/>
                  </w:tcBorders>
                  <w:shd w:val="clear" w:color="auto" w:fill="FFFFFF"/>
                  <w:noWrap w:val="0"/>
                  <w:vAlign w:val="center"/>
                </w:tcPr>
                <w:p w14:paraId="7C6A8D7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highlight w:val="none"/>
                      <w:lang w:val="en-US" w:eastAsia="zh-CN"/>
                    </w:rPr>
                  </w:pPr>
                  <w:r>
                    <w:rPr>
                      <w:rFonts w:hint="eastAsia"/>
                      <w:b/>
                      <w:bCs/>
                      <w:color w:val="auto"/>
                      <w:highlight w:val="none"/>
                      <w:lang w:val="en-US" w:eastAsia="zh-CN"/>
                    </w:rPr>
                    <w:t>类型</w:t>
                  </w:r>
                </w:p>
              </w:tc>
              <w:tc>
                <w:tcPr>
                  <w:tcW w:w="1108" w:type="dxa"/>
                  <w:tcBorders>
                    <w:tl2br w:val="nil"/>
                    <w:tr2bl w:val="nil"/>
                  </w:tcBorders>
                  <w:shd w:val="clear" w:color="auto" w:fill="FFFFFF"/>
                  <w:noWrap w:val="0"/>
                  <w:vAlign w:val="center"/>
                </w:tcPr>
                <w:p w14:paraId="78E27D2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highlight w:val="none"/>
                      <w:lang w:val="en-US" w:eastAsia="zh-CN"/>
                    </w:rPr>
                  </w:pPr>
                  <w:r>
                    <w:rPr>
                      <w:rFonts w:hint="eastAsia"/>
                      <w:b/>
                      <w:bCs/>
                      <w:color w:val="auto"/>
                      <w:highlight w:val="none"/>
                      <w:lang w:val="en-US" w:eastAsia="zh-CN"/>
                    </w:rPr>
                    <w:t>监测点位</w:t>
                  </w:r>
                </w:p>
              </w:tc>
              <w:tc>
                <w:tcPr>
                  <w:tcW w:w="1265" w:type="dxa"/>
                  <w:tcBorders>
                    <w:tl2br w:val="nil"/>
                    <w:tr2bl w:val="nil"/>
                  </w:tcBorders>
                  <w:shd w:val="clear" w:color="auto" w:fill="FFFFFF"/>
                  <w:noWrap w:val="0"/>
                  <w:vAlign w:val="center"/>
                </w:tcPr>
                <w:p w14:paraId="41534EB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
                      <w:bCs/>
                      <w:color w:val="auto"/>
                      <w:highlight w:val="none"/>
                      <w:lang w:val="en-US" w:eastAsia="zh-CN"/>
                    </w:rPr>
                  </w:pPr>
                  <w:r>
                    <w:rPr>
                      <w:rFonts w:hint="eastAsia"/>
                      <w:b/>
                      <w:bCs/>
                      <w:color w:val="auto"/>
                      <w:highlight w:val="none"/>
                      <w:lang w:val="en-US" w:eastAsia="zh-CN"/>
                    </w:rPr>
                    <w:t>监测因子</w:t>
                  </w:r>
                </w:p>
              </w:tc>
              <w:tc>
                <w:tcPr>
                  <w:tcW w:w="1108" w:type="dxa"/>
                  <w:tcBorders>
                    <w:tl2br w:val="nil"/>
                    <w:tr2bl w:val="nil"/>
                  </w:tcBorders>
                  <w:shd w:val="clear" w:color="auto" w:fill="FFFFFF"/>
                  <w:noWrap w:val="0"/>
                  <w:vAlign w:val="center"/>
                </w:tcPr>
                <w:p w14:paraId="23B35EF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highlight w:val="none"/>
                      <w:lang w:val="en-US" w:eastAsia="zh-CN"/>
                    </w:rPr>
                  </w:pPr>
                  <w:r>
                    <w:rPr>
                      <w:rFonts w:hint="eastAsia"/>
                      <w:b/>
                      <w:bCs/>
                      <w:color w:val="auto"/>
                      <w:highlight w:val="none"/>
                      <w:lang w:val="en-US" w:eastAsia="zh-CN"/>
                    </w:rPr>
                    <w:t>监测频率</w:t>
                  </w:r>
                </w:p>
              </w:tc>
              <w:tc>
                <w:tcPr>
                  <w:tcW w:w="3211" w:type="dxa"/>
                  <w:tcBorders>
                    <w:tl2br w:val="nil"/>
                    <w:tr2bl w:val="nil"/>
                  </w:tcBorders>
                  <w:shd w:val="clear" w:color="auto" w:fill="FFFFFF"/>
                  <w:noWrap w:val="0"/>
                  <w:vAlign w:val="center"/>
                </w:tcPr>
                <w:p w14:paraId="4F5E5F7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bCs/>
                      <w:color w:val="auto"/>
                      <w:highlight w:val="none"/>
                      <w:lang w:val="en-US" w:eastAsia="zh-CN"/>
                    </w:rPr>
                  </w:pPr>
                  <w:r>
                    <w:rPr>
                      <w:rFonts w:hint="eastAsia"/>
                      <w:b/>
                      <w:bCs/>
                      <w:color w:val="auto"/>
                      <w:highlight w:val="none"/>
                      <w:lang w:val="en-US" w:eastAsia="zh-CN"/>
                    </w:rPr>
                    <w:t>执行标准</w:t>
                  </w:r>
                </w:p>
              </w:tc>
            </w:tr>
            <w:tr w14:paraId="4C603D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8" w:type="dxa"/>
                  <w:tcBorders>
                    <w:tl2br w:val="nil"/>
                    <w:tr2bl w:val="nil"/>
                  </w:tcBorders>
                  <w:shd w:val="clear" w:color="auto" w:fill="FFFFFF"/>
                  <w:noWrap w:val="0"/>
                  <w:vAlign w:val="center"/>
                </w:tcPr>
                <w:p w14:paraId="75A8F4F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b w:val="0"/>
                      <w:bCs/>
                      <w:color w:val="auto"/>
                      <w:highlight w:val="none"/>
                      <w:lang w:val="en-US" w:eastAsia="zh-CN"/>
                    </w:rPr>
                  </w:pPr>
                  <w:r>
                    <w:rPr>
                      <w:rFonts w:hint="eastAsia"/>
                      <w:b w:val="0"/>
                      <w:bCs/>
                      <w:color w:val="auto"/>
                      <w:highlight w:val="none"/>
                      <w:lang w:val="en-US" w:eastAsia="zh-CN"/>
                    </w:rPr>
                    <w:t>废气</w:t>
                  </w:r>
                </w:p>
                <w:p w14:paraId="0E4522E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b w:val="0"/>
                      <w:bCs/>
                      <w:color w:val="auto"/>
                      <w:highlight w:val="none"/>
                      <w:lang w:val="en-US" w:eastAsia="zh-CN"/>
                    </w:rPr>
                  </w:pPr>
                  <w:r>
                    <w:rPr>
                      <w:rFonts w:hint="eastAsia"/>
                      <w:b w:val="0"/>
                      <w:bCs/>
                      <w:color w:val="auto"/>
                      <w:highlight w:val="none"/>
                      <w:lang w:val="en-US" w:eastAsia="zh-CN"/>
                    </w:rPr>
                    <w:t>（无组织）</w:t>
                  </w:r>
                </w:p>
              </w:tc>
              <w:tc>
                <w:tcPr>
                  <w:tcW w:w="1108" w:type="dxa"/>
                  <w:tcBorders>
                    <w:tl2br w:val="nil"/>
                    <w:tr2bl w:val="nil"/>
                  </w:tcBorders>
                  <w:shd w:val="clear" w:color="auto" w:fill="FFFFFF"/>
                  <w:noWrap w:val="0"/>
                  <w:vAlign w:val="center"/>
                </w:tcPr>
                <w:p w14:paraId="22D98C5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单位周界</w:t>
                  </w:r>
                </w:p>
              </w:tc>
              <w:tc>
                <w:tcPr>
                  <w:tcW w:w="1265" w:type="dxa"/>
                  <w:tcBorders>
                    <w:tl2br w:val="nil"/>
                    <w:tr2bl w:val="nil"/>
                  </w:tcBorders>
                  <w:shd w:val="clear" w:color="auto" w:fill="FFFFFF"/>
                  <w:noWrap w:val="0"/>
                  <w:vAlign w:val="center"/>
                </w:tcPr>
                <w:p w14:paraId="008414C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非甲烷总烃</w:t>
                  </w:r>
                </w:p>
              </w:tc>
              <w:tc>
                <w:tcPr>
                  <w:tcW w:w="1108" w:type="dxa"/>
                  <w:tcBorders>
                    <w:tl2br w:val="nil"/>
                    <w:tr2bl w:val="nil"/>
                  </w:tcBorders>
                  <w:shd w:val="clear" w:color="auto" w:fill="FFFFFF"/>
                  <w:noWrap w:val="0"/>
                  <w:vAlign w:val="center"/>
                </w:tcPr>
                <w:p w14:paraId="0744FF3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1次/年</w:t>
                  </w:r>
                </w:p>
              </w:tc>
              <w:tc>
                <w:tcPr>
                  <w:tcW w:w="3211" w:type="dxa"/>
                  <w:tcBorders>
                    <w:tl2br w:val="nil"/>
                    <w:tr2bl w:val="nil"/>
                  </w:tcBorders>
                  <w:shd w:val="clear" w:color="auto" w:fill="FFFFFF"/>
                  <w:noWrap w:val="0"/>
                  <w:vAlign w:val="center"/>
                </w:tcPr>
                <w:p w14:paraId="232D428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eastAsia="zh-CN"/>
                    </w:rPr>
                    <w:t>《大气污染物综合排放标准》DB11</w:t>
                  </w:r>
                  <w:r>
                    <w:rPr>
                      <w:rFonts w:hint="eastAsia"/>
                      <w:color w:val="auto"/>
                      <w:highlight w:val="none"/>
                      <w:lang w:val="en-US" w:eastAsia="zh-CN"/>
                    </w:rPr>
                    <w:t>/</w:t>
                  </w:r>
                  <w:r>
                    <w:rPr>
                      <w:rFonts w:hint="eastAsia"/>
                      <w:color w:val="auto"/>
                      <w:highlight w:val="none"/>
                      <w:lang w:eastAsia="zh-CN"/>
                    </w:rPr>
                    <w:t>501</w:t>
                  </w:r>
                  <w:r>
                    <w:rPr>
                      <w:rFonts w:hint="eastAsia"/>
                      <w:color w:val="auto"/>
                      <w:highlight w:val="none"/>
                      <w:lang w:val="en-US" w:eastAsia="zh-CN"/>
                    </w:rPr>
                    <w:t>-</w:t>
                  </w:r>
                  <w:r>
                    <w:rPr>
                      <w:rFonts w:hint="eastAsia"/>
                      <w:color w:val="auto"/>
                      <w:highlight w:val="none"/>
                      <w:lang w:eastAsia="zh-CN"/>
                    </w:rPr>
                    <w:t>2017</w:t>
                  </w:r>
                  <w:r>
                    <w:rPr>
                      <w:rFonts w:hint="eastAsia"/>
                      <w:color w:val="auto"/>
                      <w:highlight w:val="none"/>
                      <w:lang w:val="en-US" w:eastAsia="zh-CN"/>
                    </w:rPr>
                    <w:t>中“表3 生产工艺废气及其他废气大气污染物排放限值-单位周界无组织排放监控点浓度限值”1.0mg/m</w:t>
                  </w:r>
                  <w:r>
                    <w:rPr>
                      <w:rFonts w:hint="eastAsia"/>
                      <w:color w:val="auto"/>
                      <w:highlight w:val="none"/>
                      <w:vertAlign w:val="superscript"/>
                      <w:lang w:val="en-US" w:eastAsia="zh-CN"/>
                    </w:rPr>
                    <w:t>3</w:t>
                  </w:r>
                </w:p>
              </w:tc>
            </w:tr>
          </w:tbl>
          <w:p w14:paraId="5F6A7D05">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2、水环境影响分析</w:t>
            </w:r>
          </w:p>
          <w:p w14:paraId="2CD07F08">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（1）废水源强核算</w:t>
            </w:r>
          </w:p>
          <w:p w14:paraId="23D8A12C">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项目排放的废水为生活污水</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容器第三遍及以后</w:t>
            </w:r>
            <w:r>
              <w:rPr>
                <w:rFonts w:hint="default" w:ascii="Times New Roman" w:hAnsi="Times New Roman" w:eastAsia="宋体" w:cs="Times New Roman"/>
                <w:color w:val="auto"/>
                <w:sz w:val="24"/>
                <w:szCs w:val="32"/>
                <w:highlight w:val="none"/>
                <w:lang w:val="en-US" w:eastAsia="zh-CN"/>
              </w:rPr>
              <w:t>清洗废水，</w:t>
            </w:r>
            <w:r>
              <w:rPr>
                <w:rFonts w:hint="eastAsia" w:ascii="Times New Roman" w:hAnsi="Times New Roman" w:cs="Times New Roman"/>
                <w:color w:val="auto"/>
                <w:sz w:val="24"/>
                <w:szCs w:val="32"/>
                <w:highlight w:val="none"/>
                <w:lang w:val="en-US" w:eastAsia="zh-CN"/>
              </w:rPr>
              <w:t>以上</w:t>
            </w:r>
            <w:r>
              <w:rPr>
                <w:rFonts w:hint="eastAsia" w:cs="Times New Roman"/>
                <w:color w:val="auto"/>
                <w:sz w:val="24"/>
                <w:highlight w:val="none"/>
                <w:lang w:val="en-US" w:eastAsia="zh-CN"/>
              </w:rPr>
              <w:t>废水</w:t>
            </w:r>
            <w:r>
              <w:rPr>
                <w:rFonts w:hint="default" w:cs="Times New Roman"/>
                <w:color w:val="auto"/>
                <w:sz w:val="24"/>
                <w:highlight w:val="none"/>
                <w:lang w:val="en-US" w:eastAsia="zh-CN"/>
              </w:rPr>
              <w:t>一同</w:t>
            </w:r>
            <w:r>
              <w:rPr>
                <w:rFonts w:hint="eastAsia" w:ascii="Times New Roman" w:hAnsi="Times New Roman" w:eastAsia="宋体" w:cs="Times New Roman"/>
                <w:color w:val="auto"/>
                <w:sz w:val="24"/>
                <w:szCs w:val="32"/>
                <w:highlight w:val="none"/>
                <w:lang w:val="en-US" w:eastAsia="zh-CN"/>
              </w:rPr>
              <w:t>进</w:t>
            </w:r>
            <w:r>
              <w:rPr>
                <w:rFonts w:hint="default" w:ascii="Times New Roman" w:hAnsi="Times New Roman" w:eastAsia="宋体" w:cs="Times New Roman"/>
                <w:color w:val="auto"/>
                <w:sz w:val="24"/>
                <w:szCs w:val="32"/>
                <w:highlight w:val="none"/>
              </w:rPr>
              <w:t>园区化粪池处理</w:t>
            </w:r>
            <w:r>
              <w:rPr>
                <w:rFonts w:hint="eastAsia" w:ascii="Times New Roman" w:hAnsi="Times New Roman" w:cs="Times New Roman"/>
                <w:color w:val="auto"/>
                <w:sz w:val="24"/>
                <w:szCs w:val="32"/>
                <w:highlight w:val="none"/>
                <w:lang w:eastAsia="zh-CN"/>
              </w:rPr>
              <w:t>，</w:t>
            </w:r>
            <w:r>
              <w:rPr>
                <w:rFonts w:hint="eastAsia" w:cs="Times New Roman"/>
                <w:color w:val="auto"/>
                <w:sz w:val="24"/>
                <w:szCs w:val="32"/>
                <w:highlight w:val="none"/>
                <w:lang w:val="en-US" w:eastAsia="zh-CN"/>
              </w:rPr>
              <w:t>最后</w:t>
            </w:r>
            <w:r>
              <w:rPr>
                <w:rFonts w:hint="eastAsia" w:ascii="Times New Roman" w:hAnsi="Times New Roman" w:cs="Times New Roman"/>
                <w:color w:val="auto"/>
                <w:sz w:val="24"/>
                <w:szCs w:val="32"/>
                <w:highlight w:val="none"/>
                <w:lang w:val="en-US" w:eastAsia="zh-CN"/>
              </w:rPr>
              <w:t>经</w:t>
            </w:r>
            <w:r>
              <w:rPr>
                <w:rFonts w:hint="default" w:ascii="Times New Roman" w:hAnsi="Times New Roman" w:eastAsia="宋体" w:cs="Times New Roman"/>
                <w:color w:val="auto"/>
                <w:sz w:val="24"/>
                <w:szCs w:val="32"/>
                <w:highlight w:val="none"/>
              </w:rPr>
              <w:t>市政管网</w:t>
            </w:r>
            <w:r>
              <w:rPr>
                <w:rFonts w:hint="eastAsia" w:ascii="Times New Roman" w:hAnsi="Times New Roman" w:cs="Times New Roman"/>
                <w:color w:val="auto"/>
                <w:sz w:val="24"/>
                <w:szCs w:val="32"/>
                <w:highlight w:val="none"/>
                <w:lang w:val="en-US" w:eastAsia="zh-CN"/>
              </w:rPr>
              <w:t>排入</w:t>
            </w:r>
            <w:r>
              <w:rPr>
                <w:rFonts w:hint="eastAsia" w:cs="Times New Roman"/>
                <w:color w:val="auto"/>
                <w:sz w:val="24"/>
                <w:highlight w:val="none"/>
                <w:lang w:val="en-US" w:eastAsia="zh-CN"/>
              </w:rPr>
              <w:t>北京亦庄环境科技集团有限公司东区污水处理厂处理</w:t>
            </w:r>
            <w:r>
              <w:rPr>
                <w:rFonts w:hint="default" w:ascii="Times New Roman" w:hAnsi="Times New Roman" w:eastAsia="宋体" w:cs="Times New Roman"/>
                <w:color w:val="auto"/>
                <w:sz w:val="24"/>
                <w:highlight w:val="none"/>
                <w:lang w:val="en-US" w:eastAsia="zh-CN"/>
              </w:rPr>
              <w:t>。</w:t>
            </w:r>
          </w:p>
          <w:p w14:paraId="17107B1B">
            <w:pPr>
              <w:numPr>
                <w:ilvl w:val="0"/>
                <w:numId w:val="0"/>
              </w:num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 xml:space="preserve">本项目生活污水排放量106.25 </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w:t>
            </w:r>
            <w:r>
              <w:rPr>
                <w:rFonts w:hint="eastAsia" w:cs="Times New Roman"/>
                <w:color w:val="auto"/>
                <w:sz w:val="24"/>
                <w:highlight w:val="none"/>
                <w:lang w:val="en-US" w:eastAsia="zh-CN"/>
              </w:rPr>
              <w:t>、容器第三遍及以后</w:t>
            </w:r>
            <w:r>
              <w:rPr>
                <w:rFonts w:hint="default" w:cs="Times New Roman"/>
                <w:color w:val="auto"/>
                <w:sz w:val="24"/>
                <w:highlight w:val="none"/>
                <w:lang w:val="en-US" w:eastAsia="zh-CN"/>
              </w:rPr>
              <w:t>清洗废水</w:t>
            </w:r>
            <w:r>
              <w:rPr>
                <w:rFonts w:hint="eastAsia" w:cs="Times New Roman"/>
                <w:color w:val="auto"/>
                <w:sz w:val="24"/>
                <w:highlight w:val="none"/>
                <w:lang w:val="en-US" w:eastAsia="zh-CN"/>
              </w:rPr>
              <w:t>0.45</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rPr>
              <w:t>/a</w:t>
            </w:r>
            <w:r>
              <w:rPr>
                <w:rFonts w:hint="eastAsia" w:eastAsia="宋体" w:cs="Times New Roman"/>
                <w:color w:val="auto"/>
                <w:sz w:val="24"/>
                <w:highlight w:val="none"/>
                <w:lang w:val="en-US" w:eastAsia="zh-CN"/>
              </w:rPr>
              <w:t>，</w:t>
            </w:r>
            <w:r>
              <w:rPr>
                <w:rFonts w:hint="default" w:cs="Times New Roman"/>
                <w:color w:val="auto"/>
                <w:sz w:val="24"/>
                <w:highlight w:val="none"/>
                <w:lang w:val="en-US" w:eastAsia="zh-CN"/>
              </w:rPr>
              <w:t>废水排放总量为</w:t>
            </w:r>
            <w:r>
              <w:rPr>
                <w:rFonts w:hint="eastAsia" w:cs="Times New Roman"/>
                <w:color w:val="auto"/>
                <w:sz w:val="24"/>
                <w:highlight w:val="none"/>
                <w:lang w:val="en-US" w:eastAsia="zh-CN"/>
              </w:rPr>
              <w:t xml:space="preserve">106.7 </w:t>
            </w:r>
            <w:r>
              <w:rPr>
                <w:rFonts w:hint="default" w:cs="Times New Roman"/>
                <w:color w:val="auto"/>
                <w:sz w:val="24"/>
                <w:highlight w:val="none"/>
                <w:lang w:val="en-US" w:eastAsia="zh-CN"/>
              </w:rPr>
              <w:t>m</w:t>
            </w:r>
            <w:r>
              <w:rPr>
                <w:rFonts w:hint="default" w:cs="Times New Roman"/>
                <w:color w:val="auto"/>
                <w:sz w:val="24"/>
                <w:highlight w:val="none"/>
                <w:vertAlign w:val="superscript"/>
                <w:lang w:val="en-US" w:eastAsia="zh-CN"/>
              </w:rPr>
              <w:t xml:space="preserve">3 </w:t>
            </w:r>
            <w:r>
              <w:rPr>
                <w:rFonts w:hint="default" w:cs="Times New Roman"/>
                <w:color w:val="auto"/>
                <w:sz w:val="24"/>
                <w:highlight w:val="none"/>
                <w:lang w:val="en-US" w:eastAsia="zh-CN"/>
              </w:rPr>
              <w:t>/a（</w:t>
            </w:r>
            <w:r>
              <w:rPr>
                <w:rFonts w:hint="eastAsia" w:cs="Times New Roman"/>
                <w:color w:val="auto"/>
                <w:sz w:val="24"/>
                <w:highlight w:val="none"/>
                <w:lang w:val="en-US" w:eastAsia="zh-CN"/>
              </w:rPr>
              <w:t>0.43</w:t>
            </w:r>
            <w:r>
              <w:rPr>
                <w:rFonts w:hint="default" w:cs="Times New Roman"/>
                <w:color w:val="auto"/>
                <w:sz w:val="24"/>
                <w:highlight w:val="none"/>
                <w:lang w:val="en-US" w:eastAsia="zh-CN"/>
              </w:rPr>
              <w:t xml:space="preserve"> m</w:t>
            </w:r>
            <w:r>
              <w:rPr>
                <w:rFonts w:hint="default" w:cs="Times New Roman"/>
                <w:color w:val="auto"/>
                <w:sz w:val="24"/>
                <w:highlight w:val="none"/>
                <w:vertAlign w:val="superscript"/>
                <w:lang w:val="en-US" w:eastAsia="zh-CN"/>
              </w:rPr>
              <w:t>3</w:t>
            </w:r>
            <w:r>
              <w:rPr>
                <w:rFonts w:hint="default" w:cs="Times New Roman"/>
                <w:color w:val="auto"/>
                <w:sz w:val="24"/>
                <w:highlight w:val="none"/>
                <w:lang w:val="en-US" w:eastAsia="zh-CN"/>
              </w:rPr>
              <w:t xml:space="preserve"> /d</w:t>
            </w:r>
            <w:r>
              <w:rPr>
                <w:rFonts w:hint="default" w:ascii="Times New Roman" w:hAnsi="Times New Roman" w:eastAsia="宋体" w:cs="Times New Roman"/>
                <w:color w:val="auto"/>
                <w:sz w:val="24"/>
                <w:highlight w:val="none"/>
                <w:lang w:val="en-US" w:eastAsia="zh-CN"/>
              </w:rPr>
              <w:t>）。</w:t>
            </w:r>
          </w:p>
          <w:p w14:paraId="7409A7DC">
            <w:pPr>
              <w:numPr>
                <w:ilvl w:val="0"/>
                <w:numId w:val="18"/>
              </w:numPr>
              <w:adjustRightInd w:val="0"/>
              <w:spacing w:line="360" w:lineRule="auto"/>
              <w:ind w:left="20" w:leftChars="0" w:firstLineChars="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生活污水</w:t>
            </w:r>
          </w:p>
          <w:p w14:paraId="5EFD8EEE">
            <w:pPr>
              <w:adjustRightInd w:val="0"/>
              <w:spacing w:line="360" w:lineRule="auto"/>
              <w:ind w:firstLine="600" w:firstLineChars="25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本项目生活污水排放量为</w:t>
            </w:r>
            <w:r>
              <w:rPr>
                <w:rFonts w:hint="eastAsia" w:cs="Times New Roman"/>
                <w:color w:val="auto"/>
                <w:sz w:val="24"/>
                <w:highlight w:val="none"/>
                <w:lang w:val="en-US" w:eastAsia="zh-CN"/>
              </w:rPr>
              <w:t xml:space="preserve">106.25 </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 xml:space="preserve"> /a，根据《水工业工程设计手册-建筑和小区给排水》中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12.2.2 污水水量和水质</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，本项目生活污水水质及排放量参数详见下表。</w:t>
            </w:r>
          </w:p>
          <w:p w14:paraId="6B94BC88">
            <w:pPr>
              <w:pStyle w:val="15"/>
              <w:numPr>
                <w:ilvl w:val="0"/>
                <w:numId w:val="17"/>
              </w:numPr>
              <w:bidi w:val="0"/>
              <w:ind w:left="425" w:leftChars="0" w:hanging="425" w:firstLineChars="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生活污水水质</w:t>
            </w:r>
            <w:r>
              <w:rPr>
                <w:rFonts w:hint="default" w:ascii="Times New Roman" w:hAnsi="Times New Roman" w:eastAsia="宋体" w:cs="Times New Roman"/>
                <w:b/>
                <w:bCs/>
                <w:color w:val="auto"/>
                <w:sz w:val="24"/>
                <w:highlight w:val="none"/>
                <w:lang w:val="en-US" w:eastAsia="zh-CN"/>
              </w:rPr>
              <w:t>及排放量</w:t>
            </w:r>
          </w:p>
          <w:tbl>
            <w:tblPr>
              <w:tblStyle w:val="11"/>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57"/>
              <w:gridCol w:w="2054"/>
              <w:gridCol w:w="990"/>
              <w:gridCol w:w="990"/>
              <w:gridCol w:w="990"/>
              <w:gridCol w:w="990"/>
              <w:gridCol w:w="992"/>
            </w:tblGrid>
            <w:tr w14:paraId="2D7DEF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7" w:hRule="atLeast"/>
                <w:jc w:val="center"/>
              </w:trPr>
              <w:tc>
                <w:tcPr>
                  <w:tcW w:w="544" w:type="pct"/>
                  <w:tcBorders>
                    <w:tl2br w:val="nil"/>
                    <w:tr2bl w:val="nil"/>
                  </w:tcBorders>
                  <w:vAlign w:val="center"/>
                </w:tcPr>
                <w:p w14:paraId="74D584CE">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水量</w:t>
                  </w:r>
                </w:p>
              </w:tc>
              <w:tc>
                <w:tcPr>
                  <w:tcW w:w="1306" w:type="pct"/>
                  <w:tcBorders>
                    <w:tl2br w:val="nil"/>
                    <w:tr2bl w:val="nil"/>
                  </w:tcBorders>
                  <w:vAlign w:val="center"/>
                </w:tcPr>
                <w:p w14:paraId="373160A7">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629" w:type="pct"/>
                  <w:tcBorders>
                    <w:tl2br w:val="nil"/>
                    <w:tr2bl w:val="nil"/>
                  </w:tcBorders>
                  <w:vAlign w:val="center"/>
                </w:tcPr>
                <w:p w14:paraId="06BD8466">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COD</w:t>
                  </w:r>
                  <w:r>
                    <w:rPr>
                      <w:rFonts w:hint="default" w:ascii="Times New Roman" w:hAnsi="Times New Roman" w:eastAsia="宋体" w:cs="Times New Roman"/>
                      <w:b/>
                      <w:color w:val="auto"/>
                      <w:sz w:val="21"/>
                      <w:szCs w:val="21"/>
                      <w:highlight w:val="none"/>
                      <w:vertAlign w:val="subscript"/>
                    </w:rPr>
                    <w:t>Cr</w:t>
                  </w:r>
                </w:p>
              </w:tc>
              <w:tc>
                <w:tcPr>
                  <w:tcW w:w="629" w:type="pct"/>
                  <w:tcBorders>
                    <w:tl2br w:val="nil"/>
                    <w:tr2bl w:val="nil"/>
                  </w:tcBorders>
                  <w:vAlign w:val="center"/>
                </w:tcPr>
                <w:p w14:paraId="4DD071A4">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BOD</w:t>
                  </w:r>
                  <w:r>
                    <w:rPr>
                      <w:rFonts w:hint="default" w:ascii="Times New Roman" w:hAnsi="Times New Roman" w:eastAsia="宋体" w:cs="Times New Roman"/>
                      <w:b/>
                      <w:color w:val="auto"/>
                      <w:sz w:val="21"/>
                      <w:szCs w:val="21"/>
                      <w:highlight w:val="none"/>
                      <w:vertAlign w:val="subscript"/>
                    </w:rPr>
                    <w:t>5</w:t>
                  </w:r>
                </w:p>
              </w:tc>
              <w:tc>
                <w:tcPr>
                  <w:tcW w:w="629" w:type="pct"/>
                  <w:tcBorders>
                    <w:tl2br w:val="nil"/>
                    <w:tr2bl w:val="nil"/>
                  </w:tcBorders>
                  <w:vAlign w:val="center"/>
                </w:tcPr>
                <w:p w14:paraId="2053B992">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SS</w:t>
                  </w:r>
                </w:p>
              </w:tc>
              <w:tc>
                <w:tcPr>
                  <w:tcW w:w="629" w:type="pct"/>
                  <w:tcBorders>
                    <w:tl2br w:val="nil"/>
                    <w:tr2bl w:val="nil"/>
                  </w:tcBorders>
                  <w:vAlign w:val="center"/>
                </w:tcPr>
                <w:p w14:paraId="1FB181D6">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氨氮</w:t>
                  </w:r>
                </w:p>
              </w:tc>
              <w:tc>
                <w:tcPr>
                  <w:tcW w:w="630" w:type="pct"/>
                  <w:tcBorders>
                    <w:tl2br w:val="nil"/>
                    <w:tr2bl w:val="nil"/>
                  </w:tcBorders>
                  <w:vAlign w:val="center"/>
                </w:tcPr>
                <w:p w14:paraId="418201D8">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pH</w:t>
                  </w:r>
                </w:p>
              </w:tc>
            </w:tr>
            <w:tr w14:paraId="769A17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544" w:type="pct"/>
                  <w:vMerge w:val="restart"/>
                  <w:tcBorders>
                    <w:tl2br w:val="nil"/>
                    <w:tr2bl w:val="nil"/>
                  </w:tcBorders>
                  <w:vAlign w:val="center"/>
                </w:tcPr>
                <w:p w14:paraId="7C573180">
                  <w:pPr>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106.25</w:t>
                  </w:r>
                </w:p>
                <w:p w14:paraId="63B2584B">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 /a</w:t>
                  </w:r>
                </w:p>
              </w:tc>
              <w:tc>
                <w:tcPr>
                  <w:tcW w:w="1306" w:type="pct"/>
                  <w:tcBorders>
                    <w:tl2br w:val="nil"/>
                    <w:tr2bl w:val="nil"/>
                  </w:tcBorders>
                  <w:vAlign w:val="center"/>
                </w:tcPr>
                <w:p w14:paraId="36C6F21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浓度范围（mg/L）</w:t>
                  </w:r>
                </w:p>
              </w:tc>
              <w:tc>
                <w:tcPr>
                  <w:tcW w:w="629" w:type="pct"/>
                  <w:tcBorders>
                    <w:tl2br w:val="nil"/>
                    <w:tr2bl w:val="nil"/>
                  </w:tcBorders>
                  <w:vAlign w:val="center"/>
                </w:tcPr>
                <w:p w14:paraId="3826C9FE">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350~450</w:t>
                  </w:r>
                </w:p>
              </w:tc>
              <w:tc>
                <w:tcPr>
                  <w:tcW w:w="629" w:type="pct"/>
                  <w:tcBorders>
                    <w:tl2br w:val="nil"/>
                    <w:tr2bl w:val="nil"/>
                  </w:tcBorders>
                  <w:vAlign w:val="center"/>
                </w:tcPr>
                <w:p w14:paraId="53E6805F">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180~250</w:t>
                  </w:r>
                </w:p>
              </w:tc>
              <w:tc>
                <w:tcPr>
                  <w:tcW w:w="629" w:type="pct"/>
                  <w:tcBorders>
                    <w:tl2br w:val="nil"/>
                    <w:tr2bl w:val="nil"/>
                  </w:tcBorders>
                  <w:vAlign w:val="center"/>
                </w:tcPr>
                <w:p w14:paraId="435E7548">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200~300</w:t>
                  </w:r>
                </w:p>
              </w:tc>
              <w:tc>
                <w:tcPr>
                  <w:tcW w:w="629" w:type="pct"/>
                  <w:tcBorders>
                    <w:tl2br w:val="nil"/>
                    <w:tr2bl w:val="nil"/>
                  </w:tcBorders>
                  <w:vAlign w:val="center"/>
                </w:tcPr>
                <w:p w14:paraId="73E98A0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35~40</w:t>
                  </w:r>
                </w:p>
              </w:tc>
              <w:tc>
                <w:tcPr>
                  <w:tcW w:w="630" w:type="pct"/>
                  <w:tcBorders>
                    <w:tl2br w:val="nil"/>
                    <w:tr2bl w:val="nil"/>
                  </w:tcBorders>
                  <w:vAlign w:val="center"/>
                </w:tcPr>
                <w:p w14:paraId="4FAB941D">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6.5~7.5</w:t>
                  </w:r>
                </w:p>
                <w:p w14:paraId="70627D2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(无量纲)</w:t>
                  </w:r>
                </w:p>
              </w:tc>
            </w:tr>
            <w:tr w14:paraId="486244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544" w:type="pct"/>
                  <w:vMerge w:val="continue"/>
                  <w:tcBorders>
                    <w:tl2br w:val="nil"/>
                    <w:tr2bl w:val="nil"/>
                  </w:tcBorders>
                  <w:vAlign w:val="center"/>
                </w:tcPr>
                <w:p w14:paraId="50ED02C4">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306" w:type="pct"/>
                  <w:tcBorders>
                    <w:tl2br w:val="nil"/>
                    <w:tr2bl w:val="nil"/>
                  </w:tcBorders>
                  <w:vAlign w:val="center"/>
                </w:tcPr>
                <w:p w14:paraId="72EB3487">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本项目取值（mg/L）</w:t>
                  </w:r>
                </w:p>
              </w:tc>
              <w:tc>
                <w:tcPr>
                  <w:tcW w:w="629" w:type="pct"/>
                  <w:tcBorders>
                    <w:tl2br w:val="nil"/>
                    <w:tr2bl w:val="nil"/>
                  </w:tcBorders>
                  <w:vAlign w:val="center"/>
                </w:tcPr>
                <w:p w14:paraId="20F4F307">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w:t>
                  </w:r>
                </w:p>
              </w:tc>
              <w:tc>
                <w:tcPr>
                  <w:tcW w:w="629" w:type="pct"/>
                  <w:tcBorders>
                    <w:tl2br w:val="nil"/>
                    <w:tr2bl w:val="nil"/>
                  </w:tcBorders>
                  <w:vAlign w:val="center"/>
                </w:tcPr>
                <w:p w14:paraId="6088141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c>
                <w:tcPr>
                  <w:tcW w:w="629" w:type="pct"/>
                  <w:tcBorders>
                    <w:tl2br w:val="nil"/>
                    <w:tr2bl w:val="nil"/>
                  </w:tcBorders>
                  <w:vAlign w:val="center"/>
                </w:tcPr>
                <w:p w14:paraId="28ADA4A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629" w:type="pct"/>
                  <w:tcBorders>
                    <w:tl2br w:val="nil"/>
                    <w:tr2bl w:val="nil"/>
                  </w:tcBorders>
                  <w:vAlign w:val="center"/>
                </w:tcPr>
                <w:p w14:paraId="38F0C95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630" w:type="pct"/>
                  <w:tcBorders>
                    <w:tl2br w:val="nil"/>
                    <w:tr2bl w:val="nil"/>
                  </w:tcBorders>
                  <w:vAlign w:val="center"/>
                </w:tcPr>
                <w:p w14:paraId="1546AC3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6.5~7.5</w:t>
                  </w:r>
                </w:p>
                <w:p w14:paraId="6490128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(无量纲)</w:t>
                  </w:r>
                </w:p>
              </w:tc>
            </w:tr>
            <w:tr w14:paraId="59698E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1" w:hRule="atLeast"/>
                <w:jc w:val="center"/>
              </w:trPr>
              <w:tc>
                <w:tcPr>
                  <w:tcW w:w="544" w:type="pct"/>
                  <w:vMerge w:val="continue"/>
                  <w:tcBorders>
                    <w:tl2br w:val="nil"/>
                    <w:tr2bl w:val="nil"/>
                  </w:tcBorders>
                  <w:vAlign w:val="center"/>
                </w:tcPr>
                <w:p w14:paraId="3AC5694A">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306" w:type="pct"/>
                  <w:tcBorders>
                    <w:tl2br w:val="nil"/>
                    <w:tr2bl w:val="nil"/>
                  </w:tcBorders>
                  <w:vAlign w:val="center"/>
                </w:tcPr>
                <w:p w14:paraId="0C00AA88">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排放量（t/a）</w:t>
                  </w:r>
                </w:p>
              </w:tc>
              <w:tc>
                <w:tcPr>
                  <w:tcW w:w="629" w:type="pct"/>
                  <w:tcBorders>
                    <w:tl2br w:val="nil"/>
                    <w:tr2bl w:val="nil"/>
                  </w:tcBorders>
                  <w:vAlign w:val="center"/>
                </w:tcPr>
                <w:p w14:paraId="1991A26F">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0478</w:t>
                  </w:r>
                </w:p>
              </w:tc>
              <w:tc>
                <w:tcPr>
                  <w:tcW w:w="629" w:type="pct"/>
                  <w:tcBorders>
                    <w:tl2br w:val="nil"/>
                    <w:tr2bl w:val="nil"/>
                  </w:tcBorders>
                  <w:vAlign w:val="center"/>
                </w:tcPr>
                <w:p w14:paraId="4E95C04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0266</w:t>
                  </w:r>
                </w:p>
              </w:tc>
              <w:tc>
                <w:tcPr>
                  <w:tcW w:w="629" w:type="pct"/>
                  <w:tcBorders>
                    <w:tl2br w:val="nil"/>
                    <w:tr2bl w:val="nil"/>
                  </w:tcBorders>
                  <w:vAlign w:val="center"/>
                </w:tcPr>
                <w:p w14:paraId="507C1038">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0319</w:t>
                  </w:r>
                </w:p>
              </w:tc>
              <w:tc>
                <w:tcPr>
                  <w:tcW w:w="629" w:type="pct"/>
                  <w:tcBorders>
                    <w:tl2br w:val="nil"/>
                    <w:tr2bl w:val="nil"/>
                  </w:tcBorders>
                  <w:vAlign w:val="center"/>
                </w:tcPr>
                <w:p w14:paraId="6CCC5270">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043</w:t>
                  </w:r>
                </w:p>
              </w:tc>
              <w:tc>
                <w:tcPr>
                  <w:tcW w:w="630" w:type="pct"/>
                  <w:tcBorders>
                    <w:tl2br w:val="nil"/>
                    <w:tr2bl w:val="nil"/>
                  </w:tcBorders>
                  <w:vAlign w:val="center"/>
                </w:tcPr>
                <w:p w14:paraId="59187A3F">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5B24C892">
            <w:pPr>
              <w:numPr>
                <w:ilvl w:val="0"/>
                <w:numId w:val="18"/>
              </w:numPr>
              <w:spacing w:line="360" w:lineRule="auto"/>
              <w:ind w:left="20" w:leftChars="0" w:firstLineChars="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容器</w:t>
            </w:r>
            <w:r>
              <w:rPr>
                <w:rFonts w:hint="default" w:ascii="Times New Roman" w:hAnsi="Times New Roman" w:eastAsia="宋体" w:cs="Times New Roman"/>
                <w:bCs/>
                <w:color w:val="auto"/>
                <w:sz w:val="24"/>
                <w:highlight w:val="none"/>
                <w:lang w:val="en-US" w:eastAsia="zh-CN"/>
              </w:rPr>
              <w:t>第三次</w:t>
            </w:r>
            <w:r>
              <w:rPr>
                <w:rFonts w:hint="eastAsia" w:cs="Times New Roman"/>
                <w:bCs/>
                <w:color w:val="auto"/>
                <w:sz w:val="24"/>
                <w:highlight w:val="none"/>
                <w:lang w:val="en-US" w:eastAsia="zh-CN"/>
              </w:rPr>
              <w:t>及以后</w:t>
            </w:r>
            <w:r>
              <w:rPr>
                <w:rFonts w:hint="default" w:ascii="Times New Roman" w:hAnsi="Times New Roman" w:eastAsia="宋体" w:cs="Times New Roman"/>
                <w:bCs/>
                <w:color w:val="auto"/>
                <w:sz w:val="24"/>
                <w:highlight w:val="none"/>
                <w:lang w:val="en-US" w:eastAsia="zh-CN"/>
              </w:rPr>
              <w:t>清洗废水</w:t>
            </w:r>
          </w:p>
          <w:p w14:paraId="099CF035">
            <w:pPr>
              <w:numPr>
                <w:ilvl w:val="0"/>
                <w:numId w:val="0"/>
              </w:numPr>
              <w:tabs>
                <w:tab w:val="left" w:pos="0"/>
              </w:tabs>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清洗废水</w:t>
            </w:r>
            <w:r>
              <w:rPr>
                <w:rFonts w:hint="default" w:ascii="Times New Roman" w:hAnsi="Times New Roman" w:eastAsia="宋体" w:cs="Times New Roman"/>
                <w:bCs/>
                <w:color w:val="auto"/>
                <w:sz w:val="24"/>
                <w:highlight w:val="none"/>
                <w:lang w:val="en-US" w:eastAsia="zh-CN"/>
              </w:rPr>
              <w:t>产生浓度参照《科研单位实验室废水处理工程设计与分析》（给水排水 2012 年第 1 期第 38 卷）中</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2.工程涉及</w:t>
            </w:r>
            <w:r>
              <w:rPr>
                <w:rFonts w:hint="eastAsia" w:ascii="Times New Roman" w:hAnsi="Times New Roman"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2.1.2 设计进水水质中的参数</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容器</w:t>
            </w:r>
            <w:r>
              <w:rPr>
                <w:rFonts w:hint="default" w:ascii="Times New Roman" w:hAnsi="Times New Roman" w:eastAsia="宋体" w:cs="Times New Roman"/>
                <w:bCs/>
                <w:color w:val="auto"/>
                <w:sz w:val="24"/>
                <w:highlight w:val="none"/>
                <w:lang w:val="en-US" w:eastAsia="zh-CN"/>
              </w:rPr>
              <w:t>清洗废水属于实验室废水中的综合废水</w:t>
            </w:r>
            <w:r>
              <w:rPr>
                <w:rFonts w:hint="eastAsia" w:cs="Times New Roman"/>
                <w:bCs/>
                <w:color w:val="auto"/>
                <w:sz w:val="24"/>
                <w:highlight w:val="none"/>
                <w:lang w:val="en-US" w:eastAsia="zh-CN"/>
              </w:rPr>
              <w:t>。清洗废水</w:t>
            </w:r>
            <w:r>
              <w:rPr>
                <w:rFonts w:hint="default" w:ascii="Times New Roman" w:hAnsi="Times New Roman" w:eastAsia="宋体" w:cs="Times New Roman"/>
                <w:color w:val="auto"/>
                <w:sz w:val="24"/>
                <w:highlight w:val="none"/>
                <w:lang w:val="en-US" w:eastAsia="zh-CN"/>
              </w:rPr>
              <w:t>水质及排放量参数详见下表</w:t>
            </w:r>
            <w:r>
              <w:rPr>
                <w:rFonts w:hint="default" w:ascii="Times New Roman" w:hAnsi="Times New Roman" w:eastAsia="宋体" w:cs="Times New Roman"/>
                <w:bCs/>
                <w:color w:val="auto"/>
                <w:sz w:val="24"/>
                <w:highlight w:val="none"/>
                <w:lang w:val="en-US" w:eastAsia="zh-CN"/>
              </w:rPr>
              <w:t>。</w:t>
            </w:r>
          </w:p>
          <w:p w14:paraId="21CADBB4">
            <w:pPr>
              <w:pStyle w:val="15"/>
              <w:numPr>
                <w:ilvl w:val="0"/>
                <w:numId w:val="17"/>
              </w:numPr>
              <w:bidi w:val="0"/>
              <w:ind w:left="425" w:leftChars="0" w:hanging="425" w:firstLineChars="0"/>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实验室废水产生情况一览表</w:t>
            </w:r>
          </w:p>
          <w:tbl>
            <w:tblPr>
              <w:tblStyle w:val="11"/>
              <w:tblW w:w="500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42"/>
              <w:gridCol w:w="2722"/>
              <w:gridCol w:w="1018"/>
              <w:gridCol w:w="1145"/>
              <w:gridCol w:w="992"/>
              <w:gridCol w:w="1215"/>
            </w:tblGrid>
            <w:tr w14:paraId="3F8C9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9" w:hRule="atLeast"/>
                <w:jc w:val="center"/>
              </w:trPr>
              <w:tc>
                <w:tcPr>
                  <w:tcW w:w="586" w:type="pct"/>
                  <w:tcBorders>
                    <w:tl2br w:val="nil"/>
                    <w:tr2bl w:val="nil"/>
                  </w:tcBorders>
                  <w:shd w:val="clear" w:color="auto" w:fill="auto"/>
                  <w:vAlign w:val="center"/>
                </w:tcPr>
                <w:p w14:paraId="09E3B27D">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水量</w:t>
                  </w:r>
                </w:p>
              </w:tc>
              <w:tc>
                <w:tcPr>
                  <w:tcW w:w="1694" w:type="pct"/>
                  <w:tcBorders>
                    <w:tl2br w:val="nil"/>
                    <w:tr2bl w:val="nil"/>
                  </w:tcBorders>
                  <w:vAlign w:val="center"/>
                </w:tcPr>
                <w:p w14:paraId="26CFD7DE">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项目</w:t>
                  </w:r>
                </w:p>
              </w:tc>
              <w:tc>
                <w:tcPr>
                  <w:tcW w:w="633" w:type="pct"/>
                  <w:tcBorders>
                    <w:tl2br w:val="nil"/>
                    <w:tr2bl w:val="nil"/>
                  </w:tcBorders>
                  <w:vAlign w:val="center"/>
                </w:tcPr>
                <w:p w14:paraId="727804F6">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COD</w:t>
                  </w:r>
                  <w:r>
                    <w:rPr>
                      <w:rFonts w:hint="default" w:ascii="Times New Roman" w:hAnsi="Times New Roman" w:eastAsia="宋体" w:cs="Times New Roman"/>
                      <w:b/>
                      <w:color w:val="auto"/>
                      <w:sz w:val="21"/>
                      <w:szCs w:val="21"/>
                      <w:highlight w:val="none"/>
                      <w:vertAlign w:val="subscript"/>
                    </w:rPr>
                    <w:t>Cr</w:t>
                  </w:r>
                </w:p>
              </w:tc>
              <w:tc>
                <w:tcPr>
                  <w:tcW w:w="712" w:type="pct"/>
                  <w:tcBorders>
                    <w:tl2br w:val="nil"/>
                    <w:tr2bl w:val="nil"/>
                  </w:tcBorders>
                  <w:vAlign w:val="center"/>
                </w:tcPr>
                <w:p w14:paraId="4ACCBB92">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BOD</w:t>
                  </w:r>
                  <w:r>
                    <w:rPr>
                      <w:rFonts w:hint="default" w:ascii="Times New Roman" w:hAnsi="Times New Roman" w:eastAsia="宋体" w:cs="Times New Roman"/>
                      <w:b/>
                      <w:color w:val="auto"/>
                      <w:sz w:val="21"/>
                      <w:szCs w:val="21"/>
                      <w:highlight w:val="none"/>
                      <w:vertAlign w:val="subscript"/>
                    </w:rPr>
                    <w:t>5</w:t>
                  </w:r>
                </w:p>
              </w:tc>
              <w:tc>
                <w:tcPr>
                  <w:tcW w:w="617" w:type="pct"/>
                  <w:tcBorders>
                    <w:tl2br w:val="nil"/>
                    <w:tr2bl w:val="nil"/>
                  </w:tcBorders>
                  <w:vAlign w:val="center"/>
                </w:tcPr>
                <w:p w14:paraId="3F35D530">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SS</w:t>
                  </w:r>
                </w:p>
              </w:tc>
              <w:tc>
                <w:tcPr>
                  <w:tcW w:w="756" w:type="pct"/>
                  <w:tcBorders>
                    <w:tl2br w:val="nil"/>
                    <w:tr2bl w:val="nil"/>
                  </w:tcBorders>
                  <w:vAlign w:val="center"/>
                </w:tcPr>
                <w:p w14:paraId="69537E4B">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氨氮</w:t>
                  </w:r>
                </w:p>
              </w:tc>
            </w:tr>
            <w:tr w14:paraId="726985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586" w:type="pct"/>
                  <w:vMerge w:val="restart"/>
                  <w:tcBorders>
                    <w:tl2br w:val="nil"/>
                    <w:tr2bl w:val="nil"/>
                  </w:tcBorders>
                  <w:shd w:val="clear" w:color="auto" w:fill="auto"/>
                  <w:vAlign w:val="center"/>
                </w:tcPr>
                <w:p w14:paraId="3F463A23">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0.45</w:t>
                  </w:r>
                </w:p>
                <w:p w14:paraId="40C067E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 /a</w:t>
                  </w:r>
                </w:p>
              </w:tc>
              <w:tc>
                <w:tcPr>
                  <w:tcW w:w="1694" w:type="pct"/>
                  <w:tcBorders>
                    <w:tl2br w:val="nil"/>
                    <w:tr2bl w:val="nil"/>
                  </w:tcBorders>
                  <w:vAlign w:val="center"/>
                </w:tcPr>
                <w:p w14:paraId="0F26B5A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清洗废水</w:t>
                  </w:r>
                  <w:r>
                    <w:rPr>
                      <w:rFonts w:hint="eastAsia" w:ascii="Times New Roman" w:hAnsi="Times New Roman" w:eastAsia="宋体" w:cs="Times New Roman"/>
                      <w:color w:val="auto"/>
                      <w:sz w:val="21"/>
                      <w:szCs w:val="21"/>
                      <w:highlight w:val="none"/>
                      <w:lang w:val="en-US" w:eastAsia="zh-CN"/>
                    </w:rPr>
                    <w:t>产生浓度</w:t>
                  </w:r>
                  <w:r>
                    <w:rPr>
                      <w:rFonts w:hint="default" w:ascii="Times New Roman" w:hAnsi="Times New Roman" w:eastAsia="宋体" w:cs="Times New Roman"/>
                      <w:color w:val="auto"/>
                      <w:sz w:val="21"/>
                      <w:szCs w:val="21"/>
                      <w:highlight w:val="none"/>
                      <w:lang w:val="en-US" w:eastAsia="zh-CN"/>
                    </w:rPr>
                    <w:t>（mg/L）</w:t>
                  </w:r>
                </w:p>
              </w:tc>
              <w:tc>
                <w:tcPr>
                  <w:tcW w:w="633" w:type="pct"/>
                  <w:tcBorders>
                    <w:tl2br w:val="nil"/>
                    <w:tr2bl w:val="nil"/>
                  </w:tcBorders>
                  <w:vAlign w:val="center"/>
                </w:tcPr>
                <w:p w14:paraId="5EEE11F4">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712" w:type="pct"/>
                  <w:tcBorders>
                    <w:tl2br w:val="nil"/>
                    <w:tr2bl w:val="nil"/>
                  </w:tcBorders>
                  <w:vAlign w:val="center"/>
                </w:tcPr>
                <w:p w14:paraId="7359B49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180</w:t>
                  </w:r>
                </w:p>
              </w:tc>
              <w:tc>
                <w:tcPr>
                  <w:tcW w:w="617" w:type="pct"/>
                  <w:tcBorders>
                    <w:tl2br w:val="nil"/>
                    <w:tr2bl w:val="nil"/>
                  </w:tcBorders>
                  <w:vAlign w:val="center"/>
                </w:tcPr>
                <w:p w14:paraId="5060CE2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756" w:type="pct"/>
                  <w:tcBorders>
                    <w:tl2br w:val="nil"/>
                    <w:tr2bl w:val="nil"/>
                  </w:tcBorders>
                  <w:vAlign w:val="center"/>
                </w:tcPr>
                <w:p w14:paraId="65697C2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r w14:paraId="6F2150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6" w:hRule="atLeast"/>
                <w:jc w:val="center"/>
              </w:trPr>
              <w:tc>
                <w:tcPr>
                  <w:tcW w:w="586" w:type="pct"/>
                  <w:vMerge w:val="continue"/>
                  <w:tcBorders>
                    <w:tl2br w:val="nil"/>
                    <w:tr2bl w:val="nil"/>
                  </w:tcBorders>
                  <w:vAlign w:val="center"/>
                </w:tcPr>
                <w:p w14:paraId="3B7E115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694" w:type="pct"/>
                  <w:tcBorders>
                    <w:tl2br w:val="nil"/>
                    <w:tr2bl w:val="nil"/>
                  </w:tcBorders>
                  <w:vAlign w:val="center"/>
                </w:tcPr>
                <w:p w14:paraId="2FE6651A">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排放量（t/a）</w:t>
                  </w:r>
                </w:p>
              </w:tc>
              <w:tc>
                <w:tcPr>
                  <w:tcW w:w="633" w:type="pct"/>
                  <w:tcBorders>
                    <w:tl2br w:val="nil"/>
                    <w:tr2bl w:val="nil"/>
                  </w:tcBorders>
                  <w:vAlign w:val="center"/>
                </w:tcPr>
                <w:p w14:paraId="3D926EC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eastAsia="宋体" w:cs="Times New Roman"/>
                      <w:color w:val="auto"/>
                      <w:sz w:val="21"/>
                      <w:szCs w:val="21"/>
                      <w:highlight w:val="none"/>
                      <w:lang w:val="en-US" w:eastAsia="zh-CN"/>
                    </w:rPr>
                    <w:t>1</w:t>
                  </w:r>
                </w:p>
              </w:tc>
              <w:tc>
                <w:tcPr>
                  <w:tcW w:w="712" w:type="pct"/>
                  <w:tcBorders>
                    <w:tl2br w:val="nil"/>
                    <w:tr2bl w:val="nil"/>
                  </w:tcBorders>
                  <w:vAlign w:val="center"/>
                </w:tcPr>
                <w:p w14:paraId="02ACB996">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eastAsia="宋体" w:cs="Times New Roman"/>
                      <w:color w:val="auto"/>
                      <w:sz w:val="21"/>
                      <w:szCs w:val="21"/>
                      <w:highlight w:val="none"/>
                      <w:lang w:val="en-US" w:eastAsia="zh-CN"/>
                    </w:rPr>
                    <w:t>1</w:t>
                  </w:r>
                </w:p>
              </w:tc>
              <w:tc>
                <w:tcPr>
                  <w:tcW w:w="617" w:type="pct"/>
                  <w:tcBorders>
                    <w:tl2br w:val="nil"/>
                    <w:tr2bl w:val="nil"/>
                  </w:tcBorders>
                  <w:vAlign w:val="center"/>
                </w:tcPr>
                <w:p w14:paraId="7FB951F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eastAsia="宋体" w:cs="Times New Roman"/>
                      <w:color w:val="auto"/>
                      <w:sz w:val="21"/>
                      <w:szCs w:val="21"/>
                      <w:highlight w:val="none"/>
                      <w:lang w:val="en-US" w:eastAsia="zh-CN"/>
                    </w:rPr>
                    <w:t>1</w:t>
                  </w:r>
                </w:p>
              </w:tc>
              <w:tc>
                <w:tcPr>
                  <w:tcW w:w="756" w:type="pct"/>
                  <w:tcBorders>
                    <w:tl2br w:val="nil"/>
                    <w:tr2bl w:val="nil"/>
                  </w:tcBorders>
                  <w:vAlign w:val="center"/>
                </w:tcPr>
                <w:p w14:paraId="581AD5D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0.0000</w:t>
                  </w:r>
                  <w:r>
                    <w:rPr>
                      <w:rFonts w:hint="eastAsia" w:ascii="Times New Roman" w:hAnsi="Times New Roman" w:eastAsia="宋体" w:cs="Times New Roman"/>
                      <w:color w:val="auto"/>
                      <w:sz w:val="21"/>
                      <w:szCs w:val="21"/>
                      <w:highlight w:val="none"/>
                      <w:lang w:val="en-US" w:eastAsia="zh-CN"/>
                    </w:rPr>
                    <w:t>1</w:t>
                  </w:r>
                </w:p>
              </w:tc>
            </w:tr>
          </w:tbl>
          <w:p w14:paraId="296CA377">
            <w:pPr>
              <w:numPr>
                <w:ilvl w:val="0"/>
                <w:numId w:val="18"/>
              </w:numPr>
              <w:spacing w:line="360" w:lineRule="auto"/>
              <w:ind w:left="20" w:leftChars="0" w:firstLineChars="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综合污水</w:t>
            </w:r>
          </w:p>
          <w:p w14:paraId="4C032BF1">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根据《化粪池原理及水污染物去除率》中数据，化粪池对各个污染物COD</w:t>
            </w:r>
            <w:r>
              <w:rPr>
                <w:rFonts w:hint="default" w:ascii="Times New Roman" w:hAnsi="Times New Roman" w:eastAsia="宋体" w:cs="Times New Roman"/>
                <w:b/>
                <w:color w:val="auto"/>
                <w:sz w:val="21"/>
                <w:szCs w:val="21"/>
                <w:highlight w:val="none"/>
                <w:vertAlign w:val="subscript"/>
              </w:rPr>
              <w:t>Cr</w:t>
            </w:r>
            <w:r>
              <w:rPr>
                <w:rFonts w:hint="default" w:ascii="Times New Roman" w:hAnsi="Times New Roman" w:eastAsia="宋体" w:cs="Times New Roman"/>
                <w:bCs/>
                <w:color w:val="auto"/>
                <w:sz w:val="24"/>
                <w:highlight w:val="no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、SS、氨氮的去除率分别为 15%、9%、30%、3%。本项目废水中各污染物产生量计算结果汇总见下表。</w:t>
            </w:r>
          </w:p>
          <w:p w14:paraId="5AF5287B">
            <w:pPr>
              <w:pStyle w:val="15"/>
              <w:numPr>
                <w:ilvl w:val="0"/>
                <w:numId w:val="17"/>
              </w:numPr>
              <w:bidi w:val="0"/>
              <w:ind w:left="425" w:leftChars="0" w:hanging="425" w:firstLineChars="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项目综合污水水污染物产生及排放情况一览表</w:t>
            </w:r>
          </w:p>
          <w:tbl>
            <w:tblPr>
              <w:tblStyle w:val="12"/>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89"/>
              <w:gridCol w:w="1799"/>
              <w:gridCol w:w="935"/>
              <w:gridCol w:w="935"/>
              <w:gridCol w:w="935"/>
              <w:gridCol w:w="935"/>
              <w:gridCol w:w="935"/>
            </w:tblGrid>
            <w:tr w14:paraId="1726AB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89" w:type="dxa"/>
                  <w:tcBorders>
                    <w:tl2br w:val="nil"/>
                    <w:tr2bl w:val="nil"/>
                  </w:tcBorders>
                  <w:vAlign w:val="center"/>
                </w:tcPr>
                <w:p w14:paraId="36CC8413">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项目</w:t>
                  </w:r>
                </w:p>
              </w:tc>
              <w:tc>
                <w:tcPr>
                  <w:tcW w:w="1799" w:type="dxa"/>
                  <w:tcBorders>
                    <w:tl2br w:val="nil"/>
                    <w:tr2bl w:val="nil"/>
                  </w:tcBorders>
                  <w:vAlign w:val="center"/>
                </w:tcPr>
                <w:p w14:paraId="759EC053">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污染物种类</w:t>
                  </w:r>
                </w:p>
              </w:tc>
              <w:tc>
                <w:tcPr>
                  <w:tcW w:w="935" w:type="dxa"/>
                  <w:tcBorders>
                    <w:tl2br w:val="nil"/>
                    <w:tr2bl w:val="nil"/>
                  </w:tcBorders>
                  <w:vAlign w:val="center"/>
                </w:tcPr>
                <w:p w14:paraId="6CE3B160">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COD</w:t>
                  </w:r>
                  <w:r>
                    <w:rPr>
                      <w:rFonts w:hint="default" w:ascii="Times New Roman" w:hAnsi="Times New Roman" w:eastAsia="宋体" w:cs="Times New Roman"/>
                      <w:b/>
                      <w:color w:val="auto"/>
                      <w:sz w:val="21"/>
                      <w:szCs w:val="21"/>
                      <w:highlight w:val="none"/>
                      <w:vertAlign w:val="subscript"/>
                    </w:rPr>
                    <w:t>Cr</w:t>
                  </w:r>
                </w:p>
              </w:tc>
              <w:tc>
                <w:tcPr>
                  <w:tcW w:w="935" w:type="dxa"/>
                  <w:tcBorders>
                    <w:tl2br w:val="nil"/>
                    <w:tr2bl w:val="nil"/>
                  </w:tcBorders>
                  <w:vAlign w:val="center"/>
                </w:tcPr>
                <w:p w14:paraId="79BB8B9C">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BOD</w:t>
                  </w:r>
                  <w:r>
                    <w:rPr>
                      <w:rFonts w:hint="default" w:ascii="Times New Roman" w:hAnsi="Times New Roman" w:eastAsia="宋体" w:cs="Times New Roman"/>
                      <w:b/>
                      <w:color w:val="auto"/>
                      <w:sz w:val="21"/>
                      <w:szCs w:val="21"/>
                      <w:highlight w:val="none"/>
                      <w:vertAlign w:val="subscript"/>
                    </w:rPr>
                    <w:t>5</w:t>
                  </w:r>
                </w:p>
              </w:tc>
              <w:tc>
                <w:tcPr>
                  <w:tcW w:w="935" w:type="dxa"/>
                  <w:tcBorders>
                    <w:tl2br w:val="nil"/>
                    <w:tr2bl w:val="nil"/>
                  </w:tcBorders>
                  <w:vAlign w:val="center"/>
                </w:tcPr>
                <w:p w14:paraId="173B7FD5">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SS</w:t>
                  </w:r>
                </w:p>
              </w:tc>
              <w:tc>
                <w:tcPr>
                  <w:tcW w:w="935" w:type="dxa"/>
                  <w:tcBorders>
                    <w:tl2br w:val="nil"/>
                    <w:tr2bl w:val="nil"/>
                  </w:tcBorders>
                  <w:vAlign w:val="center"/>
                </w:tcPr>
                <w:p w14:paraId="1C61D3D2">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氨氮</w:t>
                  </w:r>
                </w:p>
              </w:tc>
              <w:tc>
                <w:tcPr>
                  <w:tcW w:w="935" w:type="dxa"/>
                  <w:tcBorders>
                    <w:tl2br w:val="nil"/>
                    <w:tr2bl w:val="nil"/>
                  </w:tcBorders>
                  <w:vAlign w:val="center"/>
                </w:tcPr>
                <w:p w14:paraId="56B18884">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pH</w:t>
                  </w:r>
                </w:p>
                <w:p w14:paraId="2D9D44DE">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无量纲</w:t>
                  </w:r>
                </w:p>
              </w:tc>
            </w:tr>
            <w:tr w14:paraId="20537A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389" w:type="dxa"/>
                  <w:vMerge w:val="restart"/>
                  <w:tcBorders>
                    <w:tl2br w:val="nil"/>
                    <w:tr2bl w:val="nil"/>
                  </w:tcBorders>
                  <w:shd w:val="clear" w:color="auto" w:fill="auto"/>
                  <w:vAlign w:val="center"/>
                </w:tcPr>
                <w:p w14:paraId="68A73AE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p w14:paraId="4250B9AD">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106.25</w:t>
                  </w:r>
                </w:p>
                <w:p w14:paraId="37A5B61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 /a</w:t>
                  </w:r>
                </w:p>
              </w:tc>
              <w:tc>
                <w:tcPr>
                  <w:tcW w:w="1799" w:type="dxa"/>
                  <w:tcBorders>
                    <w:tl2br w:val="nil"/>
                    <w:tr2bl w:val="nil"/>
                  </w:tcBorders>
                  <w:shd w:val="clear" w:color="auto" w:fill="auto"/>
                  <w:vAlign w:val="center"/>
                </w:tcPr>
                <w:p w14:paraId="2B2FF95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产生浓度（mg/L）</w:t>
                  </w:r>
                </w:p>
              </w:tc>
              <w:tc>
                <w:tcPr>
                  <w:tcW w:w="935" w:type="dxa"/>
                  <w:tcBorders>
                    <w:tl2br w:val="nil"/>
                    <w:tr2bl w:val="nil"/>
                  </w:tcBorders>
                  <w:shd w:val="clear" w:color="auto" w:fill="auto"/>
                  <w:vAlign w:val="center"/>
                </w:tcPr>
                <w:p w14:paraId="0FFC98B7">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w:t>
                  </w:r>
                </w:p>
              </w:tc>
              <w:tc>
                <w:tcPr>
                  <w:tcW w:w="935" w:type="dxa"/>
                  <w:tcBorders>
                    <w:tl2br w:val="nil"/>
                    <w:tr2bl w:val="nil"/>
                  </w:tcBorders>
                  <w:shd w:val="clear" w:color="auto" w:fill="auto"/>
                  <w:vAlign w:val="center"/>
                </w:tcPr>
                <w:p w14:paraId="18053AA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c>
                <w:tcPr>
                  <w:tcW w:w="935" w:type="dxa"/>
                  <w:tcBorders>
                    <w:tl2br w:val="nil"/>
                    <w:tr2bl w:val="nil"/>
                  </w:tcBorders>
                  <w:shd w:val="clear" w:color="auto" w:fill="auto"/>
                  <w:vAlign w:val="center"/>
                </w:tcPr>
                <w:p w14:paraId="6A68807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935" w:type="dxa"/>
                  <w:tcBorders>
                    <w:tl2br w:val="nil"/>
                    <w:tr2bl w:val="nil"/>
                  </w:tcBorders>
                  <w:shd w:val="clear" w:color="auto" w:fill="auto"/>
                  <w:vAlign w:val="center"/>
                </w:tcPr>
                <w:p w14:paraId="51DD45C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935" w:type="dxa"/>
                  <w:tcBorders>
                    <w:tl2br w:val="nil"/>
                    <w:tr2bl w:val="nil"/>
                  </w:tcBorders>
                  <w:shd w:val="clear" w:color="auto" w:fill="auto"/>
                  <w:vAlign w:val="center"/>
                </w:tcPr>
                <w:p w14:paraId="152E048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6.5~7.5</w:t>
                  </w:r>
                </w:p>
              </w:tc>
            </w:tr>
            <w:tr w14:paraId="0E0C9F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389" w:type="dxa"/>
                  <w:vMerge w:val="continue"/>
                  <w:tcBorders>
                    <w:tl2br w:val="nil"/>
                    <w:tr2bl w:val="nil"/>
                  </w:tcBorders>
                  <w:vAlign w:val="center"/>
                </w:tcPr>
                <w:p w14:paraId="03980E56">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799" w:type="dxa"/>
                  <w:tcBorders>
                    <w:tl2br w:val="nil"/>
                    <w:tr2bl w:val="nil"/>
                  </w:tcBorders>
                  <w:shd w:val="clear" w:color="auto" w:fill="auto"/>
                  <w:vAlign w:val="center"/>
                </w:tcPr>
                <w:p w14:paraId="19B1CC8B">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935" w:type="dxa"/>
                  <w:tcBorders>
                    <w:tl2br w:val="nil"/>
                    <w:tr2bl w:val="nil"/>
                  </w:tcBorders>
                  <w:shd w:val="clear" w:color="auto" w:fill="auto"/>
                  <w:vAlign w:val="center"/>
                </w:tcPr>
                <w:p w14:paraId="6AB580E3">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0478</w:t>
                  </w:r>
                </w:p>
              </w:tc>
              <w:tc>
                <w:tcPr>
                  <w:tcW w:w="935" w:type="dxa"/>
                  <w:tcBorders>
                    <w:tl2br w:val="nil"/>
                    <w:tr2bl w:val="nil"/>
                  </w:tcBorders>
                  <w:shd w:val="clear" w:color="auto" w:fill="auto"/>
                  <w:vAlign w:val="center"/>
                </w:tcPr>
                <w:p w14:paraId="6EBBDFB4">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0266</w:t>
                  </w:r>
                </w:p>
              </w:tc>
              <w:tc>
                <w:tcPr>
                  <w:tcW w:w="935" w:type="dxa"/>
                  <w:tcBorders>
                    <w:tl2br w:val="nil"/>
                    <w:tr2bl w:val="nil"/>
                  </w:tcBorders>
                  <w:shd w:val="clear" w:color="auto" w:fill="auto"/>
                  <w:vAlign w:val="center"/>
                </w:tcPr>
                <w:p w14:paraId="0BAF4EDA">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0319</w:t>
                  </w:r>
                </w:p>
              </w:tc>
              <w:tc>
                <w:tcPr>
                  <w:tcW w:w="935" w:type="dxa"/>
                  <w:tcBorders>
                    <w:tl2br w:val="nil"/>
                    <w:tr2bl w:val="nil"/>
                  </w:tcBorders>
                  <w:shd w:val="clear" w:color="auto" w:fill="auto"/>
                  <w:vAlign w:val="center"/>
                </w:tcPr>
                <w:p w14:paraId="4ACD6A4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043</w:t>
                  </w:r>
                </w:p>
              </w:tc>
              <w:tc>
                <w:tcPr>
                  <w:tcW w:w="935" w:type="dxa"/>
                  <w:tcBorders>
                    <w:tl2br w:val="nil"/>
                    <w:tr2bl w:val="nil"/>
                  </w:tcBorders>
                  <w:shd w:val="clear" w:color="auto" w:fill="auto"/>
                  <w:vAlign w:val="center"/>
                </w:tcPr>
                <w:p w14:paraId="2CBFE2F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C958C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389" w:type="dxa"/>
                  <w:vMerge w:val="restart"/>
                  <w:tcBorders>
                    <w:tl2br w:val="nil"/>
                    <w:tr2bl w:val="nil"/>
                  </w:tcBorders>
                  <w:vAlign w:val="center"/>
                </w:tcPr>
                <w:p w14:paraId="11BAD7C4">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第三遍</w:t>
                  </w:r>
                  <w:r>
                    <w:rPr>
                      <w:rFonts w:hint="eastAsia" w:ascii="Times New Roman" w:hAnsi="Times New Roman" w:eastAsia="宋体" w:cs="Times New Roman"/>
                      <w:color w:val="auto"/>
                      <w:sz w:val="21"/>
                      <w:szCs w:val="21"/>
                      <w:highlight w:val="none"/>
                      <w:lang w:val="en-US" w:eastAsia="zh-CN"/>
                    </w:rPr>
                    <w:t>及以后</w:t>
                  </w:r>
                  <w:r>
                    <w:rPr>
                      <w:rFonts w:hint="default" w:ascii="Times New Roman" w:hAnsi="Times New Roman" w:eastAsia="宋体" w:cs="Times New Roman"/>
                      <w:color w:val="auto"/>
                      <w:sz w:val="21"/>
                      <w:szCs w:val="21"/>
                      <w:highlight w:val="none"/>
                      <w:lang w:val="en-US" w:eastAsia="zh-CN"/>
                    </w:rPr>
                    <w:t>清洗废水</w:t>
                  </w:r>
                </w:p>
                <w:p w14:paraId="799B8DBF">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 /a</w:t>
                  </w:r>
                </w:p>
              </w:tc>
              <w:tc>
                <w:tcPr>
                  <w:tcW w:w="1799" w:type="dxa"/>
                  <w:tcBorders>
                    <w:tl2br w:val="nil"/>
                    <w:tr2bl w:val="nil"/>
                  </w:tcBorders>
                  <w:shd w:val="clear" w:color="auto" w:fill="auto"/>
                  <w:vAlign w:val="center"/>
                </w:tcPr>
                <w:p w14:paraId="614157A6">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产生浓度（mg/L）</w:t>
                  </w:r>
                </w:p>
              </w:tc>
              <w:tc>
                <w:tcPr>
                  <w:tcW w:w="935" w:type="dxa"/>
                  <w:tcBorders>
                    <w:tl2br w:val="nil"/>
                    <w:tr2bl w:val="nil"/>
                  </w:tcBorders>
                  <w:shd w:val="clear" w:color="auto" w:fill="auto"/>
                  <w:vAlign w:val="center"/>
                </w:tcPr>
                <w:p w14:paraId="1B738A13">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104</w:t>
                  </w:r>
                </w:p>
              </w:tc>
              <w:tc>
                <w:tcPr>
                  <w:tcW w:w="935" w:type="dxa"/>
                  <w:tcBorders>
                    <w:tl2br w:val="nil"/>
                    <w:tr2bl w:val="nil"/>
                  </w:tcBorders>
                  <w:shd w:val="clear" w:color="auto" w:fill="auto"/>
                  <w:vAlign w:val="center"/>
                </w:tcPr>
                <w:p w14:paraId="4832C3B8">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129.6</w:t>
                  </w:r>
                </w:p>
              </w:tc>
              <w:tc>
                <w:tcPr>
                  <w:tcW w:w="935" w:type="dxa"/>
                  <w:tcBorders>
                    <w:tl2br w:val="nil"/>
                    <w:tr2bl w:val="nil"/>
                  </w:tcBorders>
                  <w:shd w:val="clear" w:color="auto" w:fill="auto"/>
                  <w:vAlign w:val="center"/>
                </w:tcPr>
                <w:p w14:paraId="3BB9652B">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c>
                <w:tcPr>
                  <w:tcW w:w="935" w:type="dxa"/>
                  <w:tcBorders>
                    <w:tl2br w:val="nil"/>
                    <w:tr2bl w:val="nil"/>
                  </w:tcBorders>
                  <w:shd w:val="clear" w:color="auto" w:fill="auto"/>
                  <w:vAlign w:val="center"/>
                </w:tcPr>
                <w:p w14:paraId="1A9ADA5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22.6</w:t>
                  </w:r>
                </w:p>
              </w:tc>
              <w:tc>
                <w:tcPr>
                  <w:tcW w:w="935" w:type="dxa"/>
                  <w:tcBorders>
                    <w:tl2br w:val="nil"/>
                    <w:tr2bl w:val="nil"/>
                  </w:tcBorders>
                  <w:shd w:val="clear" w:color="auto" w:fill="auto"/>
                  <w:vAlign w:val="center"/>
                </w:tcPr>
                <w:p w14:paraId="7D1D0BDE">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40EF9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389" w:type="dxa"/>
                  <w:vMerge w:val="continue"/>
                  <w:tcBorders>
                    <w:tl2br w:val="nil"/>
                    <w:tr2bl w:val="nil"/>
                  </w:tcBorders>
                  <w:vAlign w:val="center"/>
                </w:tcPr>
                <w:p w14:paraId="6C4A62D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799" w:type="dxa"/>
                  <w:tcBorders>
                    <w:tl2br w:val="nil"/>
                    <w:tr2bl w:val="nil"/>
                  </w:tcBorders>
                  <w:shd w:val="clear" w:color="auto" w:fill="auto"/>
                  <w:vAlign w:val="center"/>
                </w:tcPr>
                <w:p w14:paraId="69FDB5F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935" w:type="dxa"/>
                  <w:tcBorders>
                    <w:tl2br w:val="nil"/>
                    <w:tr2bl w:val="nil"/>
                  </w:tcBorders>
                  <w:shd w:val="clear" w:color="auto" w:fill="auto"/>
                  <w:vAlign w:val="center"/>
                </w:tcPr>
                <w:p w14:paraId="64BDF9AB">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eastAsia="宋体" w:cs="Times New Roman"/>
                      <w:color w:val="auto"/>
                      <w:sz w:val="21"/>
                      <w:szCs w:val="21"/>
                      <w:highlight w:val="none"/>
                      <w:lang w:val="en-US" w:eastAsia="zh-CN"/>
                    </w:rPr>
                    <w:t>1</w:t>
                  </w:r>
                </w:p>
              </w:tc>
              <w:tc>
                <w:tcPr>
                  <w:tcW w:w="935" w:type="dxa"/>
                  <w:tcBorders>
                    <w:tl2br w:val="nil"/>
                    <w:tr2bl w:val="nil"/>
                  </w:tcBorders>
                  <w:shd w:val="clear" w:color="auto" w:fill="auto"/>
                  <w:vAlign w:val="center"/>
                </w:tcPr>
                <w:p w14:paraId="4EC2FE3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eastAsia="宋体" w:cs="Times New Roman"/>
                      <w:color w:val="auto"/>
                      <w:sz w:val="21"/>
                      <w:szCs w:val="21"/>
                      <w:highlight w:val="none"/>
                      <w:lang w:val="en-US" w:eastAsia="zh-CN"/>
                    </w:rPr>
                    <w:t>1</w:t>
                  </w:r>
                </w:p>
              </w:tc>
              <w:tc>
                <w:tcPr>
                  <w:tcW w:w="935" w:type="dxa"/>
                  <w:tcBorders>
                    <w:tl2br w:val="nil"/>
                    <w:tr2bl w:val="nil"/>
                  </w:tcBorders>
                  <w:shd w:val="clear" w:color="auto" w:fill="auto"/>
                  <w:vAlign w:val="center"/>
                </w:tcPr>
                <w:p w14:paraId="59D15C5B">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w:t>
                  </w:r>
                  <w:r>
                    <w:rPr>
                      <w:rFonts w:hint="eastAsia" w:ascii="Times New Roman" w:hAnsi="Times New Roman" w:eastAsia="宋体" w:cs="Times New Roman"/>
                      <w:color w:val="auto"/>
                      <w:sz w:val="21"/>
                      <w:szCs w:val="21"/>
                      <w:highlight w:val="none"/>
                      <w:lang w:val="en-US" w:eastAsia="zh-CN"/>
                    </w:rPr>
                    <w:t>1</w:t>
                  </w:r>
                </w:p>
              </w:tc>
              <w:tc>
                <w:tcPr>
                  <w:tcW w:w="935" w:type="dxa"/>
                  <w:tcBorders>
                    <w:tl2br w:val="nil"/>
                    <w:tr2bl w:val="nil"/>
                  </w:tcBorders>
                  <w:shd w:val="clear" w:color="auto" w:fill="auto"/>
                  <w:vAlign w:val="center"/>
                </w:tcPr>
                <w:p w14:paraId="447EB506">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0.0000</w:t>
                  </w:r>
                  <w:r>
                    <w:rPr>
                      <w:rFonts w:hint="eastAsia" w:ascii="Times New Roman" w:hAnsi="Times New Roman" w:eastAsia="宋体" w:cs="Times New Roman"/>
                      <w:color w:val="auto"/>
                      <w:sz w:val="21"/>
                      <w:szCs w:val="21"/>
                      <w:highlight w:val="none"/>
                      <w:lang w:val="en-US" w:eastAsia="zh-CN"/>
                    </w:rPr>
                    <w:t>1</w:t>
                  </w:r>
                </w:p>
              </w:tc>
              <w:tc>
                <w:tcPr>
                  <w:tcW w:w="935" w:type="dxa"/>
                  <w:tcBorders>
                    <w:tl2br w:val="nil"/>
                    <w:tr2bl w:val="nil"/>
                  </w:tcBorders>
                  <w:shd w:val="clear" w:color="auto" w:fill="auto"/>
                  <w:vAlign w:val="center"/>
                </w:tcPr>
                <w:p w14:paraId="130EB23E">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DED20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1389" w:type="dxa"/>
                  <w:vMerge w:val="restart"/>
                  <w:tcBorders>
                    <w:tl2br w:val="nil"/>
                    <w:tr2bl w:val="nil"/>
                  </w:tcBorders>
                  <w:vAlign w:val="center"/>
                </w:tcPr>
                <w:p w14:paraId="4A865B4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综合废水</w:t>
                  </w:r>
                </w:p>
                <w:p w14:paraId="6A8A8753">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106.7</w:t>
                  </w:r>
                  <w:r>
                    <w:rPr>
                      <w:rFonts w:hint="default" w:ascii="Times New Roman" w:hAnsi="Times New Roman" w:eastAsia="宋体" w:cs="Times New Roman"/>
                      <w:color w:val="auto"/>
                      <w:sz w:val="21"/>
                      <w:szCs w:val="21"/>
                      <w:highlight w:val="none"/>
                      <w:lang w:val="en-US" w:eastAsia="zh-CN"/>
                    </w:rPr>
                    <w:t xml:space="preserve"> 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 xml:space="preserve"> /a</w:t>
                  </w:r>
                </w:p>
              </w:tc>
              <w:tc>
                <w:tcPr>
                  <w:tcW w:w="1799" w:type="dxa"/>
                  <w:tcBorders>
                    <w:tl2br w:val="nil"/>
                    <w:tr2bl w:val="nil"/>
                  </w:tcBorders>
                  <w:vAlign w:val="center"/>
                </w:tcPr>
                <w:p w14:paraId="49FC714E">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综合废水产生浓度（mg/L）</w:t>
                  </w:r>
                </w:p>
              </w:tc>
              <w:tc>
                <w:tcPr>
                  <w:tcW w:w="935" w:type="dxa"/>
                  <w:tcBorders>
                    <w:tl2br w:val="nil"/>
                    <w:tr2bl w:val="nil"/>
                  </w:tcBorders>
                  <w:vAlign w:val="center"/>
                </w:tcPr>
                <w:p w14:paraId="5D81D667">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448.9</w:t>
                  </w:r>
                  <w:r>
                    <w:rPr>
                      <w:rFonts w:hint="default" w:ascii="Times New Roman" w:hAnsi="Times New Roman" w:eastAsia="宋体" w:cs="Times New Roman"/>
                      <w:color w:val="auto"/>
                      <w:sz w:val="21"/>
                      <w:szCs w:val="21"/>
                      <w:highlight w:val="none"/>
                      <w:lang w:val="en-US" w:eastAsia="zh-CN"/>
                    </w:rPr>
                    <w:t xml:space="preserve"> </w:t>
                  </w:r>
                </w:p>
              </w:tc>
              <w:tc>
                <w:tcPr>
                  <w:tcW w:w="935" w:type="dxa"/>
                  <w:tcBorders>
                    <w:tl2br w:val="nil"/>
                    <w:tr2bl w:val="nil"/>
                  </w:tcBorders>
                  <w:vAlign w:val="center"/>
                </w:tcPr>
                <w:p w14:paraId="705A59BA">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50.2</w:t>
                  </w:r>
                  <w:r>
                    <w:rPr>
                      <w:rFonts w:hint="default" w:ascii="Times New Roman" w:hAnsi="Times New Roman" w:eastAsia="宋体" w:cs="Times New Roman"/>
                      <w:color w:val="auto"/>
                      <w:sz w:val="21"/>
                      <w:szCs w:val="21"/>
                      <w:highlight w:val="none"/>
                      <w:lang w:val="en-US" w:eastAsia="zh-CN"/>
                    </w:rPr>
                    <w:t xml:space="preserve"> </w:t>
                  </w:r>
                </w:p>
              </w:tc>
              <w:tc>
                <w:tcPr>
                  <w:tcW w:w="935" w:type="dxa"/>
                  <w:tcBorders>
                    <w:tl2br w:val="nil"/>
                    <w:tr2bl w:val="nil"/>
                  </w:tcBorders>
                  <w:vAlign w:val="center"/>
                </w:tcPr>
                <w:p w14:paraId="642BB99A">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w:t>
                  </w:r>
                  <w:r>
                    <w:rPr>
                      <w:rFonts w:hint="eastAsia" w:ascii="Times New Roman" w:hAnsi="Times New Roman" w:eastAsia="宋体" w:cs="Times New Roman"/>
                      <w:color w:val="auto"/>
                      <w:sz w:val="21"/>
                      <w:szCs w:val="21"/>
                      <w:highlight w:val="none"/>
                      <w:lang w:val="en-US" w:eastAsia="zh-CN"/>
                    </w:rPr>
                    <w:t>9.9</w:t>
                  </w:r>
                </w:p>
              </w:tc>
              <w:tc>
                <w:tcPr>
                  <w:tcW w:w="935" w:type="dxa"/>
                  <w:tcBorders>
                    <w:tl2br w:val="nil"/>
                    <w:tr2bl w:val="nil"/>
                  </w:tcBorders>
                  <w:vAlign w:val="center"/>
                </w:tcPr>
                <w:p w14:paraId="0A14269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39.2</w:t>
                  </w:r>
                </w:p>
              </w:tc>
              <w:tc>
                <w:tcPr>
                  <w:tcW w:w="935" w:type="dxa"/>
                  <w:tcBorders>
                    <w:tl2br w:val="nil"/>
                    <w:tr2bl w:val="nil"/>
                  </w:tcBorders>
                  <w:vAlign w:val="center"/>
                </w:tcPr>
                <w:p w14:paraId="15FFCC64">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6.5~9</w:t>
                  </w:r>
                </w:p>
              </w:tc>
            </w:tr>
            <w:tr w14:paraId="4281DC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389" w:type="dxa"/>
                  <w:vMerge w:val="continue"/>
                  <w:tcBorders>
                    <w:tl2br w:val="nil"/>
                    <w:tr2bl w:val="nil"/>
                  </w:tcBorders>
                  <w:vAlign w:val="center"/>
                </w:tcPr>
                <w:p w14:paraId="2462184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799" w:type="dxa"/>
                  <w:tcBorders>
                    <w:tl2br w:val="nil"/>
                    <w:tr2bl w:val="nil"/>
                  </w:tcBorders>
                  <w:vAlign w:val="center"/>
                </w:tcPr>
                <w:p w14:paraId="17210788">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污染物产生量（t/a）</w:t>
                  </w:r>
                </w:p>
              </w:tc>
              <w:tc>
                <w:tcPr>
                  <w:tcW w:w="935" w:type="dxa"/>
                  <w:tcBorders>
                    <w:tl2br w:val="nil"/>
                    <w:tr2bl w:val="nil"/>
                  </w:tcBorders>
                  <w:vAlign w:val="center"/>
                </w:tcPr>
                <w:p w14:paraId="545FFDE6">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0.0479</w:t>
                  </w:r>
                </w:p>
              </w:tc>
              <w:tc>
                <w:tcPr>
                  <w:tcW w:w="935" w:type="dxa"/>
                  <w:tcBorders>
                    <w:tl2br w:val="nil"/>
                    <w:tr2bl w:val="nil"/>
                  </w:tcBorders>
                  <w:vAlign w:val="center"/>
                </w:tcPr>
                <w:p w14:paraId="75928DD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0267</w:t>
                  </w:r>
                  <w:r>
                    <w:rPr>
                      <w:rFonts w:hint="default" w:ascii="Times New Roman" w:hAnsi="Times New Roman" w:eastAsia="宋体" w:cs="Times New Roman"/>
                      <w:color w:val="auto"/>
                      <w:sz w:val="21"/>
                      <w:szCs w:val="21"/>
                      <w:highlight w:val="none"/>
                      <w:lang w:val="en-US" w:eastAsia="zh-CN"/>
                    </w:rPr>
                    <w:t xml:space="preserve"> </w:t>
                  </w:r>
                </w:p>
              </w:tc>
              <w:tc>
                <w:tcPr>
                  <w:tcW w:w="935" w:type="dxa"/>
                  <w:tcBorders>
                    <w:tl2br w:val="nil"/>
                    <w:tr2bl w:val="nil"/>
                  </w:tcBorders>
                  <w:vAlign w:val="center"/>
                </w:tcPr>
                <w:p w14:paraId="458A426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0320</w:t>
                  </w:r>
                  <w:r>
                    <w:rPr>
                      <w:rFonts w:hint="default" w:ascii="Times New Roman" w:hAnsi="Times New Roman" w:eastAsia="宋体" w:cs="Times New Roman"/>
                      <w:color w:val="auto"/>
                      <w:sz w:val="21"/>
                      <w:szCs w:val="21"/>
                      <w:highlight w:val="none"/>
                      <w:lang w:val="en-US" w:eastAsia="zh-CN"/>
                    </w:rPr>
                    <w:t xml:space="preserve"> </w:t>
                  </w:r>
                </w:p>
              </w:tc>
              <w:tc>
                <w:tcPr>
                  <w:tcW w:w="935" w:type="dxa"/>
                  <w:tcBorders>
                    <w:tl2br w:val="nil"/>
                    <w:tr2bl w:val="nil"/>
                  </w:tcBorders>
                  <w:vAlign w:val="center"/>
                </w:tcPr>
                <w:p w14:paraId="057DD93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0431</w:t>
                  </w:r>
                  <w:r>
                    <w:rPr>
                      <w:rFonts w:hint="default" w:ascii="Times New Roman" w:hAnsi="Times New Roman" w:eastAsia="宋体" w:cs="Times New Roman"/>
                      <w:color w:val="auto"/>
                      <w:sz w:val="21"/>
                      <w:szCs w:val="21"/>
                      <w:highlight w:val="none"/>
                      <w:lang w:val="en-US" w:eastAsia="zh-CN"/>
                    </w:rPr>
                    <w:t xml:space="preserve"> </w:t>
                  </w:r>
                </w:p>
              </w:tc>
              <w:tc>
                <w:tcPr>
                  <w:tcW w:w="935" w:type="dxa"/>
                  <w:tcBorders>
                    <w:tl2br w:val="nil"/>
                    <w:tr2bl w:val="nil"/>
                  </w:tcBorders>
                  <w:vAlign w:val="center"/>
                </w:tcPr>
                <w:p w14:paraId="208A977B">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94002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389" w:type="dxa"/>
                  <w:vMerge w:val="continue"/>
                  <w:tcBorders>
                    <w:tl2br w:val="nil"/>
                    <w:tr2bl w:val="nil"/>
                  </w:tcBorders>
                  <w:vAlign w:val="center"/>
                </w:tcPr>
                <w:p w14:paraId="3438718F">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799" w:type="dxa"/>
                  <w:tcBorders>
                    <w:tl2br w:val="nil"/>
                    <w:tr2bl w:val="nil"/>
                  </w:tcBorders>
                  <w:vAlign w:val="center"/>
                </w:tcPr>
                <w:p w14:paraId="61E530F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化粪池去除效率</w:t>
                  </w:r>
                </w:p>
              </w:tc>
              <w:tc>
                <w:tcPr>
                  <w:tcW w:w="935" w:type="dxa"/>
                  <w:tcBorders>
                    <w:tl2br w:val="nil"/>
                    <w:tr2bl w:val="nil"/>
                  </w:tcBorders>
                  <w:vAlign w:val="center"/>
                </w:tcPr>
                <w:p w14:paraId="5F76A6D0">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935" w:type="dxa"/>
                  <w:tcBorders>
                    <w:tl2br w:val="nil"/>
                    <w:tr2bl w:val="nil"/>
                  </w:tcBorders>
                  <w:vAlign w:val="center"/>
                </w:tcPr>
                <w:p w14:paraId="0411DB3B">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935" w:type="dxa"/>
                  <w:tcBorders>
                    <w:tl2br w:val="nil"/>
                    <w:tr2bl w:val="nil"/>
                  </w:tcBorders>
                  <w:vAlign w:val="center"/>
                </w:tcPr>
                <w:p w14:paraId="63F5C390">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935" w:type="dxa"/>
                  <w:tcBorders>
                    <w:tl2br w:val="nil"/>
                    <w:tr2bl w:val="nil"/>
                  </w:tcBorders>
                  <w:vAlign w:val="center"/>
                </w:tcPr>
                <w:p w14:paraId="03F103D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35" w:type="dxa"/>
                  <w:tcBorders>
                    <w:tl2br w:val="nil"/>
                    <w:tr2bl w:val="nil"/>
                  </w:tcBorders>
                  <w:vAlign w:val="center"/>
                </w:tcPr>
                <w:p w14:paraId="2E0467BA">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E0EBC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1389" w:type="dxa"/>
                  <w:vMerge w:val="continue"/>
                  <w:tcBorders>
                    <w:tl2br w:val="nil"/>
                    <w:tr2bl w:val="nil"/>
                  </w:tcBorders>
                  <w:vAlign w:val="center"/>
                </w:tcPr>
                <w:p w14:paraId="025615B2">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799" w:type="dxa"/>
                  <w:tcBorders>
                    <w:tl2br w:val="nil"/>
                    <w:tr2bl w:val="nil"/>
                  </w:tcBorders>
                  <w:vAlign w:val="center"/>
                </w:tcPr>
                <w:p w14:paraId="0EFD76C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综合废水排放浓度（mg/L）</w:t>
                  </w:r>
                </w:p>
              </w:tc>
              <w:tc>
                <w:tcPr>
                  <w:tcW w:w="935" w:type="dxa"/>
                  <w:tcBorders>
                    <w:tl2br w:val="nil"/>
                    <w:tr2bl w:val="nil"/>
                  </w:tcBorders>
                  <w:vAlign w:val="center"/>
                </w:tcPr>
                <w:p w14:paraId="02CAFBE0">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81.6</w:t>
                  </w:r>
                  <w:r>
                    <w:rPr>
                      <w:rFonts w:hint="default" w:ascii="Times New Roman" w:hAnsi="Times New Roman" w:eastAsia="宋体" w:cs="Times New Roman"/>
                      <w:color w:val="auto"/>
                      <w:sz w:val="21"/>
                      <w:szCs w:val="21"/>
                      <w:highlight w:val="none"/>
                      <w:lang w:val="en-US" w:eastAsia="zh-CN"/>
                    </w:rPr>
                    <w:t xml:space="preserve"> </w:t>
                  </w:r>
                </w:p>
              </w:tc>
              <w:tc>
                <w:tcPr>
                  <w:tcW w:w="935" w:type="dxa"/>
                  <w:tcBorders>
                    <w:tl2br w:val="nil"/>
                    <w:tr2bl w:val="nil"/>
                  </w:tcBorders>
                  <w:vAlign w:val="center"/>
                </w:tcPr>
                <w:p w14:paraId="63B022B0">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r>
                    <w:rPr>
                      <w:rFonts w:hint="eastAsia" w:ascii="Times New Roman" w:hAnsi="Times New Roman" w:eastAsia="宋体" w:cs="Times New Roman"/>
                      <w:color w:val="auto"/>
                      <w:sz w:val="21"/>
                      <w:szCs w:val="21"/>
                      <w:highlight w:val="none"/>
                      <w:lang w:val="en-US" w:eastAsia="zh-CN"/>
                    </w:rPr>
                    <w:t>7.7</w:t>
                  </w:r>
                </w:p>
              </w:tc>
              <w:tc>
                <w:tcPr>
                  <w:tcW w:w="935" w:type="dxa"/>
                  <w:tcBorders>
                    <w:tl2br w:val="nil"/>
                    <w:tr2bl w:val="nil"/>
                  </w:tcBorders>
                  <w:vAlign w:val="center"/>
                </w:tcPr>
                <w:p w14:paraId="061BDE54">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9.9</w:t>
                  </w:r>
                </w:p>
              </w:tc>
              <w:tc>
                <w:tcPr>
                  <w:tcW w:w="935" w:type="dxa"/>
                  <w:tcBorders>
                    <w:tl2br w:val="nil"/>
                    <w:tr2bl w:val="nil"/>
                  </w:tcBorders>
                  <w:vAlign w:val="center"/>
                </w:tcPr>
                <w:p w14:paraId="7E47BB5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r>
                    <w:rPr>
                      <w:rFonts w:hint="eastAsia" w:ascii="Times New Roman" w:hAnsi="Times New Roman" w:eastAsia="宋体" w:cs="Times New Roman"/>
                      <w:color w:val="auto"/>
                      <w:sz w:val="21"/>
                      <w:szCs w:val="21"/>
                      <w:highlight w:val="none"/>
                      <w:lang w:val="en-US" w:eastAsia="zh-CN"/>
                    </w:rPr>
                    <w:t>4</w:t>
                  </w:r>
                </w:p>
              </w:tc>
              <w:tc>
                <w:tcPr>
                  <w:tcW w:w="935" w:type="dxa"/>
                  <w:tcBorders>
                    <w:tl2br w:val="nil"/>
                    <w:tr2bl w:val="nil"/>
                  </w:tcBorders>
                  <w:vAlign w:val="center"/>
                </w:tcPr>
                <w:p w14:paraId="6896CC55">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6.5~9</w:t>
                  </w:r>
                </w:p>
              </w:tc>
            </w:tr>
            <w:tr w14:paraId="5EC994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389" w:type="dxa"/>
                  <w:vMerge w:val="continue"/>
                  <w:tcBorders>
                    <w:tl2br w:val="nil"/>
                    <w:tr2bl w:val="nil"/>
                  </w:tcBorders>
                  <w:vAlign w:val="center"/>
                </w:tcPr>
                <w:p w14:paraId="39689C90">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1799" w:type="dxa"/>
                  <w:tcBorders>
                    <w:tl2br w:val="nil"/>
                    <w:tr2bl w:val="nil"/>
                  </w:tcBorders>
                  <w:vAlign w:val="center"/>
                </w:tcPr>
                <w:p w14:paraId="55E2028E">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污染物排放量（t/a）</w:t>
                  </w:r>
                </w:p>
              </w:tc>
              <w:tc>
                <w:tcPr>
                  <w:tcW w:w="935" w:type="dxa"/>
                  <w:tcBorders>
                    <w:tl2br w:val="nil"/>
                    <w:tr2bl w:val="nil"/>
                  </w:tcBorders>
                  <w:vAlign w:val="center"/>
                </w:tcPr>
                <w:p w14:paraId="516EE14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0407</w:t>
                  </w:r>
                  <w:r>
                    <w:rPr>
                      <w:rFonts w:hint="default" w:ascii="Times New Roman" w:hAnsi="Times New Roman" w:eastAsia="宋体" w:cs="Times New Roman"/>
                      <w:color w:val="auto"/>
                      <w:sz w:val="21"/>
                      <w:szCs w:val="21"/>
                      <w:highlight w:val="none"/>
                      <w:lang w:val="en-US" w:eastAsia="zh-CN"/>
                    </w:rPr>
                    <w:t xml:space="preserve"> </w:t>
                  </w:r>
                </w:p>
              </w:tc>
              <w:tc>
                <w:tcPr>
                  <w:tcW w:w="935" w:type="dxa"/>
                  <w:tcBorders>
                    <w:tl2br w:val="nil"/>
                    <w:tr2bl w:val="nil"/>
                  </w:tcBorders>
                  <w:vAlign w:val="center"/>
                </w:tcPr>
                <w:p w14:paraId="4E505CEF">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0243</w:t>
                  </w:r>
                  <w:r>
                    <w:rPr>
                      <w:rFonts w:hint="default" w:ascii="Times New Roman" w:hAnsi="Times New Roman" w:eastAsia="宋体" w:cs="Times New Roman"/>
                      <w:color w:val="auto"/>
                      <w:sz w:val="21"/>
                      <w:szCs w:val="21"/>
                      <w:highlight w:val="none"/>
                      <w:lang w:val="en-US" w:eastAsia="zh-CN"/>
                    </w:rPr>
                    <w:t xml:space="preserve"> </w:t>
                  </w:r>
                </w:p>
              </w:tc>
              <w:tc>
                <w:tcPr>
                  <w:tcW w:w="935" w:type="dxa"/>
                  <w:tcBorders>
                    <w:tl2br w:val="nil"/>
                    <w:tr2bl w:val="nil"/>
                  </w:tcBorders>
                  <w:vAlign w:val="center"/>
                </w:tcPr>
                <w:p w14:paraId="63C53A23">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224</w:t>
                  </w:r>
                </w:p>
              </w:tc>
              <w:tc>
                <w:tcPr>
                  <w:tcW w:w="935" w:type="dxa"/>
                  <w:tcBorders>
                    <w:tl2br w:val="nil"/>
                    <w:tr2bl w:val="nil"/>
                  </w:tcBorders>
                  <w:vAlign w:val="center"/>
                </w:tcPr>
                <w:p w14:paraId="370E933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042</w:t>
                  </w:r>
                  <w:r>
                    <w:rPr>
                      <w:rFonts w:hint="default" w:ascii="Times New Roman" w:hAnsi="Times New Roman" w:eastAsia="宋体" w:cs="Times New Roman"/>
                      <w:color w:val="auto"/>
                      <w:sz w:val="21"/>
                      <w:szCs w:val="21"/>
                      <w:highlight w:val="none"/>
                      <w:lang w:val="en-US" w:eastAsia="zh-CN"/>
                    </w:rPr>
                    <w:t xml:space="preserve"> </w:t>
                  </w:r>
                </w:p>
              </w:tc>
              <w:tc>
                <w:tcPr>
                  <w:tcW w:w="935" w:type="dxa"/>
                  <w:tcBorders>
                    <w:tl2br w:val="nil"/>
                    <w:tr2bl w:val="nil"/>
                  </w:tcBorders>
                  <w:vAlign w:val="center"/>
                </w:tcPr>
                <w:p w14:paraId="0487B6C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3A681799">
            <w:pPr>
              <w:numPr>
                <w:ilvl w:val="0"/>
                <w:numId w:val="0"/>
              </w:numPr>
              <w:adjustRightInd w:val="0"/>
              <w:spacing w:line="360" w:lineRule="auto"/>
              <w:ind w:leftChars="200"/>
              <w:rPr>
                <w:rFonts w:hint="default" w:ascii="Times New Roman" w:hAnsi="Times New Roman" w:eastAsia="宋体" w:cs="Times New Roman"/>
                <w:b w:val="0"/>
                <w:bCs w:val="0"/>
                <w:color w:val="auto"/>
                <w:sz w:val="24"/>
                <w:highlight w:val="none"/>
                <w:lang w:eastAsia="zh-CN"/>
              </w:rPr>
            </w:pP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2</w:t>
            </w:r>
            <w:r>
              <w:rPr>
                <w:rFonts w:hint="eastAsia"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eastAsia="zh-CN"/>
              </w:rPr>
              <w:t>废水排放口基本情况</w:t>
            </w:r>
          </w:p>
          <w:p w14:paraId="793D169C">
            <w:pPr>
              <w:numPr>
                <w:ilvl w:val="0"/>
                <w:numId w:val="0"/>
              </w:numPr>
              <w:adjustRightInd w:val="0"/>
              <w:spacing w:line="360" w:lineRule="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 xml:space="preserve">    本项目容器第三遍及以后清洗废水、生活污水一起进园区化粪池处理，最后经市政管网进北京亦庄环境科技集团有限公</w:t>
            </w:r>
            <w:r>
              <w:rPr>
                <w:rFonts w:hint="eastAsia" w:cs="Times New Roman"/>
                <w:color w:val="auto"/>
                <w:sz w:val="24"/>
                <w:highlight w:val="none"/>
                <w:lang w:val="en-US" w:eastAsia="zh-CN"/>
              </w:rPr>
              <w:t>司东区污水处理厂</w:t>
            </w:r>
            <w:r>
              <w:rPr>
                <w:rFonts w:hint="eastAsia" w:ascii="Times New Roman" w:hAnsi="Times New Roman" w:eastAsia="宋体" w:cs="Times New Roman"/>
                <w:color w:val="auto"/>
                <w:sz w:val="24"/>
                <w:highlight w:val="none"/>
                <w:lang w:val="en-US" w:eastAsia="zh-CN"/>
              </w:rPr>
              <w:t>。本项目废水排放口情况见下表。</w:t>
            </w:r>
          </w:p>
          <w:p w14:paraId="5D5DB57B">
            <w:pPr>
              <w:keepNext w:val="0"/>
              <w:keepLines w:val="0"/>
              <w:widowControl/>
              <w:numPr>
                <w:ilvl w:val="0"/>
                <w:numId w:val="17"/>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废水排放口基本情况</w:t>
            </w:r>
          </w:p>
          <w:tbl>
            <w:tblPr>
              <w:tblStyle w:val="1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67"/>
              <w:gridCol w:w="952"/>
              <w:gridCol w:w="1826"/>
              <w:gridCol w:w="1184"/>
              <w:gridCol w:w="2294"/>
            </w:tblGrid>
            <w:tr w14:paraId="7491C3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100" w:type="pct"/>
                  <w:tcBorders>
                    <w:tl2br w:val="nil"/>
                    <w:tr2bl w:val="nil"/>
                  </w:tcBorders>
                  <w:vAlign w:val="center"/>
                </w:tcPr>
                <w:p w14:paraId="4D0F3A22">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排放口名称</w:t>
                  </w:r>
                </w:p>
              </w:tc>
              <w:tc>
                <w:tcPr>
                  <w:tcW w:w="593" w:type="pct"/>
                  <w:tcBorders>
                    <w:tl2br w:val="nil"/>
                    <w:tr2bl w:val="nil"/>
                  </w:tcBorders>
                  <w:vAlign w:val="center"/>
                </w:tcPr>
                <w:p w14:paraId="33FFB7B9">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编号</w:t>
                  </w:r>
                </w:p>
              </w:tc>
              <w:tc>
                <w:tcPr>
                  <w:tcW w:w="1137" w:type="pct"/>
                  <w:tcBorders>
                    <w:tl2br w:val="nil"/>
                    <w:tr2bl w:val="nil"/>
                  </w:tcBorders>
                  <w:vAlign w:val="center"/>
                </w:tcPr>
                <w:p w14:paraId="235CEEE9">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地理坐标</w:t>
                  </w:r>
                </w:p>
              </w:tc>
              <w:tc>
                <w:tcPr>
                  <w:tcW w:w="738" w:type="pct"/>
                  <w:tcBorders>
                    <w:tl2br w:val="nil"/>
                    <w:tr2bl w:val="nil"/>
                  </w:tcBorders>
                  <w:vAlign w:val="center"/>
                </w:tcPr>
                <w:p w14:paraId="71C3B35C">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类型</w:t>
                  </w:r>
                </w:p>
              </w:tc>
              <w:tc>
                <w:tcPr>
                  <w:tcW w:w="1429" w:type="pct"/>
                  <w:tcBorders>
                    <w:tl2br w:val="nil"/>
                    <w:tr2bl w:val="nil"/>
                  </w:tcBorders>
                  <w:vAlign w:val="center"/>
                </w:tcPr>
                <w:p w14:paraId="274AD0A3">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排放标准</w:t>
                  </w:r>
                </w:p>
              </w:tc>
            </w:tr>
            <w:tr w14:paraId="31342D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0" w:type="pct"/>
                  <w:tcBorders>
                    <w:tl2br w:val="nil"/>
                    <w:tr2bl w:val="nil"/>
                  </w:tcBorders>
                  <w:vAlign w:val="center"/>
                </w:tcPr>
                <w:p w14:paraId="240C7758">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废水总排口（园区化粪池公用排口）</w:t>
                  </w:r>
                </w:p>
              </w:tc>
              <w:tc>
                <w:tcPr>
                  <w:tcW w:w="593" w:type="pct"/>
                  <w:tcBorders>
                    <w:tl2br w:val="nil"/>
                    <w:tr2bl w:val="nil"/>
                  </w:tcBorders>
                  <w:vAlign w:val="center"/>
                </w:tcPr>
                <w:p w14:paraId="5D770F07">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DW001</w:t>
                  </w:r>
                </w:p>
              </w:tc>
              <w:tc>
                <w:tcPr>
                  <w:tcW w:w="1137" w:type="pct"/>
                  <w:tcBorders>
                    <w:tl2br w:val="nil"/>
                    <w:tr2bl w:val="nil"/>
                  </w:tcBorders>
                  <w:vAlign w:val="center"/>
                </w:tcPr>
                <w:p w14:paraId="243E9B13">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东经116.</w:t>
                  </w:r>
                  <w:r>
                    <w:rPr>
                      <w:rFonts w:hint="eastAsia" w:ascii="Times New Roman" w:hAnsi="Times New Roman" w:eastAsia="宋体" w:cs="Times New Roman"/>
                      <w:color w:val="auto"/>
                      <w:sz w:val="21"/>
                      <w:szCs w:val="21"/>
                      <w:highlight w:val="none"/>
                      <w:lang w:val="en-US" w:eastAsia="zh-CN"/>
                    </w:rPr>
                    <w:t>563238</w:t>
                  </w:r>
                  <w:r>
                    <w:rPr>
                      <w:rFonts w:hint="default" w:ascii="Times New Roman" w:hAnsi="Times New Roman" w:eastAsia="宋体" w:cs="Times New Roman"/>
                      <w:color w:val="auto"/>
                      <w:sz w:val="21"/>
                      <w:szCs w:val="21"/>
                      <w:highlight w:val="none"/>
                      <w:lang w:val="en-US" w:eastAsia="zh-CN"/>
                    </w:rPr>
                    <w:t>°</w:t>
                  </w:r>
                </w:p>
                <w:p w14:paraId="0CBE7E58">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北纬 39.</w:t>
                  </w:r>
                  <w:r>
                    <w:rPr>
                      <w:rFonts w:hint="eastAsia" w:ascii="Times New Roman" w:hAnsi="Times New Roman" w:eastAsia="宋体" w:cs="Times New Roman"/>
                      <w:color w:val="auto"/>
                      <w:sz w:val="21"/>
                      <w:szCs w:val="21"/>
                      <w:highlight w:val="none"/>
                      <w:lang w:val="en-US" w:eastAsia="zh-CN"/>
                    </w:rPr>
                    <w:t>781402</w:t>
                  </w:r>
                  <w:r>
                    <w:rPr>
                      <w:rFonts w:hint="default" w:ascii="Times New Roman" w:hAnsi="Times New Roman" w:eastAsia="宋体" w:cs="Times New Roman"/>
                      <w:color w:val="auto"/>
                      <w:sz w:val="21"/>
                      <w:szCs w:val="21"/>
                      <w:highlight w:val="none"/>
                      <w:lang w:val="en-US" w:eastAsia="zh-CN"/>
                    </w:rPr>
                    <w:t>°</w:t>
                  </w:r>
                </w:p>
              </w:tc>
              <w:tc>
                <w:tcPr>
                  <w:tcW w:w="738" w:type="pct"/>
                  <w:tcBorders>
                    <w:tl2br w:val="nil"/>
                    <w:tr2bl w:val="nil"/>
                  </w:tcBorders>
                  <w:vAlign w:val="center"/>
                </w:tcPr>
                <w:p w14:paraId="281E7A9E">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一般排放口</w:t>
                  </w:r>
                </w:p>
              </w:tc>
              <w:tc>
                <w:tcPr>
                  <w:tcW w:w="1429" w:type="pct"/>
                  <w:tcBorders>
                    <w:tl2br w:val="nil"/>
                    <w:tr2bl w:val="nil"/>
                  </w:tcBorders>
                  <w:vAlign w:val="center"/>
                </w:tcPr>
                <w:p w14:paraId="4FBFE42E">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北京市《水污染物综合排放标准》（DB11/307-2013）</w:t>
                  </w:r>
                </w:p>
              </w:tc>
            </w:tr>
          </w:tbl>
          <w:p w14:paraId="3C83E75D">
            <w:pPr>
              <w:numPr>
                <w:ilvl w:val="255"/>
                <w:numId w:val="0"/>
              </w:numPr>
              <w:adjustRightInd w:val="0"/>
              <w:spacing w:line="360" w:lineRule="auto"/>
              <w:ind w:left="480" w:leftChars="200"/>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lang w:eastAsia="zh-CN"/>
              </w:rPr>
              <w:t>）达标及影响分析</w:t>
            </w:r>
          </w:p>
          <w:p w14:paraId="642D679D">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rPr>
              <w:t>本项目废水达标排放分析</w:t>
            </w:r>
            <w:r>
              <w:rPr>
                <w:rFonts w:hint="default" w:ascii="Times New Roman" w:hAnsi="Times New Roman" w:eastAsia="宋体" w:cs="Times New Roman"/>
                <w:color w:val="auto"/>
                <w:sz w:val="24"/>
                <w:highlight w:val="none"/>
                <w:lang w:val="zh-CN" w:eastAsia="zh-CN"/>
              </w:rPr>
              <w:t>见下表。</w:t>
            </w:r>
          </w:p>
          <w:p w14:paraId="10729187">
            <w:pPr>
              <w:keepNext w:val="0"/>
              <w:keepLines w:val="0"/>
              <w:widowControl/>
              <w:numPr>
                <w:ilvl w:val="0"/>
                <w:numId w:val="17"/>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项目废水排放及达标情况一览表</w:t>
            </w:r>
          </w:p>
          <w:tbl>
            <w:tblPr>
              <w:tblStyle w:val="11"/>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88"/>
              <w:gridCol w:w="1175"/>
              <w:gridCol w:w="1175"/>
              <w:gridCol w:w="1175"/>
              <w:gridCol w:w="1175"/>
              <w:gridCol w:w="1175"/>
            </w:tblGrid>
            <w:tr w14:paraId="74A2D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4" w:type="pct"/>
                  <w:tcBorders>
                    <w:tl2br w:val="nil"/>
                    <w:tr2bl w:val="nil"/>
                  </w:tcBorders>
                  <w:vAlign w:val="center"/>
                </w:tcPr>
                <w:p w14:paraId="53846CE5">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名称</w:t>
                  </w:r>
                </w:p>
              </w:tc>
              <w:tc>
                <w:tcPr>
                  <w:tcW w:w="1175" w:type="dxa"/>
                  <w:tcBorders>
                    <w:tl2br w:val="nil"/>
                    <w:tr2bl w:val="nil"/>
                  </w:tcBorders>
                  <w:vAlign w:val="center"/>
                </w:tcPr>
                <w:p w14:paraId="2FFFB428">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COD</w:t>
                  </w:r>
                  <w:r>
                    <w:rPr>
                      <w:rFonts w:hint="default" w:ascii="Times New Roman" w:hAnsi="Times New Roman" w:eastAsia="宋体" w:cs="Times New Roman"/>
                      <w:b/>
                      <w:color w:val="auto"/>
                      <w:sz w:val="21"/>
                      <w:szCs w:val="21"/>
                      <w:highlight w:val="none"/>
                      <w:vertAlign w:val="subscript"/>
                    </w:rPr>
                    <w:t>Cr</w:t>
                  </w:r>
                </w:p>
              </w:tc>
              <w:tc>
                <w:tcPr>
                  <w:tcW w:w="1175" w:type="dxa"/>
                  <w:tcBorders>
                    <w:tl2br w:val="nil"/>
                    <w:tr2bl w:val="nil"/>
                  </w:tcBorders>
                  <w:vAlign w:val="center"/>
                </w:tcPr>
                <w:p w14:paraId="729BCD80">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BOD</w:t>
                  </w:r>
                  <w:r>
                    <w:rPr>
                      <w:rFonts w:hint="default" w:ascii="Times New Roman" w:hAnsi="Times New Roman" w:eastAsia="宋体" w:cs="Times New Roman"/>
                      <w:b/>
                      <w:color w:val="auto"/>
                      <w:sz w:val="21"/>
                      <w:szCs w:val="21"/>
                      <w:highlight w:val="none"/>
                      <w:vertAlign w:val="subscript"/>
                    </w:rPr>
                    <w:t>5</w:t>
                  </w:r>
                </w:p>
              </w:tc>
              <w:tc>
                <w:tcPr>
                  <w:tcW w:w="1175" w:type="dxa"/>
                  <w:tcBorders>
                    <w:tl2br w:val="nil"/>
                    <w:tr2bl w:val="nil"/>
                  </w:tcBorders>
                  <w:vAlign w:val="center"/>
                </w:tcPr>
                <w:p w14:paraId="183D1A25">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SS</w:t>
                  </w:r>
                </w:p>
              </w:tc>
              <w:tc>
                <w:tcPr>
                  <w:tcW w:w="1175" w:type="dxa"/>
                  <w:tcBorders>
                    <w:tl2br w:val="nil"/>
                    <w:tr2bl w:val="nil"/>
                  </w:tcBorders>
                  <w:vAlign w:val="center"/>
                </w:tcPr>
                <w:p w14:paraId="05A4C24A">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氨氮</w:t>
                  </w:r>
                </w:p>
              </w:tc>
              <w:tc>
                <w:tcPr>
                  <w:tcW w:w="747" w:type="pct"/>
                  <w:tcBorders>
                    <w:tl2br w:val="nil"/>
                    <w:tr2bl w:val="nil"/>
                  </w:tcBorders>
                  <w:vAlign w:val="center"/>
                </w:tcPr>
                <w:p w14:paraId="61CF38F5">
                  <w:pPr>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pH</w:t>
                  </w:r>
                </w:p>
              </w:tc>
            </w:tr>
            <w:tr w14:paraId="32C17E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4" w:type="pct"/>
                  <w:tcBorders>
                    <w:tl2br w:val="nil"/>
                    <w:tr2bl w:val="nil"/>
                  </w:tcBorders>
                  <w:vAlign w:val="center"/>
                </w:tcPr>
                <w:p w14:paraId="07FAC88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排放浓度（mg/L）</w:t>
                  </w:r>
                </w:p>
              </w:tc>
              <w:tc>
                <w:tcPr>
                  <w:tcW w:w="1175" w:type="dxa"/>
                  <w:tcBorders>
                    <w:tl2br w:val="nil"/>
                    <w:tr2bl w:val="nil"/>
                  </w:tcBorders>
                  <w:shd w:val="clear" w:color="auto" w:fill="auto"/>
                  <w:vAlign w:val="center"/>
                </w:tcPr>
                <w:p w14:paraId="6CCB76DF">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81.6</w:t>
                  </w:r>
                  <w:r>
                    <w:rPr>
                      <w:rFonts w:hint="default" w:ascii="Times New Roman" w:hAnsi="Times New Roman" w:eastAsia="宋体" w:cs="Times New Roman"/>
                      <w:color w:val="auto"/>
                      <w:sz w:val="21"/>
                      <w:szCs w:val="21"/>
                      <w:highlight w:val="none"/>
                      <w:lang w:val="en-US" w:eastAsia="zh-CN"/>
                    </w:rPr>
                    <w:t xml:space="preserve"> </w:t>
                  </w:r>
                </w:p>
              </w:tc>
              <w:tc>
                <w:tcPr>
                  <w:tcW w:w="1175" w:type="dxa"/>
                  <w:tcBorders>
                    <w:tl2br w:val="nil"/>
                    <w:tr2bl w:val="nil"/>
                  </w:tcBorders>
                  <w:shd w:val="clear" w:color="auto" w:fill="auto"/>
                  <w:vAlign w:val="center"/>
                </w:tcPr>
                <w:p w14:paraId="1DA19434">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r>
                    <w:rPr>
                      <w:rFonts w:hint="eastAsia" w:ascii="Times New Roman" w:hAnsi="Times New Roman" w:eastAsia="宋体" w:cs="Times New Roman"/>
                      <w:color w:val="auto"/>
                      <w:sz w:val="21"/>
                      <w:szCs w:val="21"/>
                      <w:highlight w:val="none"/>
                      <w:lang w:val="en-US" w:eastAsia="zh-CN"/>
                    </w:rPr>
                    <w:t>7.7</w:t>
                  </w:r>
                </w:p>
              </w:tc>
              <w:tc>
                <w:tcPr>
                  <w:tcW w:w="1175" w:type="dxa"/>
                  <w:tcBorders>
                    <w:tl2br w:val="nil"/>
                    <w:tr2bl w:val="nil"/>
                  </w:tcBorders>
                  <w:shd w:val="clear" w:color="auto" w:fill="auto"/>
                  <w:vAlign w:val="center"/>
                </w:tcPr>
                <w:p w14:paraId="7EAD55EA">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9.9</w:t>
                  </w:r>
                </w:p>
              </w:tc>
              <w:tc>
                <w:tcPr>
                  <w:tcW w:w="1175" w:type="dxa"/>
                  <w:tcBorders>
                    <w:tl2br w:val="nil"/>
                    <w:tr2bl w:val="nil"/>
                  </w:tcBorders>
                  <w:shd w:val="clear" w:color="auto" w:fill="auto"/>
                  <w:vAlign w:val="center"/>
                </w:tcPr>
                <w:p w14:paraId="15846E76">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r>
                    <w:rPr>
                      <w:rFonts w:hint="eastAsia" w:ascii="Times New Roman" w:hAnsi="Times New Roman" w:eastAsia="宋体" w:cs="Times New Roman"/>
                      <w:color w:val="auto"/>
                      <w:sz w:val="21"/>
                      <w:szCs w:val="21"/>
                      <w:highlight w:val="none"/>
                      <w:lang w:val="en-US" w:eastAsia="zh-CN"/>
                    </w:rPr>
                    <w:t>4</w:t>
                  </w:r>
                </w:p>
              </w:tc>
              <w:tc>
                <w:tcPr>
                  <w:tcW w:w="747" w:type="pct"/>
                  <w:tcBorders>
                    <w:tl2br w:val="nil"/>
                    <w:tr2bl w:val="nil"/>
                  </w:tcBorders>
                  <w:shd w:val="clear" w:color="auto" w:fill="auto"/>
                  <w:vAlign w:val="center"/>
                </w:tcPr>
                <w:p w14:paraId="743F6DEB">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6.5~9</w:t>
                  </w:r>
                </w:p>
                <w:p w14:paraId="7A50E62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(无量纲)</w:t>
                  </w:r>
                </w:p>
              </w:tc>
            </w:tr>
            <w:tr w14:paraId="4D962D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1264" w:type="pct"/>
                  <w:tcBorders>
                    <w:tl2br w:val="nil"/>
                    <w:tr2bl w:val="nil"/>
                  </w:tcBorders>
                  <w:vAlign w:val="center"/>
                </w:tcPr>
                <w:p w14:paraId="3A636A4C">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w:t>
                  </w:r>
                </w:p>
              </w:tc>
              <w:tc>
                <w:tcPr>
                  <w:tcW w:w="747" w:type="pct"/>
                  <w:tcBorders>
                    <w:tl2br w:val="nil"/>
                    <w:tr2bl w:val="nil"/>
                  </w:tcBorders>
                  <w:vAlign w:val="center"/>
                </w:tcPr>
                <w:p w14:paraId="464EAE7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c>
                <w:tcPr>
                  <w:tcW w:w="747" w:type="pct"/>
                  <w:tcBorders>
                    <w:tl2br w:val="nil"/>
                    <w:tr2bl w:val="nil"/>
                  </w:tcBorders>
                  <w:vAlign w:val="center"/>
                </w:tcPr>
                <w:p w14:paraId="68CE545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747" w:type="pct"/>
                  <w:tcBorders>
                    <w:tl2br w:val="nil"/>
                    <w:tr2bl w:val="nil"/>
                  </w:tcBorders>
                  <w:vAlign w:val="center"/>
                </w:tcPr>
                <w:p w14:paraId="04375807">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747" w:type="pct"/>
                  <w:tcBorders>
                    <w:tl2br w:val="nil"/>
                    <w:tr2bl w:val="nil"/>
                  </w:tcBorders>
                  <w:vAlign w:val="center"/>
                </w:tcPr>
                <w:p w14:paraId="74B86864">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747" w:type="pct"/>
                  <w:tcBorders>
                    <w:tl2br w:val="nil"/>
                    <w:tr2bl w:val="nil"/>
                  </w:tcBorders>
                  <w:vAlign w:val="center"/>
                </w:tcPr>
                <w:p w14:paraId="1919B9BF">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6.5～9</w:t>
                  </w:r>
                </w:p>
                <w:p w14:paraId="06F1D2C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(无量纲)</w:t>
                  </w:r>
                </w:p>
              </w:tc>
            </w:tr>
            <w:tr w14:paraId="3F6883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4" w:type="pct"/>
                  <w:tcBorders>
                    <w:tl2br w:val="nil"/>
                    <w:tr2bl w:val="nil"/>
                  </w:tcBorders>
                  <w:vAlign w:val="center"/>
                </w:tcPr>
                <w:p w14:paraId="0B34F8D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达标分析</w:t>
                  </w:r>
                </w:p>
              </w:tc>
              <w:tc>
                <w:tcPr>
                  <w:tcW w:w="747" w:type="pct"/>
                  <w:tcBorders>
                    <w:tl2br w:val="nil"/>
                    <w:tr2bl w:val="nil"/>
                  </w:tcBorders>
                  <w:vAlign w:val="center"/>
                </w:tcPr>
                <w:p w14:paraId="1097DB79">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747" w:type="pct"/>
                  <w:tcBorders>
                    <w:tl2br w:val="nil"/>
                    <w:tr2bl w:val="nil"/>
                  </w:tcBorders>
                  <w:vAlign w:val="center"/>
                </w:tcPr>
                <w:p w14:paraId="28CF2151">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747" w:type="pct"/>
                  <w:tcBorders>
                    <w:tl2br w:val="nil"/>
                    <w:tr2bl w:val="nil"/>
                  </w:tcBorders>
                  <w:vAlign w:val="center"/>
                </w:tcPr>
                <w:p w14:paraId="5EBD90CB">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747" w:type="pct"/>
                  <w:tcBorders>
                    <w:tl2br w:val="nil"/>
                    <w:tr2bl w:val="nil"/>
                  </w:tcBorders>
                  <w:vAlign w:val="center"/>
                </w:tcPr>
                <w:p w14:paraId="67A636BD">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747" w:type="pct"/>
                  <w:tcBorders>
                    <w:tl2br w:val="nil"/>
                    <w:tr2bl w:val="nil"/>
                  </w:tcBorders>
                  <w:vAlign w:val="center"/>
                </w:tcPr>
                <w:p w14:paraId="66544157">
                  <w:p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40075587">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综上，本项目废水的排放满足北京市《</w:t>
            </w:r>
            <w:r>
              <w:rPr>
                <w:rFonts w:hint="default" w:ascii="Times New Roman" w:hAnsi="Times New Roman" w:eastAsia="宋体" w:cs="Times New Roman"/>
                <w:color w:val="auto"/>
                <w:sz w:val="24"/>
                <w:highlight w:val="none"/>
                <w:lang w:val="zh-CN"/>
              </w:rPr>
              <w:t>水污染物综合排放标准》（DB11/307-</w:t>
            </w:r>
            <w:r>
              <w:rPr>
                <w:rFonts w:hint="default" w:ascii="Times New Roman" w:hAnsi="Times New Roman" w:eastAsia="宋体" w:cs="Times New Roman"/>
                <w:color w:val="auto"/>
                <w:sz w:val="24"/>
                <w:highlight w:val="none"/>
              </w:rPr>
              <w:t>2013</w:t>
            </w:r>
            <w:r>
              <w:rPr>
                <w:rFonts w:hint="default" w:ascii="Times New Roman" w:hAnsi="Times New Roman" w:eastAsia="宋体" w:cs="Times New Roman"/>
                <w:color w:val="auto"/>
                <w:sz w:val="24"/>
                <w:highlight w:val="none"/>
                <w:lang w:val="zh-CN"/>
              </w:rPr>
              <w:t>）中</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表</w:t>
            </w: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zh-CN"/>
              </w:rPr>
              <w:t>排入公共污水处理系统的水污染物排放限值</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rPr>
              <w:t>的标准要求。</w:t>
            </w:r>
          </w:p>
          <w:p w14:paraId="11E346DC">
            <w:pPr>
              <w:numPr>
                <w:ilvl w:val="255"/>
                <w:numId w:val="0"/>
              </w:numPr>
              <w:adjustRightInd w:val="0"/>
              <w:spacing w:line="360" w:lineRule="auto"/>
              <w:ind w:left="480" w:leftChars="200"/>
              <w:rPr>
                <w:rFonts w:hint="default"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val="en-US" w:eastAsia="zh-CN"/>
              </w:rPr>
              <w:t>4</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eastAsia="zh-CN"/>
              </w:rPr>
              <w:t>污水处理厂可行性分析</w:t>
            </w:r>
          </w:p>
          <w:p w14:paraId="6DA42A40">
            <w:pPr>
              <w:adjustRightInd w:val="0"/>
              <w:spacing w:line="360" w:lineRule="auto"/>
              <w:ind w:firstLine="480" w:firstLineChars="200"/>
              <w:rPr>
                <w:rFonts w:hint="eastAsia" w:ascii="宋体" w:hAnsi="宋体" w:eastAsia="宋体" w:cs="宋体"/>
                <w:strike w:val="0"/>
                <w:dstrike w:val="0"/>
                <w:color w:val="auto"/>
                <w:sz w:val="24"/>
                <w:szCs w:val="24"/>
                <w:vertAlign w:val="baseline"/>
                <w:lang w:val="en-US" w:eastAsia="zh-CN"/>
              </w:rPr>
            </w:pPr>
            <w:r>
              <w:rPr>
                <w:rFonts w:hint="default" w:ascii="Times New Roman" w:hAnsi="Times New Roman" w:eastAsia="宋体" w:cs="Times New Roman"/>
                <w:color w:val="auto"/>
                <w:sz w:val="24"/>
                <w:highlight w:val="none"/>
                <w:lang w:val="zh-CN"/>
              </w:rPr>
              <w:t>本项目废水最终均通过市政污水管网排入</w:t>
            </w:r>
            <w:r>
              <w:rPr>
                <w:rFonts w:hint="eastAsia" w:cs="Times New Roman"/>
                <w:color w:val="auto"/>
                <w:sz w:val="24"/>
                <w:highlight w:val="none"/>
                <w:lang w:val="zh-CN"/>
              </w:rPr>
              <w:t>北京亦庄环境科技集团有限</w:t>
            </w:r>
            <w:r>
              <w:rPr>
                <w:rFonts w:hint="eastAsia" w:ascii="Times New Roman" w:hAnsi="Times New Roman" w:eastAsia="宋体" w:cs="Times New Roman"/>
                <w:color w:val="auto"/>
                <w:sz w:val="24"/>
                <w:highlight w:val="none"/>
                <w:lang w:val="zh-CN"/>
              </w:rPr>
              <w:t>公司东区污水处理厂</w:t>
            </w:r>
            <w:r>
              <w:rPr>
                <w:rFonts w:hint="default" w:ascii="Times New Roman" w:hAnsi="Times New Roman" w:eastAsia="宋体" w:cs="Times New Roman"/>
                <w:color w:val="auto"/>
                <w:sz w:val="24"/>
                <w:highlight w:val="none"/>
                <w:lang w:val="zh-CN"/>
              </w:rPr>
              <w:t>。北京经济技术开发区东区污水处理厂坐落在北京经济技术开发区G8地块，总处理规模为10万m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/d，该污水处理厂一期、二期采用SBR工艺，设计处理规模为5万m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/d，三期、四期采用MBR生物处理工艺，设计处理规模为5万m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/d。目前北京经济技术开发区东区污水处理厂现状实际处理规模约5.4m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/d，剩余处理规模4.6万m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/d。</w:t>
            </w:r>
            <w:r>
              <w:rPr>
                <w:rFonts w:ascii="宋体" w:hAnsi="宋体" w:eastAsia="宋体" w:cs="宋体"/>
                <w:color w:val="auto"/>
                <w:sz w:val="24"/>
                <w:szCs w:val="24"/>
              </w:rPr>
              <w:t>其设计进水水质COD</w:t>
            </w:r>
            <w:r>
              <w:rPr>
                <w:rFonts w:ascii="宋体" w:hAnsi="宋体" w:eastAsia="宋体" w:cs="宋体"/>
                <w:color w:val="auto"/>
                <w:sz w:val="24"/>
                <w:szCs w:val="24"/>
                <w:vertAlign w:val="subscript"/>
              </w:rPr>
              <w:t>Cr</w:t>
            </w:r>
            <w:r>
              <w:rPr>
                <w:rFonts w:hint="eastAsia" w:ascii="宋体" w:hAnsi="宋体" w:eastAsia="宋体" w:cs="宋体"/>
                <w:strike w:val="0"/>
                <w:dstrike w:val="0"/>
                <w:color w:val="auto"/>
                <w:sz w:val="24"/>
                <w:szCs w:val="24"/>
                <w:vertAlign w:val="baseline"/>
                <w:lang w:val="en-US" w:eastAsia="zh-CN"/>
              </w:rPr>
              <w:t>＜500mg/L、BOD</w:t>
            </w:r>
            <w:r>
              <w:rPr>
                <w:rFonts w:hint="eastAsia" w:ascii="宋体" w:hAnsi="宋体" w:eastAsia="宋体" w:cs="宋体"/>
                <w:strike w:val="0"/>
                <w:dstrike w:val="0"/>
                <w:color w:val="auto"/>
                <w:sz w:val="24"/>
                <w:szCs w:val="24"/>
                <w:vertAlign w:val="subscript"/>
                <w:lang w:val="en-US" w:eastAsia="zh-CN"/>
              </w:rPr>
              <w:t>5</w:t>
            </w:r>
            <w:r>
              <w:rPr>
                <w:rFonts w:hint="eastAsia" w:ascii="宋体" w:hAnsi="宋体" w:eastAsia="宋体" w:cs="宋体"/>
                <w:strike w:val="0"/>
                <w:dstrike w:val="0"/>
                <w:color w:val="auto"/>
                <w:sz w:val="24"/>
                <w:szCs w:val="24"/>
                <w:vertAlign w:val="baseline"/>
                <w:lang w:val="en-US" w:eastAsia="zh-CN"/>
              </w:rPr>
              <w:t>＜300mg/L、SS＜400mg/L、氨氮＜45mg/L。</w:t>
            </w:r>
          </w:p>
          <w:p w14:paraId="39184B7C">
            <w:pPr>
              <w:adjustRightInd w:val="0"/>
              <w:spacing w:line="360" w:lineRule="auto"/>
              <w:ind w:firstLine="480" w:firstLineChars="200"/>
              <w:rPr>
                <w:rFonts w:hint="default" w:ascii="宋体" w:hAnsi="宋体" w:eastAsia="宋体" w:cs="宋体"/>
                <w:strike w:val="0"/>
                <w:dstrike w:val="0"/>
                <w:color w:val="auto"/>
                <w:sz w:val="24"/>
                <w:szCs w:val="24"/>
                <w:vertAlign w:val="baseline"/>
                <w:lang w:val="zh-CN" w:eastAsia="zh-CN"/>
              </w:rPr>
            </w:pPr>
            <w:r>
              <w:rPr>
                <w:rFonts w:hint="eastAsia" w:ascii="宋体" w:hAnsi="宋体" w:cs="宋体"/>
                <w:color w:val="auto"/>
                <w:sz w:val="24"/>
                <w:szCs w:val="24"/>
                <w:lang w:val="en-US" w:eastAsia="zh-CN"/>
              </w:rPr>
              <w:t>本</w:t>
            </w:r>
            <w:r>
              <w:rPr>
                <w:rFonts w:ascii="宋体" w:hAnsi="宋体" w:eastAsia="宋体" w:cs="宋体"/>
                <w:color w:val="auto"/>
                <w:sz w:val="24"/>
                <w:szCs w:val="24"/>
              </w:rPr>
              <w:t>项目运营期间废水排放量</w:t>
            </w:r>
            <w:r>
              <w:rPr>
                <w:rFonts w:hint="eastAsia" w:ascii="Times New Roman" w:hAnsi="Times New Roman" w:cs="Times New Roman"/>
                <w:color w:val="auto"/>
                <w:sz w:val="24"/>
                <w:szCs w:val="24"/>
                <w:lang w:val="en-US" w:eastAsia="zh-CN"/>
              </w:rPr>
              <w:t xml:space="preserve">0.43 </w:t>
            </w:r>
            <w:r>
              <w:rPr>
                <w:rFonts w:ascii="宋体" w:hAnsi="宋体" w:eastAsia="宋体" w:cs="宋体"/>
                <w:color w:val="auto"/>
                <w:sz w:val="24"/>
                <w:szCs w:val="24"/>
              </w:rPr>
              <w:t>m</w:t>
            </w:r>
            <w:r>
              <w:rPr>
                <w:rFonts w:ascii="宋体" w:hAnsi="宋体" w:eastAsia="宋体" w:cs="宋体"/>
                <w:color w:val="auto"/>
                <w:sz w:val="24"/>
                <w:szCs w:val="24"/>
                <w:vertAlign w:val="superscript"/>
              </w:rPr>
              <w:t>3</w:t>
            </w:r>
            <w:r>
              <w:rPr>
                <w:rFonts w:ascii="宋体" w:hAnsi="宋体" w:eastAsia="宋体" w:cs="宋体"/>
                <w:color w:val="auto"/>
                <w:sz w:val="24"/>
                <w:szCs w:val="24"/>
              </w:rPr>
              <w:t>/d，占东区污水处理厂剩余污水处理余量的0.00</w:t>
            </w:r>
            <w:r>
              <w:rPr>
                <w:rFonts w:hint="eastAsia" w:ascii="宋体" w:hAnsi="宋体" w:cs="宋体"/>
                <w:color w:val="auto"/>
                <w:sz w:val="24"/>
                <w:szCs w:val="24"/>
                <w:lang w:val="en-US" w:eastAsia="zh-CN"/>
              </w:rPr>
              <w:t>1</w:t>
            </w:r>
            <w:r>
              <w:rPr>
                <w:rFonts w:ascii="宋体" w:hAnsi="宋体" w:eastAsia="宋体" w:cs="宋体"/>
                <w:color w:val="auto"/>
                <w:sz w:val="24"/>
                <w:szCs w:val="24"/>
              </w:rPr>
              <w:t>%，北京经济技术开发区东区污水处理厂有能力接纳本项目排放水量。</w:t>
            </w:r>
          </w:p>
          <w:p w14:paraId="610B497A">
            <w:pPr>
              <w:adjustRightInd w:val="0"/>
              <w:spacing w:line="360" w:lineRule="auto"/>
              <w:ind w:firstLine="480" w:firstLineChars="200"/>
              <w:rPr>
                <w:rFonts w:hint="default" w:ascii="Times New Roman" w:hAnsi="Times New Roman" w:eastAsia="宋体" w:cs="Times New Roman"/>
                <w:color w:val="auto"/>
                <w:sz w:val="24"/>
                <w:highlight w:val="none"/>
                <w:lang w:val="zh-CN"/>
              </w:rPr>
            </w:pPr>
            <w:r>
              <w:rPr>
                <w:rFonts w:hint="eastAsia"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zh-CN"/>
              </w:rPr>
              <w:t>北京亦庄环境科技集团有限公司官网公布的202</w:t>
            </w:r>
            <w:r>
              <w:rPr>
                <w:rFonts w:hint="eastAsia"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rPr>
              <w:t>年</w:t>
            </w:r>
            <w:r>
              <w:rPr>
                <w:rFonts w:hint="eastAsia" w:eastAsia="宋体" w:cs="Times New Roman"/>
                <w:color w:val="auto"/>
                <w:sz w:val="24"/>
                <w:highlight w:val="none"/>
                <w:lang w:val="en-US" w:eastAsia="zh-CN"/>
              </w:rPr>
              <w:t>度</w:t>
            </w:r>
            <w:r>
              <w:rPr>
                <w:rFonts w:hint="eastAsia" w:ascii="Times New Roman" w:hAnsi="Times New Roman" w:eastAsia="宋体" w:cs="Times New Roman"/>
                <w:color w:val="auto"/>
                <w:sz w:val="24"/>
                <w:highlight w:val="none"/>
                <w:lang w:val="zh-CN"/>
              </w:rPr>
              <w:t>北京亦庄环境科技集团有限公司东区污水处理厂</w:t>
            </w:r>
            <w:r>
              <w:rPr>
                <w:rFonts w:hint="eastAsia" w:eastAsia="宋体" w:cs="Times New Roman"/>
                <w:color w:val="auto"/>
                <w:sz w:val="24"/>
                <w:highlight w:val="none"/>
                <w:lang w:val="en-US" w:eastAsia="zh-CN"/>
              </w:rPr>
              <w:t>自行监测数据</w:t>
            </w:r>
            <w:r>
              <w:rPr>
                <w:rFonts w:hint="default" w:ascii="Times New Roman" w:hAnsi="Times New Roman" w:eastAsia="宋体" w:cs="Times New Roman"/>
                <w:color w:val="auto"/>
                <w:sz w:val="24"/>
                <w:highlight w:val="none"/>
                <w:lang w:val="zh-CN"/>
              </w:rPr>
              <w:t>，来说明</w:t>
            </w:r>
            <w:r>
              <w:rPr>
                <w:rFonts w:hint="eastAsia" w:ascii="Times New Roman" w:hAnsi="Times New Roman" w:eastAsia="宋体" w:cs="Times New Roman"/>
                <w:color w:val="auto"/>
                <w:sz w:val="24"/>
                <w:highlight w:val="none"/>
                <w:lang w:val="zh-CN"/>
              </w:rPr>
              <w:t>北京亦庄环境科技集团有限公司东区污水处理厂</w:t>
            </w:r>
            <w:r>
              <w:rPr>
                <w:rFonts w:hint="default" w:ascii="Times New Roman" w:hAnsi="Times New Roman" w:eastAsia="宋体" w:cs="Times New Roman"/>
                <w:color w:val="auto"/>
                <w:sz w:val="24"/>
                <w:highlight w:val="none"/>
                <w:lang w:val="zh-CN"/>
              </w:rPr>
              <w:t>的出水水质达标及排放情况，具体见下表。</w:t>
            </w:r>
          </w:p>
          <w:p w14:paraId="1A927D54">
            <w:pPr>
              <w:keepNext w:val="0"/>
              <w:keepLines w:val="0"/>
              <w:widowControl/>
              <w:numPr>
                <w:ilvl w:val="0"/>
                <w:numId w:val="17"/>
              </w:numPr>
              <w:suppressLineNumbers w:val="0"/>
              <w:ind w:left="425" w:leftChars="0" w:hanging="425" w:firstLineChars="0"/>
              <w:jc w:val="center"/>
              <w:rPr>
                <w:rFonts w:hint="default" w:ascii="Times New Roman" w:hAnsi="Times New Roman" w:eastAsia="宋体" w:cs="Times New Roman"/>
                <w:b/>
                <w:bCs/>
                <w:color w:val="auto"/>
                <w:sz w:val="24"/>
                <w:highlight w:val="none"/>
                <w:lang w:val="zh-CN"/>
              </w:rPr>
            </w:pPr>
            <w:r>
              <w:rPr>
                <w:rFonts w:hint="eastAsia" w:cs="Times New Roman"/>
                <w:b/>
                <w:bCs/>
                <w:color w:val="auto"/>
                <w:sz w:val="24"/>
                <w:highlight w:val="none"/>
                <w:lang w:val="en-US" w:eastAsia="zh-CN"/>
              </w:rPr>
              <w:t>东区</w:t>
            </w:r>
            <w:r>
              <w:rPr>
                <w:rFonts w:hint="default" w:ascii="Times New Roman" w:hAnsi="Times New Roman" w:eastAsia="宋体" w:cs="Times New Roman"/>
                <w:b/>
                <w:bCs/>
                <w:color w:val="auto"/>
                <w:sz w:val="24"/>
                <w:highlight w:val="none"/>
                <w:lang w:val="zh-CN"/>
              </w:rPr>
              <w:t>污水处理厂的出水水质数据公开一览表（摘录）</w:t>
            </w:r>
          </w:p>
          <w:tbl>
            <w:tblPr>
              <w:tblStyle w:val="12"/>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661"/>
              <w:gridCol w:w="1227"/>
              <w:gridCol w:w="1333"/>
              <w:gridCol w:w="787"/>
              <w:gridCol w:w="866"/>
              <w:gridCol w:w="1211"/>
            </w:tblGrid>
            <w:tr w14:paraId="200C36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vAlign w:val="center"/>
                </w:tcPr>
                <w:p w14:paraId="5E9E0198">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监测时间</w:t>
                  </w:r>
                </w:p>
              </w:tc>
              <w:tc>
                <w:tcPr>
                  <w:tcW w:w="1661" w:type="dxa"/>
                  <w:tcBorders>
                    <w:tl2br w:val="nil"/>
                    <w:tr2bl w:val="nil"/>
                  </w:tcBorders>
                  <w:vAlign w:val="center"/>
                </w:tcPr>
                <w:p w14:paraId="59DB5354">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检测项目</w:t>
                  </w:r>
                </w:p>
              </w:tc>
              <w:tc>
                <w:tcPr>
                  <w:tcW w:w="1227" w:type="dxa"/>
                  <w:tcBorders>
                    <w:tl2br w:val="nil"/>
                    <w:tr2bl w:val="nil"/>
                  </w:tcBorders>
                  <w:vAlign w:val="center"/>
                </w:tcPr>
                <w:p w14:paraId="03794136">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排放浓度</w:t>
                  </w:r>
                </w:p>
              </w:tc>
              <w:tc>
                <w:tcPr>
                  <w:tcW w:w="1333" w:type="dxa"/>
                  <w:tcBorders>
                    <w:tl2br w:val="nil"/>
                    <w:tr2bl w:val="nil"/>
                  </w:tcBorders>
                  <w:vAlign w:val="center"/>
                </w:tcPr>
                <w:p w14:paraId="45E4CFEE">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污染物浓度排放限值</w:t>
                  </w:r>
                </w:p>
              </w:tc>
              <w:tc>
                <w:tcPr>
                  <w:tcW w:w="787" w:type="dxa"/>
                  <w:tcBorders>
                    <w:tl2br w:val="nil"/>
                    <w:tr2bl w:val="nil"/>
                  </w:tcBorders>
                  <w:vAlign w:val="center"/>
                </w:tcPr>
                <w:p w14:paraId="7BF3D697">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是否</w:t>
                  </w:r>
                </w:p>
                <w:p w14:paraId="3349DCFA">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达标</w:t>
                  </w:r>
                </w:p>
              </w:tc>
              <w:tc>
                <w:tcPr>
                  <w:tcW w:w="866" w:type="dxa"/>
                  <w:tcBorders>
                    <w:tl2br w:val="nil"/>
                    <w:tr2bl w:val="nil"/>
                  </w:tcBorders>
                  <w:vAlign w:val="center"/>
                </w:tcPr>
                <w:p w14:paraId="0D05EF25">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超标</w:t>
                  </w:r>
                </w:p>
                <w:p w14:paraId="039BFE9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倍数</w:t>
                  </w:r>
                </w:p>
              </w:tc>
              <w:tc>
                <w:tcPr>
                  <w:tcW w:w="1211" w:type="dxa"/>
                  <w:tcBorders>
                    <w:tl2br w:val="nil"/>
                    <w:tr2bl w:val="nil"/>
                  </w:tcBorders>
                  <w:vAlign w:val="center"/>
                </w:tcPr>
                <w:p w14:paraId="6A39862E">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评价标准</w:t>
                  </w:r>
                </w:p>
              </w:tc>
            </w:tr>
            <w:tr w14:paraId="29647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8" w:type="dxa"/>
                  <w:vMerge w:val="restart"/>
                  <w:tcBorders>
                    <w:tl2br w:val="nil"/>
                    <w:tr2bl w:val="nil"/>
                  </w:tcBorders>
                  <w:vAlign w:val="center"/>
                </w:tcPr>
                <w:p w14:paraId="3454B02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2024年度</w:t>
                  </w:r>
                </w:p>
              </w:tc>
              <w:tc>
                <w:tcPr>
                  <w:tcW w:w="1661" w:type="dxa"/>
                  <w:tcBorders>
                    <w:tl2br w:val="nil"/>
                    <w:tr2bl w:val="nil"/>
                  </w:tcBorders>
                  <w:vAlign w:val="center"/>
                </w:tcPr>
                <w:p w14:paraId="269C5C7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pH（无量纲）</w:t>
                  </w:r>
                </w:p>
              </w:tc>
              <w:tc>
                <w:tcPr>
                  <w:tcW w:w="1227" w:type="dxa"/>
                  <w:tcBorders>
                    <w:tl2br w:val="nil"/>
                    <w:tr2bl w:val="nil"/>
                  </w:tcBorders>
                  <w:vAlign w:val="center"/>
                </w:tcPr>
                <w:p w14:paraId="6DD04A9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达标100%</w:t>
                  </w:r>
                </w:p>
              </w:tc>
              <w:tc>
                <w:tcPr>
                  <w:tcW w:w="1333" w:type="dxa"/>
                  <w:tcBorders>
                    <w:tl2br w:val="nil"/>
                    <w:tr2bl w:val="nil"/>
                  </w:tcBorders>
                  <w:vAlign w:val="center"/>
                </w:tcPr>
                <w:p w14:paraId="47D80CD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6~9</w:t>
                  </w:r>
                </w:p>
              </w:tc>
              <w:tc>
                <w:tcPr>
                  <w:tcW w:w="787" w:type="dxa"/>
                  <w:tcBorders>
                    <w:tl2br w:val="nil"/>
                    <w:tr2bl w:val="nil"/>
                  </w:tcBorders>
                  <w:vAlign w:val="center"/>
                </w:tcPr>
                <w:p w14:paraId="55D6028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是</w:t>
                  </w:r>
                </w:p>
              </w:tc>
              <w:tc>
                <w:tcPr>
                  <w:tcW w:w="866" w:type="dxa"/>
                  <w:tcBorders>
                    <w:tl2br w:val="nil"/>
                    <w:tr2bl w:val="nil"/>
                  </w:tcBorders>
                  <w:vAlign w:val="center"/>
                </w:tcPr>
                <w:p w14:paraId="02EF01F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0</w:t>
                  </w:r>
                </w:p>
              </w:tc>
              <w:tc>
                <w:tcPr>
                  <w:tcW w:w="1211" w:type="dxa"/>
                  <w:vMerge w:val="restart"/>
                  <w:tcBorders>
                    <w:tl2br w:val="nil"/>
                    <w:tr2bl w:val="nil"/>
                  </w:tcBorders>
                  <w:vAlign w:val="center"/>
                </w:tcPr>
                <w:p w14:paraId="367E049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《城镇污水处理厂水污染物排放标准》（DB11/890-2012）表 1中的 B 标准</w:t>
                  </w:r>
                </w:p>
              </w:tc>
            </w:tr>
            <w:tr w14:paraId="44F529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vMerge w:val="continue"/>
                  <w:tcBorders>
                    <w:tl2br w:val="nil"/>
                    <w:tr2bl w:val="nil"/>
                  </w:tcBorders>
                  <w:vAlign w:val="center"/>
                </w:tcPr>
                <w:p w14:paraId="6A76E6B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c>
                <w:tcPr>
                  <w:tcW w:w="1661" w:type="dxa"/>
                  <w:tcBorders>
                    <w:tl2br w:val="nil"/>
                    <w:tr2bl w:val="nil"/>
                  </w:tcBorders>
                  <w:vAlign w:val="center"/>
                </w:tcPr>
                <w:p w14:paraId="586760F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化学需氧量（mg/L）</w:t>
                  </w:r>
                </w:p>
              </w:tc>
              <w:tc>
                <w:tcPr>
                  <w:tcW w:w="1227" w:type="dxa"/>
                  <w:tcBorders>
                    <w:tl2br w:val="nil"/>
                    <w:tr2bl w:val="nil"/>
                  </w:tcBorders>
                  <w:vAlign w:val="center"/>
                </w:tcPr>
                <w:p w14:paraId="4154D11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13.56</w:t>
                  </w:r>
                </w:p>
              </w:tc>
              <w:tc>
                <w:tcPr>
                  <w:tcW w:w="1333" w:type="dxa"/>
                  <w:tcBorders>
                    <w:tl2br w:val="nil"/>
                    <w:tr2bl w:val="nil"/>
                  </w:tcBorders>
                  <w:vAlign w:val="center"/>
                </w:tcPr>
                <w:p w14:paraId="7CB6327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30</w:t>
                  </w:r>
                </w:p>
              </w:tc>
              <w:tc>
                <w:tcPr>
                  <w:tcW w:w="787" w:type="dxa"/>
                  <w:tcBorders>
                    <w:tl2br w:val="nil"/>
                    <w:tr2bl w:val="nil"/>
                  </w:tcBorders>
                  <w:vAlign w:val="center"/>
                </w:tcPr>
                <w:p w14:paraId="0570175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是</w:t>
                  </w:r>
                </w:p>
              </w:tc>
              <w:tc>
                <w:tcPr>
                  <w:tcW w:w="866" w:type="dxa"/>
                  <w:tcBorders>
                    <w:tl2br w:val="nil"/>
                    <w:tr2bl w:val="nil"/>
                  </w:tcBorders>
                  <w:vAlign w:val="center"/>
                </w:tcPr>
                <w:p w14:paraId="0FF222A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0</w:t>
                  </w:r>
                </w:p>
              </w:tc>
              <w:tc>
                <w:tcPr>
                  <w:tcW w:w="1211" w:type="dxa"/>
                  <w:vMerge w:val="continue"/>
                  <w:tcBorders>
                    <w:tl2br w:val="nil"/>
                    <w:tr2bl w:val="nil"/>
                  </w:tcBorders>
                  <w:vAlign w:val="center"/>
                </w:tcPr>
                <w:p w14:paraId="19D9BBD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r>
            <w:tr w14:paraId="52B6EC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vMerge w:val="continue"/>
                  <w:tcBorders>
                    <w:tl2br w:val="nil"/>
                    <w:tr2bl w:val="nil"/>
                  </w:tcBorders>
                  <w:vAlign w:val="center"/>
                </w:tcPr>
                <w:p w14:paraId="7F9E7B3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c>
                <w:tcPr>
                  <w:tcW w:w="1661" w:type="dxa"/>
                  <w:tcBorders>
                    <w:tl2br w:val="nil"/>
                    <w:tr2bl w:val="nil"/>
                  </w:tcBorders>
                  <w:vAlign w:val="center"/>
                </w:tcPr>
                <w:p w14:paraId="5A02AF6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氨氮（mg/L）</w:t>
                  </w:r>
                </w:p>
              </w:tc>
              <w:tc>
                <w:tcPr>
                  <w:tcW w:w="1227" w:type="dxa"/>
                  <w:tcBorders>
                    <w:tl2br w:val="nil"/>
                    <w:tr2bl w:val="nil"/>
                  </w:tcBorders>
                  <w:vAlign w:val="center"/>
                </w:tcPr>
                <w:p w14:paraId="65C4E55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0.31</w:t>
                  </w:r>
                </w:p>
              </w:tc>
              <w:tc>
                <w:tcPr>
                  <w:tcW w:w="1333" w:type="dxa"/>
                  <w:tcBorders>
                    <w:tl2br w:val="nil"/>
                    <w:tr2bl w:val="nil"/>
                  </w:tcBorders>
                  <w:vAlign w:val="center"/>
                </w:tcPr>
                <w:p w14:paraId="4451625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1.5(2.5)</w:t>
                  </w:r>
                </w:p>
              </w:tc>
              <w:tc>
                <w:tcPr>
                  <w:tcW w:w="787" w:type="dxa"/>
                  <w:tcBorders>
                    <w:tl2br w:val="nil"/>
                    <w:tr2bl w:val="nil"/>
                  </w:tcBorders>
                  <w:vAlign w:val="center"/>
                </w:tcPr>
                <w:p w14:paraId="0017B27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是</w:t>
                  </w:r>
                </w:p>
              </w:tc>
              <w:tc>
                <w:tcPr>
                  <w:tcW w:w="866" w:type="dxa"/>
                  <w:tcBorders>
                    <w:tl2br w:val="nil"/>
                    <w:tr2bl w:val="nil"/>
                  </w:tcBorders>
                  <w:vAlign w:val="center"/>
                </w:tcPr>
                <w:p w14:paraId="0B7BC3D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0</w:t>
                  </w:r>
                </w:p>
              </w:tc>
              <w:tc>
                <w:tcPr>
                  <w:tcW w:w="1211" w:type="dxa"/>
                  <w:vMerge w:val="continue"/>
                  <w:tcBorders>
                    <w:tl2br w:val="nil"/>
                    <w:tr2bl w:val="nil"/>
                  </w:tcBorders>
                  <w:vAlign w:val="center"/>
                </w:tcPr>
                <w:p w14:paraId="5994439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r>
            <w:tr w14:paraId="0F2215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vMerge w:val="continue"/>
                  <w:tcBorders>
                    <w:tl2br w:val="nil"/>
                    <w:tr2bl w:val="nil"/>
                  </w:tcBorders>
                  <w:vAlign w:val="center"/>
                </w:tcPr>
                <w:p w14:paraId="4A48BBA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c>
                <w:tcPr>
                  <w:tcW w:w="1661" w:type="dxa"/>
                  <w:tcBorders>
                    <w:tl2br w:val="nil"/>
                    <w:tr2bl w:val="nil"/>
                  </w:tcBorders>
                  <w:vAlign w:val="center"/>
                </w:tcPr>
                <w:p w14:paraId="0D84A69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en-US" w:eastAsia="zh-CN"/>
                    </w:rPr>
                    <w:t>五日生化需氧量</w:t>
                  </w:r>
                  <w:r>
                    <w:rPr>
                      <w:rFonts w:hint="default" w:ascii="Times New Roman" w:hAnsi="Times New Roman" w:eastAsia="宋体" w:cs="Times New Roman"/>
                      <w:color w:val="auto"/>
                      <w:sz w:val="21"/>
                      <w:szCs w:val="21"/>
                      <w:highlight w:val="none"/>
                      <w:vertAlign w:val="baseline"/>
                      <w:lang w:val="zh-CN"/>
                    </w:rPr>
                    <w:t>（mg/L）</w:t>
                  </w:r>
                </w:p>
              </w:tc>
              <w:tc>
                <w:tcPr>
                  <w:tcW w:w="1227" w:type="dxa"/>
                  <w:tcBorders>
                    <w:tl2br w:val="nil"/>
                    <w:tr2bl w:val="nil"/>
                  </w:tcBorders>
                  <w:vAlign w:val="center"/>
                </w:tcPr>
                <w:p w14:paraId="6883590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0.99</w:t>
                  </w:r>
                </w:p>
              </w:tc>
              <w:tc>
                <w:tcPr>
                  <w:tcW w:w="1333" w:type="dxa"/>
                  <w:tcBorders>
                    <w:tl2br w:val="nil"/>
                    <w:tr2bl w:val="nil"/>
                  </w:tcBorders>
                  <w:vAlign w:val="center"/>
                </w:tcPr>
                <w:p w14:paraId="2615CA4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787" w:type="dxa"/>
                  <w:tcBorders>
                    <w:tl2br w:val="nil"/>
                    <w:tr2bl w:val="nil"/>
                  </w:tcBorders>
                  <w:vAlign w:val="center"/>
                </w:tcPr>
                <w:p w14:paraId="0D2260E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是</w:t>
                  </w:r>
                </w:p>
              </w:tc>
              <w:tc>
                <w:tcPr>
                  <w:tcW w:w="866" w:type="dxa"/>
                  <w:tcBorders>
                    <w:tl2br w:val="nil"/>
                    <w:tr2bl w:val="nil"/>
                  </w:tcBorders>
                  <w:vAlign w:val="center"/>
                </w:tcPr>
                <w:p w14:paraId="4DA69DF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0</w:t>
                  </w:r>
                </w:p>
              </w:tc>
              <w:tc>
                <w:tcPr>
                  <w:tcW w:w="1211" w:type="dxa"/>
                  <w:vMerge w:val="continue"/>
                  <w:tcBorders>
                    <w:tl2br w:val="nil"/>
                    <w:tr2bl w:val="nil"/>
                  </w:tcBorders>
                  <w:vAlign w:val="center"/>
                </w:tcPr>
                <w:p w14:paraId="1EEC4E4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r>
            <w:tr w14:paraId="4C20FC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vMerge w:val="continue"/>
                  <w:tcBorders>
                    <w:tl2br w:val="nil"/>
                    <w:tr2bl w:val="nil"/>
                  </w:tcBorders>
                  <w:vAlign w:val="center"/>
                </w:tcPr>
                <w:p w14:paraId="16AC889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c>
                <w:tcPr>
                  <w:tcW w:w="1661" w:type="dxa"/>
                  <w:tcBorders>
                    <w:tl2br w:val="nil"/>
                    <w:tr2bl w:val="nil"/>
                  </w:tcBorders>
                  <w:vAlign w:val="center"/>
                </w:tcPr>
                <w:p w14:paraId="0D8AAB2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总氮（mg/L）</w:t>
                  </w:r>
                </w:p>
              </w:tc>
              <w:tc>
                <w:tcPr>
                  <w:tcW w:w="1227" w:type="dxa"/>
                  <w:tcBorders>
                    <w:tl2br w:val="nil"/>
                    <w:tr2bl w:val="nil"/>
                  </w:tcBorders>
                  <w:vAlign w:val="center"/>
                </w:tcPr>
                <w:p w14:paraId="7644D5B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7.27</w:t>
                  </w:r>
                </w:p>
              </w:tc>
              <w:tc>
                <w:tcPr>
                  <w:tcW w:w="1333" w:type="dxa"/>
                  <w:tcBorders>
                    <w:tl2br w:val="nil"/>
                    <w:tr2bl w:val="nil"/>
                  </w:tcBorders>
                  <w:vAlign w:val="center"/>
                </w:tcPr>
                <w:p w14:paraId="5998900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15</w:t>
                  </w:r>
                </w:p>
              </w:tc>
              <w:tc>
                <w:tcPr>
                  <w:tcW w:w="787" w:type="dxa"/>
                  <w:tcBorders>
                    <w:tl2br w:val="nil"/>
                    <w:tr2bl w:val="nil"/>
                  </w:tcBorders>
                  <w:vAlign w:val="center"/>
                </w:tcPr>
                <w:p w14:paraId="39EA29B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是</w:t>
                  </w:r>
                </w:p>
              </w:tc>
              <w:tc>
                <w:tcPr>
                  <w:tcW w:w="866" w:type="dxa"/>
                  <w:tcBorders>
                    <w:tl2br w:val="nil"/>
                    <w:tr2bl w:val="nil"/>
                  </w:tcBorders>
                  <w:vAlign w:val="center"/>
                </w:tcPr>
                <w:p w14:paraId="2B751D6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0</w:t>
                  </w:r>
                </w:p>
              </w:tc>
              <w:tc>
                <w:tcPr>
                  <w:tcW w:w="1211" w:type="dxa"/>
                  <w:vMerge w:val="continue"/>
                  <w:tcBorders>
                    <w:tl2br w:val="nil"/>
                    <w:tr2bl w:val="nil"/>
                  </w:tcBorders>
                  <w:vAlign w:val="center"/>
                </w:tcPr>
                <w:p w14:paraId="69393AC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r>
          </w:tbl>
          <w:p w14:paraId="3FC25A32">
            <w:pPr>
              <w:adjustRightIn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由上表数据可知，</w:t>
            </w:r>
            <w:r>
              <w:rPr>
                <w:rFonts w:hint="eastAsia" w:cs="Times New Roman"/>
                <w:color w:val="auto"/>
                <w:sz w:val="24"/>
                <w:highlight w:val="none"/>
                <w:lang w:val="zh-CN"/>
              </w:rPr>
              <w:t>北京亦庄环境科技集团有限公司东区污水处理厂</w:t>
            </w:r>
            <w:r>
              <w:rPr>
                <w:rFonts w:hint="default" w:ascii="Times New Roman" w:hAnsi="Times New Roman" w:eastAsia="宋体" w:cs="Times New Roman"/>
                <w:color w:val="auto"/>
                <w:sz w:val="24"/>
                <w:highlight w:val="none"/>
                <w:lang w:val="zh-CN"/>
              </w:rPr>
              <w:t>水质监测结果满足《城镇污水处理厂污染物排放标准》（DB11/890-2012）表1中的B标准，污水处理厂污水处理设备运行稳定，出水可稳定达标排放。本项目位于</w:t>
            </w:r>
            <w:r>
              <w:rPr>
                <w:rFonts w:hint="eastAsia" w:cs="Times New Roman"/>
                <w:color w:val="auto"/>
                <w:sz w:val="24"/>
                <w:highlight w:val="none"/>
                <w:lang w:val="zh-CN"/>
              </w:rPr>
              <w:t>北京亦庄环境科技集团有限公司东区污水处理厂</w:t>
            </w:r>
            <w:r>
              <w:rPr>
                <w:rFonts w:hint="default" w:ascii="Times New Roman" w:hAnsi="Times New Roman" w:eastAsia="宋体" w:cs="Times New Roman"/>
                <w:color w:val="auto"/>
                <w:sz w:val="24"/>
                <w:highlight w:val="none"/>
                <w:lang w:val="zh-CN"/>
              </w:rPr>
              <w:t>收水范围内，排水量完全可被现有污水管网收纳</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项目排水水质能够符合《水污染物综合排放标准》（DB11/307-2013）中排入公共污水处理系统的水污染物排放限值，不会给市政管网造成不利影响。因此，本项目废水排入市政污水管网，最终进入</w:t>
            </w:r>
            <w:r>
              <w:rPr>
                <w:rFonts w:hint="eastAsia" w:cs="Times New Roman"/>
                <w:color w:val="auto"/>
                <w:sz w:val="24"/>
                <w:highlight w:val="none"/>
                <w:lang w:val="zh-CN"/>
              </w:rPr>
              <w:t>北京亦庄环境科技集团有限公司东区污水处理厂</w:t>
            </w:r>
            <w:r>
              <w:rPr>
                <w:rFonts w:hint="default" w:ascii="Times New Roman" w:hAnsi="Times New Roman" w:eastAsia="宋体" w:cs="Times New Roman"/>
                <w:color w:val="auto"/>
                <w:sz w:val="24"/>
                <w:highlight w:val="none"/>
                <w:lang w:val="zh-CN"/>
              </w:rPr>
              <w:t>处理是可行的。</w:t>
            </w:r>
          </w:p>
          <w:p w14:paraId="20DAAA22">
            <w:pPr>
              <w:adjustRightInd w:val="0"/>
              <w:snapToGrid w:val="0"/>
              <w:spacing w:line="360" w:lineRule="auto"/>
              <w:ind w:firstLine="360" w:firstLineChars="15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废水监测计划</w:t>
            </w:r>
          </w:p>
          <w:p w14:paraId="1C385784">
            <w:pPr>
              <w:adjustRightInd w:val="0"/>
              <w:snapToGrid w:val="0"/>
              <w:spacing w:line="360" w:lineRule="auto"/>
              <w:ind w:firstLine="360" w:firstLineChars="1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根据《排污许可证申请与核发技术规范总则》(HJ942-2018)、《排污单位自行监测技术指南 总则》(HJ819-2017)，本项目废水监测计划详见下表。</w:t>
            </w:r>
          </w:p>
          <w:p w14:paraId="252F95CD">
            <w:pPr>
              <w:numPr>
                <w:ilvl w:val="0"/>
                <w:numId w:val="17"/>
              </w:numPr>
              <w:adjustRightInd w:val="0"/>
              <w:snapToGrid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项目废水监测计划</w:t>
            </w:r>
          </w:p>
          <w:tbl>
            <w:tblPr>
              <w:tblStyle w:val="11"/>
              <w:tblW w:w="49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138"/>
              <w:gridCol w:w="3314"/>
              <w:gridCol w:w="1352"/>
              <w:gridCol w:w="1325"/>
            </w:tblGrid>
            <w:tr w14:paraId="160C0A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67" w:type="pct"/>
                  <w:tcBorders>
                    <w:tl2br w:val="nil"/>
                    <w:tr2bl w:val="nil"/>
                  </w:tcBorders>
                  <w:vAlign w:val="center"/>
                </w:tcPr>
                <w:p w14:paraId="2282F8B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时段</w:t>
                  </w:r>
                </w:p>
              </w:tc>
              <w:tc>
                <w:tcPr>
                  <w:tcW w:w="723" w:type="pct"/>
                  <w:tcBorders>
                    <w:tl2br w:val="nil"/>
                    <w:tr2bl w:val="nil"/>
                  </w:tcBorders>
                  <w:vAlign w:val="center"/>
                </w:tcPr>
                <w:p w14:paraId="7DC71777">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监测内容</w:t>
                  </w:r>
                </w:p>
              </w:tc>
              <w:tc>
                <w:tcPr>
                  <w:tcW w:w="2106" w:type="pct"/>
                  <w:tcBorders>
                    <w:tl2br w:val="nil"/>
                    <w:tr2bl w:val="nil"/>
                  </w:tcBorders>
                  <w:vAlign w:val="center"/>
                </w:tcPr>
                <w:p w14:paraId="7AB68C23">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监测因子</w:t>
                  </w:r>
                </w:p>
              </w:tc>
              <w:tc>
                <w:tcPr>
                  <w:tcW w:w="859" w:type="pct"/>
                  <w:tcBorders>
                    <w:tl2br w:val="nil"/>
                    <w:tr2bl w:val="nil"/>
                  </w:tcBorders>
                  <w:vAlign w:val="center"/>
                </w:tcPr>
                <w:p w14:paraId="4D7FA38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监测点位</w:t>
                  </w:r>
                </w:p>
              </w:tc>
              <w:tc>
                <w:tcPr>
                  <w:tcW w:w="842" w:type="pct"/>
                  <w:tcBorders>
                    <w:tl2br w:val="nil"/>
                    <w:tr2bl w:val="nil"/>
                  </w:tcBorders>
                  <w:vAlign w:val="center"/>
                </w:tcPr>
                <w:p w14:paraId="7A369332">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监测频次</w:t>
                  </w:r>
                </w:p>
              </w:tc>
            </w:tr>
            <w:tr w14:paraId="343268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7" w:type="pct"/>
                  <w:vMerge w:val="restart"/>
                  <w:tcBorders>
                    <w:tl2br w:val="nil"/>
                    <w:tr2bl w:val="nil"/>
                  </w:tcBorders>
                  <w:vAlign w:val="center"/>
                </w:tcPr>
                <w:p w14:paraId="6FCA8E3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运营期</w:t>
                  </w:r>
                </w:p>
              </w:tc>
              <w:tc>
                <w:tcPr>
                  <w:tcW w:w="723" w:type="pct"/>
                  <w:vMerge w:val="restart"/>
                  <w:tcBorders>
                    <w:tl2br w:val="nil"/>
                    <w:tr2bl w:val="nil"/>
                  </w:tcBorders>
                  <w:vAlign w:val="center"/>
                </w:tcPr>
                <w:p w14:paraId="13E489F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废水</w:t>
                  </w:r>
                </w:p>
              </w:tc>
              <w:tc>
                <w:tcPr>
                  <w:tcW w:w="2106" w:type="pct"/>
                  <w:tcBorders>
                    <w:tl2br w:val="nil"/>
                    <w:tr2bl w:val="nil"/>
                  </w:tcBorders>
                  <w:vAlign w:val="center"/>
                </w:tcPr>
                <w:p w14:paraId="35C71D8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COD</w:t>
                  </w:r>
                  <w:r>
                    <w:rPr>
                      <w:rFonts w:hint="default" w:ascii="Times New Roman" w:hAnsi="Times New Roman" w:eastAsia="宋体" w:cs="Times New Roman"/>
                      <w:color w:val="auto"/>
                      <w:sz w:val="21"/>
                      <w:szCs w:val="21"/>
                      <w:highlight w:val="none"/>
                      <w:vertAlign w:val="subscript"/>
                      <w:lang w:val="zh-CN"/>
                    </w:rPr>
                    <w:t>Cr</w:t>
                  </w:r>
                  <w:r>
                    <w:rPr>
                      <w:rFonts w:hint="default" w:ascii="Times New Roman" w:hAnsi="Times New Roman" w:eastAsia="宋体" w:cs="Times New Roman"/>
                      <w:color w:val="auto"/>
                      <w:sz w:val="21"/>
                      <w:szCs w:val="21"/>
                      <w:highlight w:val="none"/>
                      <w:vertAlign w:val="baseline"/>
                      <w:lang w:val="zh-CN"/>
                    </w:rPr>
                    <w:t>、BOD</w:t>
                  </w:r>
                  <w:r>
                    <w:rPr>
                      <w:rFonts w:hint="default" w:ascii="Times New Roman" w:hAnsi="Times New Roman" w:eastAsia="宋体" w:cs="Times New Roman"/>
                      <w:color w:val="auto"/>
                      <w:sz w:val="21"/>
                      <w:szCs w:val="21"/>
                      <w:highlight w:val="none"/>
                      <w:vertAlign w:val="subscript"/>
                      <w:lang w:val="zh-CN"/>
                    </w:rPr>
                    <w:t>5</w:t>
                  </w:r>
                  <w:r>
                    <w:rPr>
                      <w:rFonts w:hint="default" w:ascii="Times New Roman" w:hAnsi="Times New Roman" w:eastAsia="宋体" w:cs="Times New Roman"/>
                      <w:color w:val="auto"/>
                      <w:sz w:val="21"/>
                      <w:szCs w:val="21"/>
                      <w:highlight w:val="none"/>
                      <w:vertAlign w:val="baseline"/>
                      <w:lang w:val="zh-CN"/>
                    </w:rPr>
                    <w:t>、SS、NH</w:t>
                  </w:r>
                  <w:r>
                    <w:rPr>
                      <w:rFonts w:hint="default" w:ascii="Times New Roman" w:hAnsi="Times New Roman" w:eastAsia="宋体" w:cs="Times New Roman"/>
                      <w:color w:val="auto"/>
                      <w:sz w:val="21"/>
                      <w:szCs w:val="21"/>
                      <w:highlight w:val="none"/>
                      <w:vertAlign w:val="subscript"/>
                      <w:lang w:val="zh-CN"/>
                    </w:rPr>
                    <w:t>3</w:t>
                  </w:r>
                  <w:r>
                    <w:rPr>
                      <w:rFonts w:hint="default" w:ascii="Times New Roman" w:hAnsi="Times New Roman" w:eastAsia="宋体" w:cs="Times New Roman"/>
                      <w:color w:val="auto"/>
                      <w:sz w:val="21"/>
                      <w:szCs w:val="21"/>
                      <w:highlight w:val="none"/>
                      <w:vertAlign w:val="baseline"/>
                      <w:lang w:val="zh-CN"/>
                    </w:rPr>
                    <w:t>-N</w:t>
                  </w:r>
                </w:p>
              </w:tc>
              <w:tc>
                <w:tcPr>
                  <w:tcW w:w="859" w:type="pct"/>
                  <w:vMerge w:val="restart"/>
                  <w:tcBorders>
                    <w:tl2br w:val="nil"/>
                    <w:tr2bl w:val="nil"/>
                  </w:tcBorders>
                  <w:vAlign w:val="center"/>
                </w:tcPr>
                <w:p w14:paraId="0BB6B45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废水总排口</w:t>
                  </w:r>
                </w:p>
              </w:tc>
              <w:tc>
                <w:tcPr>
                  <w:tcW w:w="842" w:type="pct"/>
                  <w:tcBorders>
                    <w:tl2br w:val="nil"/>
                    <w:tr2bl w:val="nil"/>
                  </w:tcBorders>
                  <w:vAlign w:val="center"/>
                </w:tcPr>
                <w:p w14:paraId="5B5B879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每季度1次</w:t>
                  </w:r>
                </w:p>
              </w:tc>
            </w:tr>
            <w:tr w14:paraId="345236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7" w:type="pct"/>
                  <w:vMerge w:val="continue"/>
                  <w:tcBorders>
                    <w:tl2br w:val="nil"/>
                    <w:tr2bl w:val="nil"/>
                  </w:tcBorders>
                  <w:vAlign w:val="center"/>
                </w:tcPr>
                <w:p w14:paraId="5C22CD2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c>
                <w:tcPr>
                  <w:tcW w:w="723" w:type="pct"/>
                  <w:vMerge w:val="continue"/>
                  <w:tcBorders>
                    <w:tl2br w:val="nil"/>
                    <w:tr2bl w:val="nil"/>
                  </w:tcBorders>
                  <w:vAlign w:val="center"/>
                </w:tcPr>
                <w:p w14:paraId="193B89C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c>
                <w:tcPr>
                  <w:tcW w:w="2106" w:type="pct"/>
                  <w:tcBorders>
                    <w:tl2br w:val="nil"/>
                    <w:tr2bl w:val="nil"/>
                  </w:tcBorders>
                  <w:vAlign w:val="center"/>
                </w:tcPr>
                <w:p w14:paraId="2195957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eastAsia="zh-CN"/>
                    </w:rPr>
                    <w:t>pH</w:t>
                  </w:r>
                </w:p>
              </w:tc>
              <w:tc>
                <w:tcPr>
                  <w:tcW w:w="859" w:type="pct"/>
                  <w:vMerge w:val="continue"/>
                  <w:tcBorders>
                    <w:tl2br w:val="nil"/>
                    <w:tr2bl w:val="nil"/>
                  </w:tcBorders>
                  <w:vAlign w:val="center"/>
                </w:tcPr>
                <w:p w14:paraId="59981DE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p>
              </w:tc>
              <w:tc>
                <w:tcPr>
                  <w:tcW w:w="842" w:type="pct"/>
                  <w:tcBorders>
                    <w:tl2br w:val="nil"/>
                    <w:tr2bl w:val="nil"/>
                  </w:tcBorders>
                  <w:vAlign w:val="center"/>
                </w:tcPr>
                <w:p w14:paraId="29C4DEB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zh-CN"/>
                    </w:rPr>
                  </w:pPr>
                  <w:r>
                    <w:rPr>
                      <w:rFonts w:hint="default" w:ascii="Times New Roman" w:hAnsi="Times New Roman" w:eastAsia="宋体" w:cs="Times New Roman"/>
                      <w:color w:val="auto"/>
                      <w:sz w:val="21"/>
                      <w:szCs w:val="21"/>
                      <w:highlight w:val="none"/>
                      <w:vertAlign w:val="baseline"/>
                      <w:lang w:val="zh-CN"/>
                    </w:rPr>
                    <w:t>每年1次</w:t>
                  </w:r>
                </w:p>
              </w:tc>
            </w:tr>
          </w:tbl>
          <w:p w14:paraId="68718DFA">
            <w:pPr>
              <w:adjustRightInd w:val="0"/>
              <w:spacing w:line="360" w:lineRule="auto"/>
              <w:ind w:firstLine="44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bCs/>
                <w:color w:val="auto"/>
                <w:spacing w:val="-10"/>
                <w:szCs w:val="21"/>
                <w:highlight w:val="none"/>
              </w:rPr>
              <w:t>（注：</w:t>
            </w:r>
            <w:r>
              <w:rPr>
                <w:rFonts w:hint="default" w:ascii="Times New Roman" w:hAnsi="Times New Roman" w:eastAsia="宋体" w:cs="Times New Roman"/>
                <w:bCs/>
                <w:color w:val="auto"/>
                <w:szCs w:val="21"/>
                <w:highlight w:val="none"/>
              </w:rPr>
              <w:t>废水监测计划参照《</w:t>
            </w:r>
            <w:r>
              <w:rPr>
                <w:rFonts w:hint="default" w:ascii="Times New Roman" w:hAnsi="Times New Roman" w:eastAsia="宋体" w:cs="Times New Roman"/>
                <w:bCs/>
                <w:color w:val="auto"/>
                <w:szCs w:val="21"/>
                <w:highlight w:val="none"/>
                <w:lang w:val="ru-RU"/>
              </w:rPr>
              <w:t>排污单位自行监测技术指南 总则</w:t>
            </w:r>
            <w:r>
              <w:rPr>
                <w:rFonts w:hint="default" w:ascii="Times New Roman" w:hAnsi="Times New Roman" w:eastAsia="宋体" w:cs="Times New Roman"/>
                <w:bCs/>
                <w:color w:val="auto"/>
                <w:szCs w:val="21"/>
                <w:highlight w:val="none"/>
              </w:rPr>
              <w:t>》（HJ819-2017）</w:t>
            </w:r>
            <w:r>
              <w:rPr>
                <w:rFonts w:hint="default" w:ascii="Times New Roman" w:hAnsi="Times New Roman" w:eastAsia="宋体" w:cs="Times New Roman"/>
                <w:bCs/>
                <w:color w:val="auto"/>
                <w:spacing w:val="-10"/>
                <w:szCs w:val="21"/>
                <w:highlight w:val="none"/>
              </w:rPr>
              <w:t>）</w:t>
            </w:r>
          </w:p>
          <w:p w14:paraId="32DE7275">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b/>
                <w:bCs/>
                <w:color w:val="auto"/>
                <w:lang w:val="en-US" w:eastAsia="zh-CN"/>
              </w:rPr>
              <w:t>3、声环境影响分析</w:t>
            </w:r>
          </w:p>
          <w:p w14:paraId="7A1A6CD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（1）噪声源强</w:t>
            </w:r>
          </w:p>
          <w:p w14:paraId="0832F1B2">
            <w:pPr>
              <w:adjustRightInd w:val="0"/>
              <w:snapToGrid w:val="0"/>
              <w:spacing w:line="360" w:lineRule="auto"/>
              <w:ind w:left="0" w:leftChars="0" w:firstLine="480" w:firstLineChars="200"/>
              <w:rPr>
                <w:rFonts w:hint="default"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项目噪声源为</w:t>
            </w:r>
            <w:r>
              <w:rPr>
                <w:rFonts w:hint="eastAsia" w:ascii="Times New Roman" w:hAnsi="Times New Roman" w:eastAsia="宋体" w:cs="Times New Roman"/>
                <w:color w:val="auto"/>
                <w:sz w:val="24"/>
                <w:highlight w:val="none"/>
                <w:lang w:val="en-US" w:eastAsia="zh-CN"/>
              </w:rPr>
              <w:t>空调外机、离心机</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离心机在室内</w:t>
            </w:r>
            <w:r>
              <w:rPr>
                <w:rFonts w:hint="eastAsia"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空调外机在室外，各噪声源</w:t>
            </w:r>
            <w:r>
              <w:rPr>
                <w:rFonts w:hint="default" w:ascii="Times New Roman" w:hAnsi="Times New Roman" w:eastAsia="宋体" w:cs="Times New Roman"/>
                <w:color w:val="auto"/>
                <w:sz w:val="24"/>
                <w:highlight w:val="none"/>
                <w:lang w:val="en-US" w:eastAsia="zh-CN"/>
              </w:rPr>
              <w:t>产噪情况详见下表。</w:t>
            </w:r>
          </w:p>
          <w:p w14:paraId="0C2B513F">
            <w:pPr>
              <w:numPr>
                <w:ilvl w:val="0"/>
                <w:numId w:val="17"/>
              </w:numPr>
              <w:adjustRightInd w:val="0"/>
              <w:spacing w:line="360" w:lineRule="auto"/>
              <w:ind w:left="425" w:leftChars="0" w:hanging="425" w:firstLineChars="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本项目噪声源强调查清单（室外声源）</w:t>
            </w:r>
          </w:p>
          <w:tbl>
            <w:tblPr>
              <w:tblStyle w:val="12"/>
              <w:tblW w:w="4900" w:type="pct"/>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8"/>
              <w:gridCol w:w="1420"/>
              <w:gridCol w:w="753"/>
              <w:gridCol w:w="844"/>
              <w:gridCol w:w="742"/>
              <w:gridCol w:w="1004"/>
              <w:gridCol w:w="879"/>
              <w:gridCol w:w="970"/>
              <w:gridCol w:w="743"/>
            </w:tblGrid>
            <w:tr w14:paraId="67F0BB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487" w:type="dxa"/>
                  <w:vMerge w:val="restart"/>
                  <w:tcBorders>
                    <w:tl2br w:val="nil"/>
                    <w:tr2bl w:val="nil"/>
                  </w:tcBorders>
                  <w:vAlign w:val="center"/>
                </w:tcPr>
                <w:p w14:paraId="699740BB">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序号</w:t>
                  </w:r>
                </w:p>
              </w:tc>
              <w:tc>
                <w:tcPr>
                  <w:tcW w:w="1358" w:type="dxa"/>
                  <w:vMerge w:val="restart"/>
                  <w:tcBorders>
                    <w:tl2br w:val="nil"/>
                    <w:tr2bl w:val="nil"/>
                  </w:tcBorders>
                  <w:vAlign w:val="center"/>
                </w:tcPr>
                <w:p w14:paraId="7B3B815C">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声源名称</w:t>
                  </w:r>
                </w:p>
              </w:tc>
              <w:tc>
                <w:tcPr>
                  <w:tcW w:w="2236" w:type="dxa"/>
                  <w:gridSpan w:val="3"/>
                  <w:tcBorders>
                    <w:tl2br w:val="nil"/>
                    <w:tr2bl w:val="nil"/>
                  </w:tcBorders>
                  <w:vAlign w:val="center"/>
                </w:tcPr>
                <w:p w14:paraId="3722948C">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空间相对位置/m</w:t>
                  </w:r>
                </w:p>
              </w:tc>
              <w:tc>
                <w:tcPr>
                  <w:tcW w:w="960" w:type="dxa"/>
                  <w:vMerge w:val="restart"/>
                  <w:tcBorders>
                    <w:tl2br w:val="nil"/>
                    <w:tr2bl w:val="nil"/>
                  </w:tcBorders>
                  <w:vAlign w:val="center"/>
                </w:tcPr>
                <w:p w14:paraId="7C2C0732">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声功率级/dB(A)</w:t>
                  </w:r>
                </w:p>
              </w:tc>
              <w:tc>
                <w:tcPr>
                  <w:tcW w:w="840" w:type="dxa"/>
                  <w:vMerge w:val="restart"/>
                  <w:tcBorders>
                    <w:tl2br w:val="nil"/>
                    <w:tr2bl w:val="nil"/>
                  </w:tcBorders>
                  <w:vAlign w:val="center"/>
                </w:tcPr>
                <w:p w14:paraId="29EE943C">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声源控制措施</w:t>
                  </w:r>
                </w:p>
              </w:tc>
              <w:tc>
                <w:tcPr>
                  <w:tcW w:w="927" w:type="dxa"/>
                  <w:vMerge w:val="restart"/>
                  <w:tcBorders>
                    <w:tl2br w:val="nil"/>
                    <w:tr2bl w:val="nil"/>
                  </w:tcBorders>
                  <w:vAlign w:val="center"/>
                </w:tcPr>
                <w:p w14:paraId="6AB5D121">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排放强度</w:t>
                  </w:r>
                  <w:r>
                    <w:rPr>
                      <w:rFonts w:hint="default" w:ascii="Times New Roman" w:hAnsi="Times New Roman" w:eastAsia="宋体" w:cs="Times New Roman"/>
                      <w:b/>
                      <w:bCs/>
                      <w:color w:val="auto"/>
                      <w:sz w:val="21"/>
                      <w:szCs w:val="21"/>
                      <w:highlight w:val="none"/>
                      <w:vertAlign w:val="baseline"/>
                      <w:lang w:val="zh-CN"/>
                    </w:rPr>
                    <w:t>/dB(A)</w:t>
                  </w:r>
                </w:p>
              </w:tc>
              <w:tc>
                <w:tcPr>
                  <w:tcW w:w="710" w:type="dxa"/>
                  <w:vMerge w:val="restart"/>
                  <w:tcBorders>
                    <w:tl2br w:val="nil"/>
                    <w:tr2bl w:val="nil"/>
                  </w:tcBorders>
                  <w:shd w:val="clear" w:color="auto" w:fill="auto"/>
                  <w:vAlign w:val="center"/>
                </w:tcPr>
                <w:p w14:paraId="305564B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运行时段</w:t>
                  </w:r>
                </w:p>
              </w:tc>
            </w:tr>
            <w:tr w14:paraId="6442E4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487" w:type="dxa"/>
                  <w:vMerge w:val="continue"/>
                  <w:tcBorders>
                    <w:tl2br w:val="nil"/>
                    <w:tr2bl w:val="nil"/>
                  </w:tcBorders>
                  <w:vAlign w:val="center"/>
                </w:tcPr>
                <w:p w14:paraId="151F251C">
                  <w:pPr>
                    <w:adjustRightInd w:val="0"/>
                    <w:snapToGrid w:val="0"/>
                    <w:jc w:val="center"/>
                    <w:rPr>
                      <w:rFonts w:hint="default" w:ascii="Times New Roman" w:hAnsi="Times New Roman" w:eastAsia="宋体" w:cs="Times New Roman"/>
                      <w:b/>
                      <w:bCs/>
                      <w:color w:val="auto"/>
                      <w:szCs w:val="21"/>
                      <w:highlight w:val="none"/>
                    </w:rPr>
                  </w:pPr>
                </w:p>
              </w:tc>
              <w:tc>
                <w:tcPr>
                  <w:tcW w:w="1358" w:type="dxa"/>
                  <w:vMerge w:val="continue"/>
                  <w:tcBorders>
                    <w:tl2br w:val="nil"/>
                    <w:tr2bl w:val="nil"/>
                  </w:tcBorders>
                  <w:vAlign w:val="center"/>
                </w:tcPr>
                <w:p w14:paraId="421036B3">
                  <w:pPr>
                    <w:adjustRightInd w:val="0"/>
                    <w:snapToGrid w:val="0"/>
                    <w:jc w:val="center"/>
                    <w:rPr>
                      <w:rFonts w:hint="default" w:ascii="Times New Roman" w:hAnsi="Times New Roman" w:eastAsia="宋体" w:cs="Times New Roman"/>
                      <w:b/>
                      <w:bCs/>
                      <w:color w:val="auto"/>
                      <w:szCs w:val="21"/>
                      <w:highlight w:val="none"/>
                    </w:rPr>
                  </w:pPr>
                </w:p>
              </w:tc>
              <w:tc>
                <w:tcPr>
                  <w:tcW w:w="720" w:type="dxa"/>
                  <w:tcBorders>
                    <w:tl2br w:val="nil"/>
                    <w:tr2bl w:val="nil"/>
                  </w:tcBorders>
                  <w:vAlign w:val="center"/>
                </w:tcPr>
                <w:p w14:paraId="3F4FFCFE">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X</w:t>
                  </w:r>
                </w:p>
              </w:tc>
              <w:tc>
                <w:tcPr>
                  <w:tcW w:w="807" w:type="dxa"/>
                  <w:tcBorders>
                    <w:tl2br w:val="nil"/>
                    <w:tr2bl w:val="nil"/>
                  </w:tcBorders>
                  <w:vAlign w:val="center"/>
                </w:tcPr>
                <w:p w14:paraId="6DE1D877">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Y</w:t>
                  </w:r>
                </w:p>
              </w:tc>
              <w:tc>
                <w:tcPr>
                  <w:tcW w:w="709" w:type="dxa"/>
                  <w:tcBorders>
                    <w:tl2br w:val="nil"/>
                    <w:tr2bl w:val="nil"/>
                  </w:tcBorders>
                  <w:vAlign w:val="center"/>
                </w:tcPr>
                <w:p w14:paraId="39AB8EBD">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Z</w:t>
                  </w:r>
                </w:p>
              </w:tc>
              <w:tc>
                <w:tcPr>
                  <w:tcW w:w="960" w:type="dxa"/>
                  <w:vMerge w:val="continue"/>
                  <w:tcBorders>
                    <w:tl2br w:val="nil"/>
                    <w:tr2bl w:val="nil"/>
                  </w:tcBorders>
                  <w:vAlign w:val="center"/>
                </w:tcPr>
                <w:p w14:paraId="25F9DA04">
                  <w:pPr>
                    <w:adjustRightInd w:val="0"/>
                    <w:snapToGrid w:val="0"/>
                    <w:jc w:val="center"/>
                    <w:rPr>
                      <w:rFonts w:hint="default" w:ascii="Times New Roman" w:hAnsi="Times New Roman" w:eastAsia="宋体" w:cs="Times New Roman"/>
                      <w:b/>
                      <w:bCs/>
                      <w:color w:val="auto"/>
                      <w:szCs w:val="21"/>
                      <w:highlight w:val="none"/>
                    </w:rPr>
                  </w:pPr>
                </w:p>
              </w:tc>
              <w:tc>
                <w:tcPr>
                  <w:tcW w:w="840" w:type="dxa"/>
                  <w:vMerge w:val="continue"/>
                  <w:tcBorders>
                    <w:tl2br w:val="nil"/>
                    <w:tr2bl w:val="nil"/>
                  </w:tcBorders>
                  <w:vAlign w:val="center"/>
                </w:tcPr>
                <w:p w14:paraId="02212153">
                  <w:pPr>
                    <w:adjustRightInd w:val="0"/>
                    <w:snapToGrid w:val="0"/>
                    <w:jc w:val="center"/>
                    <w:rPr>
                      <w:rFonts w:hint="default" w:ascii="Times New Roman" w:hAnsi="Times New Roman" w:eastAsia="宋体" w:cs="Times New Roman"/>
                      <w:b/>
                      <w:bCs/>
                      <w:color w:val="auto"/>
                      <w:szCs w:val="21"/>
                      <w:highlight w:val="none"/>
                    </w:rPr>
                  </w:pPr>
                </w:p>
              </w:tc>
              <w:tc>
                <w:tcPr>
                  <w:tcW w:w="927" w:type="dxa"/>
                  <w:vMerge w:val="continue"/>
                  <w:tcBorders>
                    <w:tl2br w:val="nil"/>
                    <w:tr2bl w:val="nil"/>
                  </w:tcBorders>
                  <w:vAlign w:val="center"/>
                </w:tcPr>
                <w:p w14:paraId="6DC235D0">
                  <w:pPr>
                    <w:adjustRightInd w:val="0"/>
                    <w:snapToGrid w:val="0"/>
                    <w:jc w:val="center"/>
                    <w:rPr>
                      <w:rFonts w:hint="default" w:ascii="Times New Roman" w:hAnsi="Times New Roman" w:eastAsia="宋体" w:cs="Times New Roman"/>
                      <w:b/>
                      <w:bCs/>
                      <w:color w:val="auto"/>
                      <w:szCs w:val="21"/>
                      <w:highlight w:val="none"/>
                    </w:rPr>
                  </w:pPr>
                </w:p>
              </w:tc>
              <w:tc>
                <w:tcPr>
                  <w:tcW w:w="710" w:type="dxa"/>
                  <w:vMerge w:val="continue"/>
                  <w:tcBorders>
                    <w:tl2br w:val="nil"/>
                    <w:tr2bl w:val="nil"/>
                  </w:tcBorders>
                  <w:vAlign w:val="center"/>
                </w:tcPr>
                <w:p w14:paraId="230C1F91">
                  <w:pPr>
                    <w:adjustRightInd w:val="0"/>
                    <w:snapToGrid w:val="0"/>
                    <w:jc w:val="center"/>
                    <w:rPr>
                      <w:rFonts w:hint="default" w:ascii="Times New Roman" w:hAnsi="Times New Roman" w:eastAsia="宋体" w:cs="Times New Roman"/>
                      <w:b/>
                      <w:bCs/>
                      <w:color w:val="auto"/>
                      <w:szCs w:val="21"/>
                      <w:highlight w:val="none"/>
                    </w:rPr>
                  </w:pPr>
                </w:p>
              </w:tc>
            </w:tr>
            <w:tr w14:paraId="2198CA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487" w:type="dxa"/>
                  <w:tcBorders>
                    <w:tl2br w:val="nil"/>
                    <w:tr2bl w:val="nil"/>
                  </w:tcBorders>
                  <w:vAlign w:val="center"/>
                </w:tcPr>
                <w:p w14:paraId="7DB37CB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358" w:type="dxa"/>
                  <w:tcBorders>
                    <w:tl2br w:val="nil"/>
                    <w:tr2bl w:val="nil"/>
                  </w:tcBorders>
                  <w:shd w:val="clear" w:color="auto" w:fill="FFFFFF"/>
                  <w:vAlign w:val="center"/>
                </w:tcPr>
                <w:p w14:paraId="4627BC9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空调外机1</w:t>
                  </w:r>
                </w:p>
              </w:tc>
              <w:tc>
                <w:tcPr>
                  <w:tcW w:w="720" w:type="dxa"/>
                  <w:tcBorders>
                    <w:tl2br w:val="nil"/>
                    <w:tr2bl w:val="nil"/>
                  </w:tcBorders>
                  <w:shd w:val="clear" w:color="auto" w:fill="FFFFFF"/>
                  <w:vAlign w:val="center"/>
                </w:tcPr>
                <w:p w14:paraId="2CD941D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15.3</w:t>
                  </w:r>
                </w:p>
              </w:tc>
              <w:tc>
                <w:tcPr>
                  <w:tcW w:w="807" w:type="dxa"/>
                  <w:tcBorders>
                    <w:tl2br w:val="nil"/>
                    <w:tr2bl w:val="nil"/>
                  </w:tcBorders>
                  <w:shd w:val="clear" w:color="auto" w:fill="FFFFFF"/>
                  <w:vAlign w:val="center"/>
                </w:tcPr>
                <w:p w14:paraId="228DBFD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8.5</w:t>
                  </w:r>
                </w:p>
              </w:tc>
              <w:tc>
                <w:tcPr>
                  <w:tcW w:w="709" w:type="dxa"/>
                  <w:tcBorders>
                    <w:tl2br w:val="nil"/>
                    <w:tr2bl w:val="nil"/>
                  </w:tcBorders>
                  <w:shd w:val="clear" w:color="auto" w:fill="FFFFFF"/>
                  <w:vAlign w:val="center"/>
                </w:tcPr>
                <w:p w14:paraId="18C143F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9.5</w:t>
                  </w:r>
                </w:p>
              </w:tc>
              <w:tc>
                <w:tcPr>
                  <w:tcW w:w="960" w:type="dxa"/>
                  <w:tcBorders>
                    <w:tl2br w:val="nil"/>
                    <w:tr2bl w:val="nil"/>
                  </w:tcBorders>
                  <w:shd w:val="clear" w:color="auto" w:fill="auto"/>
                  <w:vAlign w:val="center"/>
                </w:tcPr>
                <w:p w14:paraId="29ABE75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w:t>
                  </w:r>
                  <w:r>
                    <w:rPr>
                      <w:rFonts w:hint="default" w:ascii="Times New Roman" w:hAnsi="Times New Roman" w:eastAsia="宋体" w:cs="Times New Roman"/>
                      <w:color w:val="auto"/>
                      <w:sz w:val="21"/>
                      <w:szCs w:val="21"/>
                      <w:highlight w:val="none"/>
                      <w:vertAlign w:val="baseline"/>
                      <w:lang w:val="en-US" w:eastAsia="zh-CN"/>
                    </w:rPr>
                    <w:t>5</w:t>
                  </w:r>
                </w:p>
              </w:tc>
              <w:tc>
                <w:tcPr>
                  <w:tcW w:w="840" w:type="dxa"/>
                  <w:vMerge w:val="restart"/>
                  <w:tcBorders>
                    <w:tl2br w:val="nil"/>
                    <w:tr2bl w:val="nil"/>
                  </w:tcBorders>
                  <w:vAlign w:val="center"/>
                </w:tcPr>
                <w:p w14:paraId="691A1FC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选用低噪声设备、减振等措施</w:t>
                  </w:r>
                </w:p>
              </w:tc>
              <w:tc>
                <w:tcPr>
                  <w:tcW w:w="927" w:type="dxa"/>
                  <w:tcBorders>
                    <w:tl2br w:val="nil"/>
                    <w:tr2bl w:val="nil"/>
                  </w:tcBorders>
                  <w:vAlign w:val="center"/>
                </w:tcPr>
                <w:p w14:paraId="1F4C32B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5</w:t>
                  </w:r>
                </w:p>
              </w:tc>
              <w:tc>
                <w:tcPr>
                  <w:tcW w:w="710" w:type="dxa"/>
                  <w:vMerge w:val="restart"/>
                  <w:tcBorders>
                    <w:tl2br w:val="nil"/>
                    <w:tr2bl w:val="nil"/>
                  </w:tcBorders>
                  <w:vAlign w:val="center"/>
                </w:tcPr>
                <w:p w14:paraId="0F4F8BA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昼夜</w:t>
                  </w:r>
                </w:p>
                <w:p w14:paraId="18B1348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运行</w:t>
                  </w:r>
                </w:p>
              </w:tc>
            </w:tr>
            <w:tr w14:paraId="152339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487" w:type="dxa"/>
                  <w:tcBorders>
                    <w:tl2br w:val="nil"/>
                    <w:tr2bl w:val="nil"/>
                  </w:tcBorders>
                  <w:vAlign w:val="center"/>
                </w:tcPr>
                <w:p w14:paraId="42EF8E95">
                  <w:pPr>
                    <w:numPr>
                      <w:ilvl w:val="0"/>
                      <w:numId w:val="0"/>
                    </w:numPr>
                    <w:adjustRightInd w:val="0"/>
                    <w:snapToGrid w:val="0"/>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1358" w:type="dxa"/>
                  <w:tcBorders>
                    <w:tl2br w:val="nil"/>
                    <w:tr2bl w:val="nil"/>
                  </w:tcBorders>
                  <w:shd w:val="clear" w:color="auto" w:fill="FFFFFF"/>
                  <w:vAlign w:val="center"/>
                </w:tcPr>
                <w:p w14:paraId="27D812C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空调外机</w:t>
                  </w:r>
                  <w:r>
                    <w:rPr>
                      <w:rFonts w:hint="eastAsia" w:ascii="Times New Roman" w:hAnsi="Times New Roman" w:eastAsia="宋体" w:cs="Times New Roman"/>
                      <w:color w:val="auto"/>
                      <w:sz w:val="21"/>
                      <w:szCs w:val="21"/>
                      <w:highlight w:val="none"/>
                      <w:vertAlign w:val="baseline"/>
                      <w:lang w:val="en-US" w:eastAsia="zh-CN"/>
                    </w:rPr>
                    <w:t>2</w:t>
                  </w:r>
                </w:p>
              </w:tc>
              <w:tc>
                <w:tcPr>
                  <w:tcW w:w="720" w:type="dxa"/>
                  <w:tcBorders>
                    <w:tl2br w:val="nil"/>
                    <w:tr2bl w:val="nil"/>
                  </w:tcBorders>
                  <w:shd w:val="clear" w:color="auto" w:fill="FFFFFF"/>
                  <w:vAlign w:val="center"/>
                </w:tcPr>
                <w:p w14:paraId="06EBCE2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12.6</w:t>
                  </w:r>
                </w:p>
              </w:tc>
              <w:tc>
                <w:tcPr>
                  <w:tcW w:w="807" w:type="dxa"/>
                  <w:tcBorders>
                    <w:tl2br w:val="nil"/>
                    <w:tr2bl w:val="nil"/>
                  </w:tcBorders>
                  <w:shd w:val="clear" w:color="auto" w:fill="FFFFFF"/>
                  <w:vAlign w:val="center"/>
                </w:tcPr>
                <w:p w14:paraId="287BD10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-12.9</w:t>
                  </w:r>
                </w:p>
              </w:tc>
              <w:tc>
                <w:tcPr>
                  <w:tcW w:w="709" w:type="dxa"/>
                  <w:tcBorders>
                    <w:tl2br w:val="nil"/>
                    <w:tr2bl w:val="nil"/>
                  </w:tcBorders>
                  <w:shd w:val="clear" w:color="auto" w:fill="FFFFFF"/>
                  <w:vAlign w:val="center"/>
                </w:tcPr>
                <w:p w14:paraId="1814D40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9.5</w:t>
                  </w:r>
                </w:p>
              </w:tc>
              <w:tc>
                <w:tcPr>
                  <w:tcW w:w="960" w:type="dxa"/>
                  <w:tcBorders>
                    <w:tl2br w:val="nil"/>
                    <w:tr2bl w:val="nil"/>
                  </w:tcBorders>
                  <w:shd w:val="clear" w:color="auto" w:fill="auto"/>
                  <w:vAlign w:val="center"/>
                </w:tcPr>
                <w:p w14:paraId="529B4DC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65</w:t>
                  </w:r>
                </w:p>
              </w:tc>
              <w:tc>
                <w:tcPr>
                  <w:tcW w:w="840" w:type="dxa"/>
                  <w:vMerge w:val="continue"/>
                  <w:tcBorders>
                    <w:tl2br w:val="nil"/>
                    <w:tr2bl w:val="nil"/>
                  </w:tcBorders>
                  <w:vAlign w:val="center"/>
                </w:tcPr>
                <w:p w14:paraId="588B8AD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927" w:type="dxa"/>
                  <w:tcBorders>
                    <w:tl2br w:val="nil"/>
                    <w:tr2bl w:val="nil"/>
                  </w:tcBorders>
                  <w:vAlign w:val="center"/>
                </w:tcPr>
                <w:p w14:paraId="64A97A9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55</w:t>
                  </w:r>
                </w:p>
              </w:tc>
              <w:tc>
                <w:tcPr>
                  <w:tcW w:w="710" w:type="dxa"/>
                  <w:vMerge w:val="continue"/>
                  <w:tcBorders>
                    <w:tl2br w:val="nil"/>
                    <w:tr2bl w:val="nil"/>
                  </w:tcBorders>
                  <w:vAlign w:val="center"/>
                </w:tcPr>
                <w:p w14:paraId="3C43B480">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1EBA95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0" w:hRule="atLeast"/>
              </w:trPr>
              <w:tc>
                <w:tcPr>
                  <w:tcW w:w="7518" w:type="dxa"/>
                  <w:gridSpan w:val="9"/>
                  <w:tcBorders>
                    <w:tl2br w:val="nil"/>
                    <w:tr2bl w:val="nil"/>
                  </w:tcBorders>
                  <w:vAlign w:val="center"/>
                </w:tcPr>
                <w:p w14:paraId="1442EC04">
                  <w:pPr>
                    <w:kinsoku w:val="0"/>
                    <w:overflowPunct w:val="0"/>
                    <w:autoSpaceDE w:val="0"/>
                    <w:autoSpaceDN w:val="0"/>
                    <w:adjustRightInd w:val="0"/>
                    <w:snapToGrid w:val="0"/>
                    <w:spacing w:line="240" w:lineRule="auto"/>
                    <w:ind w:left="0" w:leftChars="0"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color w:val="auto"/>
                      <w:sz w:val="21"/>
                      <w:szCs w:val="21"/>
                      <w:lang w:val="en-US" w:eastAsia="zh-CN"/>
                    </w:rPr>
                    <w:t>表中坐标以厂界中心（</w:t>
                  </w:r>
                  <w:bookmarkStart w:id="0" w:name="PO_6"/>
                  <w:r>
                    <w:rPr>
                      <w:rFonts w:hint="default" w:ascii="Times New Roman" w:hAnsi="Times New Roman" w:cs="Times New Roman" w:eastAsiaTheme="minorEastAsia"/>
                      <w:b w:val="0"/>
                      <w:bCs/>
                      <w:sz w:val="21"/>
                      <w:szCs w:val="21"/>
                      <w:lang w:val="en-US" w:eastAsia="zh-CN"/>
                    </w:rPr>
                    <w:t>116.563011</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39.781604</w:t>
                  </w:r>
                  <w:bookmarkEnd w:id="0"/>
                  <w:r>
                    <w:rPr>
                      <w:rFonts w:hint="default" w:ascii="Times New Roman" w:hAnsi="Times New Roman" w:eastAsia="宋体" w:cs="Times New Roman"/>
                      <w:b w:val="0"/>
                      <w:bCs/>
                      <w:color w:val="auto"/>
                      <w:sz w:val="21"/>
                      <w:szCs w:val="21"/>
                      <w:lang w:val="en-US" w:eastAsia="zh-CN"/>
                    </w:rPr>
                    <w:t>）为坐标原点，正东向为X轴正方向，正北向为Y轴正方向。</w:t>
                  </w:r>
                </w:p>
              </w:tc>
            </w:tr>
          </w:tbl>
          <w:p w14:paraId="09507E7B">
            <w:pPr>
              <w:numPr>
                <w:ilvl w:val="0"/>
                <w:numId w:val="17"/>
              </w:numPr>
              <w:adjustRightInd w:val="0"/>
              <w:spacing w:line="360" w:lineRule="auto"/>
              <w:ind w:left="425" w:leftChars="0" w:hanging="425" w:firstLineChars="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本项目噪声源强调查清单（室内声源）</w:t>
            </w:r>
          </w:p>
          <w:tbl>
            <w:tblPr>
              <w:tblStyle w:val="19"/>
              <w:tblW w:w="4900" w:type="pct"/>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262"/>
              <w:gridCol w:w="667"/>
              <w:gridCol w:w="959"/>
              <w:gridCol w:w="715"/>
              <w:gridCol w:w="659"/>
              <w:gridCol w:w="559"/>
              <w:gridCol w:w="995"/>
              <w:gridCol w:w="907"/>
              <w:gridCol w:w="680"/>
            </w:tblGrid>
            <w:tr w14:paraId="624C6E6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312" w:hRule="atLeast"/>
                <w:jc w:val="center"/>
              </w:trPr>
              <w:tc>
                <w:tcPr>
                  <w:tcW w:w="460" w:type="dxa"/>
                  <w:vMerge w:val="restart"/>
                  <w:tcBorders>
                    <w:tl2br w:val="nil"/>
                    <w:tr2bl w:val="nil"/>
                  </w:tcBorders>
                  <w:vAlign w:val="center"/>
                </w:tcPr>
                <w:p w14:paraId="49735684">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序号</w:t>
                  </w:r>
                </w:p>
              </w:tc>
              <w:tc>
                <w:tcPr>
                  <w:tcW w:w="1262" w:type="dxa"/>
                  <w:vMerge w:val="restart"/>
                  <w:tcBorders>
                    <w:tl2br w:val="nil"/>
                    <w:tr2bl w:val="nil"/>
                  </w:tcBorders>
                  <w:vAlign w:val="center"/>
                </w:tcPr>
                <w:p w14:paraId="65F573F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声源名称</w:t>
                  </w:r>
                </w:p>
              </w:tc>
              <w:tc>
                <w:tcPr>
                  <w:tcW w:w="667" w:type="dxa"/>
                  <w:vMerge w:val="restart"/>
                  <w:tcBorders>
                    <w:tl2br w:val="nil"/>
                    <w:tr2bl w:val="nil"/>
                  </w:tcBorders>
                  <w:vAlign w:val="center"/>
                </w:tcPr>
                <w:p w14:paraId="2EBDC5E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声源源强/dB(A)</w:t>
                  </w:r>
                </w:p>
              </w:tc>
              <w:tc>
                <w:tcPr>
                  <w:tcW w:w="959" w:type="dxa"/>
                  <w:vMerge w:val="restart"/>
                  <w:tcBorders>
                    <w:tl2br w:val="nil"/>
                    <w:tr2bl w:val="nil"/>
                  </w:tcBorders>
                  <w:vAlign w:val="center"/>
                </w:tcPr>
                <w:p w14:paraId="274D896F">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声源控制措施</w:t>
                  </w:r>
                </w:p>
              </w:tc>
              <w:tc>
                <w:tcPr>
                  <w:tcW w:w="1933" w:type="dxa"/>
                  <w:gridSpan w:val="3"/>
                  <w:tcBorders>
                    <w:tl2br w:val="nil"/>
                    <w:tr2bl w:val="nil"/>
                  </w:tcBorders>
                  <w:vAlign w:val="center"/>
                </w:tcPr>
                <w:p w14:paraId="6BEB8502">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空间相对位置/m</w:t>
                  </w:r>
                </w:p>
              </w:tc>
              <w:tc>
                <w:tcPr>
                  <w:tcW w:w="995" w:type="dxa"/>
                  <w:vMerge w:val="restart"/>
                  <w:tcBorders>
                    <w:tl2br w:val="nil"/>
                    <w:tr2bl w:val="nil"/>
                  </w:tcBorders>
                  <w:vAlign w:val="center"/>
                </w:tcPr>
                <w:p w14:paraId="2C5C791F">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eastAsia="zh-CN"/>
                    </w:rPr>
                  </w:pPr>
                  <w:r>
                    <w:rPr>
                      <w:rFonts w:hint="default" w:ascii="Times New Roman" w:hAnsi="Times New Roman" w:eastAsia="宋体" w:cs="Times New Roman"/>
                      <w:b/>
                      <w:bCs/>
                      <w:color w:val="auto"/>
                      <w:sz w:val="21"/>
                      <w:szCs w:val="21"/>
                      <w:highlight w:val="none"/>
                      <w:vertAlign w:val="baseline"/>
                      <w:lang w:val="en-US" w:eastAsia="zh-CN"/>
                    </w:rPr>
                    <w:t>排放强度</w:t>
                  </w:r>
                  <w:r>
                    <w:rPr>
                      <w:rFonts w:hint="default" w:ascii="Times New Roman" w:hAnsi="Times New Roman" w:eastAsia="宋体" w:cs="Times New Roman"/>
                      <w:b/>
                      <w:bCs/>
                      <w:color w:val="auto"/>
                      <w:sz w:val="21"/>
                      <w:szCs w:val="21"/>
                      <w:highlight w:val="none"/>
                      <w:vertAlign w:val="baseline"/>
                      <w:lang w:val="zh-CN"/>
                    </w:rPr>
                    <w:t>/dB(A)</w:t>
                  </w:r>
                </w:p>
              </w:tc>
              <w:tc>
                <w:tcPr>
                  <w:tcW w:w="907" w:type="dxa"/>
                  <w:vMerge w:val="restart"/>
                  <w:tcBorders>
                    <w:tl2br w:val="nil"/>
                    <w:tr2bl w:val="nil"/>
                  </w:tcBorders>
                  <w:vAlign w:val="center"/>
                </w:tcPr>
                <w:p w14:paraId="2CF80A7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建筑物插入损失 / dB(A)</w:t>
                  </w:r>
                </w:p>
              </w:tc>
              <w:tc>
                <w:tcPr>
                  <w:tcW w:w="680" w:type="dxa"/>
                  <w:vMerge w:val="restart"/>
                  <w:tcBorders>
                    <w:tl2br w:val="nil"/>
                    <w:tr2bl w:val="nil"/>
                  </w:tcBorders>
                  <w:vAlign w:val="center"/>
                </w:tcPr>
                <w:p w14:paraId="0272187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运行</w:t>
                  </w:r>
                </w:p>
                <w:p w14:paraId="693120B1">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时段</w:t>
                  </w:r>
                </w:p>
              </w:tc>
            </w:tr>
            <w:tr w14:paraId="1AD31C5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460" w:type="dxa"/>
                  <w:vMerge w:val="continue"/>
                  <w:tcBorders>
                    <w:tl2br w:val="nil"/>
                    <w:tr2bl w:val="nil"/>
                  </w:tcBorders>
                  <w:vAlign w:val="center"/>
                </w:tcPr>
                <w:p w14:paraId="30F83BBE">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1262" w:type="dxa"/>
                  <w:vMerge w:val="continue"/>
                  <w:tcBorders>
                    <w:tl2br w:val="nil"/>
                    <w:tr2bl w:val="nil"/>
                  </w:tcBorders>
                  <w:vAlign w:val="center"/>
                </w:tcPr>
                <w:p w14:paraId="29AEA69F">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667" w:type="dxa"/>
                  <w:vMerge w:val="continue"/>
                  <w:tcBorders>
                    <w:tl2br w:val="nil"/>
                    <w:tr2bl w:val="nil"/>
                  </w:tcBorders>
                  <w:vAlign w:val="center"/>
                </w:tcPr>
                <w:p w14:paraId="7432FF78">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959" w:type="dxa"/>
                  <w:vMerge w:val="continue"/>
                  <w:tcBorders>
                    <w:tl2br w:val="nil"/>
                    <w:tr2bl w:val="nil"/>
                  </w:tcBorders>
                  <w:vAlign w:val="center"/>
                </w:tcPr>
                <w:p w14:paraId="61797739">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715" w:type="dxa"/>
                  <w:tcBorders>
                    <w:tl2br w:val="nil"/>
                    <w:tr2bl w:val="nil"/>
                  </w:tcBorders>
                  <w:vAlign w:val="center"/>
                </w:tcPr>
                <w:p w14:paraId="7C09AA97">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X</w:t>
                  </w:r>
                </w:p>
              </w:tc>
              <w:tc>
                <w:tcPr>
                  <w:tcW w:w="659" w:type="dxa"/>
                  <w:tcBorders>
                    <w:tl2br w:val="nil"/>
                    <w:tr2bl w:val="nil"/>
                  </w:tcBorders>
                  <w:vAlign w:val="center"/>
                </w:tcPr>
                <w:p w14:paraId="1D562011">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Y</w:t>
                  </w:r>
                </w:p>
              </w:tc>
              <w:tc>
                <w:tcPr>
                  <w:tcW w:w="559" w:type="dxa"/>
                  <w:tcBorders>
                    <w:tl2br w:val="nil"/>
                    <w:tr2bl w:val="nil"/>
                  </w:tcBorders>
                  <w:vAlign w:val="center"/>
                </w:tcPr>
                <w:p w14:paraId="0B3207D0">
                  <w:pPr>
                    <w:adjustRightInd w:val="0"/>
                    <w:snapToGrid w:val="0"/>
                    <w:ind w:left="0" w:leftChars="0"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Z</w:t>
                  </w:r>
                </w:p>
              </w:tc>
              <w:tc>
                <w:tcPr>
                  <w:tcW w:w="995" w:type="dxa"/>
                  <w:vMerge w:val="continue"/>
                  <w:tcBorders>
                    <w:tl2br w:val="nil"/>
                    <w:tr2bl w:val="nil"/>
                  </w:tcBorders>
                  <w:vAlign w:val="center"/>
                </w:tcPr>
                <w:p w14:paraId="35BA6CE3">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907" w:type="dxa"/>
                  <w:vMerge w:val="continue"/>
                  <w:tcBorders>
                    <w:tl2br w:val="nil"/>
                    <w:tr2bl w:val="nil"/>
                  </w:tcBorders>
                  <w:vAlign w:val="center"/>
                </w:tcPr>
                <w:p w14:paraId="47A598C2">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680" w:type="dxa"/>
                  <w:vMerge w:val="continue"/>
                  <w:tcBorders>
                    <w:tl2br w:val="nil"/>
                    <w:tr2bl w:val="nil"/>
                  </w:tcBorders>
                  <w:vAlign w:val="center"/>
                </w:tcPr>
                <w:p w14:paraId="1D751F43">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r>
            <w:tr w14:paraId="11819E5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69" w:hRule="atLeast"/>
                <w:jc w:val="center"/>
              </w:trPr>
              <w:tc>
                <w:tcPr>
                  <w:tcW w:w="460" w:type="dxa"/>
                  <w:tcBorders>
                    <w:tl2br w:val="nil"/>
                    <w:tr2bl w:val="nil"/>
                  </w:tcBorders>
                  <w:vAlign w:val="center"/>
                </w:tcPr>
                <w:p w14:paraId="29CED89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1262" w:type="dxa"/>
                  <w:tcBorders>
                    <w:tl2br w:val="nil"/>
                    <w:tr2bl w:val="nil"/>
                  </w:tcBorders>
                  <w:vAlign w:val="center"/>
                </w:tcPr>
                <w:p w14:paraId="6E530D9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桌面离心机</w:t>
                  </w:r>
                  <w:r>
                    <w:rPr>
                      <w:rFonts w:hint="default" w:ascii="Times New Roman" w:hAnsi="Times New Roman" w:eastAsia="宋体" w:cs="Times New Roman"/>
                      <w:color w:val="auto"/>
                      <w:sz w:val="21"/>
                      <w:szCs w:val="21"/>
                      <w:highlight w:val="none"/>
                      <w:vertAlign w:val="baseline"/>
                      <w:lang w:val="en-US" w:eastAsia="zh-CN"/>
                    </w:rPr>
                    <w:t>1</w:t>
                  </w:r>
                </w:p>
              </w:tc>
              <w:tc>
                <w:tcPr>
                  <w:tcW w:w="667" w:type="dxa"/>
                  <w:tcBorders>
                    <w:tl2br w:val="nil"/>
                    <w:tr2bl w:val="nil"/>
                  </w:tcBorders>
                  <w:vAlign w:val="center"/>
                </w:tcPr>
                <w:p w14:paraId="5CF2DD4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65</w:t>
                  </w:r>
                </w:p>
              </w:tc>
              <w:tc>
                <w:tcPr>
                  <w:tcW w:w="959" w:type="dxa"/>
                  <w:vMerge w:val="restart"/>
                  <w:tcBorders>
                    <w:tl2br w:val="nil"/>
                    <w:tr2bl w:val="nil"/>
                  </w:tcBorders>
                  <w:vAlign w:val="center"/>
                </w:tcPr>
                <w:p w14:paraId="60A7876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低噪声设备，基础减振</w:t>
                  </w:r>
                </w:p>
              </w:tc>
              <w:tc>
                <w:tcPr>
                  <w:tcW w:w="715" w:type="dxa"/>
                  <w:tcBorders>
                    <w:tl2br w:val="nil"/>
                    <w:tr2bl w:val="nil"/>
                  </w:tcBorders>
                  <w:shd w:val="clear" w:color="auto" w:fill="FFFFFF"/>
                  <w:vAlign w:val="center"/>
                </w:tcPr>
                <w:p w14:paraId="69B529A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8.3</w:t>
                  </w:r>
                </w:p>
              </w:tc>
              <w:tc>
                <w:tcPr>
                  <w:tcW w:w="659" w:type="dxa"/>
                  <w:tcBorders>
                    <w:tl2br w:val="nil"/>
                    <w:tr2bl w:val="nil"/>
                  </w:tcBorders>
                  <w:shd w:val="clear" w:color="auto" w:fill="FFFFFF"/>
                  <w:vAlign w:val="center"/>
                </w:tcPr>
                <w:p w14:paraId="4A2D02A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5.9</w:t>
                  </w:r>
                </w:p>
              </w:tc>
              <w:tc>
                <w:tcPr>
                  <w:tcW w:w="559" w:type="dxa"/>
                  <w:tcBorders>
                    <w:tl2br w:val="nil"/>
                    <w:tr2bl w:val="nil"/>
                  </w:tcBorders>
                  <w:shd w:val="clear" w:color="auto" w:fill="FFFFFF"/>
                  <w:vAlign w:val="center"/>
                </w:tcPr>
                <w:p w14:paraId="08D6E66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9.5</w:t>
                  </w:r>
                </w:p>
              </w:tc>
              <w:tc>
                <w:tcPr>
                  <w:tcW w:w="995" w:type="dxa"/>
                  <w:tcBorders>
                    <w:tl2br w:val="nil"/>
                    <w:tr2bl w:val="nil"/>
                  </w:tcBorders>
                  <w:shd w:val="clear" w:color="auto" w:fill="auto"/>
                  <w:vAlign w:val="center"/>
                </w:tcPr>
                <w:p w14:paraId="6E94BE9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w:t>
                  </w:r>
                </w:p>
              </w:tc>
              <w:tc>
                <w:tcPr>
                  <w:tcW w:w="907" w:type="dxa"/>
                  <w:tcBorders>
                    <w:tl2br w:val="nil"/>
                    <w:tr2bl w:val="nil"/>
                  </w:tcBorders>
                  <w:shd w:val="clear" w:color="auto" w:fill="auto"/>
                  <w:vAlign w:val="center"/>
                </w:tcPr>
                <w:p w14:paraId="3621692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c>
                <w:tcPr>
                  <w:tcW w:w="680" w:type="dxa"/>
                  <w:vMerge w:val="restart"/>
                  <w:tcBorders>
                    <w:tl2br w:val="nil"/>
                    <w:tr2bl w:val="nil"/>
                  </w:tcBorders>
                  <w:vAlign w:val="center"/>
                </w:tcPr>
                <w:p w14:paraId="1DFDE98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p w14:paraId="56346EB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运行</w:t>
                  </w:r>
                </w:p>
              </w:tc>
            </w:tr>
            <w:tr w14:paraId="473850C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39" w:hRule="atLeast"/>
                <w:jc w:val="center"/>
              </w:trPr>
              <w:tc>
                <w:tcPr>
                  <w:tcW w:w="460" w:type="dxa"/>
                  <w:tcBorders>
                    <w:tl2br w:val="nil"/>
                    <w:tr2bl w:val="nil"/>
                  </w:tcBorders>
                  <w:vAlign w:val="center"/>
                </w:tcPr>
                <w:p w14:paraId="23EAFA37">
                  <w:pPr>
                    <w:numPr>
                      <w:ilvl w:val="0"/>
                      <w:numId w:val="0"/>
                    </w:numPr>
                    <w:adjustRightInd w:val="0"/>
                    <w:snapToGrid w:val="0"/>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1262" w:type="dxa"/>
                  <w:tcBorders>
                    <w:tl2br w:val="nil"/>
                    <w:tr2bl w:val="nil"/>
                  </w:tcBorders>
                  <w:vAlign w:val="center"/>
                </w:tcPr>
                <w:p w14:paraId="144F261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桌面离心机</w:t>
                  </w:r>
                  <w:r>
                    <w:rPr>
                      <w:rFonts w:hint="default" w:ascii="Times New Roman" w:hAnsi="Times New Roman" w:eastAsia="宋体" w:cs="Times New Roman"/>
                      <w:color w:val="auto"/>
                      <w:sz w:val="21"/>
                      <w:szCs w:val="21"/>
                      <w:highlight w:val="none"/>
                      <w:vertAlign w:val="baseline"/>
                      <w:lang w:val="en-US" w:eastAsia="zh-CN"/>
                    </w:rPr>
                    <w:t>2</w:t>
                  </w:r>
                </w:p>
              </w:tc>
              <w:tc>
                <w:tcPr>
                  <w:tcW w:w="667" w:type="dxa"/>
                  <w:tcBorders>
                    <w:tl2br w:val="nil"/>
                    <w:tr2bl w:val="nil"/>
                  </w:tcBorders>
                  <w:vAlign w:val="center"/>
                </w:tcPr>
                <w:p w14:paraId="0F7B9E0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65</w:t>
                  </w:r>
                </w:p>
              </w:tc>
              <w:tc>
                <w:tcPr>
                  <w:tcW w:w="959" w:type="dxa"/>
                  <w:vMerge w:val="continue"/>
                  <w:tcBorders>
                    <w:tl2br w:val="nil"/>
                    <w:tr2bl w:val="nil"/>
                  </w:tcBorders>
                  <w:vAlign w:val="center"/>
                </w:tcPr>
                <w:p w14:paraId="64EA35D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715" w:type="dxa"/>
                  <w:tcBorders>
                    <w:tl2br w:val="nil"/>
                    <w:tr2bl w:val="nil"/>
                  </w:tcBorders>
                  <w:shd w:val="clear" w:color="auto" w:fill="FFFFFF"/>
                  <w:vAlign w:val="center"/>
                </w:tcPr>
                <w:p w14:paraId="48FD2D4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15.7</w:t>
                  </w:r>
                </w:p>
              </w:tc>
              <w:tc>
                <w:tcPr>
                  <w:tcW w:w="659" w:type="dxa"/>
                  <w:tcBorders>
                    <w:tl2br w:val="nil"/>
                    <w:tr2bl w:val="nil"/>
                  </w:tcBorders>
                  <w:shd w:val="clear" w:color="auto" w:fill="FFFFFF"/>
                  <w:vAlign w:val="center"/>
                </w:tcPr>
                <w:p w14:paraId="42B4BC7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w:t>
                  </w:r>
                </w:p>
              </w:tc>
              <w:tc>
                <w:tcPr>
                  <w:tcW w:w="559" w:type="dxa"/>
                  <w:tcBorders>
                    <w:tl2br w:val="nil"/>
                    <w:tr2bl w:val="nil"/>
                  </w:tcBorders>
                  <w:shd w:val="clear" w:color="auto" w:fill="FFFFFF"/>
                  <w:vAlign w:val="center"/>
                </w:tcPr>
                <w:p w14:paraId="5296A4F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9.5</w:t>
                  </w:r>
                </w:p>
              </w:tc>
              <w:tc>
                <w:tcPr>
                  <w:tcW w:w="995" w:type="dxa"/>
                  <w:tcBorders>
                    <w:tl2br w:val="nil"/>
                    <w:tr2bl w:val="nil"/>
                  </w:tcBorders>
                  <w:shd w:val="clear" w:color="auto" w:fill="auto"/>
                  <w:vAlign w:val="center"/>
                </w:tcPr>
                <w:p w14:paraId="2697A41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w:t>
                  </w:r>
                </w:p>
              </w:tc>
              <w:tc>
                <w:tcPr>
                  <w:tcW w:w="907" w:type="dxa"/>
                  <w:tcBorders>
                    <w:tl2br w:val="nil"/>
                    <w:tr2bl w:val="nil"/>
                  </w:tcBorders>
                  <w:shd w:val="clear" w:color="auto" w:fill="auto"/>
                  <w:vAlign w:val="center"/>
                </w:tcPr>
                <w:p w14:paraId="48FE6F4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c>
                <w:tcPr>
                  <w:tcW w:w="680" w:type="dxa"/>
                  <w:vMerge w:val="continue"/>
                  <w:tcBorders>
                    <w:tl2br w:val="nil"/>
                    <w:tr2bl w:val="nil"/>
                  </w:tcBorders>
                  <w:vAlign w:val="center"/>
                </w:tcPr>
                <w:p w14:paraId="4559390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490C347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39" w:hRule="atLeast"/>
                <w:jc w:val="center"/>
              </w:trPr>
              <w:tc>
                <w:tcPr>
                  <w:tcW w:w="460" w:type="dxa"/>
                  <w:tcBorders>
                    <w:tl2br w:val="nil"/>
                    <w:tr2bl w:val="nil"/>
                  </w:tcBorders>
                  <w:vAlign w:val="center"/>
                </w:tcPr>
                <w:p w14:paraId="0A65D7E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w:t>
                  </w:r>
                </w:p>
              </w:tc>
              <w:tc>
                <w:tcPr>
                  <w:tcW w:w="1262" w:type="dxa"/>
                  <w:tcBorders>
                    <w:tl2br w:val="nil"/>
                    <w:tr2bl w:val="nil"/>
                  </w:tcBorders>
                  <w:vAlign w:val="center"/>
                </w:tcPr>
                <w:p w14:paraId="34ACBB5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高速离心机</w:t>
                  </w:r>
                </w:p>
              </w:tc>
              <w:tc>
                <w:tcPr>
                  <w:tcW w:w="667" w:type="dxa"/>
                  <w:tcBorders>
                    <w:tl2br w:val="nil"/>
                    <w:tr2bl w:val="nil"/>
                  </w:tcBorders>
                  <w:vAlign w:val="center"/>
                </w:tcPr>
                <w:p w14:paraId="45024B7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65</w:t>
                  </w:r>
                </w:p>
              </w:tc>
              <w:tc>
                <w:tcPr>
                  <w:tcW w:w="959" w:type="dxa"/>
                  <w:vMerge w:val="continue"/>
                  <w:tcBorders>
                    <w:tl2br w:val="nil"/>
                    <w:tr2bl w:val="nil"/>
                  </w:tcBorders>
                  <w:vAlign w:val="center"/>
                </w:tcPr>
                <w:p w14:paraId="785201D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715" w:type="dxa"/>
                  <w:tcBorders>
                    <w:tl2br w:val="nil"/>
                    <w:tr2bl w:val="nil"/>
                  </w:tcBorders>
                  <w:shd w:val="clear" w:color="auto" w:fill="FFFFFF"/>
                  <w:vAlign w:val="center"/>
                </w:tcPr>
                <w:p w14:paraId="16BB588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7.9</w:t>
                  </w:r>
                </w:p>
              </w:tc>
              <w:tc>
                <w:tcPr>
                  <w:tcW w:w="659" w:type="dxa"/>
                  <w:tcBorders>
                    <w:tl2br w:val="nil"/>
                    <w:tr2bl w:val="nil"/>
                  </w:tcBorders>
                  <w:shd w:val="clear" w:color="auto" w:fill="FFFFFF"/>
                  <w:vAlign w:val="center"/>
                </w:tcPr>
                <w:p w14:paraId="63ED087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559" w:type="dxa"/>
                  <w:tcBorders>
                    <w:tl2br w:val="nil"/>
                    <w:tr2bl w:val="nil"/>
                  </w:tcBorders>
                  <w:shd w:val="clear" w:color="auto" w:fill="FFFFFF"/>
                  <w:vAlign w:val="center"/>
                </w:tcPr>
                <w:p w14:paraId="47E4FD8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9.5</w:t>
                  </w:r>
                </w:p>
              </w:tc>
              <w:tc>
                <w:tcPr>
                  <w:tcW w:w="995" w:type="dxa"/>
                  <w:tcBorders>
                    <w:tl2br w:val="nil"/>
                    <w:tr2bl w:val="nil"/>
                  </w:tcBorders>
                  <w:shd w:val="clear" w:color="auto" w:fill="auto"/>
                  <w:vAlign w:val="center"/>
                </w:tcPr>
                <w:p w14:paraId="4DB3EB4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w:t>
                  </w:r>
                </w:p>
              </w:tc>
              <w:tc>
                <w:tcPr>
                  <w:tcW w:w="907" w:type="dxa"/>
                  <w:tcBorders>
                    <w:tl2br w:val="nil"/>
                    <w:tr2bl w:val="nil"/>
                  </w:tcBorders>
                  <w:shd w:val="clear" w:color="auto" w:fill="auto"/>
                  <w:vAlign w:val="center"/>
                </w:tcPr>
                <w:p w14:paraId="199A633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w:t>
                  </w:r>
                </w:p>
              </w:tc>
              <w:tc>
                <w:tcPr>
                  <w:tcW w:w="680" w:type="dxa"/>
                  <w:vMerge w:val="continue"/>
                  <w:tcBorders>
                    <w:tl2br w:val="nil"/>
                    <w:tr2bl w:val="nil"/>
                  </w:tcBorders>
                  <w:vAlign w:val="center"/>
                </w:tcPr>
                <w:p w14:paraId="4F708E2D">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27889A4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7863" w:type="dxa"/>
                  <w:gridSpan w:val="10"/>
                  <w:tcBorders>
                    <w:tl2br w:val="nil"/>
                    <w:tr2bl w:val="nil"/>
                  </w:tcBorders>
                  <w:vAlign w:val="center"/>
                </w:tcPr>
                <w:p w14:paraId="154435B8">
                  <w:pPr>
                    <w:kinsoku w:val="0"/>
                    <w:overflowPunct w:val="0"/>
                    <w:autoSpaceDE w:val="0"/>
                    <w:autoSpaceDN w:val="0"/>
                    <w:adjustRightInd w:val="0"/>
                    <w:snapToGrid w:val="0"/>
                    <w:spacing w:line="240" w:lineRule="auto"/>
                    <w:ind w:left="0" w:leftChars="0" w:firstLine="0" w:firstLineChars="0"/>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color w:val="auto"/>
                      <w:sz w:val="21"/>
                      <w:szCs w:val="21"/>
                      <w:lang w:val="en-US" w:eastAsia="zh-CN"/>
                    </w:rPr>
                    <w:t>表中坐标以厂界中心（</w:t>
                  </w:r>
                  <w:bookmarkStart w:id="1" w:name="PO_7"/>
                  <w:r>
                    <w:rPr>
                      <w:rFonts w:hint="default" w:ascii="Times New Roman" w:hAnsi="Times New Roman" w:cs="Times New Roman" w:eastAsiaTheme="minorEastAsia"/>
                      <w:b w:val="0"/>
                      <w:bCs/>
                      <w:sz w:val="21"/>
                      <w:szCs w:val="21"/>
                      <w:lang w:val="en-US" w:eastAsia="zh-CN"/>
                    </w:rPr>
                    <w:t>116.563011</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39.781604</w:t>
                  </w:r>
                  <w:bookmarkEnd w:id="1"/>
                  <w:r>
                    <w:rPr>
                      <w:rFonts w:hint="default" w:ascii="Times New Roman" w:hAnsi="Times New Roman" w:eastAsia="宋体" w:cs="Times New Roman"/>
                      <w:b w:val="0"/>
                      <w:bCs/>
                      <w:color w:val="auto"/>
                      <w:sz w:val="21"/>
                      <w:szCs w:val="21"/>
                      <w:lang w:val="en-US" w:eastAsia="zh-CN"/>
                    </w:rPr>
                    <w:t>）为坐标原点，正东向为X轴正方向，正北向为Y轴正方向。</w:t>
                  </w:r>
                </w:p>
              </w:tc>
            </w:tr>
          </w:tbl>
          <w:p w14:paraId="6F8F6B29">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（2）环境影响分析</w:t>
            </w:r>
          </w:p>
          <w:p w14:paraId="6243DB5B">
            <w:pPr>
              <w:adjustRightInd w:val="0"/>
              <w:snapToGrid w:val="0"/>
              <w:spacing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 声环境》（HJ 2.4—2021）推荐的方法，把上述声源当作点声源处理，等效点声源位置在声源本身的中心，对项目噪声环境影响进行预测：</w:t>
            </w:r>
          </w:p>
          <w:p w14:paraId="50C116CB">
            <w:pPr>
              <w:numPr>
                <w:ilvl w:val="0"/>
                <w:numId w:val="19"/>
              </w:numPr>
              <w:adjustRightInd w:val="0"/>
              <w:spacing w:line="360" w:lineRule="auto"/>
              <w:ind w:left="0" w:leftChars="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点声源几何发散在预测点（厂界处）产生的A声级的计算：</w:t>
            </w:r>
          </w:p>
          <w:p w14:paraId="00D67B2F">
            <w:pPr>
              <w:adjustRightIn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1" o:spt="75" type="#_x0000_t75" style="height:18.15pt;width:163.4pt;" o:ole="t" filled="f" coordsize="21600,21600">
                  <v:path/>
                  <v:fill on="f" focussize="0,0"/>
                  <v:stroke/>
                  <v:imagedata r:id="rId25" o:title=""/>
                  <o:lock v:ext="edit" aspectratio="t"/>
                  <w10:wrap type="none"/>
                  <w10:anchorlock/>
                </v:shape>
                <o:OLEObject Type="Embed" ProgID="Equation.3" ShapeID="_x0000_i1031" DrawAspect="Content" ObjectID="_1468075731" r:id="rId24">
                  <o:LockedField>false</o:LockedField>
                </o:OLEObject>
              </w:object>
            </w:r>
          </w:p>
          <w:p w14:paraId="43A140DC">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14:paraId="1A695CE9">
            <w:pPr>
              <w:adjustRightInd w:val="0"/>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rPr>
              <w:t>(r)—距声源r处（厂界处）的A声级，dB(A)；</w:t>
            </w:r>
          </w:p>
          <w:p w14:paraId="582FE280">
            <w:pPr>
              <w:adjustRightInd w:val="0"/>
              <w:spacing w:line="360" w:lineRule="auto"/>
              <w:ind w:firstLine="1200" w:firstLineChars="500"/>
              <w:outlineLvl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处（声源）的A声级，dB(A)；</w:t>
            </w:r>
          </w:p>
          <w:p w14:paraId="15728138">
            <w:pPr>
              <w:adjustRightInd w:val="0"/>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—声屏障引起的倍频带衰减（建筑隔声），dB；</w:t>
            </w:r>
          </w:p>
          <w:p w14:paraId="196E5292">
            <w:pPr>
              <w:numPr>
                <w:ilvl w:val="0"/>
                <w:numId w:val="19"/>
              </w:numPr>
              <w:adjustRightInd w:val="0"/>
              <w:spacing w:line="360" w:lineRule="auto"/>
              <w:ind w:left="0" w:leftChars="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噪声叠加公式</w:t>
            </w:r>
          </w:p>
          <w:p w14:paraId="295E8BE0">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对于多点源存在时，某个评价点的噪声贡献，可用下式计算：</w:t>
            </w:r>
          </w:p>
          <w:p w14:paraId="2A122995">
            <w:pPr>
              <w:adjustRightInd w:val="0"/>
              <w:spacing w:line="360" w:lineRule="auto"/>
              <w:ind w:firstLine="2520" w:firstLineChars="105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Lp=10Lg（10</w:t>
            </w:r>
            <w:r>
              <w:rPr>
                <w:rFonts w:hint="default" w:ascii="Times New Roman" w:hAnsi="Times New Roman" w:eastAsia="宋体" w:cs="Times New Roman"/>
                <w:bCs/>
                <w:color w:val="auto"/>
                <w:sz w:val="24"/>
                <w:highlight w:val="none"/>
                <w:vertAlign w:val="superscript"/>
              </w:rPr>
              <w:t>Lp1/10</w:t>
            </w:r>
            <w:r>
              <w:rPr>
                <w:rFonts w:hint="default" w:ascii="Times New Roman" w:hAnsi="Times New Roman" w:eastAsia="宋体" w:cs="Times New Roman"/>
                <w:bCs/>
                <w:color w:val="auto"/>
                <w:sz w:val="24"/>
                <w:highlight w:val="none"/>
              </w:rPr>
              <w:t>+10</w:t>
            </w:r>
            <w:r>
              <w:rPr>
                <w:rFonts w:hint="default" w:ascii="Times New Roman" w:hAnsi="Times New Roman" w:eastAsia="宋体" w:cs="Times New Roman"/>
                <w:bCs/>
                <w:color w:val="auto"/>
                <w:sz w:val="24"/>
                <w:highlight w:val="none"/>
                <w:vertAlign w:val="superscript"/>
              </w:rPr>
              <w:t>Lp2/10</w:t>
            </w:r>
            <w:r>
              <w:rPr>
                <w:rFonts w:hint="default" w:ascii="Times New Roman" w:hAnsi="Times New Roman" w:eastAsia="宋体" w:cs="Times New Roman"/>
                <w:bCs/>
                <w:color w:val="auto"/>
                <w:sz w:val="24"/>
                <w:highlight w:val="none"/>
              </w:rPr>
              <w:t>+…）</w:t>
            </w:r>
          </w:p>
          <w:p w14:paraId="2CE70F62">
            <w:pPr>
              <w:adjustRightInd w:val="0"/>
              <w:ind w:firstLine="480" w:firstLineChars="200"/>
              <w:outlineLvl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式中：L——总等效声级；</w:t>
            </w:r>
          </w:p>
          <w:p w14:paraId="47D7EE04">
            <w:pPr>
              <w:adjustRightInd w:val="0"/>
              <w:spacing w:line="360" w:lineRule="auto"/>
              <w:ind w:firstLine="1200" w:firstLineChars="5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L1，L2…，Ln——分别为n个噪声的等效声级。</w:t>
            </w:r>
          </w:p>
          <w:p w14:paraId="0618ABA6">
            <w:pPr>
              <w:numPr>
                <w:ilvl w:val="0"/>
                <w:numId w:val="19"/>
              </w:numPr>
              <w:adjustRightInd w:val="0"/>
              <w:spacing w:line="360" w:lineRule="auto"/>
              <w:ind w:left="0" w:leftChars="0"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室内声源可采用等效室外声源声功率级法进行计算。设靠近门口处（或窗户）室内、室外的声压级分别为 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和 L</w:t>
            </w:r>
            <w:r>
              <w:rPr>
                <w:rFonts w:hint="default" w:ascii="Times New Roman" w:hAnsi="Times New Roman" w:eastAsia="宋体" w:cs="Times New Roman"/>
                <w:bCs/>
                <w:i/>
                <w:iCs/>
                <w:snapToGrid w:val="0"/>
                <w:color w:val="auto"/>
                <w:kern w:val="0"/>
                <w:sz w:val="24"/>
                <w:highlight w:val="none"/>
                <w:vertAlign w:val="subscript"/>
              </w:rPr>
              <w:t>p2</w:t>
            </w:r>
            <w:r>
              <w:rPr>
                <w:rFonts w:hint="default" w:ascii="Times New Roman" w:hAnsi="Times New Roman" w:eastAsia="宋体" w:cs="Times New Roman"/>
                <w:bCs/>
                <w:snapToGrid w:val="0"/>
                <w:color w:val="auto"/>
                <w:kern w:val="0"/>
                <w:sz w:val="24"/>
                <w:highlight w:val="none"/>
              </w:rPr>
              <w:t>。若声源所在室内声场为近似扩散声场，则室外的声压级可按下式近似求出：</w:t>
            </w:r>
          </w:p>
          <w:p w14:paraId="35977EC8">
            <w:pPr>
              <w:adjustRightInd w:val="0"/>
              <w:spacing w:line="360" w:lineRule="auto"/>
              <w:ind w:firstLine="480" w:firstLineChars="200"/>
              <w:jc w:val="center"/>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p2</w:t>
            </w: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-(TL+6)</w:t>
            </w:r>
          </w:p>
          <w:p w14:paraId="0B8AE84E">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式中：TL——围护结构的隔声量，dB(A)，根据《民用建筑隔声设计规范》（GB50118-2010）表 8.2.1，办公室与普通房间之间的隔墙、楼板隔声标准最低为 45dB。本项目保守考虑，工业厂房建筑隔声按照 20dB 计。</w:t>
            </w:r>
          </w:p>
          <w:p w14:paraId="7EF9E16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计算某一室内声源靠近围护结构处产生的倍频带声压级：</w:t>
            </w:r>
          </w:p>
          <w:p w14:paraId="54B98A65">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color w:val="auto"/>
                <w:highlight w:val="none"/>
              </w:rPr>
              <w:drawing>
                <wp:anchor distT="0" distB="0" distL="114300" distR="114300" simplePos="0" relativeHeight="251662336" behindDoc="0" locked="0" layoutInCell="1" allowOverlap="1">
                  <wp:simplePos x="0" y="0"/>
                  <wp:positionH relativeFrom="column">
                    <wp:posOffset>1477645</wp:posOffset>
                  </wp:positionH>
                  <wp:positionV relativeFrom="paragraph">
                    <wp:posOffset>10160</wp:posOffset>
                  </wp:positionV>
                  <wp:extent cx="1887220" cy="457200"/>
                  <wp:effectExtent l="0" t="0" r="2540" b="0"/>
                  <wp:wrapTopAndBottom/>
                  <wp:docPr id="1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
                          <pic:cNvPicPr>
                            <a:picLocks noChangeAspect="1"/>
                          </pic:cNvPicPr>
                        </pic:nvPicPr>
                        <pic:blipFill>
                          <a:blip r:embed="rId26"/>
                          <a:stretch>
                            <a:fillRect/>
                          </a:stretch>
                        </pic:blipFill>
                        <pic:spPr>
                          <a:xfrm>
                            <a:off x="0" y="0"/>
                            <a:ext cx="1887220" cy="457200"/>
                          </a:xfrm>
                          <a:prstGeom prst="rect">
                            <a:avLst/>
                          </a:prstGeom>
                          <a:noFill/>
                          <a:ln>
                            <a:noFill/>
                          </a:ln>
                        </pic:spPr>
                      </pic:pic>
                    </a:graphicData>
                  </a:graphic>
                </wp:anchor>
              </w:drawing>
            </w:r>
            <w:r>
              <w:rPr>
                <w:rFonts w:hint="default" w:ascii="Times New Roman" w:hAnsi="Times New Roman" w:eastAsia="宋体" w:cs="Times New Roman"/>
                <w:bCs/>
                <w:snapToGrid w:val="0"/>
                <w:color w:val="auto"/>
                <w:kern w:val="0"/>
                <w:sz w:val="24"/>
                <w:highlight w:val="none"/>
              </w:rPr>
              <w:t>式中：L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——靠近开口处（或窗户）室内某倍频带的声压级或 A 声级，dB；</w:t>
            </w:r>
          </w:p>
          <w:p w14:paraId="058DCBE5">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W</w:t>
            </w:r>
            <w:r>
              <w:rPr>
                <w:rFonts w:hint="default" w:ascii="Times New Roman" w:hAnsi="Times New Roman" w:eastAsia="宋体" w:cs="Times New Roman"/>
                <w:bCs/>
                <w:snapToGrid w:val="0"/>
                <w:color w:val="auto"/>
                <w:kern w:val="0"/>
                <w:sz w:val="24"/>
                <w:highlight w:val="none"/>
              </w:rPr>
              <w:t>——点声源声功率级（A 计权或倍频带），dB；</w:t>
            </w:r>
          </w:p>
          <w:p w14:paraId="4F53B466">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Q——指向性因数；通常对无指向性声源，当声源放在房间中心时，Q=1；</w:t>
            </w:r>
          </w:p>
          <w:p w14:paraId="765D1830">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当放在一面墙的中心时，Q=2；当放在两面墙夹角处时，Q=4；当放在三面墙夹角处时，Q=8；</w:t>
            </w:r>
          </w:p>
          <w:p w14:paraId="3EE67ECA">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R——房间常数；R=S/(1-α)，S 为房间内表面面积，m</w:t>
            </w:r>
            <w:r>
              <w:rPr>
                <w:rFonts w:hint="default" w:ascii="Times New Roman" w:hAnsi="Times New Roman" w:eastAsia="宋体" w:cs="Times New Roman"/>
                <w:bCs/>
                <w:snapToGrid w:val="0"/>
                <w:color w:val="auto"/>
                <w:kern w:val="0"/>
                <w:sz w:val="24"/>
                <w:highlight w:val="none"/>
                <w:vertAlign w:val="superscript"/>
              </w:rPr>
              <w:t>2</w:t>
            </w:r>
            <w:r>
              <w:rPr>
                <w:rFonts w:hint="default" w:ascii="Times New Roman" w:hAnsi="Times New Roman" w:eastAsia="宋体" w:cs="Times New Roman"/>
                <w:bCs/>
                <w:snapToGrid w:val="0"/>
                <w:color w:val="auto"/>
                <w:kern w:val="0"/>
                <w:sz w:val="24"/>
                <w:highlight w:val="none"/>
              </w:rPr>
              <w:t>；α为平均吸声系数；</w:t>
            </w:r>
          </w:p>
          <w:p w14:paraId="37658CB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r——声源到靠近围护结构某点处的距离，m。</w:t>
            </w:r>
          </w:p>
          <w:p w14:paraId="558AF215">
            <w:pPr>
              <w:numPr>
                <w:ilvl w:val="0"/>
                <w:numId w:val="19"/>
              </w:numPr>
              <w:adjustRightInd w:val="0"/>
              <w:spacing w:line="360" w:lineRule="auto"/>
              <w:ind w:left="0" w:leftChars="0"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建设项目声源在预测点产生的等效声级贡献值计算公式：</w:t>
            </w:r>
          </w:p>
          <w:p w14:paraId="7925B7D1">
            <w:pPr>
              <w:adjustRightInd w:val="0"/>
              <w:spacing w:line="360" w:lineRule="auto"/>
              <w:ind w:firstLine="480" w:firstLineChars="200"/>
              <w:jc w:val="center"/>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color w:val="auto"/>
                <w:highlight w:val="none"/>
              </w:rPr>
              <w:drawing>
                <wp:inline distT="0" distB="0" distL="114300" distR="114300">
                  <wp:extent cx="2581275" cy="600075"/>
                  <wp:effectExtent l="0" t="0" r="9525" b="9525"/>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27"/>
                          <a:stretch>
                            <a:fillRect/>
                          </a:stretch>
                        </pic:blipFill>
                        <pic:spPr>
                          <a:xfrm>
                            <a:off x="0" y="0"/>
                            <a:ext cx="2581275" cy="600075"/>
                          </a:xfrm>
                          <a:prstGeom prst="rect">
                            <a:avLst/>
                          </a:prstGeom>
                          <a:noFill/>
                          <a:ln>
                            <a:noFill/>
                          </a:ln>
                        </pic:spPr>
                      </pic:pic>
                    </a:graphicData>
                  </a:graphic>
                </wp:inline>
              </w:drawing>
            </w:r>
          </w:p>
          <w:p w14:paraId="55A7E79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式中：L</w:t>
            </w:r>
            <w:r>
              <w:rPr>
                <w:rFonts w:hint="default" w:ascii="Times New Roman" w:hAnsi="Times New Roman" w:eastAsia="宋体" w:cs="Times New Roman"/>
                <w:bCs/>
                <w:i/>
                <w:iCs/>
                <w:snapToGrid w:val="0"/>
                <w:color w:val="auto"/>
                <w:kern w:val="0"/>
                <w:sz w:val="24"/>
                <w:highlight w:val="none"/>
                <w:vertAlign w:val="subscript"/>
              </w:rPr>
              <w:t>eqg</w:t>
            </w:r>
            <w:r>
              <w:rPr>
                <w:rFonts w:hint="default" w:ascii="Times New Roman" w:hAnsi="Times New Roman" w:eastAsia="宋体" w:cs="Times New Roman"/>
                <w:bCs/>
                <w:snapToGrid w:val="0"/>
                <w:color w:val="auto"/>
                <w:kern w:val="0"/>
                <w:sz w:val="24"/>
                <w:highlight w:val="none"/>
              </w:rPr>
              <w:t>—建设项目声源在预测点的等效声级贡献值，dB(A)；</w:t>
            </w:r>
          </w:p>
          <w:p w14:paraId="707AD75D">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Ai</w:t>
            </w:r>
            <w:r>
              <w:rPr>
                <w:rFonts w:hint="default" w:ascii="Times New Roman" w:hAnsi="Times New Roman" w:eastAsia="宋体" w:cs="Times New Roman"/>
                <w:bCs/>
                <w:snapToGrid w:val="0"/>
                <w:color w:val="auto"/>
                <w:kern w:val="0"/>
                <w:sz w:val="24"/>
                <w:highlight w:val="none"/>
              </w:rPr>
              <w:t>—i 声源在预测点产生的 A 声级，dB(A)；</w:t>
            </w:r>
          </w:p>
          <w:p w14:paraId="20DE033F">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T—预测计算的时间段，s；</w:t>
            </w:r>
          </w:p>
          <w:p w14:paraId="0F90EA02">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t</w:t>
            </w:r>
            <w:r>
              <w:rPr>
                <w:rFonts w:hint="default" w:ascii="Times New Roman" w:hAnsi="Times New Roman" w:eastAsia="宋体" w:cs="Times New Roman"/>
                <w:bCs/>
                <w:i/>
                <w:iCs/>
                <w:snapToGrid w:val="0"/>
                <w:color w:val="auto"/>
                <w:kern w:val="0"/>
                <w:sz w:val="24"/>
                <w:highlight w:val="none"/>
                <w:vertAlign w:val="subscript"/>
              </w:rPr>
              <w:t>i</w:t>
            </w:r>
            <w:r>
              <w:rPr>
                <w:rFonts w:hint="default" w:ascii="Times New Roman" w:hAnsi="Times New Roman" w:eastAsia="宋体" w:cs="Times New Roman"/>
                <w:bCs/>
                <w:snapToGrid w:val="0"/>
                <w:color w:val="auto"/>
                <w:kern w:val="0"/>
                <w:sz w:val="24"/>
                <w:highlight w:val="none"/>
              </w:rPr>
              <w:t>—i 声源在T 时段内的运行时间，s。</w:t>
            </w:r>
          </w:p>
          <w:p w14:paraId="33CD920A">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本项目噪声预测值详见下表。</w:t>
            </w:r>
          </w:p>
          <w:p w14:paraId="2A62F14F">
            <w:pPr>
              <w:numPr>
                <w:ilvl w:val="0"/>
                <w:numId w:val="17"/>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 xml:space="preserve"> 建设项目厂界噪声预测结果一览表   单位：dB(A)</w:t>
            </w:r>
          </w:p>
          <w:tbl>
            <w:tblPr>
              <w:tblStyle w:val="11"/>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512"/>
              <w:gridCol w:w="1692"/>
              <w:gridCol w:w="1848"/>
              <w:gridCol w:w="1502"/>
            </w:tblGrid>
            <w:tr w14:paraId="0DBE85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309" w:type="dxa"/>
                  <w:tcBorders>
                    <w:tl2br w:val="nil"/>
                    <w:tr2bl w:val="nil"/>
                  </w:tcBorders>
                  <w:vAlign w:val="center"/>
                </w:tcPr>
                <w:p w14:paraId="58965DDA">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预测方位</w:t>
                  </w:r>
                </w:p>
              </w:tc>
              <w:tc>
                <w:tcPr>
                  <w:tcW w:w="1512" w:type="dxa"/>
                  <w:tcBorders>
                    <w:tl2br w:val="nil"/>
                    <w:tr2bl w:val="nil"/>
                  </w:tcBorders>
                  <w:vAlign w:val="center"/>
                </w:tcPr>
                <w:p w14:paraId="37ECA0C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时段</w:t>
                  </w:r>
                </w:p>
              </w:tc>
              <w:tc>
                <w:tcPr>
                  <w:tcW w:w="1692" w:type="dxa"/>
                  <w:tcBorders>
                    <w:tl2br w:val="nil"/>
                    <w:tr2bl w:val="nil"/>
                  </w:tcBorders>
                  <w:vAlign w:val="center"/>
                </w:tcPr>
                <w:p w14:paraId="41F7D032">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贡献值dB(A)</w:t>
                  </w:r>
                </w:p>
              </w:tc>
              <w:tc>
                <w:tcPr>
                  <w:tcW w:w="1848" w:type="dxa"/>
                  <w:tcBorders>
                    <w:tl2br w:val="nil"/>
                    <w:tr2bl w:val="nil"/>
                  </w:tcBorders>
                  <w:vAlign w:val="center"/>
                </w:tcPr>
                <w:p w14:paraId="56934B7A">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标准限值dB(A)</w:t>
                  </w:r>
                </w:p>
              </w:tc>
              <w:tc>
                <w:tcPr>
                  <w:tcW w:w="1502" w:type="dxa"/>
                  <w:tcBorders>
                    <w:tl2br w:val="nil"/>
                    <w:tr2bl w:val="nil"/>
                  </w:tcBorders>
                  <w:vAlign w:val="center"/>
                </w:tcPr>
                <w:p w14:paraId="0463CC16">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达标情况</w:t>
                  </w:r>
                </w:p>
              </w:tc>
            </w:tr>
            <w:tr w14:paraId="7C4020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309" w:type="dxa"/>
                  <w:tcBorders>
                    <w:tl2br w:val="nil"/>
                    <w:tr2bl w:val="nil"/>
                  </w:tcBorders>
                  <w:shd w:val="clear" w:color="auto" w:fill="FFFFFF"/>
                  <w:vAlign w:val="center"/>
                </w:tcPr>
                <w:p w14:paraId="52DB26E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东侧</w:t>
                  </w:r>
                </w:p>
              </w:tc>
              <w:tc>
                <w:tcPr>
                  <w:tcW w:w="1512" w:type="dxa"/>
                  <w:tcBorders>
                    <w:tl2br w:val="nil"/>
                    <w:tr2bl w:val="nil"/>
                  </w:tcBorders>
                  <w:shd w:val="clear" w:color="auto" w:fill="FFFFFF"/>
                  <w:vAlign w:val="center"/>
                </w:tcPr>
                <w:p w14:paraId="391595E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692" w:type="dxa"/>
                  <w:tcBorders>
                    <w:tl2br w:val="nil"/>
                    <w:tr2bl w:val="nil"/>
                  </w:tcBorders>
                  <w:shd w:val="clear" w:color="auto" w:fill="FFFFFF"/>
                  <w:vAlign w:val="center"/>
                </w:tcPr>
                <w:p w14:paraId="47DF414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48.1</w:t>
                  </w:r>
                </w:p>
              </w:tc>
              <w:tc>
                <w:tcPr>
                  <w:tcW w:w="1848" w:type="dxa"/>
                  <w:tcBorders>
                    <w:tl2br w:val="nil"/>
                    <w:tr2bl w:val="nil"/>
                  </w:tcBorders>
                  <w:shd w:val="clear" w:color="auto" w:fill="FFFFFF"/>
                  <w:vAlign w:val="center"/>
                </w:tcPr>
                <w:p w14:paraId="6CD41EB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502" w:type="dxa"/>
                  <w:tcBorders>
                    <w:tl2br w:val="nil"/>
                    <w:tr2bl w:val="nil"/>
                  </w:tcBorders>
                  <w:shd w:val="clear" w:color="auto" w:fill="FFFFFF"/>
                  <w:vAlign w:val="center"/>
                </w:tcPr>
                <w:p w14:paraId="07F6C23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024DA8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309" w:type="dxa"/>
                  <w:tcBorders>
                    <w:tl2br w:val="nil"/>
                    <w:tr2bl w:val="nil"/>
                  </w:tcBorders>
                  <w:shd w:val="clear" w:color="auto" w:fill="FFFFFF"/>
                  <w:vAlign w:val="center"/>
                </w:tcPr>
                <w:p w14:paraId="566C393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南侧</w:t>
                  </w:r>
                </w:p>
              </w:tc>
              <w:tc>
                <w:tcPr>
                  <w:tcW w:w="1512" w:type="dxa"/>
                  <w:tcBorders>
                    <w:tl2br w:val="nil"/>
                    <w:tr2bl w:val="nil"/>
                  </w:tcBorders>
                  <w:shd w:val="clear" w:color="auto" w:fill="FFFFFF"/>
                  <w:vAlign w:val="center"/>
                </w:tcPr>
                <w:p w14:paraId="2F412DF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692" w:type="dxa"/>
                  <w:tcBorders>
                    <w:tl2br w:val="nil"/>
                    <w:tr2bl w:val="nil"/>
                  </w:tcBorders>
                  <w:shd w:val="clear" w:color="auto" w:fill="FFFFFF"/>
                  <w:vAlign w:val="center"/>
                </w:tcPr>
                <w:p w14:paraId="26D901B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61.1</w:t>
                  </w:r>
                </w:p>
              </w:tc>
              <w:tc>
                <w:tcPr>
                  <w:tcW w:w="1848" w:type="dxa"/>
                  <w:tcBorders>
                    <w:tl2br w:val="nil"/>
                    <w:tr2bl w:val="nil"/>
                  </w:tcBorders>
                  <w:shd w:val="clear" w:color="auto" w:fill="FFFFFF"/>
                  <w:vAlign w:val="center"/>
                </w:tcPr>
                <w:p w14:paraId="2DEF236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502" w:type="dxa"/>
                  <w:tcBorders>
                    <w:tl2br w:val="nil"/>
                    <w:tr2bl w:val="nil"/>
                  </w:tcBorders>
                  <w:shd w:val="clear" w:color="auto" w:fill="FFFFFF"/>
                  <w:vAlign w:val="center"/>
                </w:tcPr>
                <w:p w14:paraId="4DA3FEB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5812D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309" w:type="dxa"/>
                  <w:tcBorders>
                    <w:tl2br w:val="nil"/>
                    <w:tr2bl w:val="nil"/>
                  </w:tcBorders>
                  <w:shd w:val="clear" w:color="auto" w:fill="FFFFFF"/>
                  <w:vAlign w:val="center"/>
                </w:tcPr>
                <w:p w14:paraId="3E0C820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西侧</w:t>
                  </w:r>
                </w:p>
              </w:tc>
              <w:tc>
                <w:tcPr>
                  <w:tcW w:w="1512" w:type="dxa"/>
                  <w:tcBorders>
                    <w:tl2br w:val="nil"/>
                    <w:tr2bl w:val="nil"/>
                  </w:tcBorders>
                  <w:shd w:val="clear" w:color="auto" w:fill="FFFFFF"/>
                  <w:vAlign w:val="center"/>
                </w:tcPr>
                <w:p w14:paraId="55EF531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692" w:type="dxa"/>
                  <w:tcBorders>
                    <w:tl2br w:val="nil"/>
                    <w:tr2bl w:val="nil"/>
                  </w:tcBorders>
                  <w:shd w:val="clear" w:color="auto" w:fill="FFFFFF"/>
                  <w:vAlign w:val="center"/>
                </w:tcPr>
                <w:p w14:paraId="17EE58F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31.5</w:t>
                  </w:r>
                </w:p>
              </w:tc>
              <w:tc>
                <w:tcPr>
                  <w:tcW w:w="1848" w:type="dxa"/>
                  <w:tcBorders>
                    <w:tl2br w:val="nil"/>
                    <w:tr2bl w:val="nil"/>
                  </w:tcBorders>
                  <w:shd w:val="clear" w:color="auto" w:fill="FFFFFF"/>
                  <w:vAlign w:val="center"/>
                </w:tcPr>
                <w:p w14:paraId="3DA05CA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502" w:type="dxa"/>
                  <w:tcBorders>
                    <w:tl2br w:val="nil"/>
                    <w:tr2bl w:val="nil"/>
                  </w:tcBorders>
                  <w:shd w:val="clear" w:color="auto" w:fill="FFFFFF"/>
                  <w:vAlign w:val="center"/>
                </w:tcPr>
                <w:p w14:paraId="65D4E75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275F7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309" w:type="dxa"/>
                  <w:tcBorders>
                    <w:tl2br w:val="nil"/>
                    <w:tr2bl w:val="nil"/>
                  </w:tcBorders>
                  <w:shd w:val="clear" w:color="auto" w:fill="FFFFFF"/>
                  <w:vAlign w:val="center"/>
                </w:tcPr>
                <w:p w14:paraId="05E944A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北侧</w:t>
                  </w:r>
                </w:p>
              </w:tc>
              <w:tc>
                <w:tcPr>
                  <w:tcW w:w="1512" w:type="dxa"/>
                  <w:tcBorders>
                    <w:tl2br w:val="nil"/>
                    <w:tr2bl w:val="nil"/>
                  </w:tcBorders>
                  <w:shd w:val="clear" w:color="auto" w:fill="FFFFFF"/>
                  <w:vAlign w:val="center"/>
                </w:tcPr>
                <w:p w14:paraId="11F9FF1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692" w:type="dxa"/>
                  <w:tcBorders>
                    <w:tl2br w:val="nil"/>
                    <w:tr2bl w:val="nil"/>
                  </w:tcBorders>
                  <w:shd w:val="clear" w:color="auto" w:fill="FFFFFF"/>
                  <w:vAlign w:val="center"/>
                </w:tcPr>
                <w:p w14:paraId="0DF04CF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59.2</w:t>
                  </w:r>
                </w:p>
              </w:tc>
              <w:tc>
                <w:tcPr>
                  <w:tcW w:w="1848" w:type="dxa"/>
                  <w:tcBorders>
                    <w:tl2br w:val="nil"/>
                    <w:tr2bl w:val="nil"/>
                  </w:tcBorders>
                  <w:shd w:val="clear" w:color="auto" w:fill="FFFFFF"/>
                  <w:vAlign w:val="center"/>
                </w:tcPr>
                <w:p w14:paraId="32C62F7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502" w:type="dxa"/>
                  <w:tcBorders>
                    <w:tl2br w:val="nil"/>
                    <w:tr2bl w:val="nil"/>
                  </w:tcBorders>
                  <w:shd w:val="clear" w:color="auto" w:fill="FFFFFF"/>
                  <w:vAlign w:val="center"/>
                </w:tcPr>
                <w:p w14:paraId="430232E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bl>
          <w:p w14:paraId="132F0E28">
            <w:pPr>
              <w:adjustRightInd w:val="0"/>
              <w:spacing w:before="120" w:beforeLines="5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32"/>
                <w:highlight w:val="none"/>
              </w:rPr>
              <w:t>由上分析可以看出，本项目噪声源经隔声、设备基础减振等措施后，厂界噪声</w:t>
            </w:r>
            <w:r>
              <w:rPr>
                <w:rFonts w:hint="eastAsia" w:cs="Times New Roman"/>
                <w:color w:val="auto"/>
                <w:sz w:val="24"/>
                <w:szCs w:val="32"/>
                <w:highlight w:val="none"/>
                <w:lang w:val="en-US" w:eastAsia="zh-CN"/>
              </w:rPr>
              <w:t>贡献值</w:t>
            </w:r>
            <w:r>
              <w:rPr>
                <w:rFonts w:hint="default" w:ascii="Times New Roman" w:hAnsi="Times New Roman" w:eastAsia="宋体" w:cs="Times New Roman"/>
                <w:color w:val="auto"/>
                <w:sz w:val="24"/>
                <w:szCs w:val="32"/>
                <w:highlight w:val="none"/>
              </w:rPr>
              <w:t>符合《工业企业厂界环境噪声排放标准》（GB12348－2008）中3类标准的限值的要求</w:t>
            </w:r>
            <w:r>
              <w:rPr>
                <w:rFonts w:hint="default" w:ascii="Times New Roman" w:hAnsi="Times New Roman" w:eastAsia="宋体" w:cs="Times New Roman"/>
                <w:color w:val="auto"/>
                <w:sz w:val="24"/>
                <w:highlight w:val="none"/>
              </w:rPr>
              <w:t>。</w:t>
            </w:r>
          </w:p>
          <w:p w14:paraId="67BDD1D4">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噪声监测计划</w:t>
            </w:r>
          </w:p>
          <w:p w14:paraId="36989B06">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本项目噪声监测计划详见下表。</w:t>
            </w:r>
          </w:p>
          <w:p w14:paraId="6EFE4AE9">
            <w:pPr>
              <w:numPr>
                <w:ilvl w:val="0"/>
                <w:numId w:val="17"/>
              </w:numPr>
              <w:adjustRightInd w:val="0"/>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项目噪声监测计划</w:t>
            </w:r>
          </w:p>
          <w:tbl>
            <w:tblPr>
              <w:tblStyle w:val="11"/>
              <w:tblW w:w="8027"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368"/>
              <w:gridCol w:w="2112"/>
              <w:gridCol w:w="1620"/>
              <w:gridCol w:w="1711"/>
            </w:tblGrid>
            <w:tr w14:paraId="516614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7" w:type="pct"/>
                  <w:tcBorders>
                    <w:tl2br w:val="nil"/>
                    <w:tr2bl w:val="nil"/>
                  </w:tcBorders>
                  <w:vAlign w:val="center"/>
                </w:tcPr>
                <w:p w14:paraId="727F2BB9">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时段</w:t>
                  </w:r>
                </w:p>
              </w:tc>
              <w:tc>
                <w:tcPr>
                  <w:tcW w:w="852" w:type="pct"/>
                  <w:tcBorders>
                    <w:tl2br w:val="nil"/>
                    <w:tr2bl w:val="nil"/>
                  </w:tcBorders>
                  <w:vAlign w:val="center"/>
                </w:tcPr>
                <w:p w14:paraId="357627AF">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监测内容</w:t>
                  </w:r>
                </w:p>
              </w:tc>
              <w:tc>
                <w:tcPr>
                  <w:tcW w:w="1315" w:type="pct"/>
                  <w:tcBorders>
                    <w:tl2br w:val="nil"/>
                    <w:tr2bl w:val="nil"/>
                  </w:tcBorders>
                  <w:vAlign w:val="center"/>
                </w:tcPr>
                <w:p w14:paraId="5711824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监测指标</w:t>
                  </w:r>
                </w:p>
              </w:tc>
              <w:tc>
                <w:tcPr>
                  <w:tcW w:w="1009" w:type="pct"/>
                  <w:tcBorders>
                    <w:tl2br w:val="nil"/>
                    <w:tr2bl w:val="nil"/>
                  </w:tcBorders>
                  <w:vAlign w:val="center"/>
                </w:tcPr>
                <w:p w14:paraId="3FC3B824">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监测点位</w:t>
                  </w:r>
                </w:p>
              </w:tc>
              <w:tc>
                <w:tcPr>
                  <w:tcW w:w="1065" w:type="pct"/>
                  <w:tcBorders>
                    <w:tl2br w:val="nil"/>
                    <w:tr2bl w:val="nil"/>
                  </w:tcBorders>
                  <w:vAlign w:val="center"/>
                </w:tcPr>
                <w:p w14:paraId="593FA6D4">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监测频次</w:t>
                  </w:r>
                </w:p>
              </w:tc>
            </w:tr>
            <w:tr w14:paraId="583923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7" w:type="pct"/>
                  <w:tcBorders>
                    <w:tl2br w:val="nil"/>
                    <w:tr2bl w:val="nil"/>
                  </w:tcBorders>
                  <w:vAlign w:val="center"/>
                </w:tcPr>
                <w:p w14:paraId="2320A07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运营期</w:t>
                  </w:r>
                </w:p>
              </w:tc>
              <w:tc>
                <w:tcPr>
                  <w:tcW w:w="852" w:type="pct"/>
                  <w:tcBorders>
                    <w:tl2br w:val="nil"/>
                    <w:tr2bl w:val="nil"/>
                  </w:tcBorders>
                  <w:vAlign w:val="center"/>
                </w:tcPr>
                <w:p w14:paraId="4AB7D5F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315" w:type="pct"/>
                  <w:tcBorders>
                    <w:tl2br w:val="nil"/>
                    <w:tr2bl w:val="nil"/>
                  </w:tcBorders>
                  <w:vAlign w:val="center"/>
                </w:tcPr>
                <w:p w14:paraId="07D5E5C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等效连续A声级</w:t>
                  </w:r>
                </w:p>
              </w:tc>
              <w:tc>
                <w:tcPr>
                  <w:tcW w:w="1009" w:type="pct"/>
                  <w:tcBorders>
                    <w:tl2br w:val="nil"/>
                    <w:tr2bl w:val="nil"/>
                  </w:tcBorders>
                  <w:vAlign w:val="center"/>
                </w:tcPr>
                <w:p w14:paraId="23E8717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厂界外1m处</w:t>
                  </w:r>
                </w:p>
              </w:tc>
              <w:tc>
                <w:tcPr>
                  <w:tcW w:w="1065" w:type="pct"/>
                  <w:tcBorders>
                    <w:tl2br w:val="nil"/>
                    <w:tr2bl w:val="nil"/>
                  </w:tcBorders>
                  <w:vAlign w:val="center"/>
                </w:tcPr>
                <w:p w14:paraId="3EA4E49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每季度1次</w:t>
                  </w:r>
                </w:p>
              </w:tc>
            </w:tr>
          </w:tbl>
          <w:p w14:paraId="1599F3EE">
            <w:pPr>
              <w:adjustRightInd w:val="0"/>
              <w:snapToGrid w:val="0"/>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Cs/>
                <w:color w:val="auto"/>
                <w:spacing w:val="-10"/>
                <w:szCs w:val="21"/>
                <w:highlight w:val="none"/>
              </w:rPr>
              <w:t>（注：</w:t>
            </w:r>
            <w:r>
              <w:rPr>
                <w:rFonts w:hint="default" w:ascii="Times New Roman" w:hAnsi="Times New Roman" w:eastAsia="宋体" w:cs="Times New Roman"/>
                <w:bCs/>
                <w:color w:val="auto"/>
                <w:szCs w:val="21"/>
                <w:highlight w:val="none"/>
              </w:rPr>
              <w:t>噪声监测计划参照《</w:t>
            </w:r>
            <w:r>
              <w:rPr>
                <w:rFonts w:hint="default" w:ascii="Times New Roman" w:hAnsi="Times New Roman" w:eastAsia="宋体" w:cs="Times New Roman"/>
                <w:bCs/>
                <w:color w:val="auto"/>
                <w:szCs w:val="21"/>
                <w:highlight w:val="none"/>
                <w:lang w:val="ru-RU"/>
              </w:rPr>
              <w:t>排污单位自行监测技术指南 总则</w:t>
            </w:r>
            <w:r>
              <w:rPr>
                <w:rFonts w:hint="default" w:ascii="Times New Roman" w:hAnsi="Times New Roman" w:eastAsia="宋体" w:cs="Times New Roman"/>
                <w:bCs/>
                <w:color w:val="auto"/>
                <w:szCs w:val="21"/>
                <w:highlight w:val="none"/>
              </w:rPr>
              <w:t>》（HJ819-2017）</w:t>
            </w:r>
            <w:r>
              <w:rPr>
                <w:rFonts w:hint="default" w:ascii="Times New Roman" w:hAnsi="Times New Roman" w:eastAsia="宋体" w:cs="Times New Roman"/>
                <w:bCs/>
                <w:color w:val="auto"/>
                <w:spacing w:val="-10"/>
                <w:szCs w:val="21"/>
                <w:highlight w:val="none"/>
              </w:rPr>
              <w:t>）</w:t>
            </w:r>
          </w:p>
          <w:p w14:paraId="3AA8BBBB">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b/>
                <w:bCs/>
                <w:color w:val="auto"/>
                <w:lang w:val="en-US" w:eastAsia="zh-CN"/>
              </w:rPr>
              <w:t>4、固体废物环境影响分析</w:t>
            </w:r>
          </w:p>
          <w:p w14:paraId="0F410656">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（1）污染源强分析</w:t>
            </w:r>
          </w:p>
          <w:p w14:paraId="0147DB0E">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项目营运过程中产生的固废主要有：一般工业固体废物、危险废物、生活垃圾。</w:t>
            </w:r>
          </w:p>
          <w:p w14:paraId="078AE308">
            <w:pPr>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rFonts w:hint="eastAsia"/>
                <w:color w:val="auto"/>
                <w:lang w:val="en-US" w:eastAsia="zh-CN"/>
              </w:rPr>
            </w:pPr>
            <w:r>
              <w:rPr>
                <w:rFonts w:hint="eastAsia"/>
                <w:color w:val="auto"/>
                <w:lang w:val="en-US" w:eastAsia="zh-CN"/>
              </w:rPr>
              <w:t>一般工业固体废物</w:t>
            </w:r>
          </w:p>
          <w:p w14:paraId="21A8F021">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项目营运过程中产生的一般工业固体废物为在原辅料脱包过程中产生的未沾染试剂的废包装材料，产生量约0.5t/a，统一收集委托一般工业固体废物回收单位回收处置。</w:t>
            </w:r>
          </w:p>
          <w:p w14:paraId="2039D8AA">
            <w:pPr>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生活垃圾</w:t>
            </w:r>
          </w:p>
          <w:p w14:paraId="60E2BC00">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eastAsia="宋体"/>
                <w:color w:val="auto"/>
                <w:lang w:val="en-US" w:eastAsia="zh-CN"/>
              </w:rPr>
              <w:t>本</w:t>
            </w:r>
            <w:r>
              <w:rPr>
                <w:rFonts w:hint="default" w:eastAsia="宋体"/>
                <w:color w:val="auto"/>
                <w:lang w:val="en-US" w:eastAsia="zh-CN"/>
              </w:rPr>
              <w:t>项目</w:t>
            </w:r>
            <w:r>
              <w:rPr>
                <w:rFonts w:hint="eastAsia" w:eastAsia="宋体"/>
                <w:color w:val="auto"/>
                <w:lang w:val="en-US" w:eastAsia="zh-CN"/>
              </w:rPr>
              <w:t>员工10</w:t>
            </w:r>
            <w:r>
              <w:rPr>
                <w:rFonts w:hint="default" w:eastAsia="宋体"/>
                <w:color w:val="auto"/>
                <w:lang w:val="en-US" w:eastAsia="zh-CN"/>
              </w:rPr>
              <w:t>人，生活垃圾产生量按0.5kg/人•d计，拟建项目年工作2</w:t>
            </w:r>
            <w:r>
              <w:rPr>
                <w:rFonts w:hint="eastAsia" w:eastAsia="宋体"/>
                <w:color w:val="auto"/>
                <w:lang w:val="en-US" w:eastAsia="zh-CN"/>
              </w:rPr>
              <w:t>50</w:t>
            </w:r>
            <w:r>
              <w:rPr>
                <w:rFonts w:hint="default" w:eastAsia="宋体"/>
                <w:color w:val="auto"/>
                <w:lang w:val="en-US" w:eastAsia="zh-CN"/>
              </w:rPr>
              <w:t>d/a，则生活垃圾产生量为</w:t>
            </w:r>
            <w:r>
              <w:rPr>
                <w:rFonts w:hint="eastAsia" w:eastAsia="宋体"/>
                <w:color w:val="auto"/>
                <w:lang w:val="en-US" w:eastAsia="zh-CN"/>
              </w:rPr>
              <w:t xml:space="preserve">1.25 </w:t>
            </w:r>
            <w:r>
              <w:rPr>
                <w:rFonts w:hint="default" w:eastAsia="宋体"/>
                <w:color w:val="auto"/>
                <w:lang w:val="en-US" w:eastAsia="zh-CN"/>
              </w:rPr>
              <w:t>t/a。生活垃圾分类收集后，由当地环卫部门定期清运。</w:t>
            </w:r>
          </w:p>
          <w:p w14:paraId="70359655">
            <w:pPr>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rFonts w:hint="eastAsia"/>
                <w:color w:val="auto"/>
                <w:lang w:val="en-US" w:eastAsia="zh-CN"/>
              </w:rPr>
            </w:pPr>
            <w:r>
              <w:rPr>
                <w:rFonts w:hint="eastAsia"/>
                <w:color w:val="auto"/>
                <w:lang w:val="en-US" w:eastAsia="zh-CN"/>
              </w:rPr>
              <w:t>危险废物</w:t>
            </w:r>
          </w:p>
          <w:p w14:paraId="05C9370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lang w:val="en-US" w:eastAsia="zh-CN"/>
              </w:rPr>
            </w:pPr>
            <w:r>
              <w:rPr>
                <w:rFonts w:hint="eastAsia" w:eastAsia="宋体"/>
                <w:color w:val="auto"/>
                <w:lang w:val="en-US" w:eastAsia="zh-CN"/>
              </w:rPr>
              <w:t>项目营运过程中产生的危险废物有：实验废液、容器前两遍清洗废液、废试剂瓶、废一次性实验耗材。</w:t>
            </w:r>
          </w:p>
          <w:p w14:paraId="00D4FE9A">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eastAsia="宋体"/>
                <w:color w:val="auto"/>
                <w:lang w:val="en-US" w:eastAsia="zh-CN"/>
              </w:rPr>
              <w:t xml:space="preserve">根据企业提供的原辅材料用量、水平衡分析，综合分析核算本项目危险废物产生量：实验废液0.1 </w:t>
            </w:r>
            <w:r>
              <w:rPr>
                <w:rFonts w:hint="default" w:eastAsia="宋体"/>
                <w:color w:val="auto"/>
                <w:lang w:val="en-US" w:eastAsia="zh-CN"/>
              </w:rPr>
              <w:t>t/a</w:t>
            </w:r>
            <w:r>
              <w:rPr>
                <w:rFonts w:hint="eastAsia" w:eastAsia="宋体"/>
                <w:color w:val="auto"/>
                <w:lang w:val="en-US" w:eastAsia="zh-CN"/>
              </w:rPr>
              <w:t>、容器前两遍清洗废液0.45</w:t>
            </w:r>
            <w:r>
              <w:rPr>
                <w:rFonts w:hint="default" w:eastAsia="宋体"/>
                <w:color w:val="auto"/>
                <w:lang w:val="en-US" w:eastAsia="zh-CN"/>
              </w:rPr>
              <w:t>t/a、</w:t>
            </w:r>
            <w:r>
              <w:rPr>
                <w:rFonts w:hint="eastAsia" w:eastAsia="宋体"/>
                <w:color w:val="auto"/>
                <w:lang w:val="en-US" w:eastAsia="zh-CN"/>
              </w:rPr>
              <w:t xml:space="preserve">废试剂瓶0.1 </w:t>
            </w:r>
            <w:r>
              <w:rPr>
                <w:rFonts w:hint="default" w:eastAsia="宋体"/>
                <w:color w:val="auto"/>
                <w:lang w:val="en-US" w:eastAsia="zh-CN"/>
              </w:rPr>
              <w:t>t/a、废一次性</w:t>
            </w:r>
            <w:r>
              <w:rPr>
                <w:rFonts w:hint="eastAsia" w:eastAsia="宋体"/>
                <w:color w:val="auto"/>
                <w:lang w:val="en-US" w:eastAsia="zh-CN"/>
              </w:rPr>
              <w:t>实验</w:t>
            </w:r>
            <w:r>
              <w:rPr>
                <w:rFonts w:hint="default" w:eastAsia="宋体"/>
                <w:color w:val="auto"/>
                <w:lang w:val="en-US" w:eastAsia="zh-CN"/>
              </w:rPr>
              <w:t>耗材</w:t>
            </w:r>
            <w:r>
              <w:rPr>
                <w:rFonts w:hint="eastAsia" w:eastAsia="宋体"/>
                <w:color w:val="auto"/>
                <w:lang w:val="en-US" w:eastAsia="zh-CN"/>
              </w:rPr>
              <w:t>0.05</w:t>
            </w:r>
            <w:r>
              <w:rPr>
                <w:rFonts w:hint="default" w:eastAsia="宋体"/>
                <w:color w:val="auto"/>
                <w:lang w:val="en-US" w:eastAsia="zh-CN"/>
              </w:rPr>
              <w:t>t/a。</w:t>
            </w:r>
          </w:p>
          <w:p w14:paraId="0E593A83">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lang w:val="en-US" w:eastAsia="zh-CN"/>
              </w:rPr>
            </w:pPr>
            <w:r>
              <w:rPr>
                <w:rFonts w:hint="default" w:eastAsia="宋体"/>
                <w:color w:val="auto"/>
                <w:lang w:val="en-US" w:eastAsia="zh-CN"/>
              </w:rPr>
              <w:t>本项目产生的固体废物见下表。</w:t>
            </w:r>
          </w:p>
          <w:p w14:paraId="22B600AF">
            <w:pPr>
              <w:numPr>
                <w:ilvl w:val="0"/>
                <w:numId w:val="17"/>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项目</w:t>
            </w:r>
            <w:r>
              <w:rPr>
                <w:rFonts w:hint="default" w:ascii="Times New Roman" w:hAnsi="Times New Roman" w:eastAsia="宋体" w:cs="Times New Roman"/>
                <w:b/>
                <w:color w:val="auto"/>
                <w:sz w:val="24"/>
                <w:highlight w:val="none"/>
                <w:lang w:val="en-US" w:eastAsia="zh-CN"/>
              </w:rPr>
              <w:t>固体</w:t>
            </w:r>
            <w:r>
              <w:rPr>
                <w:rFonts w:hint="eastAsia" w:cs="Times New Roman"/>
                <w:b/>
                <w:color w:val="auto"/>
                <w:sz w:val="24"/>
                <w:highlight w:val="none"/>
                <w:lang w:val="en-US" w:eastAsia="zh-CN"/>
              </w:rPr>
              <w:t>废物</w:t>
            </w:r>
            <w:r>
              <w:rPr>
                <w:rFonts w:hint="default" w:ascii="Times New Roman" w:hAnsi="Times New Roman" w:eastAsia="宋体" w:cs="Times New Roman"/>
                <w:b/>
                <w:color w:val="auto"/>
                <w:sz w:val="24"/>
                <w:highlight w:val="none"/>
              </w:rPr>
              <w:t>产生情况一览表</w:t>
            </w:r>
          </w:p>
          <w:tbl>
            <w:tblPr>
              <w:tblStyle w:val="11"/>
              <w:tblW w:w="498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0"/>
              <w:gridCol w:w="919"/>
              <w:gridCol w:w="778"/>
              <w:gridCol w:w="1151"/>
              <w:gridCol w:w="840"/>
              <w:gridCol w:w="890"/>
              <w:gridCol w:w="941"/>
              <w:gridCol w:w="865"/>
              <w:gridCol w:w="1030"/>
            </w:tblGrid>
            <w:tr w14:paraId="799191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0" w:hRule="atLeast"/>
                <w:jc w:val="center"/>
              </w:trPr>
              <w:tc>
                <w:tcPr>
                  <w:tcW w:w="368" w:type="pct"/>
                  <w:tcBorders>
                    <w:tl2br w:val="nil"/>
                    <w:tr2bl w:val="nil"/>
                  </w:tcBorders>
                  <w:vAlign w:val="center"/>
                </w:tcPr>
                <w:p w14:paraId="535EC5C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序号</w:t>
                  </w:r>
                </w:p>
              </w:tc>
              <w:tc>
                <w:tcPr>
                  <w:tcW w:w="574" w:type="pct"/>
                  <w:tcBorders>
                    <w:tl2br w:val="nil"/>
                    <w:tr2bl w:val="nil"/>
                  </w:tcBorders>
                  <w:vAlign w:val="center"/>
                </w:tcPr>
                <w:p w14:paraId="29C9C4FA">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名称</w:t>
                  </w:r>
                </w:p>
              </w:tc>
              <w:tc>
                <w:tcPr>
                  <w:tcW w:w="486" w:type="pct"/>
                  <w:tcBorders>
                    <w:tl2br w:val="nil"/>
                    <w:tr2bl w:val="nil"/>
                  </w:tcBorders>
                  <w:vAlign w:val="center"/>
                </w:tcPr>
                <w:p w14:paraId="0CA5341D">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危险废物类别</w:t>
                  </w:r>
                </w:p>
              </w:tc>
              <w:tc>
                <w:tcPr>
                  <w:tcW w:w="719" w:type="pct"/>
                  <w:tcBorders>
                    <w:tl2br w:val="nil"/>
                    <w:tr2bl w:val="nil"/>
                  </w:tcBorders>
                  <w:vAlign w:val="center"/>
                </w:tcPr>
                <w:p w14:paraId="640231EB">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en-US" w:eastAsia="zh-CN"/>
                    </w:rPr>
                    <w:t>固体</w:t>
                  </w:r>
                  <w:r>
                    <w:rPr>
                      <w:rFonts w:hint="default" w:ascii="Times New Roman" w:hAnsi="Times New Roman" w:eastAsia="宋体" w:cs="Times New Roman"/>
                      <w:b/>
                      <w:bCs/>
                      <w:color w:val="auto"/>
                      <w:sz w:val="21"/>
                      <w:szCs w:val="21"/>
                      <w:highlight w:val="none"/>
                      <w:vertAlign w:val="baseline"/>
                      <w:lang w:val="zh-CN"/>
                    </w:rPr>
                    <w:t>废物</w:t>
                  </w:r>
                </w:p>
                <w:p w14:paraId="2F9357DB">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代码</w:t>
                  </w:r>
                </w:p>
              </w:tc>
              <w:tc>
                <w:tcPr>
                  <w:tcW w:w="524" w:type="pct"/>
                  <w:tcBorders>
                    <w:tl2br w:val="nil"/>
                    <w:tr2bl w:val="nil"/>
                  </w:tcBorders>
                  <w:vAlign w:val="center"/>
                </w:tcPr>
                <w:p w14:paraId="48DFF4C9">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形态</w:t>
                  </w:r>
                </w:p>
              </w:tc>
              <w:tc>
                <w:tcPr>
                  <w:tcW w:w="555" w:type="pct"/>
                  <w:tcBorders>
                    <w:tl2br w:val="nil"/>
                    <w:tr2bl w:val="nil"/>
                  </w:tcBorders>
                  <w:vAlign w:val="center"/>
                </w:tcPr>
                <w:p w14:paraId="4F27DB7C">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危险</w:t>
                  </w:r>
                </w:p>
                <w:p w14:paraId="624FD84C">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特性</w:t>
                  </w:r>
                </w:p>
              </w:tc>
              <w:tc>
                <w:tcPr>
                  <w:tcW w:w="587" w:type="pct"/>
                  <w:tcBorders>
                    <w:tl2br w:val="nil"/>
                    <w:tr2bl w:val="nil"/>
                  </w:tcBorders>
                  <w:vAlign w:val="center"/>
                </w:tcPr>
                <w:p w14:paraId="5523F599">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产生量</w:t>
                  </w:r>
                </w:p>
                <w:p w14:paraId="4619F67E">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（吨/年）</w:t>
                  </w:r>
                </w:p>
              </w:tc>
              <w:tc>
                <w:tcPr>
                  <w:tcW w:w="540" w:type="pct"/>
                  <w:tcBorders>
                    <w:tl2br w:val="nil"/>
                    <w:tr2bl w:val="nil"/>
                  </w:tcBorders>
                  <w:vAlign w:val="center"/>
                </w:tcPr>
                <w:p w14:paraId="3D60FF9A">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产废</w:t>
                  </w:r>
                </w:p>
                <w:p w14:paraId="7680B3AF">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周期</w:t>
                  </w:r>
                </w:p>
              </w:tc>
              <w:tc>
                <w:tcPr>
                  <w:tcW w:w="643" w:type="pct"/>
                  <w:tcBorders>
                    <w:tl2br w:val="nil"/>
                    <w:tr2bl w:val="nil"/>
                  </w:tcBorders>
                  <w:vAlign w:val="center"/>
                </w:tcPr>
                <w:p w14:paraId="556CFF07">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污染防治</w:t>
                  </w:r>
                </w:p>
                <w:p w14:paraId="60D0AF88">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措施</w:t>
                  </w:r>
                </w:p>
              </w:tc>
            </w:tr>
            <w:tr w14:paraId="314BE3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5000" w:type="pct"/>
                  <w:gridSpan w:val="9"/>
                  <w:tcBorders>
                    <w:tl2br w:val="nil"/>
                    <w:tr2bl w:val="nil"/>
                  </w:tcBorders>
                  <w:vAlign w:val="center"/>
                </w:tcPr>
                <w:p w14:paraId="669341F9">
                  <w:pPr>
                    <w:numPr>
                      <w:ilvl w:val="0"/>
                      <w:numId w:val="0"/>
                    </w:numPr>
                    <w:adjustRightInd w:val="0"/>
                    <w:snapToGrid w:val="0"/>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危险废物</w:t>
                  </w:r>
                </w:p>
              </w:tc>
            </w:tr>
            <w:tr w14:paraId="40B4E0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5485947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574" w:type="pct"/>
                  <w:tcBorders>
                    <w:tl2br w:val="nil"/>
                    <w:tr2bl w:val="nil"/>
                  </w:tcBorders>
                  <w:shd w:val="clear" w:color="auto" w:fill="auto"/>
                  <w:vAlign w:val="center"/>
                </w:tcPr>
                <w:p w14:paraId="72A3FFB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实验废液</w:t>
                  </w:r>
                </w:p>
              </w:tc>
              <w:tc>
                <w:tcPr>
                  <w:tcW w:w="486" w:type="pct"/>
                  <w:tcBorders>
                    <w:tl2br w:val="nil"/>
                    <w:tr2bl w:val="nil"/>
                  </w:tcBorders>
                  <w:shd w:val="clear" w:color="auto" w:fill="auto"/>
                  <w:vAlign w:val="center"/>
                </w:tcPr>
                <w:p w14:paraId="0C98AB6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HW49</w:t>
                  </w:r>
                </w:p>
              </w:tc>
              <w:tc>
                <w:tcPr>
                  <w:tcW w:w="719" w:type="pct"/>
                  <w:tcBorders>
                    <w:tl2br w:val="nil"/>
                    <w:tr2bl w:val="nil"/>
                  </w:tcBorders>
                  <w:shd w:val="clear" w:color="auto" w:fill="auto"/>
                  <w:vAlign w:val="center"/>
                </w:tcPr>
                <w:p w14:paraId="329B9D9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900-04</w:t>
                  </w:r>
                  <w:r>
                    <w:rPr>
                      <w:rFonts w:hint="eastAsia" w:ascii="Times New Roman" w:hAnsi="Times New Roman" w:eastAsia="宋体" w:cs="Times New Roman"/>
                      <w:color w:val="auto"/>
                      <w:sz w:val="21"/>
                      <w:szCs w:val="21"/>
                      <w:highlight w:val="none"/>
                      <w:vertAlign w:val="baseline"/>
                      <w:lang w:val="en-US" w:eastAsia="zh-CN"/>
                    </w:rPr>
                    <w:t>7</w:t>
                  </w:r>
                  <w:r>
                    <w:rPr>
                      <w:rFonts w:hint="default" w:ascii="Times New Roman" w:hAnsi="Times New Roman" w:eastAsia="宋体" w:cs="Times New Roman"/>
                      <w:color w:val="auto"/>
                      <w:sz w:val="21"/>
                      <w:szCs w:val="21"/>
                      <w:highlight w:val="none"/>
                      <w:vertAlign w:val="baseline"/>
                      <w:lang w:val="en-US" w:eastAsia="zh-CN"/>
                    </w:rPr>
                    <w:t>-49</w:t>
                  </w:r>
                </w:p>
              </w:tc>
              <w:tc>
                <w:tcPr>
                  <w:tcW w:w="524" w:type="pct"/>
                  <w:tcBorders>
                    <w:tl2br w:val="nil"/>
                    <w:tr2bl w:val="nil"/>
                  </w:tcBorders>
                  <w:shd w:val="clear" w:color="auto" w:fill="auto"/>
                  <w:vAlign w:val="center"/>
                </w:tcPr>
                <w:p w14:paraId="27872E9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液</w:t>
                  </w:r>
                  <w:r>
                    <w:rPr>
                      <w:rFonts w:hint="default" w:ascii="Times New Roman" w:hAnsi="Times New Roman" w:eastAsia="宋体" w:cs="Times New Roman"/>
                      <w:color w:val="auto"/>
                      <w:sz w:val="21"/>
                      <w:szCs w:val="21"/>
                      <w:highlight w:val="none"/>
                      <w:vertAlign w:val="baseline"/>
                      <w:lang w:val="en-US" w:eastAsia="zh-CN"/>
                    </w:rPr>
                    <w:t>态</w:t>
                  </w:r>
                </w:p>
              </w:tc>
              <w:tc>
                <w:tcPr>
                  <w:tcW w:w="555" w:type="pct"/>
                  <w:tcBorders>
                    <w:tl2br w:val="nil"/>
                    <w:tr2bl w:val="nil"/>
                  </w:tcBorders>
                  <w:shd w:val="clear" w:color="auto" w:fill="auto"/>
                  <w:vAlign w:val="center"/>
                </w:tcPr>
                <w:p w14:paraId="1231E8B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T/C/I/R</w:t>
                  </w:r>
                </w:p>
              </w:tc>
              <w:tc>
                <w:tcPr>
                  <w:tcW w:w="587" w:type="pct"/>
                  <w:tcBorders>
                    <w:tl2br w:val="nil"/>
                    <w:tr2bl w:val="nil"/>
                  </w:tcBorders>
                  <w:shd w:val="clear" w:color="auto" w:fill="auto"/>
                  <w:vAlign w:val="center"/>
                </w:tcPr>
                <w:p w14:paraId="74D9648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0.1</w:t>
                  </w:r>
                </w:p>
              </w:tc>
              <w:tc>
                <w:tcPr>
                  <w:tcW w:w="540" w:type="pct"/>
                  <w:tcBorders>
                    <w:tl2br w:val="nil"/>
                    <w:tr2bl w:val="nil"/>
                  </w:tcBorders>
                  <w:shd w:val="clear" w:color="auto" w:fill="auto"/>
                  <w:vAlign w:val="center"/>
                </w:tcPr>
                <w:p w14:paraId="687AB69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每天</w:t>
                  </w:r>
                </w:p>
              </w:tc>
              <w:tc>
                <w:tcPr>
                  <w:tcW w:w="643" w:type="pct"/>
                  <w:vMerge w:val="restart"/>
                  <w:tcBorders>
                    <w:tl2br w:val="nil"/>
                    <w:tr2bl w:val="nil"/>
                  </w:tcBorders>
                  <w:vAlign w:val="center"/>
                </w:tcPr>
                <w:p w14:paraId="5BABEA8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统一收集后暂存于危险废物暂存间，定期交</w:t>
                  </w:r>
                  <w:r>
                    <w:rPr>
                      <w:rFonts w:hint="eastAsia" w:ascii="Times New Roman" w:hAnsi="Times New Roman" w:eastAsia="宋体" w:cs="Times New Roman"/>
                      <w:color w:val="auto"/>
                      <w:sz w:val="21"/>
                      <w:szCs w:val="21"/>
                      <w:highlight w:val="none"/>
                      <w:vertAlign w:val="baseline"/>
                      <w:lang w:val="en-US" w:eastAsia="zh-CN"/>
                    </w:rPr>
                    <w:t>资质单位</w:t>
                  </w:r>
                  <w:r>
                    <w:rPr>
                      <w:rFonts w:hint="default" w:ascii="Times New Roman" w:hAnsi="Times New Roman" w:eastAsia="宋体" w:cs="Times New Roman"/>
                      <w:color w:val="auto"/>
                      <w:sz w:val="21"/>
                      <w:szCs w:val="21"/>
                      <w:highlight w:val="none"/>
                      <w:vertAlign w:val="baseline"/>
                      <w:lang w:val="en-US" w:eastAsia="zh-CN"/>
                    </w:rPr>
                    <w:t>处置。</w:t>
                  </w:r>
                </w:p>
              </w:tc>
            </w:tr>
            <w:tr w14:paraId="0D6FA8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530BD17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574" w:type="pct"/>
                  <w:tcBorders>
                    <w:tl2br w:val="nil"/>
                    <w:tr2bl w:val="nil"/>
                  </w:tcBorders>
                  <w:shd w:val="clear" w:color="auto" w:fill="auto"/>
                  <w:vAlign w:val="center"/>
                </w:tcPr>
                <w:p w14:paraId="7719BF4F">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清洗废液</w:t>
                  </w:r>
                </w:p>
              </w:tc>
              <w:tc>
                <w:tcPr>
                  <w:tcW w:w="486" w:type="pct"/>
                  <w:tcBorders>
                    <w:tl2br w:val="nil"/>
                    <w:tr2bl w:val="nil"/>
                  </w:tcBorders>
                  <w:shd w:val="clear" w:color="auto" w:fill="auto"/>
                  <w:vAlign w:val="center"/>
                </w:tcPr>
                <w:p w14:paraId="35A8D6C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HW49</w:t>
                  </w:r>
                </w:p>
              </w:tc>
              <w:tc>
                <w:tcPr>
                  <w:tcW w:w="719" w:type="pct"/>
                  <w:tcBorders>
                    <w:tl2br w:val="nil"/>
                    <w:tr2bl w:val="nil"/>
                  </w:tcBorders>
                  <w:shd w:val="clear" w:color="auto" w:fill="auto"/>
                  <w:vAlign w:val="center"/>
                </w:tcPr>
                <w:p w14:paraId="1ED6237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900-047-49</w:t>
                  </w:r>
                </w:p>
              </w:tc>
              <w:tc>
                <w:tcPr>
                  <w:tcW w:w="524" w:type="pct"/>
                  <w:tcBorders>
                    <w:tl2br w:val="nil"/>
                    <w:tr2bl w:val="nil"/>
                  </w:tcBorders>
                  <w:shd w:val="clear" w:color="auto" w:fill="auto"/>
                  <w:vAlign w:val="center"/>
                </w:tcPr>
                <w:p w14:paraId="7279EDF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液态</w:t>
                  </w:r>
                </w:p>
              </w:tc>
              <w:tc>
                <w:tcPr>
                  <w:tcW w:w="555" w:type="pct"/>
                  <w:tcBorders>
                    <w:tl2br w:val="nil"/>
                    <w:tr2bl w:val="nil"/>
                  </w:tcBorders>
                  <w:shd w:val="clear" w:color="auto" w:fill="auto"/>
                  <w:vAlign w:val="center"/>
                </w:tcPr>
                <w:p w14:paraId="0FB31C1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T/C/I/R</w:t>
                  </w:r>
                </w:p>
              </w:tc>
              <w:tc>
                <w:tcPr>
                  <w:tcW w:w="587" w:type="pct"/>
                  <w:tcBorders>
                    <w:tl2br w:val="nil"/>
                    <w:tr2bl w:val="nil"/>
                  </w:tcBorders>
                  <w:shd w:val="clear" w:color="auto" w:fill="auto"/>
                  <w:vAlign w:val="center"/>
                </w:tcPr>
                <w:p w14:paraId="21306F6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0.45</w:t>
                  </w:r>
                </w:p>
              </w:tc>
              <w:tc>
                <w:tcPr>
                  <w:tcW w:w="540" w:type="pct"/>
                  <w:tcBorders>
                    <w:tl2br w:val="nil"/>
                    <w:tr2bl w:val="nil"/>
                  </w:tcBorders>
                  <w:shd w:val="clear" w:color="auto" w:fill="auto"/>
                  <w:vAlign w:val="center"/>
                </w:tcPr>
                <w:p w14:paraId="3065E23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每天</w:t>
                  </w:r>
                </w:p>
              </w:tc>
              <w:tc>
                <w:tcPr>
                  <w:tcW w:w="643" w:type="pct"/>
                  <w:vMerge w:val="continue"/>
                  <w:tcBorders>
                    <w:tl2br w:val="nil"/>
                    <w:tr2bl w:val="nil"/>
                  </w:tcBorders>
                  <w:vAlign w:val="center"/>
                </w:tcPr>
                <w:p w14:paraId="1A702B0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r w14:paraId="4284A4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2E886F9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w:t>
                  </w:r>
                </w:p>
              </w:tc>
              <w:tc>
                <w:tcPr>
                  <w:tcW w:w="574" w:type="pct"/>
                  <w:tcBorders>
                    <w:tl2br w:val="nil"/>
                    <w:tr2bl w:val="nil"/>
                  </w:tcBorders>
                  <w:shd w:val="clear" w:color="auto" w:fill="auto"/>
                  <w:vAlign w:val="center"/>
                </w:tcPr>
                <w:p w14:paraId="028F03ED">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废试剂瓶</w:t>
                  </w:r>
                </w:p>
              </w:tc>
              <w:tc>
                <w:tcPr>
                  <w:tcW w:w="486" w:type="pct"/>
                  <w:tcBorders>
                    <w:tl2br w:val="nil"/>
                    <w:tr2bl w:val="nil"/>
                  </w:tcBorders>
                  <w:shd w:val="clear" w:color="auto" w:fill="auto"/>
                  <w:vAlign w:val="center"/>
                </w:tcPr>
                <w:p w14:paraId="463211E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HW49</w:t>
                  </w:r>
                </w:p>
              </w:tc>
              <w:tc>
                <w:tcPr>
                  <w:tcW w:w="719" w:type="pct"/>
                  <w:tcBorders>
                    <w:tl2br w:val="nil"/>
                    <w:tr2bl w:val="nil"/>
                  </w:tcBorders>
                  <w:shd w:val="clear" w:color="auto" w:fill="auto"/>
                  <w:vAlign w:val="center"/>
                </w:tcPr>
                <w:p w14:paraId="0DA8CAD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900-047-49</w:t>
                  </w:r>
                </w:p>
              </w:tc>
              <w:tc>
                <w:tcPr>
                  <w:tcW w:w="524" w:type="pct"/>
                  <w:tcBorders>
                    <w:tl2br w:val="nil"/>
                    <w:tr2bl w:val="nil"/>
                  </w:tcBorders>
                  <w:shd w:val="clear" w:color="auto" w:fill="auto"/>
                  <w:vAlign w:val="center"/>
                </w:tcPr>
                <w:p w14:paraId="049EE65B">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液态</w:t>
                  </w:r>
                </w:p>
              </w:tc>
              <w:tc>
                <w:tcPr>
                  <w:tcW w:w="555" w:type="pct"/>
                  <w:tcBorders>
                    <w:tl2br w:val="nil"/>
                    <w:tr2bl w:val="nil"/>
                  </w:tcBorders>
                  <w:shd w:val="clear" w:color="auto" w:fill="auto"/>
                  <w:vAlign w:val="center"/>
                </w:tcPr>
                <w:p w14:paraId="631D964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T/C/I/R</w:t>
                  </w:r>
                </w:p>
              </w:tc>
              <w:tc>
                <w:tcPr>
                  <w:tcW w:w="587" w:type="pct"/>
                  <w:tcBorders>
                    <w:tl2br w:val="nil"/>
                    <w:tr2bl w:val="nil"/>
                  </w:tcBorders>
                  <w:shd w:val="clear" w:color="auto" w:fill="auto"/>
                  <w:vAlign w:val="center"/>
                </w:tcPr>
                <w:p w14:paraId="3C1B3C6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0.1</w:t>
                  </w:r>
                </w:p>
              </w:tc>
              <w:tc>
                <w:tcPr>
                  <w:tcW w:w="540" w:type="pct"/>
                  <w:tcBorders>
                    <w:tl2br w:val="nil"/>
                    <w:tr2bl w:val="nil"/>
                  </w:tcBorders>
                  <w:shd w:val="clear" w:color="auto" w:fill="auto"/>
                  <w:vAlign w:val="center"/>
                </w:tcPr>
                <w:p w14:paraId="0175DEA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每天</w:t>
                  </w:r>
                </w:p>
              </w:tc>
              <w:tc>
                <w:tcPr>
                  <w:tcW w:w="643" w:type="pct"/>
                  <w:vMerge w:val="continue"/>
                  <w:tcBorders>
                    <w:tl2br w:val="nil"/>
                    <w:tr2bl w:val="nil"/>
                  </w:tcBorders>
                  <w:vAlign w:val="center"/>
                </w:tcPr>
                <w:p w14:paraId="00A773A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r w14:paraId="388EA5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7C8FF9D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w:t>
                  </w:r>
                </w:p>
              </w:tc>
              <w:tc>
                <w:tcPr>
                  <w:tcW w:w="574" w:type="pct"/>
                  <w:tcBorders>
                    <w:tl2br w:val="nil"/>
                    <w:tr2bl w:val="nil"/>
                  </w:tcBorders>
                  <w:shd w:val="clear" w:color="auto" w:fill="auto"/>
                  <w:vAlign w:val="center"/>
                </w:tcPr>
                <w:p w14:paraId="49C15881">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废一次性耗材</w:t>
                  </w:r>
                </w:p>
              </w:tc>
              <w:tc>
                <w:tcPr>
                  <w:tcW w:w="486" w:type="pct"/>
                  <w:tcBorders>
                    <w:tl2br w:val="nil"/>
                    <w:tr2bl w:val="nil"/>
                  </w:tcBorders>
                  <w:shd w:val="clear" w:color="auto" w:fill="auto"/>
                  <w:vAlign w:val="center"/>
                </w:tcPr>
                <w:p w14:paraId="6681521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HW49</w:t>
                  </w:r>
                </w:p>
              </w:tc>
              <w:tc>
                <w:tcPr>
                  <w:tcW w:w="719" w:type="pct"/>
                  <w:tcBorders>
                    <w:tl2br w:val="nil"/>
                    <w:tr2bl w:val="nil"/>
                  </w:tcBorders>
                  <w:shd w:val="clear" w:color="auto" w:fill="auto"/>
                  <w:vAlign w:val="center"/>
                </w:tcPr>
                <w:p w14:paraId="5C47F5D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900-047-49</w:t>
                  </w:r>
                </w:p>
              </w:tc>
              <w:tc>
                <w:tcPr>
                  <w:tcW w:w="524" w:type="pct"/>
                  <w:tcBorders>
                    <w:tl2br w:val="nil"/>
                    <w:tr2bl w:val="nil"/>
                  </w:tcBorders>
                  <w:shd w:val="clear" w:color="auto" w:fill="auto"/>
                  <w:vAlign w:val="center"/>
                </w:tcPr>
                <w:p w14:paraId="590D078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固</w:t>
                  </w:r>
                  <w:r>
                    <w:rPr>
                      <w:rFonts w:hint="default" w:ascii="Times New Roman" w:hAnsi="Times New Roman" w:eastAsia="宋体" w:cs="Times New Roman"/>
                      <w:color w:val="auto"/>
                      <w:sz w:val="21"/>
                      <w:szCs w:val="21"/>
                      <w:highlight w:val="none"/>
                      <w:vertAlign w:val="baseline"/>
                      <w:lang w:val="en-US" w:eastAsia="zh-CN"/>
                    </w:rPr>
                    <w:t>态</w:t>
                  </w:r>
                </w:p>
              </w:tc>
              <w:tc>
                <w:tcPr>
                  <w:tcW w:w="555" w:type="pct"/>
                  <w:tcBorders>
                    <w:tl2br w:val="nil"/>
                    <w:tr2bl w:val="nil"/>
                  </w:tcBorders>
                  <w:shd w:val="clear" w:color="auto" w:fill="auto"/>
                  <w:vAlign w:val="center"/>
                </w:tcPr>
                <w:p w14:paraId="72DF1A3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T/C/I/R</w:t>
                  </w:r>
                </w:p>
              </w:tc>
              <w:tc>
                <w:tcPr>
                  <w:tcW w:w="587" w:type="pct"/>
                  <w:tcBorders>
                    <w:tl2br w:val="nil"/>
                    <w:tr2bl w:val="nil"/>
                  </w:tcBorders>
                  <w:shd w:val="clear" w:color="auto" w:fill="auto"/>
                  <w:vAlign w:val="center"/>
                </w:tcPr>
                <w:p w14:paraId="7E0DDBA4">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0.05</w:t>
                  </w:r>
                </w:p>
              </w:tc>
              <w:tc>
                <w:tcPr>
                  <w:tcW w:w="540" w:type="pct"/>
                  <w:tcBorders>
                    <w:tl2br w:val="nil"/>
                    <w:tr2bl w:val="nil"/>
                  </w:tcBorders>
                  <w:shd w:val="clear" w:color="auto" w:fill="auto"/>
                  <w:vAlign w:val="center"/>
                </w:tcPr>
                <w:p w14:paraId="5ACBD3B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每天</w:t>
                  </w:r>
                </w:p>
              </w:tc>
              <w:tc>
                <w:tcPr>
                  <w:tcW w:w="643" w:type="pct"/>
                  <w:vMerge w:val="continue"/>
                  <w:tcBorders>
                    <w:tl2br w:val="nil"/>
                    <w:tr2bl w:val="nil"/>
                  </w:tcBorders>
                  <w:vAlign w:val="center"/>
                </w:tcPr>
                <w:p w14:paraId="1FEEEC3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r w14:paraId="41023A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53C8209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574" w:type="pct"/>
                  <w:tcBorders>
                    <w:tl2br w:val="nil"/>
                    <w:tr2bl w:val="nil"/>
                  </w:tcBorders>
                  <w:shd w:val="clear" w:color="auto" w:fill="FFFFFF"/>
                  <w:vAlign w:val="center"/>
                </w:tcPr>
                <w:p w14:paraId="038B08AE">
                  <w:pPr>
                    <w:numPr>
                      <w:ilvl w:val="0"/>
                      <w:numId w:val="0"/>
                    </w:numPr>
                    <w:adjustRightInd w:val="0"/>
                    <w:snapToGrid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废过滤材料</w:t>
                  </w:r>
                </w:p>
              </w:tc>
              <w:tc>
                <w:tcPr>
                  <w:tcW w:w="486" w:type="pct"/>
                  <w:tcBorders>
                    <w:tl2br w:val="nil"/>
                    <w:tr2bl w:val="nil"/>
                  </w:tcBorders>
                  <w:shd w:val="clear" w:color="auto" w:fill="FFFFFF"/>
                  <w:vAlign w:val="center"/>
                </w:tcPr>
                <w:p w14:paraId="467B6BE2">
                  <w:pPr>
                    <w:numPr>
                      <w:ilvl w:val="0"/>
                      <w:numId w:val="0"/>
                    </w:numPr>
                    <w:adjustRightInd w:val="0"/>
                    <w:snapToGrid w:val="0"/>
                    <w:spacing w:line="240" w:lineRule="auto"/>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HW49</w:t>
                  </w:r>
                </w:p>
              </w:tc>
              <w:tc>
                <w:tcPr>
                  <w:tcW w:w="719" w:type="pct"/>
                  <w:tcBorders>
                    <w:tl2br w:val="nil"/>
                    <w:tr2bl w:val="nil"/>
                  </w:tcBorders>
                  <w:shd w:val="clear" w:color="auto" w:fill="FFFFFF"/>
                  <w:vAlign w:val="center"/>
                </w:tcPr>
                <w:p w14:paraId="0C1DE85F">
                  <w:pPr>
                    <w:numPr>
                      <w:ilvl w:val="0"/>
                      <w:numId w:val="0"/>
                    </w:numPr>
                    <w:adjustRightInd w:val="0"/>
                    <w:snapToGrid w:val="0"/>
                    <w:spacing w:line="240" w:lineRule="auto"/>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900-041-49</w:t>
                  </w:r>
                </w:p>
              </w:tc>
              <w:tc>
                <w:tcPr>
                  <w:tcW w:w="524" w:type="pct"/>
                  <w:tcBorders>
                    <w:tl2br w:val="nil"/>
                    <w:tr2bl w:val="nil"/>
                  </w:tcBorders>
                  <w:shd w:val="clear" w:color="auto" w:fill="auto"/>
                  <w:vAlign w:val="center"/>
                </w:tcPr>
                <w:p w14:paraId="2C62D844">
                  <w:pPr>
                    <w:numPr>
                      <w:ilvl w:val="0"/>
                      <w:numId w:val="0"/>
                    </w:numPr>
                    <w:adjustRightInd w:val="0"/>
                    <w:snapToGrid w:val="0"/>
                    <w:spacing w:line="240" w:lineRule="auto"/>
                    <w:ind w:left="0" w:lef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固</w:t>
                  </w:r>
                  <w:r>
                    <w:rPr>
                      <w:rFonts w:hint="default" w:cs="Times New Roman"/>
                      <w:color w:val="auto"/>
                      <w:sz w:val="21"/>
                      <w:szCs w:val="21"/>
                      <w:highlight w:val="none"/>
                      <w:vertAlign w:val="baseline"/>
                      <w:lang w:val="en-US" w:eastAsia="zh-CN"/>
                    </w:rPr>
                    <w:t>态</w:t>
                  </w:r>
                </w:p>
              </w:tc>
              <w:tc>
                <w:tcPr>
                  <w:tcW w:w="555" w:type="pct"/>
                  <w:tcBorders>
                    <w:tl2br w:val="nil"/>
                    <w:tr2bl w:val="nil"/>
                  </w:tcBorders>
                  <w:shd w:val="clear" w:color="auto" w:fill="auto"/>
                  <w:vAlign w:val="center"/>
                </w:tcPr>
                <w:p w14:paraId="5C6AB5BD">
                  <w:pPr>
                    <w:numPr>
                      <w:ilvl w:val="0"/>
                      <w:numId w:val="0"/>
                    </w:numPr>
                    <w:adjustRightInd w:val="0"/>
                    <w:snapToGrid w:val="0"/>
                    <w:spacing w:line="240" w:lineRule="auto"/>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T/In</w:t>
                  </w:r>
                </w:p>
              </w:tc>
              <w:tc>
                <w:tcPr>
                  <w:tcW w:w="587" w:type="pct"/>
                  <w:tcBorders>
                    <w:tl2br w:val="nil"/>
                    <w:tr2bl w:val="nil"/>
                  </w:tcBorders>
                  <w:shd w:val="clear" w:color="auto" w:fill="auto"/>
                  <w:vAlign w:val="center"/>
                </w:tcPr>
                <w:p w14:paraId="6459EA17">
                  <w:pPr>
                    <w:numPr>
                      <w:ilvl w:val="0"/>
                      <w:numId w:val="0"/>
                    </w:numPr>
                    <w:adjustRightInd w:val="0"/>
                    <w:snapToGrid w:val="0"/>
                    <w:spacing w:line="240" w:lineRule="auto"/>
                    <w:ind w:left="0" w:lef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0.02</w:t>
                  </w:r>
                </w:p>
              </w:tc>
              <w:tc>
                <w:tcPr>
                  <w:tcW w:w="540" w:type="pct"/>
                  <w:tcBorders>
                    <w:tl2br w:val="nil"/>
                    <w:tr2bl w:val="nil"/>
                  </w:tcBorders>
                  <w:shd w:val="clear" w:color="auto" w:fill="auto"/>
                  <w:vAlign w:val="center"/>
                </w:tcPr>
                <w:p w14:paraId="6130CEC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每年</w:t>
                  </w:r>
                </w:p>
              </w:tc>
              <w:tc>
                <w:tcPr>
                  <w:tcW w:w="643" w:type="pct"/>
                  <w:vMerge w:val="continue"/>
                  <w:tcBorders>
                    <w:tl2br w:val="nil"/>
                    <w:tr2bl w:val="nil"/>
                  </w:tcBorders>
                  <w:vAlign w:val="center"/>
                </w:tcPr>
                <w:p w14:paraId="35C88AB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r w14:paraId="67E4C9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5000" w:type="pct"/>
                  <w:gridSpan w:val="9"/>
                  <w:tcBorders>
                    <w:tl2br w:val="nil"/>
                    <w:tr2bl w:val="nil"/>
                  </w:tcBorders>
                  <w:vAlign w:val="center"/>
                </w:tcPr>
                <w:p w14:paraId="31D707D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一般工业固体废物</w:t>
                  </w:r>
                </w:p>
              </w:tc>
            </w:tr>
            <w:tr w14:paraId="4CB132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68" w:type="pct"/>
                  <w:tcBorders>
                    <w:tl2br w:val="nil"/>
                    <w:tr2bl w:val="nil"/>
                  </w:tcBorders>
                  <w:vAlign w:val="center"/>
                </w:tcPr>
                <w:p w14:paraId="26AA904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p>
              </w:tc>
              <w:tc>
                <w:tcPr>
                  <w:tcW w:w="574" w:type="pct"/>
                  <w:tcBorders>
                    <w:tl2br w:val="nil"/>
                    <w:tr2bl w:val="nil"/>
                  </w:tcBorders>
                  <w:shd w:val="clear" w:color="auto" w:fill="auto"/>
                  <w:vAlign w:val="center"/>
                </w:tcPr>
                <w:p w14:paraId="3D1430A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未沾染化学试剂的废包装物</w:t>
                  </w:r>
                </w:p>
              </w:tc>
              <w:tc>
                <w:tcPr>
                  <w:tcW w:w="486" w:type="pct"/>
                  <w:tcBorders>
                    <w:tl2br w:val="nil"/>
                    <w:tr2bl w:val="nil"/>
                  </w:tcBorders>
                  <w:shd w:val="clear" w:color="auto" w:fill="auto"/>
                  <w:vAlign w:val="center"/>
                </w:tcPr>
                <w:p w14:paraId="1A37974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19" w:type="pct"/>
                  <w:tcBorders>
                    <w:tl2br w:val="nil"/>
                    <w:tr2bl w:val="nil"/>
                  </w:tcBorders>
                  <w:shd w:val="clear" w:color="auto" w:fill="auto"/>
                  <w:vAlign w:val="center"/>
                </w:tcPr>
                <w:p w14:paraId="6BE1818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900-999-99</w:t>
                  </w:r>
                </w:p>
              </w:tc>
              <w:tc>
                <w:tcPr>
                  <w:tcW w:w="524" w:type="pct"/>
                  <w:tcBorders>
                    <w:tl2br w:val="nil"/>
                    <w:tr2bl w:val="nil"/>
                  </w:tcBorders>
                  <w:shd w:val="clear" w:color="auto" w:fill="auto"/>
                  <w:vAlign w:val="center"/>
                </w:tcPr>
                <w:p w14:paraId="3A6A5D9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555" w:type="pct"/>
                  <w:tcBorders>
                    <w:tl2br w:val="nil"/>
                    <w:tr2bl w:val="nil"/>
                  </w:tcBorders>
                  <w:shd w:val="clear" w:color="auto" w:fill="auto"/>
                  <w:vAlign w:val="center"/>
                </w:tcPr>
                <w:p w14:paraId="3E9ADE1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587" w:type="pct"/>
                  <w:tcBorders>
                    <w:tl2br w:val="nil"/>
                    <w:tr2bl w:val="nil"/>
                  </w:tcBorders>
                  <w:shd w:val="clear" w:color="auto" w:fill="auto"/>
                  <w:vAlign w:val="center"/>
                </w:tcPr>
                <w:p w14:paraId="6320BE6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0.5</w:t>
                  </w:r>
                </w:p>
              </w:tc>
              <w:tc>
                <w:tcPr>
                  <w:tcW w:w="540" w:type="pct"/>
                  <w:tcBorders>
                    <w:tl2br w:val="nil"/>
                    <w:tr2bl w:val="nil"/>
                  </w:tcBorders>
                  <w:shd w:val="clear" w:color="auto" w:fill="auto"/>
                  <w:vAlign w:val="center"/>
                </w:tcPr>
                <w:p w14:paraId="2E8B5CF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每天</w:t>
                  </w:r>
                </w:p>
              </w:tc>
              <w:tc>
                <w:tcPr>
                  <w:tcW w:w="643" w:type="pct"/>
                  <w:tcBorders>
                    <w:tl2br w:val="nil"/>
                    <w:tr2bl w:val="nil"/>
                  </w:tcBorders>
                  <w:vAlign w:val="center"/>
                </w:tcPr>
                <w:p w14:paraId="0A222ED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物资回收部门回收</w:t>
                  </w:r>
                </w:p>
              </w:tc>
            </w:tr>
            <w:tr w14:paraId="28EBAD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68" w:type="pct"/>
                  <w:tcBorders>
                    <w:tl2br w:val="nil"/>
                    <w:tr2bl w:val="nil"/>
                  </w:tcBorders>
                  <w:vAlign w:val="center"/>
                </w:tcPr>
                <w:p w14:paraId="47F9CCC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w:t>
                  </w:r>
                </w:p>
              </w:tc>
              <w:tc>
                <w:tcPr>
                  <w:tcW w:w="574" w:type="pct"/>
                  <w:tcBorders>
                    <w:tl2br w:val="nil"/>
                    <w:tr2bl w:val="nil"/>
                  </w:tcBorders>
                  <w:shd w:val="clear" w:color="auto" w:fill="auto"/>
                  <w:vAlign w:val="center"/>
                </w:tcPr>
                <w:p w14:paraId="024BAA8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生活垃圾</w:t>
                  </w:r>
                </w:p>
              </w:tc>
              <w:tc>
                <w:tcPr>
                  <w:tcW w:w="486" w:type="pct"/>
                  <w:tcBorders>
                    <w:tl2br w:val="nil"/>
                    <w:tr2bl w:val="nil"/>
                  </w:tcBorders>
                  <w:shd w:val="clear" w:color="auto" w:fill="auto"/>
                  <w:vAlign w:val="center"/>
                </w:tcPr>
                <w:p w14:paraId="30E7956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19" w:type="pct"/>
                  <w:tcBorders>
                    <w:tl2br w:val="nil"/>
                    <w:tr2bl w:val="nil"/>
                  </w:tcBorders>
                  <w:shd w:val="clear" w:color="auto" w:fill="auto"/>
                  <w:vAlign w:val="center"/>
                </w:tcPr>
                <w:p w14:paraId="67EABFC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900-999-99</w:t>
                  </w:r>
                </w:p>
              </w:tc>
              <w:tc>
                <w:tcPr>
                  <w:tcW w:w="524" w:type="pct"/>
                  <w:tcBorders>
                    <w:tl2br w:val="nil"/>
                    <w:tr2bl w:val="nil"/>
                  </w:tcBorders>
                  <w:shd w:val="clear" w:color="auto" w:fill="auto"/>
                  <w:vAlign w:val="center"/>
                </w:tcPr>
                <w:p w14:paraId="0CD7381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555" w:type="pct"/>
                  <w:tcBorders>
                    <w:tl2br w:val="nil"/>
                    <w:tr2bl w:val="nil"/>
                  </w:tcBorders>
                  <w:shd w:val="clear" w:color="auto" w:fill="auto"/>
                  <w:vAlign w:val="center"/>
                </w:tcPr>
                <w:p w14:paraId="39EB7AF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587" w:type="pct"/>
                  <w:tcBorders>
                    <w:tl2br w:val="nil"/>
                    <w:tr2bl w:val="nil"/>
                  </w:tcBorders>
                  <w:shd w:val="clear" w:color="auto" w:fill="auto"/>
                  <w:vAlign w:val="center"/>
                </w:tcPr>
                <w:p w14:paraId="6573296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1.25</w:t>
                  </w:r>
                </w:p>
              </w:tc>
              <w:tc>
                <w:tcPr>
                  <w:tcW w:w="540" w:type="pct"/>
                  <w:tcBorders>
                    <w:tl2br w:val="nil"/>
                    <w:tr2bl w:val="nil"/>
                  </w:tcBorders>
                  <w:shd w:val="clear" w:color="auto" w:fill="auto"/>
                  <w:vAlign w:val="center"/>
                </w:tcPr>
                <w:p w14:paraId="3849B11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每天</w:t>
                  </w:r>
                </w:p>
              </w:tc>
              <w:tc>
                <w:tcPr>
                  <w:tcW w:w="643" w:type="pct"/>
                  <w:tcBorders>
                    <w:tl2br w:val="nil"/>
                    <w:tr2bl w:val="nil"/>
                  </w:tcBorders>
                  <w:shd w:val="clear" w:color="auto" w:fill="auto"/>
                  <w:vAlign w:val="center"/>
                </w:tcPr>
                <w:p w14:paraId="0836C9C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环卫清运</w:t>
                  </w:r>
                </w:p>
              </w:tc>
            </w:tr>
          </w:tbl>
          <w:p w14:paraId="5F027FBC">
            <w:pPr>
              <w:adjustRightInd w:val="0"/>
              <w:spacing w:line="360" w:lineRule="auto"/>
              <w:ind w:firstLine="480" w:firstLineChars="200"/>
              <w:rPr>
                <w:rFonts w:hint="default"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项目建设</w:t>
            </w:r>
            <w:r>
              <w:rPr>
                <w:rFonts w:hint="eastAsia" w:cs="Times New Roman"/>
                <w:color w:val="auto"/>
                <w:sz w:val="24"/>
                <w:highlight w:val="none"/>
                <w:lang w:val="en-US" w:eastAsia="zh-CN"/>
              </w:rPr>
              <w:t>一</w:t>
            </w:r>
            <w:r>
              <w:rPr>
                <w:rFonts w:hint="default" w:ascii="Times New Roman" w:hAnsi="Times New Roman" w:eastAsia="宋体" w:cs="Times New Roman"/>
                <w:color w:val="auto"/>
                <w:sz w:val="24"/>
                <w:highlight w:val="none"/>
                <w:lang w:val="en-US" w:eastAsia="zh-CN"/>
              </w:rPr>
              <w:t>间</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vertAlign w:val="baseline"/>
                <w:lang w:val="en-US" w:eastAsia="zh-CN"/>
              </w:rPr>
              <w:t>一般固废暂存间</w:t>
            </w:r>
            <w:r>
              <w:rPr>
                <w:rFonts w:hint="eastAsia" w:ascii="Times New Roman" w:hAnsi="Times New Roman" w:cs="Times New Roman"/>
                <w:color w:val="auto"/>
                <w:sz w:val="24"/>
                <w:highlight w:val="none"/>
                <w:vertAlign w:val="baseline"/>
                <w:lang w:val="en-US" w:eastAsia="zh-CN"/>
              </w:rPr>
              <w:t>、一间</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val="en-US" w:eastAsia="zh-CN"/>
              </w:rPr>
              <w:t>的</w:t>
            </w:r>
            <w:r>
              <w:rPr>
                <w:rFonts w:hint="eastAsia" w:ascii="Times New Roman" w:hAnsi="Times New Roman" w:eastAsia="宋体" w:cs="Times New Roman"/>
                <w:color w:val="auto"/>
                <w:sz w:val="24"/>
                <w:highlight w:val="none"/>
                <w:vertAlign w:val="baseline"/>
                <w:lang w:val="en-US" w:eastAsia="zh-CN"/>
              </w:rPr>
              <w:t>危险废物</w:t>
            </w:r>
            <w:r>
              <w:rPr>
                <w:rFonts w:hint="default" w:ascii="Times New Roman" w:hAnsi="Times New Roman" w:eastAsia="宋体" w:cs="Times New Roman"/>
                <w:color w:val="auto"/>
                <w:sz w:val="24"/>
                <w:highlight w:val="none"/>
                <w:vertAlign w:val="baseline"/>
                <w:lang w:val="en-US" w:eastAsia="zh-CN"/>
              </w:rPr>
              <w:t>暂存间，</w:t>
            </w:r>
            <w:r>
              <w:rPr>
                <w:rFonts w:hint="default" w:ascii="Times New Roman" w:hAnsi="Times New Roman" w:eastAsia="宋体" w:cs="Times New Roman"/>
                <w:color w:val="auto"/>
                <w:sz w:val="24"/>
                <w:highlight w:val="none"/>
                <w:lang w:val="en-US" w:eastAsia="zh-CN"/>
              </w:rPr>
              <w:t>未沾染化学试剂的废包装物产生量约</w:t>
            </w:r>
            <w:r>
              <w:rPr>
                <w:rFonts w:hint="eastAsia"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危险废物产生0.7</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vertAlign w:val="baseline"/>
                <w:lang w:val="en-US" w:eastAsia="zh-CN"/>
              </w:rPr>
              <w:t>一般固废</w:t>
            </w:r>
            <w:r>
              <w:rPr>
                <w:rFonts w:hint="eastAsia" w:ascii="Times New Roman" w:hAnsi="Times New Roman" w:cs="Times New Roman"/>
                <w:color w:val="auto"/>
                <w:sz w:val="24"/>
                <w:highlight w:val="none"/>
                <w:vertAlign w:val="baseline"/>
                <w:lang w:val="en-US" w:eastAsia="zh-CN"/>
              </w:rPr>
              <w:t>暂存</w:t>
            </w:r>
            <w:r>
              <w:rPr>
                <w:rFonts w:hint="default" w:ascii="Times New Roman" w:hAnsi="Times New Roman" w:eastAsia="宋体" w:cs="Times New Roman"/>
                <w:color w:val="auto"/>
                <w:sz w:val="24"/>
                <w:highlight w:val="none"/>
                <w:vertAlign w:val="baseline"/>
                <w:lang w:val="en-US" w:eastAsia="zh-CN"/>
              </w:rPr>
              <w:t>间</w:t>
            </w:r>
            <w:r>
              <w:rPr>
                <w:rFonts w:hint="eastAsia" w:ascii="Times New Roman" w:hAnsi="Times New Roman" w:eastAsia="宋体" w:cs="Times New Roman"/>
                <w:color w:val="auto"/>
                <w:sz w:val="24"/>
                <w:highlight w:val="none"/>
                <w:vertAlign w:val="baseline"/>
                <w:lang w:val="en-US" w:eastAsia="zh-CN"/>
              </w:rPr>
              <w:t>、危险废物暂存间</w:t>
            </w:r>
            <w:r>
              <w:rPr>
                <w:rFonts w:hint="default" w:ascii="Times New Roman" w:hAnsi="Times New Roman" w:eastAsia="宋体" w:cs="Times New Roman"/>
                <w:color w:val="auto"/>
                <w:sz w:val="24"/>
                <w:highlight w:val="none"/>
                <w:vertAlign w:val="baseline"/>
                <w:lang w:val="en-US" w:eastAsia="zh-CN"/>
              </w:rPr>
              <w:t>能满足本项目的贮存要求。</w:t>
            </w:r>
          </w:p>
          <w:p w14:paraId="314384B7">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危险废物暂存间情况见下表。</w:t>
            </w:r>
          </w:p>
          <w:p w14:paraId="446E9471">
            <w:pPr>
              <w:numPr>
                <w:ilvl w:val="0"/>
                <w:numId w:val="17"/>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项目</w:t>
            </w:r>
            <w:r>
              <w:rPr>
                <w:rFonts w:hint="default" w:ascii="Times New Roman" w:hAnsi="Times New Roman" w:eastAsia="宋体" w:cs="Times New Roman"/>
                <w:b/>
                <w:color w:val="auto"/>
                <w:sz w:val="24"/>
                <w:highlight w:val="none"/>
                <w:lang w:val="en-US" w:eastAsia="zh-CN"/>
              </w:rPr>
              <w:t>危险废物暂存间</w:t>
            </w:r>
            <w:r>
              <w:rPr>
                <w:rFonts w:hint="default" w:ascii="Times New Roman" w:hAnsi="Times New Roman" w:eastAsia="宋体" w:cs="Times New Roman"/>
                <w:b/>
                <w:color w:val="auto"/>
                <w:sz w:val="24"/>
                <w:highlight w:val="none"/>
              </w:rPr>
              <w:t>情况一览表</w:t>
            </w:r>
          </w:p>
          <w:tbl>
            <w:tblPr>
              <w:tblStyle w:val="12"/>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564"/>
              <w:gridCol w:w="1311"/>
              <w:gridCol w:w="1134"/>
              <w:gridCol w:w="772"/>
              <w:gridCol w:w="810"/>
              <w:gridCol w:w="810"/>
              <w:gridCol w:w="974"/>
            </w:tblGrid>
            <w:tr w14:paraId="2F2E56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8" w:type="dxa"/>
                  <w:tcBorders>
                    <w:tl2br w:val="nil"/>
                    <w:tr2bl w:val="nil"/>
                  </w:tcBorders>
                  <w:vAlign w:val="center"/>
                </w:tcPr>
                <w:p w14:paraId="5D839C6B">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1564" w:type="dxa"/>
                  <w:tcBorders>
                    <w:tl2br w:val="nil"/>
                    <w:tr2bl w:val="nil"/>
                  </w:tcBorders>
                  <w:vAlign w:val="center"/>
                </w:tcPr>
                <w:p w14:paraId="3E7ED30A">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危险废物名称</w:t>
                  </w:r>
                </w:p>
              </w:tc>
              <w:tc>
                <w:tcPr>
                  <w:tcW w:w="1311" w:type="dxa"/>
                  <w:tcBorders>
                    <w:tl2br w:val="nil"/>
                    <w:tr2bl w:val="nil"/>
                  </w:tcBorders>
                  <w:vAlign w:val="center"/>
                </w:tcPr>
                <w:p w14:paraId="2C123496">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危险废物代码</w:t>
                  </w:r>
                </w:p>
              </w:tc>
              <w:tc>
                <w:tcPr>
                  <w:tcW w:w="1134" w:type="dxa"/>
                  <w:tcBorders>
                    <w:tl2br w:val="nil"/>
                    <w:tr2bl w:val="nil"/>
                  </w:tcBorders>
                  <w:vAlign w:val="center"/>
                </w:tcPr>
                <w:p w14:paraId="27993DBB">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贮存方式</w:t>
                  </w:r>
                </w:p>
              </w:tc>
              <w:tc>
                <w:tcPr>
                  <w:tcW w:w="772" w:type="dxa"/>
                  <w:tcBorders>
                    <w:tl2br w:val="nil"/>
                    <w:tr2bl w:val="nil"/>
                  </w:tcBorders>
                  <w:vAlign w:val="center"/>
                </w:tcPr>
                <w:p w14:paraId="4589BC4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年产生量</w:t>
                  </w:r>
                </w:p>
              </w:tc>
              <w:tc>
                <w:tcPr>
                  <w:tcW w:w="810" w:type="dxa"/>
                  <w:tcBorders>
                    <w:tl2br w:val="nil"/>
                    <w:tr2bl w:val="nil"/>
                  </w:tcBorders>
                  <w:vAlign w:val="center"/>
                </w:tcPr>
                <w:p w14:paraId="079598C1">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面积</w:t>
                  </w:r>
                </w:p>
                <w:p w14:paraId="1DE59271">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2</w:t>
                  </w:r>
                </w:p>
              </w:tc>
              <w:tc>
                <w:tcPr>
                  <w:tcW w:w="810" w:type="dxa"/>
                  <w:tcBorders>
                    <w:tl2br w:val="nil"/>
                    <w:tr2bl w:val="nil"/>
                  </w:tcBorders>
                  <w:vAlign w:val="center"/>
                </w:tcPr>
                <w:p w14:paraId="3CA36F29">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贮存能力</w:t>
                  </w:r>
                </w:p>
              </w:tc>
              <w:tc>
                <w:tcPr>
                  <w:tcW w:w="974" w:type="dxa"/>
                  <w:tcBorders>
                    <w:tl2br w:val="nil"/>
                    <w:tr2bl w:val="nil"/>
                  </w:tcBorders>
                  <w:vAlign w:val="center"/>
                </w:tcPr>
                <w:p w14:paraId="43BCAC61">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贮存周期</w:t>
                  </w:r>
                </w:p>
              </w:tc>
            </w:tr>
            <w:tr w14:paraId="6D87B8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dxa"/>
                  <w:tcBorders>
                    <w:tl2br w:val="nil"/>
                    <w:tr2bl w:val="nil"/>
                  </w:tcBorders>
                  <w:vAlign w:val="center"/>
                </w:tcPr>
                <w:p w14:paraId="6C594E3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564" w:type="dxa"/>
                  <w:tcBorders>
                    <w:tl2br w:val="nil"/>
                    <w:tr2bl w:val="nil"/>
                  </w:tcBorders>
                  <w:shd w:val="clear" w:color="auto" w:fill="auto"/>
                  <w:vAlign w:val="center"/>
                </w:tcPr>
                <w:p w14:paraId="53E1D0A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实验废液</w:t>
                  </w:r>
                </w:p>
              </w:tc>
              <w:tc>
                <w:tcPr>
                  <w:tcW w:w="1311" w:type="dxa"/>
                  <w:tcBorders>
                    <w:tl2br w:val="nil"/>
                    <w:tr2bl w:val="nil"/>
                  </w:tcBorders>
                  <w:shd w:val="clear" w:color="auto" w:fill="auto"/>
                  <w:vAlign w:val="center"/>
                </w:tcPr>
                <w:p w14:paraId="763C811D">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900-04</w:t>
                  </w:r>
                  <w:r>
                    <w:rPr>
                      <w:rFonts w:hint="eastAsia" w:ascii="Times New Roman" w:hAnsi="Times New Roman" w:eastAsia="宋体" w:cs="Times New Roman"/>
                      <w:color w:val="auto"/>
                      <w:sz w:val="21"/>
                      <w:szCs w:val="21"/>
                      <w:highlight w:val="none"/>
                      <w:vertAlign w:val="baseline"/>
                      <w:lang w:val="en-US" w:eastAsia="zh-CN"/>
                    </w:rPr>
                    <w:t>7</w:t>
                  </w:r>
                  <w:r>
                    <w:rPr>
                      <w:rFonts w:hint="default" w:ascii="Times New Roman" w:hAnsi="Times New Roman" w:eastAsia="宋体" w:cs="Times New Roman"/>
                      <w:color w:val="auto"/>
                      <w:sz w:val="21"/>
                      <w:szCs w:val="21"/>
                      <w:highlight w:val="none"/>
                      <w:vertAlign w:val="baseline"/>
                      <w:lang w:val="en-US" w:eastAsia="zh-CN"/>
                    </w:rPr>
                    <w:t>-49</w:t>
                  </w:r>
                </w:p>
              </w:tc>
              <w:tc>
                <w:tcPr>
                  <w:tcW w:w="1134" w:type="dxa"/>
                  <w:tcBorders>
                    <w:tl2br w:val="nil"/>
                    <w:tr2bl w:val="nil"/>
                  </w:tcBorders>
                  <w:vAlign w:val="center"/>
                </w:tcPr>
                <w:p w14:paraId="5C641B4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桶装</w:t>
                  </w:r>
                </w:p>
              </w:tc>
              <w:tc>
                <w:tcPr>
                  <w:tcW w:w="772" w:type="dxa"/>
                  <w:vMerge w:val="restart"/>
                  <w:tcBorders>
                    <w:tl2br w:val="nil"/>
                    <w:tr2bl w:val="nil"/>
                  </w:tcBorders>
                  <w:vAlign w:val="center"/>
                </w:tcPr>
                <w:p w14:paraId="0B47570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0.7</w:t>
                  </w:r>
                  <w:r>
                    <w:rPr>
                      <w:rFonts w:hint="eastAsia" w:cs="Times New Roman"/>
                      <w:color w:val="auto"/>
                      <w:sz w:val="21"/>
                      <w:szCs w:val="21"/>
                      <w:highlight w:val="none"/>
                      <w:vertAlign w:val="baseline"/>
                      <w:lang w:val="en-US" w:eastAsia="zh-CN"/>
                    </w:rPr>
                    <w:t>2</w:t>
                  </w:r>
                  <w:r>
                    <w:rPr>
                      <w:rFonts w:hint="eastAsia" w:ascii="Times New Roman" w:hAnsi="Times New Roman" w:eastAsia="宋体" w:cs="Times New Roman"/>
                      <w:color w:val="auto"/>
                      <w:sz w:val="21"/>
                      <w:szCs w:val="21"/>
                      <w:highlight w:val="none"/>
                      <w:vertAlign w:val="baseline"/>
                      <w:lang w:val="en-US" w:eastAsia="zh-CN"/>
                    </w:rPr>
                    <w:t>吨</w:t>
                  </w:r>
                </w:p>
              </w:tc>
              <w:tc>
                <w:tcPr>
                  <w:tcW w:w="810" w:type="dxa"/>
                  <w:vMerge w:val="restart"/>
                  <w:tcBorders>
                    <w:tl2br w:val="nil"/>
                    <w:tr2bl w:val="nil"/>
                  </w:tcBorders>
                  <w:vAlign w:val="center"/>
                </w:tcPr>
                <w:p w14:paraId="11BAB6E1">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810" w:type="dxa"/>
                  <w:vMerge w:val="restart"/>
                  <w:tcBorders>
                    <w:tl2br w:val="nil"/>
                    <w:tr2bl w:val="nil"/>
                  </w:tcBorders>
                  <w:vAlign w:val="center"/>
                </w:tcPr>
                <w:p w14:paraId="4028105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吨</w:t>
                  </w:r>
                </w:p>
              </w:tc>
              <w:tc>
                <w:tcPr>
                  <w:tcW w:w="974" w:type="dxa"/>
                  <w:vMerge w:val="restart"/>
                  <w:tcBorders>
                    <w:tl2br w:val="nil"/>
                    <w:tr2bl w:val="nil"/>
                  </w:tcBorders>
                  <w:vAlign w:val="center"/>
                </w:tcPr>
                <w:p w14:paraId="233ABAC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w:t>
                  </w:r>
                  <w:r>
                    <w:rPr>
                      <w:rFonts w:hint="default" w:ascii="Times New Roman" w:hAnsi="Times New Roman" w:eastAsia="宋体" w:cs="Times New Roman"/>
                      <w:color w:val="auto"/>
                      <w:sz w:val="21"/>
                      <w:szCs w:val="21"/>
                      <w:highlight w:val="none"/>
                      <w:vertAlign w:val="baseline"/>
                      <w:lang w:val="en-US" w:eastAsia="zh-CN"/>
                    </w:rPr>
                    <w:t>个月</w:t>
                  </w:r>
                </w:p>
              </w:tc>
            </w:tr>
            <w:tr w14:paraId="5987D9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dxa"/>
                  <w:tcBorders>
                    <w:tl2br w:val="nil"/>
                    <w:tr2bl w:val="nil"/>
                  </w:tcBorders>
                  <w:vAlign w:val="center"/>
                </w:tcPr>
                <w:p w14:paraId="32B32C7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564" w:type="dxa"/>
                  <w:tcBorders>
                    <w:tl2br w:val="nil"/>
                    <w:tr2bl w:val="nil"/>
                  </w:tcBorders>
                  <w:shd w:val="clear" w:color="auto" w:fill="auto"/>
                  <w:vAlign w:val="center"/>
                </w:tcPr>
                <w:p w14:paraId="4E11674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清洗废液</w:t>
                  </w:r>
                </w:p>
              </w:tc>
              <w:tc>
                <w:tcPr>
                  <w:tcW w:w="1311" w:type="dxa"/>
                  <w:tcBorders>
                    <w:tl2br w:val="nil"/>
                    <w:tr2bl w:val="nil"/>
                  </w:tcBorders>
                  <w:shd w:val="clear" w:color="auto" w:fill="auto"/>
                  <w:vAlign w:val="center"/>
                </w:tcPr>
                <w:p w14:paraId="022F884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900-047-49</w:t>
                  </w:r>
                </w:p>
              </w:tc>
              <w:tc>
                <w:tcPr>
                  <w:tcW w:w="1134" w:type="dxa"/>
                  <w:tcBorders>
                    <w:tl2br w:val="nil"/>
                    <w:tr2bl w:val="nil"/>
                  </w:tcBorders>
                  <w:vAlign w:val="center"/>
                </w:tcPr>
                <w:p w14:paraId="50FC90D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桶装</w:t>
                  </w:r>
                </w:p>
              </w:tc>
              <w:tc>
                <w:tcPr>
                  <w:tcW w:w="772" w:type="dxa"/>
                  <w:vMerge w:val="continue"/>
                  <w:tcBorders>
                    <w:tl2br w:val="nil"/>
                    <w:tr2bl w:val="nil"/>
                  </w:tcBorders>
                  <w:vAlign w:val="center"/>
                </w:tcPr>
                <w:p w14:paraId="20A47BF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810" w:type="dxa"/>
                  <w:vMerge w:val="continue"/>
                  <w:tcBorders>
                    <w:tl2br w:val="nil"/>
                    <w:tr2bl w:val="nil"/>
                  </w:tcBorders>
                  <w:vAlign w:val="center"/>
                </w:tcPr>
                <w:p w14:paraId="7572F13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810" w:type="dxa"/>
                  <w:vMerge w:val="continue"/>
                  <w:tcBorders>
                    <w:tl2br w:val="nil"/>
                    <w:tr2bl w:val="nil"/>
                  </w:tcBorders>
                  <w:vAlign w:val="center"/>
                </w:tcPr>
                <w:p w14:paraId="6EDF7A8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974" w:type="dxa"/>
                  <w:vMerge w:val="continue"/>
                  <w:tcBorders>
                    <w:tl2br w:val="nil"/>
                    <w:tr2bl w:val="nil"/>
                  </w:tcBorders>
                  <w:vAlign w:val="center"/>
                </w:tcPr>
                <w:p w14:paraId="0FA44BB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r w14:paraId="4D8D75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dxa"/>
                  <w:tcBorders>
                    <w:tl2br w:val="nil"/>
                    <w:tr2bl w:val="nil"/>
                  </w:tcBorders>
                  <w:vAlign w:val="center"/>
                </w:tcPr>
                <w:p w14:paraId="307677A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564" w:type="dxa"/>
                  <w:tcBorders>
                    <w:tl2br w:val="nil"/>
                    <w:tr2bl w:val="nil"/>
                  </w:tcBorders>
                  <w:shd w:val="clear" w:color="auto" w:fill="auto"/>
                  <w:vAlign w:val="center"/>
                </w:tcPr>
                <w:p w14:paraId="660F2E5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废试剂瓶</w:t>
                  </w:r>
                </w:p>
              </w:tc>
              <w:tc>
                <w:tcPr>
                  <w:tcW w:w="1311" w:type="dxa"/>
                  <w:tcBorders>
                    <w:tl2br w:val="nil"/>
                    <w:tr2bl w:val="nil"/>
                  </w:tcBorders>
                  <w:shd w:val="clear" w:color="auto" w:fill="auto"/>
                  <w:vAlign w:val="center"/>
                </w:tcPr>
                <w:p w14:paraId="753D3AEE">
                  <w:pPr>
                    <w:numPr>
                      <w:ilvl w:val="0"/>
                      <w:numId w:val="0"/>
                    </w:numPr>
                    <w:adjustRightInd w:val="0"/>
                    <w:snapToGrid w:val="0"/>
                    <w:spacing w:line="240" w:lineRule="auto"/>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900-047-49</w:t>
                  </w:r>
                </w:p>
              </w:tc>
              <w:tc>
                <w:tcPr>
                  <w:tcW w:w="1134" w:type="dxa"/>
                  <w:tcBorders>
                    <w:tl2br w:val="nil"/>
                    <w:tr2bl w:val="nil"/>
                  </w:tcBorders>
                  <w:vAlign w:val="center"/>
                </w:tcPr>
                <w:p w14:paraId="0AA00EC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箱</w:t>
                  </w:r>
                  <w:r>
                    <w:rPr>
                      <w:rFonts w:hint="default" w:ascii="Times New Roman" w:hAnsi="Times New Roman" w:eastAsia="宋体" w:cs="Times New Roman"/>
                      <w:color w:val="auto"/>
                      <w:sz w:val="21"/>
                      <w:szCs w:val="21"/>
                      <w:highlight w:val="none"/>
                      <w:vertAlign w:val="baseline"/>
                      <w:lang w:val="en-US" w:eastAsia="zh-CN"/>
                    </w:rPr>
                    <w:t>装</w:t>
                  </w:r>
                </w:p>
              </w:tc>
              <w:tc>
                <w:tcPr>
                  <w:tcW w:w="772" w:type="dxa"/>
                  <w:vMerge w:val="continue"/>
                  <w:tcBorders>
                    <w:tl2br w:val="nil"/>
                    <w:tr2bl w:val="nil"/>
                  </w:tcBorders>
                  <w:vAlign w:val="center"/>
                </w:tcPr>
                <w:p w14:paraId="7372414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810" w:type="dxa"/>
                  <w:vMerge w:val="continue"/>
                  <w:tcBorders>
                    <w:tl2br w:val="nil"/>
                    <w:tr2bl w:val="nil"/>
                  </w:tcBorders>
                  <w:vAlign w:val="center"/>
                </w:tcPr>
                <w:p w14:paraId="79C85DE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810" w:type="dxa"/>
                  <w:vMerge w:val="continue"/>
                  <w:tcBorders>
                    <w:tl2br w:val="nil"/>
                    <w:tr2bl w:val="nil"/>
                  </w:tcBorders>
                  <w:vAlign w:val="center"/>
                </w:tcPr>
                <w:p w14:paraId="00D1437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974" w:type="dxa"/>
                  <w:vMerge w:val="continue"/>
                  <w:tcBorders>
                    <w:tl2br w:val="nil"/>
                    <w:tr2bl w:val="nil"/>
                  </w:tcBorders>
                  <w:vAlign w:val="center"/>
                </w:tcPr>
                <w:p w14:paraId="53BBD3B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r w14:paraId="4628FF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dxa"/>
                  <w:tcBorders>
                    <w:tl2br w:val="nil"/>
                    <w:tr2bl w:val="nil"/>
                  </w:tcBorders>
                  <w:vAlign w:val="center"/>
                </w:tcPr>
                <w:p w14:paraId="0478F99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1564" w:type="dxa"/>
                  <w:tcBorders>
                    <w:tl2br w:val="nil"/>
                    <w:tr2bl w:val="nil"/>
                  </w:tcBorders>
                  <w:shd w:val="clear" w:color="auto" w:fill="auto"/>
                  <w:vAlign w:val="center"/>
                </w:tcPr>
                <w:p w14:paraId="2733699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废一次性耗材</w:t>
                  </w:r>
                </w:p>
              </w:tc>
              <w:tc>
                <w:tcPr>
                  <w:tcW w:w="1311" w:type="dxa"/>
                  <w:tcBorders>
                    <w:tl2br w:val="nil"/>
                    <w:tr2bl w:val="nil"/>
                  </w:tcBorders>
                  <w:shd w:val="clear" w:color="auto" w:fill="auto"/>
                  <w:vAlign w:val="center"/>
                </w:tcPr>
                <w:p w14:paraId="15AC82CE">
                  <w:pPr>
                    <w:numPr>
                      <w:ilvl w:val="0"/>
                      <w:numId w:val="0"/>
                    </w:numPr>
                    <w:adjustRightInd w:val="0"/>
                    <w:snapToGrid w:val="0"/>
                    <w:spacing w:line="240" w:lineRule="auto"/>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900-047-49</w:t>
                  </w:r>
                </w:p>
              </w:tc>
              <w:tc>
                <w:tcPr>
                  <w:tcW w:w="1134" w:type="dxa"/>
                  <w:tcBorders>
                    <w:tl2br w:val="nil"/>
                    <w:tr2bl w:val="nil"/>
                  </w:tcBorders>
                  <w:vAlign w:val="center"/>
                </w:tcPr>
                <w:p w14:paraId="5C92270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袋</w:t>
                  </w:r>
                  <w:r>
                    <w:rPr>
                      <w:rFonts w:hint="default" w:ascii="Times New Roman" w:hAnsi="Times New Roman" w:eastAsia="宋体" w:cs="Times New Roman"/>
                      <w:color w:val="auto"/>
                      <w:sz w:val="21"/>
                      <w:szCs w:val="21"/>
                      <w:highlight w:val="none"/>
                      <w:vertAlign w:val="baseline"/>
                      <w:lang w:val="en-US" w:eastAsia="zh-CN"/>
                    </w:rPr>
                    <w:t>装</w:t>
                  </w:r>
                </w:p>
              </w:tc>
              <w:tc>
                <w:tcPr>
                  <w:tcW w:w="772" w:type="dxa"/>
                  <w:vMerge w:val="continue"/>
                  <w:tcBorders>
                    <w:tl2br w:val="nil"/>
                    <w:tr2bl w:val="nil"/>
                  </w:tcBorders>
                  <w:vAlign w:val="center"/>
                </w:tcPr>
                <w:p w14:paraId="4058403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810" w:type="dxa"/>
                  <w:vMerge w:val="continue"/>
                  <w:tcBorders>
                    <w:tl2br w:val="nil"/>
                    <w:tr2bl w:val="nil"/>
                  </w:tcBorders>
                  <w:vAlign w:val="center"/>
                </w:tcPr>
                <w:p w14:paraId="5455F81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810" w:type="dxa"/>
                  <w:vMerge w:val="continue"/>
                  <w:tcBorders>
                    <w:tl2br w:val="nil"/>
                    <w:tr2bl w:val="nil"/>
                  </w:tcBorders>
                  <w:vAlign w:val="center"/>
                </w:tcPr>
                <w:p w14:paraId="41C63DC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974" w:type="dxa"/>
                  <w:vMerge w:val="continue"/>
                  <w:tcBorders>
                    <w:tl2br w:val="nil"/>
                    <w:tr2bl w:val="nil"/>
                  </w:tcBorders>
                  <w:vAlign w:val="center"/>
                </w:tcPr>
                <w:p w14:paraId="2D5AB1F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r w14:paraId="0D873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dxa"/>
                  <w:tcBorders>
                    <w:tl2br w:val="nil"/>
                    <w:tr2bl w:val="nil"/>
                  </w:tcBorders>
                  <w:vAlign w:val="center"/>
                </w:tcPr>
                <w:p w14:paraId="60E979E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1564" w:type="dxa"/>
                  <w:tcBorders>
                    <w:tl2br w:val="nil"/>
                    <w:tr2bl w:val="nil"/>
                  </w:tcBorders>
                  <w:shd w:val="clear" w:color="auto" w:fill="auto"/>
                  <w:vAlign w:val="center"/>
                </w:tcPr>
                <w:p w14:paraId="59063B53">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废过滤材料</w:t>
                  </w:r>
                </w:p>
              </w:tc>
              <w:tc>
                <w:tcPr>
                  <w:tcW w:w="1311" w:type="dxa"/>
                  <w:tcBorders>
                    <w:tl2br w:val="nil"/>
                    <w:tr2bl w:val="nil"/>
                  </w:tcBorders>
                  <w:shd w:val="clear" w:color="auto" w:fill="auto"/>
                  <w:vAlign w:val="center"/>
                </w:tcPr>
                <w:p w14:paraId="32B18DE2">
                  <w:pPr>
                    <w:numPr>
                      <w:ilvl w:val="0"/>
                      <w:numId w:val="0"/>
                    </w:numPr>
                    <w:adjustRightInd w:val="0"/>
                    <w:snapToGrid w:val="0"/>
                    <w:spacing w:line="240" w:lineRule="auto"/>
                    <w:jc w:val="both"/>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900-041-49</w:t>
                  </w:r>
                </w:p>
              </w:tc>
              <w:tc>
                <w:tcPr>
                  <w:tcW w:w="1134" w:type="dxa"/>
                  <w:tcBorders>
                    <w:tl2br w:val="nil"/>
                    <w:tr2bl w:val="nil"/>
                  </w:tcBorders>
                  <w:vAlign w:val="center"/>
                </w:tcPr>
                <w:p w14:paraId="66E83B05">
                  <w:pPr>
                    <w:numPr>
                      <w:ilvl w:val="0"/>
                      <w:numId w:val="0"/>
                    </w:numPr>
                    <w:adjustRightInd w:val="0"/>
                    <w:snapToGrid w:val="0"/>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袋</w:t>
                  </w:r>
                  <w:r>
                    <w:rPr>
                      <w:rFonts w:hint="default" w:ascii="Times New Roman" w:hAnsi="Times New Roman" w:eastAsia="宋体" w:cs="Times New Roman"/>
                      <w:color w:val="auto"/>
                      <w:sz w:val="21"/>
                      <w:szCs w:val="21"/>
                      <w:highlight w:val="none"/>
                      <w:vertAlign w:val="baseline"/>
                      <w:lang w:val="en-US" w:eastAsia="zh-CN"/>
                    </w:rPr>
                    <w:t>装</w:t>
                  </w:r>
                </w:p>
              </w:tc>
              <w:tc>
                <w:tcPr>
                  <w:tcW w:w="772" w:type="dxa"/>
                  <w:vMerge w:val="continue"/>
                  <w:tcBorders>
                    <w:tl2br w:val="nil"/>
                    <w:tr2bl w:val="nil"/>
                  </w:tcBorders>
                  <w:vAlign w:val="center"/>
                </w:tcPr>
                <w:p w14:paraId="2BBB702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810" w:type="dxa"/>
                  <w:vMerge w:val="continue"/>
                  <w:tcBorders>
                    <w:tl2br w:val="nil"/>
                    <w:tr2bl w:val="nil"/>
                  </w:tcBorders>
                  <w:vAlign w:val="center"/>
                </w:tcPr>
                <w:p w14:paraId="645085B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810" w:type="dxa"/>
                  <w:vMerge w:val="continue"/>
                  <w:tcBorders>
                    <w:tl2br w:val="nil"/>
                    <w:tr2bl w:val="nil"/>
                  </w:tcBorders>
                  <w:vAlign w:val="center"/>
                </w:tcPr>
                <w:p w14:paraId="1BE39FA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974" w:type="dxa"/>
                  <w:vMerge w:val="continue"/>
                  <w:tcBorders>
                    <w:tl2br w:val="nil"/>
                    <w:tr2bl w:val="nil"/>
                  </w:tcBorders>
                  <w:vAlign w:val="center"/>
                </w:tcPr>
                <w:p w14:paraId="72B3BCA7">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r>
          </w:tbl>
          <w:p w14:paraId="376ACD31">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（2）环境管理要求</w:t>
            </w:r>
          </w:p>
          <w:p w14:paraId="37AEBD55">
            <w:pPr>
              <w:numPr>
                <w:ilvl w:val="0"/>
                <w:numId w:val="21"/>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生活垃圾环境管理要求</w:t>
            </w:r>
          </w:p>
          <w:p w14:paraId="1A6E041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本项目产生的生活垃圾应按照《中华人民共和国固体废物污染环境防治法》（2020年9月1日起施行）及《北京市生活垃圾管理条例》（2020年5月1日施行）的相关规定，进行收集、管理、运输及处置：</w:t>
            </w:r>
          </w:p>
          <w:p w14:paraId="707554BD">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rPr>
              <w:t>应当使用经市环境保护行政主管部门认证登记，并符合市容环境行政主管部门规定的规格、厚度、颜色等要求的可降解专用垃圾袋盛装、分类收集生活垃圾，并由环卫部门及时清运；</w:t>
            </w:r>
          </w:p>
          <w:p w14:paraId="5186005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生活垃圾袋应当扎紧袋口，不能混入危险废物，存放到指定地点；</w:t>
            </w:r>
          </w:p>
          <w:p w14:paraId="5CF1AF2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rPr>
              <w:t>不能使用破损袋盛装生活垃圾。对有可能造成垃圾袋破损的物品应单独存放；</w:t>
            </w:r>
          </w:p>
          <w:p w14:paraId="3C7AD46D">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产生生活废弃物的单位不得随意倾倒、抛撒和堆放生活废弃物。</w:t>
            </w:r>
          </w:p>
          <w:p w14:paraId="4CA5271F">
            <w:pPr>
              <w:numPr>
                <w:ilvl w:val="0"/>
                <w:numId w:val="21"/>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一般工业固体废物环境管理要求</w:t>
            </w:r>
          </w:p>
          <w:p w14:paraId="0111C643">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按照《中华人民共和国固体废物污染环境防治法》（2020年9月1日起施行）、《一般工业固体废物贮存和填埋污染控制标准》（GB18599-2020）及北京市相关规定，</w:t>
            </w:r>
            <w:r>
              <w:rPr>
                <w:rFonts w:hint="default" w:ascii="Times New Roman" w:hAnsi="Times New Roman" w:eastAsia="宋体" w:cs="Times New Roman"/>
                <w:color w:val="auto"/>
                <w:sz w:val="24"/>
                <w:highlight w:val="none"/>
                <w:lang w:val="en-US" w:eastAsia="zh-CN"/>
              </w:rPr>
              <w:t>建设一般固废暂存间</w:t>
            </w:r>
            <w:r>
              <w:rPr>
                <w:rFonts w:hint="default" w:ascii="Times New Roman" w:hAnsi="Times New Roman" w:eastAsia="宋体" w:cs="Times New Roman"/>
                <w:color w:val="auto"/>
                <w:sz w:val="24"/>
                <w:highlight w:val="none"/>
              </w:rPr>
              <w:t>，做到防雨淋、防流失、防渗漏，避免产生二次污染。</w:t>
            </w:r>
          </w:p>
          <w:p w14:paraId="5EF0B726">
            <w:pPr>
              <w:numPr>
                <w:ilvl w:val="0"/>
                <w:numId w:val="21"/>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危险废物管理要求</w:t>
            </w:r>
          </w:p>
          <w:p w14:paraId="0BFBCECF">
            <w:pPr>
              <w:numPr>
                <w:ilvl w:val="0"/>
                <w:numId w:val="0"/>
              </w:numPr>
              <w:adjustRightInd w:val="0"/>
              <w:spacing w:line="360" w:lineRule="auto"/>
              <w:ind w:leftChars="200"/>
              <w:rPr>
                <w:rFonts w:hint="default" w:ascii="Times New Roman" w:hAnsi="Times New Roman" w:eastAsia="宋体" w:cs="Times New Roman"/>
                <w:b w:val="0"/>
                <w:bCs w:val="0"/>
                <w:color w:val="auto"/>
                <w:sz w:val="24"/>
                <w:highlight w:val="none"/>
              </w:rPr>
            </w:pPr>
            <w:r>
              <w:rPr>
                <w:rFonts w:hint="eastAsia" w:ascii="Times New Roman" w:hAnsi="Times New Roman" w:cs="Times New Roman"/>
                <w:b w:val="0"/>
                <w:bCs w:val="0"/>
                <w:color w:val="auto"/>
                <w:sz w:val="24"/>
                <w:highlight w:val="none"/>
                <w:lang w:val="en-US" w:eastAsia="zh-CN"/>
              </w:rPr>
              <w:t>a、</w:t>
            </w:r>
            <w:r>
              <w:rPr>
                <w:rFonts w:hint="default" w:ascii="Times New Roman" w:hAnsi="Times New Roman" w:eastAsia="宋体" w:cs="Times New Roman"/>
                <w:b w:val="0"/>
                <w:bCs w:val="0"/>
                <w:color w:val="auto"/>
                <w:sz w:val="24"/>
                <w:highlight w:val="none"/>
              </w:rPr>
              <w:t>贮存和管理要求</w:t>
            </w:r>
          </w:p>
          <w:p w14:paraId="7C44C076">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按照</w:t>
            </w:r>
            <w:r>
              <w:rPr>
                <w:rFonts w:hint="default" w:ascii="Times New Roman" w:hAnsi="Times New Roman" w:eastAsia="宋体" w:cs="Times New Roman"/>
                <w:color w:val="auto"/>
                <w:sz w:val="24"/>
                <w:highlight w:val="none"/>
              </w:rPr>
              <w:t>《危险废物贮存污染控制标准》（GB18597-2023）</w:t>
            </w:r>
            <w:r>
              <w:rPr>
                <w:rFonts w:hint="default" w:ascii="Times New Roman" w:hAnsi="Times New Roman" w:eastAsia="宋体" w:cs="Times New Roman"/>
                <w:color w:val="auto"/>
                <w:sz w:val="24"/>
                <w:highlight w:val="none"/>
                <w:lang w:val="en-US" w:eastAsia="zh-CN"/>
              </w:rPr>
              <w:t>要求建设危险废物暂存间</w:t>
            </w:r>
            <w:r>
              <w:rPr>
                <w:rFonts w:hint="default" w:ascii="Times New Roman" w:hAnsi="Times New Roman" w:eastAsia="宋体" w:cs="Times New Roman"/>
                <w:color w:val="auto"/>
                <w:sz w:val="24"/>
                <w:highlight w:val="none"/>
              </w:rPr>
              <w:t>，地面及储存间裙角采用防渗处理，防渗系数小于1×10</w:t>
            </w:r>
            <w:r>
              <w:rPr>
                <w:rFonts w:hint="default" w:ascii="Times New Roman" w:hAnsi="Times New Roman" w:eastAsia="宋体" w:cs="Times New Roman"/>
                <w:color w:val="auto"/>
                <w:sz w:val="24"/>
                <w:highlight w:val="none"/>
                <w:vertAlign w:val="superscript"/>
              </w:rPr>
              <w:t>-1</w:t>
            </w:r>
            <w:r>
              <w:rPr>
                <w:rFonts w:hint="eastAsia" w:cs="Times New Roman"/>
                <w:color w:val="auto"/>
                <w:sz w:val="24"/>
                <w:highlight w:val="none"/>
                <w:vertAlign w:val="superscript"/>
                <w:lang w:val="en-US" w:eastAsia="zh-CN"/>
              </w:rPr>
              <w:t>0</w:t>
            </w:r>
            <w:r>
              <w:rPr>
                <w:rFonts w:hint="default" w:ascii="Times New Roman" w:hAnsi="Times New Roman" w:eastAsia="宋体" w:cs="Times New Roman"/>
                <w:color w:val="auto"/>
                <w:sz w:val="24"/>
                <w:highlight w:val="none"/>
              </w:rPr>
              <w:t>cm/s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危险废物暂存</w:t>
            </w:r>
            <w:r>
              <w:rPr>
                <w:rFonts w:hint="default" w:ascii="Times New Roman" w:hAnsi="Times New Roman" w:eastAsia="宋体" w:cs="Times New Roman"/>
                <w:color w:val="auto"/>
                <w:sz w:val="24"/>
                <w:highlight w:val="none"/>
              </w:rPr>
              <w:t>间按</w:t>
            </w:r>
            <w:r>
              <w:rPr>
                <w:rFonts w:hint="default" w:ascii="Times New Roman" w:hAnsi="Times New Roman" w:eastAsia="宋体" w:cs="Times New Roman"/>
                <w:color w:val="auto"/>
                <w:sz w:val="24"/>
                <w:highlight w:val="none"/>
                <w:lang w:val="en-US" w:eastAsia="zh-CN"/>
              </w:rPr>
              <w:t>危险废物性质</w:t>
            </w:r>
            <w:r>
              <w:rPr>
                <w:rFonts w:hint="default" w:ascii="Times New Roman" w:hAnsi="Times New Roman" w:eastAsia="宋体" w:cs="Times New Roman"/>
                <w:color w:val="auto"/>
                <w:sz w:val="24"/>
                <w:highlight w:val="none"/>
              </w:rPr>
              <w:t>分区</w:t>
            </w:r>
            <w:r>
              <w:rPr>
                <w:rFonts w:hint="default" w:ascii="Times New Roman" w:hAnsi="Times New Roman" w:eastAsia="宋体" w:cs="Times New Roman"/>
                <w:color w:val="auto"/>
                <w:sz w:val="24"/>
                <w:highlight w:val="none"/>
                <w:lang w:val="en-US" w:eastAsia="zh-CN"/>
              </w:rPr>
              <w:t>存放</w:t>
            </w:r>
            <w:r>
              <w:rPr>
                <w:rFonts w:hint="default" w:ascii="Times New Roman" w:hAnsi="Times New Roman" w:eastAsia="宋体" w:cs="Times New Roman"/>
                <w:color w:val="auto"/>
                <w:sz w:val="24"/>
                <w:highlight w:val="none"/>
              </w:rPr>
              <w:t>，不同危废之间设有隔断，并粘贴危险废物</w:t>
            </w:r>
            <w:r>
              <w:rPr>
                <w:rFonts w:hint="default" w:ascii="Times New Roman" w:hAnsi="Times New Roman" w:eastAsia="宋体" w:cs="Times New Roman"/>
                <w:color w:val="auto"/>
                <w:sz w:val="24"/>
                <w:highlight w:val="none"/>
                <w:lang w:val="en-US" w:eastAsia="zh-CN"/>
              </w:rPr>
              <w:t>标志</w:t>
            </w:r>
            <w:r>
              <w:rPr>
                <w:rFonts w:hint="default" w:ascii="Times New Roman" w:hAnsi="Times New Roman" w:eastAsia="宋体" w:cs="Times New Roman"/>
                <w:color w:val="auto"/>
                <w:sz w:val="24"/>
                <w:highlight w:val="none"/>
              </w:rPr>
              <w:t>。</w:t>
            </w:r>
          </w:p>
          <w:p w14:paraId="4EA7F34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危险废物暂存间应</w:t>
            </w:r>
            <w:r>
              <w:rPr>
                <w:rFonts w:hint="default" w:ascii="Times New Roman" w:hAnsi="Times New Roman" w:eastAsia="宋体" w:cs="Times New Roman"/>
                <w:color w:val="auto"/>
                <w:sz w:val="24"/>
                <w:highlight w:val="none"/>
              </w:rPr>
              <w:t>配备</w:t>
            </w:r>
            <w:r>
              <w:rPr>
                <w:rFonts w:hint="default" w:ascii="Times New Roman" w:hAnsi="Times New Roman" w:eastAsia="宋体" w:cs="Times New Roman"/>
                <w:color w:val="auto"/>
                <w:sz w:val="24"/>
                <w:highlight w:val="none"/>
                <w:lang w:val="en-US" w:eastAsia="zh-CN"/>
              </w:rPr>
              <w:t>安全</w:t>
            </w:r>
            <w:r>
              <w:rPr>
                <w:rFonts w:hint="default" w:ascii="Times New Roman" w:hAnsi="Times New Roman" w:eastAsia="宋体" w:cs="Times New Roman"/>
                <w:color w:val="auto"/>
                <w:sz w:val="24"/>
                <w:highlight w:val="none"/>
              </w:rPr>
              <w:t>照明设施、安全防护服装</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rPr>
              <w:t>应急防护设施，地面与裙脚所围建的容积不低于最大容器的最大储量或总储量的五分之一，并设置警示标志。</w:t>
            </w:r>
          </w:p>
          <w:p w14:paraId="27687EE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贮存设施应根据危险废物的类别、数量、形态、物理化学性质和污染防治等要求设置必要的贮存分区，避免不相容的危险废物接触、混合。</w:t>
            </w:r>
          </w:p>
          <w:p w14:paraId="39136A60">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危险废物</w:t>
            </w:r>
            <w:r>
              <w:rPr>
                <w:rFonts w:hint="default" w:ascii="Times New Roman" w:hAnsi="Times New Roman" w:eastAsia="宋体" w:cs="Times New Roman"/>
                <w:color w:val="auto"/>
                <w:sz w:val="24"/>
                <w:highlight w:val="none"/>
              </w:rPr>
              <w:t>由专人进行管理，做好危险废物</w:t>
            </w:r>
            <w:r>
              <w:rPr>
                <w:rFonts w:hint="default" w:ascii="Times New Roman" w:hAnsi="Times New Roman" w:eastAsia="宋体" w:cs="Times New Roman"/>
                <w:color w:val="auto"/>
                <w:sz w:val="24"/>
                <w:highlight w:val="none"/>
                <w:lang w:val="en-US" w:eastAsia="zh-CN"/>
              </w:rPr>
              <w:t>贮存</w:t>
            </w:r>
            <w:r>
              <w:rPr>
                <w:rFonts w:hint="default" w:ascii="Times New Roman" w:hAnsi="Times New Roman" w:eastAsia="宋体" w:cs="Times New Roman"/>
                <w:color w:val="auto"/>
                <w:sz w:val="24"/>
                <w:highlight w:val="none"/>
              </w:rPr>
              <w:t>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转移</w:t>
            </w:r>
            <w:r>
              <w:rPr>
                <w:rFonts w:hint="default" w:ascii="Times New Roman" w:hAnsi="Times New Roman" w:eastAsia="宋体" w:cs="Times New Roman"/>
                <w:color w:val="auto"/>
                <w:sz w:val="24"/>
                <w:highlight w:val="none"/>
              </w:rPr>
              <w:t>及处置记录，建立危废台账并在危险废物转移管理过程中严格执行《危险废物转移联单管理办法》，委托有资质单位处理，不得随意倾倒或非法转移危险固废。</w:t>
            </w:r>
          </w:p>
          <w:p w14:paraId="61A834A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装载危险废物的容器及材质要满足相应的强度要求，</w:t>
            </w:r>
            <w:r>
              <w:rPr>
                <w:rFonts w:hint="eastAsia" w:ascii="Times New Roman" w:hAnsi="Times New Roman" w:eastAsia="宋体" w:cs="Times New Roman"/>
                <w:color w:val="auto"/>
                <w:sz w:val="24"/>
                <w:highlight w:val="none"/>
                <w:lang w:val="en-US" w:eastAsia="zh-CN"/>
              </w:rPr>
              <w:t>容器和包装物材质、内衬应与盛装的危险废物相容，</w:t>
            </w:r>
            <w:r>
              <w:rPr>
                <w:rFonts w:hint="default" w:ascii="Times New Roman" w:hAnsi="Times New Roman" w:eastAsia="宋体" w:cs="Times New Roman"/>
                <w:color w:val="auto"/>
                <w:sz w:val="24"/>
                <w:highlight w:val="none"/>
              </w:rPr>
              <w:t>装载危险废物的容器必须完好无损。</w:t>
            </w:r>
          </w:p>
          <w:p w14:paraId="338A67C1">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做好危险废物情况的记录，记录上须注明危险废物的名称、来源、数量、特性和包装容器的类别、入库日期、存放库位、废物出库日期及接收单位名称。危险废物的记录和货单在危险废物回取后应继续保留五年。</w:t>
            </w:r>
          </w:p>
          <w:p w14:paraId="4E37207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定期对所贮存的危险废物包装容器及贮存设施进行检查，发现破损，应及时采取措施。</w:t>
            </w:r>
          </w:p>
          <w:p w14:paraId="37EBF569">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按照《危险废物贮存污染控制标准》 （GB18597-2023）相关规定要求，危废</w:t>
            </w:r>
            <w:r>
              <w:rPr>
                <w:rFonts w:hint="default" w:ascii="Times New Roman" w:hAnsi="Times New Roman" w:eastAsia="宋体" w:cs="Times New Roman"/>
                <w:color w:val="auto"/>
                <w:sz w:val="24"/>
                <w:highlight w:val="none"/>
                <w:lang w:val="en-US" w:eastAsia="zh-CN"/>
              </w:rPr>
              <w:t>暂存</w:t>
            </w:r>
            <w:r>
              <w:rPr>
                <w:rFonts w:hint="default" w:ascii="Times New Roman" w:hAnsi="Times New Roman" w:eastAsia="宋体" w:cs="Times New Roman"/>
                <w:color w:val="auto"/>
                <w:sz w:val="24"/>
                <w:highlight w:val="none"/>
              </w:rPr>
              <w:t>间及危险废物储存容器上需要张贴标签，具体要求如下：</w:t>
            </w:r>
          </w:p>
          <w:p w14:paraId="5443B04B">
            <w:pPr>
              <w:numPr>
                <w:ilvl w:val="0"/>
                <w:numId w:val="17"/>
              </w:numPr>
              <w:adjustRightInd w:val="0"/>
              <w:spacing w:line="360" w:lineRule="auto"/>
              <w:ind w:left="425" w:leftChars="0" w:hanging="425"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pacing w:val="6"/>
                <w:sz w:val="24"/>
                <w:highlight w:val="none"/>
              </w:rPr>
              <w:t>危废间及储存容器标签示例</w:t>
            </w:r>
          </w:p>
          <w:tbl>
            <w:tblPr>
              <w:tblStyle w:val="19"/>
              <w:tblW w:w="7745"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90"/>
              <w:gridCol w:w="2618"/>
              <w:gridCol w:w="4037"/>
            </w:tblGrid>
            <w:tr w14:paraId="00B4408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1090" w:type="dxa"/>
                  <w:tcBorders>
                    <w:tl2br w:val="nil"/>
                    <w:tr2bl w:val="nil"/>
                  </w:tcBorders>
                  <w:vAlign w:val="center"/>
                </w:tcPr>
                <w:p w14:paraId="0F94142E">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场合</w:t>
                  </w:r>
                </w:p>
              </w:tc>
              <w:tc>
                <w:tcPr>
                  <w:tcW w:w="2618" w:type="dxa"/>
                  <w:tcBorders>
                    <w:tl2br w:val="nil"/>
                    <w:tr2bl w:val="nil"/>
                  </w:tcBorders>
                  <w:vAlign w:val="center"/>
                </w:tcPr>
                <w:p w14:paraId="17E42E94">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样式</w:t>
                  </w:r>
                </w:p>
              </w:tc>
              <w:tc>
                <w:tcPr>
                  <w:tcW w:w="4037" w:type="dxa"/>
                  <w:tcBorders>
                    <w:tl2br w:val="nil"/>
                    <w:tr2bl w:val="nil"/>
                  </w:tcBorders>
                  <w:vAlign w:val="center"/>
                </w:tcPr>
                <w:p w14:paraId="4C9FF467">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要求</w:t>
                  </w:r>
                </w:p>
              </w:tc>
            </w:tr>
            <w:tr w14:paraId="55995BC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08" w:hRule="atLeast"/>
                <w:jc w:val="center"/>
              </w:trPr>
              <w:tc>
                <w:tcPr>
                  <w:tcW w:w="1090" w:type="dxa"/>
                  <w:tcBorders>
                    <w:tl2br w:val="nil"/>
                    <w:tr2bl w:val="nil"/>
                  </w:tcBorders>
                  <w:vAlign w:val="center"/>
                </w:tcPr>
                <w:p w14:paraId="4930C62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室外</w:t>
                  </w:r>
                </w:p>
                <w:p w14:paraId="3234FF5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（粘贴于门上或悬</w:t>
                  </w:r>
                </w:p>
                <w:p w14:paraId="34F366C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挂）</w:t>
                  </w:r>
                </w:p>
              </w:tc>
              <w:tc>
                <w:tcPr>
                  <w:tcW w:w="2618" w:type="dxa"/>
                  <w:tcBorders>
                    <w:tl2br w:val="nil"/>
                    <w:tr2bl w:val="nil"/>
                  </w:tcBorders>
                  <w:vAlign w:val="center"/>
                </w:tcPr>
                <w:p w14:paraId="6EC15D4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vertAlign w:val="baseline"/>
                      <w:lang w:val="en-US" w:eastAsia="zh-CN"/>
                    </w:rPr>
                    <w:drawing>
                      <wp:inline distT="0" distB="0" distL="0" distR="0">
                        <wp:extent cx="1565910" cy="1104900"/>
                        <wp:effectExtent l="0" t="0" r="3810" b="7620"/>
                        <wp:docPr id="39" name="IM 134"/>
                        <wp:cNvGraphicFramePr/>
                        <a:graphic xmlns:a="http://schemas.openxmlformats.org/drawingml/2006/main">
                          <a:graphicData uri="http://schemas.openxmlformats.org/drawingml/2006/picture">
                            <pic:pic xmlns:pic="http://schemas.openxmlformats.org/drawingml/2006/picture">
                              <pic:nvPicPr>
                                <pic:cNvPr id="39" name="IM 134"/>
                                <pic:cNvPicPr/>
                              </pic:nvPicPr>
                              <pic:blipFill>
                                <a:blip r:embed="rId28"/>
                                <a:stretch>
                                  <a:fillRect/>
                                </a:stretch>
                              </pic:blipFill>
                              <pic:spPr>
                                <a:xfrm>
                                  <a:off x="0" y="0"/>
                                  <a:ext cx="1565910" cy="1104900"/>
                                </a:xfrm>
                                <a:prstGeom prst="rect">
                                  <a:avLst/>
                                </a:prstGeom>
                              </pic:spPr>
                            </pic:pic>
                          </a:graphicData>
                        </a:graphic>
                      </wp:inline>
                    </w:drawing>
                  </w:r>
                </w:p>
              </w:tc>
              <w:tc>
                <w:tcPr>
                  <w:tcW w:w="4037" w:type="dxa"/>
                  <w:tcBorders>
                    <w:tl2br w:val="nil"/>
                    <w:tr2bl w:val="nil"/>
                  </w:tcBorders>
                  <w:vAlign w:val="center"/>
                </w:tcPr>
                <w:p w14:paraId="08F65A3D">
                  <w:pPr>
                    <w:numPr>
                      <w:ilvl w:val="0"/>
                      <w:numId w:val="0"/>
                    </w:numPr>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1、危险废物标签尺寸颜色：尺寸：40×40cm；</w:t>
                  </w:r>
                </w:p>
                <w:p w14:paraId="34548A6F">
                  <w:pPr>
                    <w:numPr>
                      <w:ilvl w:val="0"/>
                      <w:numId w:val="0"/>
                    </w:numPr>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颜色：背景为黄色，图形为黑色。</w:t>
                  </w:r>
                </w:p>
                <w:p w14:paraId="30A4B741">
                  <w:pPr>
                    <w:numPr>
                      <w:ilvl w:val="0"/>
                      <w:numId w:val="0"/>
                    </w:numPr>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2、警告标志外檐2.5cm。</w:t>
                  </w:r>
                </w:p>
                <w:p w14:paraId="37EC30A2">
                  <w:pPr>
                    <w:numPr>
                      <w:ilvl w:val="0"/>
                      <w:numId w:val="0"/>
                    </w:numPr>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3、适用于：危险废物贮存设施为房屋的，建有围墙或防护栅栏，且高度高于100cm时；部分危险废物利用、处置场所。</w:t>
                  </w:r>
                </w:p>
              </w:tc>
            </w:tr>
            <w:tr w14:paraId="7675254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65" w:hRule="atLeast"/>
                <w:jc w:val="center"/>
              </w:trPr>
              <w:tc>
                <w:tcPr>
                  <w:tcW w:w="1090" w:type="dxa"/>
                  <w:tcBorders>
                    <w:tl2br w:val="nil"/>
                    <w:tr2bl w:val="nil"/>
                  </w:tcBorders>
                  <w:vAlign w:val="center"/>
                </w:tcPr>
                <w:p w14:paraId="63820EC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粘贴于危</w:t>
                  </w:r>
                </w:p>
                <w:p w14:paraId="0A99319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险废物储</w:t>
                  </w:r>
                </w:p>
                <w:p w14:paraId="57F47E4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存容器</w:t>
                  </w:r>
                </w:p>
              </w:tc>
              <w:tc>
                <w:tcPr>
                  <w:tcW w:w="2618" w:type="dxa"/>
                  <w:tcBorders>
                    <w:tl2br w:val="nil"/>
                    <w:tr2bl w:val="nil"/>
                  </w:tcBorders>
                  <w:vAlign w:val="center"/>
                </w:tcPr>
                <w:p w14:paraId="61E6C82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drawing>
                      <wp:anchor distT="0" distB="0" distL="114300" distR="114300" simplePos="0" relativeHeight="251663360" behindDoc="0" locked="0" layoutInCell="1" allowOverlap="1">
                        <wp:simplePos x="0" y="0"/>
                        <wp:positionH relativeFrom="column">
                          <wp:posOffset>29845</wp:posOffset>
                        </wp:positionH>
                        <wp:positionV relativeFrom="page">
                          <wp:posOffset>-635</wp:posOffset>
                        </wp:positionV>
                        <wp:extent cx="1620520" cy="1568450"/>
                        <wp:effectExtent l="0" t="0" r="10160" b="1270"/>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9"/>
                                <a:stretch>
                                  <a:fillRect/>
                                </a:stretch>
                              </pic:blipFill>
                              <pic:spPr>
                                <a:xfrm>
                                  <a:off x="0" y="0"/>
                                  <a:ext cx="1620520" cy="1568450"/>
                                </a:xfrm>
                                <a:prstGeom prst="rect">
                                  <a:avLst/>
                                </a:prstGeom>
                                <a:noFill/>
                                <a:ln>
                                  <a:noFill/>
                                </a:ln>
                              </pic:spPr>
                            </pic:pic>
                          </a:graphicData>
                        </a:graphic>
                      </wp:anchor>
                    </w:drawing>
                  </w:r>
                </w:p>
              </w:tc>
              <w:tc>
                <w:tcPr>
                  <w:tcW w:w="4037" w:type="dxa"/>
                  <w:tcBorders>
                    <w:tl2br w:val="nil"/>
                    <w:tr2bl w:val="nil"/>
                  </w:tcBorders>
                  <w:vAlign w:val="center"/>
                </w:tcPr>
                <w:p w14:paraId="6E7681E5">
                  <w:pPr>
                    <w:numPr>
                      <w:ilvl w:val="0"/>
                      <w:numId w:val="0"/>
                    </w:numPr>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1、危险废物标签尺寸颜色：尺寸：20×20cm；</w:t>
                  </w:r>
                </w:p>
                <w:p w14:paraId="3C31EDC4">
                  <w:pPr>
                    <w:numPr>
                      <w:ilvl w:val="0"/>
                      <w:numId w:val="0"/>
                    </w:numPr>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底色：醒目的橘黄色。字体：黑体字；字体颜色：黑色。</w:t>
                  </w:r>
                </w:p>
                <w:p w14:paraId="7BDB60E7">
                  <w:pPr>
                    <w:numPr>
                      <w:ilvl w:val="0"/>
                      <w:numId w:val="0"/>
                    </w:numPr>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2、危险类别：按危险废物种类选择。</w:t>
                  </w:r>
                </w:p>
              </w:tc>
            </w:tr>
          </w:tbl>
          <w:p w14:paraId="02975DE9">
            <w:pPr>
              <w:numPr>
                <w:ilvl w:val="0"/>
                <w:numId w:val="0"/>
              </w:numPr>
              <w:adjustRightInd w:val="0"/>
              <w:spacing w:line="360" w:lineRule="auto"/>
              <w:ind w:leftChars="200"/>
              <w:rPr>
                <w:rFonts w:hint="default" w:ascii="Times New Roman" w:hAnsi="Times New Roman" w:eastAsia="宋体" w:cs="Times New Roman"/>
                <w:b w:val="0"/>
                <w:bCs w:val="0"/>
                <w:color w:val="auto"/>
                <w:sz w:val="24"/>
                <w:highlight w:val="none"/>
              </w:rPr>
            </w:pPr>
            <w:r>
              <w:rPr>
                <w:rFonts w:hint="eastAsia" w:ascii="Times New Roman" w:hAnsi="Times New Roman" w:cs="Times New Roman"/>
                <w:b w:val="0"/>
                <w:bCs w:val="0"/>
                <w:color w:val="auto"/>
                <w:sz w:val="24"/>
                <w:highlight w:val="none"/>
                <w:lang w:val="en-US" w:eastAsia="zh-CN"/>
              </w:rPr>
              <w:t>b、</w:t>
            </w:r>
            <w:r>
              <w:rPr>
                <w:rFonts w:hint="default" w:ascii="Times New Roman" w:hAnsi="Times New Roman" w:eastAsia="宋体" w:cs="Times New Roman"/>
                <w:b w:val="0"/>
                <w:bCs w:val="0"/>
                <w:color w:val="auto"/>
                <w:sz w:val="24"/>
                <w:highlight w:val="none"/>
              </w:rPr>
              <w:t>转移及运输过程的环境影响分析及污染防治措施</w:t>
            </w:r>
          </w:p>
          <w:p w14:paraId="2A0F0AE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危险废物及时转运，按照确定的内部危险废物运送时间、路线，将危险废物收集、运送至危险废物暂存间，再定期由有清运、处置的资质单位转运处理，做好转运记录，填写危废转移联单，转运危险废物的车辆便于装卸、防止外溢，加盖便于密闭转运，转运车辆每日清洗与消毒，转运及运输过程执行《危险废物转移管理办法》（2022年1月1日起施行）相关要求。</w:t>
            </w:r>
          </w:p>
          <w:p w14:paraId="449BD0BB">
            <w:pPr>
              <w:numPr>
                <w:ilvl w:val="0"/>
                <w:numId w:val="0"/>
              </w:numPr>
              <w:adjustRightInd w:val="0"/>
              <w:snapToGrid w:val="0"/>
              <w:spacing w:line="360" w:lineRule="auto"/>
              <w:ind w:leftChars="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（3）固体废物环境影响结论</w:t>
            </w:r>
          </w:p>
          <w:p w14:paraId="02C9843A">
            <w:pPr>
              <w:adjustRightInd w:val="0"/>
              <w:snapToGrid w:val="0"/>
              <w:spacing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间产生的固体废物的处置符合《中华人民共和国固体废物污染环境防治法》（2020年版）及《北京市生活垃圾管理条例》（2020年5月1日起施行，2020年9月25日第二次修正）、《中华人民共和国固体废物污染环境防治法》（2020年9月1日起施行）、《一般工业固体废物贮存和填埋污染控制标准》（GB18599-2020）、《北京市危险废物污染环境防治条例》、（2020年9月1日实施）、《危险废物收集贮存运输技术规范》（HJ2025-2012）、《危险废物贮存污染控制标准》（GB18597-2023）、《危险废物污染防治技术政策》（环发[2021]199号）和《危险废物转移管理办法》（2022年1月1日起施行）、《实验室危险废物污染防治技术规范》（DB11/T1368—2016）等相关规定，固体废物去向明确，处置措施合理，本项目固体废物的环境影响可以接受。</w:t>
            </w:r>
          </w:p>
          <w:p w14:paraId="735B3A88">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b/>
                <w:bCs/>
                <w:color w:val="auto"/>
                <w:lang w:val="en-US" w:eastAsia="zh-CN"/>
              </w:rPr>
              <w:t>5、地下水、土壤环境影响分析</w:t>
            </w:r>
          </w:p>
          <w:p w14:paraId="1F27F2D0">
            <w:pPr>
              <w:adjustRightInd w:val="0"/>
              <w:snapToGrid w:val="0"/>
              <w:spacing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位于所在建筑3层，</w:t>
            </w:r>
            <w:r>
              <w:rPr>
                <w:rFonts w:hint="default" w:ascii="Times New Roman" w:hAnsi="Times New Roman" w:eastAsia="宋体" w:cs="Times New Roman"/>
                <w:color w:val="auto"/>
                <w:sz w:val="24"/>
                <w:highlight w:val="none"/>
                <w:lang w:val="en-US" w:eastAsia="zh-CN"/>
              </w:rPr>
              <w:t>根据本项目实际情况，为防止非正常状况下污染土壤和地下水的环境风险，将本项目区域划分为重点防渗区、一般防渗区。</w:t>
            </w:r>
          </w:p>
          <w:p w14:paraId="6E8711EF">
            <w:pPr>
              <w:numPr>
                <w:ilvl w:val="0"/>
                <w:numId w:val="17"/>
              </w:numPr>
              <w:adjustRightInd w:val="0"/>
              <w:spacing w:line="360" w:lineRule="auto"/>
              <w:ind w:left="425" w:leftChars="0" w:hanging="425" w:firstLineChars="0"/>
              <w:jc w:val="center"/>
              <w:rPr>
                <w:rFonts w:hint="default" w:ascii="Times New Roman" w:hAnsi="Times New Roman" w:eastAsia="宋体" w:cs="Times New Roman"/>
                <w:b/>
                <w:bCs/>
                <w:color w:val="auto"/>
                <w:spacing w:val="6"/>
                <w:sz w:val="24"/>
                <w:highlight w:val="none"/>
              </w:rPr>
            </w:pPr>
            <w:r>
              <w:rPr>
                <w:rFonts w:hint="default" w:ascii="Times New Roman" w:hAnsi="Times New Roman" w:eastAsia="宋体" w:cs="Times New Roman"/>
                <w:b/>
                <w:bCs/>
                <w:color w:val="auto"/>
                <w:spacing w:val="6"/>
                <w:sz w:val="24"/>
                <w:highlight w:val="none"/>
              </w:rPr>
              <w:t>项目相关区域防渗划分表</w:t>
            </w:r>
          </w:p>
          <w:tbl>
            <w:tblPr>
              <w:tblStyle w:val="12"/>
              <w:tblW w:w="49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2844"/>
              <w:gridCol w:w="2736"/>
              <w:gridCol w:w="1122"/>
            </w:tblGrid>
            <w:tr w14:paraId="46AC4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tcBorders>
                    <w:tl2br w:val="nil"/>
                    <w:tr2bl w:val="nil"/>
                  </w:tcBorders>
                  <w:vAlign w:val="center"/>
                </w:tcPr>
                <w:p w14:paraId="0EC2B776">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工程单元</w:t>
                  </w:r>
                </w:p>
              </w:tc>
              <w:tc>
                <w:tcPr>
                  <w:tcW w:w="2844" w:type="dxa"/>
                  <w:tcBorders>
                    <w:tl2br w:val="nil"/>
                    <w:tr2bl w:val="nil"/>
                  </w:tcBorders>
                  <w:vAlign w:val="center"/>
                </w:tcPr>
                <w:p w14:paraId="527300A3">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防渗技术要求</w:t>
                  </w:r>
                </w:p>
              </w:tc>
              <w:tc>
                <w:tcPr>
                  <w:tcW w:w="2736" w:type="dxa"/>
                  <w:tcBorders>
                    <w:tl2br w:val="nil"/>
                    <w:tr2bl w:val="nil"/>
                  </w:tcBorders>
                  <w:vAlign w:val="center"/>
                </w:tcPr>
                <w:p w14:paraId="2E0DA629">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标准</w:t>
                  </w:r>
                </w:p>
              </w:tc>
              <w:tc>
                <w:tcPr>
                  <w:tcW w:w="1122" w:type="dxa"/>
                  <w:tcBorders>
                    <w:tl2br w:val="nil"/>
                    <w:tr2bl w:val="nil"/>
                  </w:tcBorders>
                  <w:vAlign w:val="center"/>
                </w:tcPr>
                <w:p w14:paraId="59A11FE5">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防渗分区</w:t>
                  </w:r>
                </w:p>
              </w:tc>
            </w:tr>
            <w:tr w14:paraId="158E2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tcBorders>
                    <w:tl2br w:val="nil"/>
                    <w:tr2bl w:val="nil"/>
                  </w:tcBorders>
                  <w:vAlign w:val="center"/>
                </w:tcPr>
                <w:p w14:paraId="70E4850F">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危险废物暂存间</w:t>
                  </w:r>
                </w:p>
              </w:tc>
              <w:tc>
                <w:tcPr>
                  <w:tcW w:w="2844" w:type="dxa"/>
                  <w:tcBorders>
                    <w:tl2br w:val="nil"/>
                    <w:tr2bl w:val="nil"/>
                  </w:tcBorders>
                  <w:vAlign w:val="center"/>
                </w:tcPr>
                <w:p w14:paraId="77B60065">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采用2mm厚高密度聚乙烯或防渗效果等的其他防渗材料进行防渗，渗透系数≤10</w:t>
                  </w:r>
                  <w:r>
                    <w:rPr>
                      <w:rFonts w:hint="default" w:ascii="Times New Roman" w:hAnsi="Times New Roman" w:eastAsia="宋体" w:cs="Times New Roman"/>
                      <w:color w:val="auto"/>
                      <w:sz w:val="21"/>
                      <w:szCs w:val="21"/>
                      <w:highlight w:val="none"/>
                      <w:vertAlign w:val="superscript"/>
                    </w:rPr>
                    <w:t>-1</w:t>
                  </w:r>
                  <w:r>
                    <w:rPr>
                      <w:rFonts w:hint="eastAsia" w:cs="Times New Roman"/>
                      <w:color w:val="auto"/>
                      <w:sz w:val="21"/>
                      <w:szCs w:val="21"/>
                      <w:highlight w:val="none"/>
                      <w:vertAlign w:val="superscript"/>
                      <w:lang w:val="en-US" w:eastAsia="zh-CN"/>
                    </w:rPr>
                    <w:t>0</w:t>
                  </w:r>
                  <w:r>
                    <w:rPr>
                      <w:rFonts w:hint="default" w:ascii="Times New Roman" w:hAnsi="Times New Roman" w:eastAsia="宋体" w:cs="Times New Roman"/>
                      <w:color w:val="auto"/>
                      <w:sz w:val="21"/>
                      <w:szCs w:val="21"/>
                      <w:highlight w:val="none"/>
                      <w:vertAlign w:val="baseline"/>
                    </w:rPr>
                    <w:t>cm/s</w:t>
                  </w:r>
                </w:p>
              </w:tc>
              <w:tc>
                <w:tcPr>
                  <w:tcW w:w="2736" w:type="dxa"/>
                  <w:tcBorders>
                    <w:tl2br w:val="nil"/>
                    <w:tr2bl w:val="nil"/>
                  </w:tcBorders>
                  <w:vAlign w:val="center"/>
                </w:tcPr>
                <w:p w14:paraId="38F75DA7">
                  <w:pPr>
                    <w:numPr>
                      <w:ilvl w:val="0"/>
                      <w:numId w:val="0"/>
                    </w:numPr>
                    <w:autoSpaceDE w:val="0"/>
                    <w:autoSpaceDN w:val="0"/>
                    <w:adjustRightInd w:val="0"/>
                    <w:snapToGrid w:val="0"/>
                    <w:spacing w:line="240" w:lineRule="auto"/>
                    <w:jc w:val="both"/>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满足《危险废物贮存污染控制标准》(GB18597-2023）的相关防渗要求</w:t>
                  </w:r>
                </w:p>
              </w:tc>
              <w:tc>
                <w:tcPr>
                  <w:tcW w:w="1122" w:type="dxa"/>
                  <w:tcBorders>
                    <w:tl2br w:val="nil"/>
                    <w:tr2bl w:val="nil"/>
                  </w:tcBorders>
                  <w:vAlign w:val="center"/>
                </w:tcPr>
                <w:p w14:paraId="4D554635">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重点</w:t>
                  </w:r>
                </w:p>
                <w:p w14:paraId="14AF6C5A">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防渗区</w:t>
                  </w:r>
                </w:p>
              </w:tc>
            </w:tr>
            <w:tr w14:paraId="0C5336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1" w:type="dxa"/>
                  <w:tcBorders>
                    <w:tl2br w:val="nil"/>
                    <w:tr2bl w:val="nil"/>
                  </w:tcBorders>
                  <w:vAlign w:val="center"/>
                </w:tcPr>
                <w:p w14:paraId="6B248A27">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rPr>
                  </w:pPr>
                  <w:r>
                    <w:rPr>
                      <w:rFonts w:hint="eastAsia" w:cs="Times New Roman"/>
                      <w:color w:val="auto"/>
                      <w:sz w:val="21"/>
                      <w:szCs w:val="21"/>
                      <w:highlight w:val="none"/>
                      <w:vertAlign w:val="baseline"/>
                      <w:lang w:val="en-US" w:eastAsia="zh-CN"/>
                    </w:rPr>
                    <w:t>实验区、办公区、一般固废间</w:t>
                  </w:r>
                </w:p>
              </w:tc>
              <w:tc>
                <w:tcPr>
                  <w:tcW w:w="2844" w:type="dxa"/>
                  <w:tcBorders>
                    <w:tl2br w:val="nil"/>
                    <w:tr2bl w:val="nil"/>
                  </w:tcBorders>
                  <w:vAlign w:val="center"/>
                </w:tcPr>
                <w:p w14:paraId="65F153A1">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硬化并进行防渗处理，防渗层渗透系数≤10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vertAlign w:val="baseline"/>
                    </w:rPr>
                    <w:t>cm/s 和厚度不小于1.5m 等效黏土层</w:t>
                  </w:r>
                </w:p>
              </w:tc>
              <w:tc>
                <w:tcPr>
                  <w:tcW w:w="2736" w:type="dxa"/>
                  <w:tcBorders>
                    <w:tl2br w:val="nil"/>
                    <w:tr2bl w:val="nil"/>
                  </w:tcBorders>
                  <w:vAlign w:val="center"/>
                </w:tcPr>
                <w:p w14:paraId="2A404996">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满足《环境影响评价技术导则 地下水环境》（HJ610-2016）中规定的防渗标准要求</w:t>
                  </w:r>
                </w:p>
              </w:tc>
              <w:tc>
                <w:tcPr>
                  <w:tcW w:w="1122" w:type="dxa"/>
                  <w:tcBorders>
                    <w:tl2br w:val="nil"/>
                    <w:tr2bl w:val="nil"/>
                  </w:tcBorders>
                  <w:vAlign w:val="center"/>
                </w:tcPr>
                <w:p w14:paraId="796A130C">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一般</w:t>
                  </w:r>
                </w:p>
                <w:p w14:paraId="6AF7FF43">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防渗区</w:t>
                  </w:r>
                </w:p>
              </w:tc>
            </w:tr>
          </w:tbl>
          <w:p w14:paraId="6C60C9D6">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采取上述防渗措施后，可有效的防止污染项目所在区域的地下水环境和土壤环境的污染。</w:t>
            </w:r>
          </w:p>
          <w:p w14:paraId="062DBE29">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6、</w:t>
            </w:r>
            <w:r>
              <w:rPr>
                <w:rFonts w:hint="default" w:ascii="Times New Roman" w:hAnsi="Times New Roman" w:eastAsia="宋体"/>
                <w:b/>
                <w:bCs/>
                <w:color w:val="auto"/>
                <w:lang w:val="en-US" w:eastAsia="zh-CN"/>
              </w:rPr>
              <w:t>生态影响分析</w:t>
            </w:r>
          </w:p>
          <w:p w14:paraId="55890C1B">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本项目位于</w:t>
            </w:r>
            <w:r>
              <w:rPr>
                <w:rFonts w:hint="eastAsia" w:ascii="Times New Roman" w:hAnsi="Times New Roman" w:cs="Times New Roman"/>
                <w:color w:val="auto"/>
                <w:sz w:val="24"/>
                <w:highlight w:val="none"/>
                <w:lang w:val="en-US" w:eastAsia="zh-CN"/>
              </w:rPr>
              <w:t>北京经济技术开发区科创十三街18号院5号楼3层0301室</w:t>
            </w:r>
            <w:r>
              <w:rPr>
                <w:rFonts w:hint="default" w:ascii="Times New Roman" w:hAnsi="Times New Roman" w:eastAsia="宋体" w:cs="Times New Roman"/>
                <w:color w:val="auto"/>
                <w:sz w:val="24"/>
                <w:highlight w:val="none"/>
                <w:lang w:val="en-US" w:eastAsia="zh-CN"/>
              </w:rPr>
              <w:t>，租用现有建筑物进行</w:t>
            </w:r>
            <w:r>
              <w:rPr>
                <w:rFonts w:hint="eastAsia" w:cs="Times New Roman"/>
                <w:color w:val="auto"/>
                <w:sz w:val="24"/>
                <w:highlight w:val="none"/>
                <w:lang w:val="en-US" w:eastAsia="zh-CN"/>
              </w:rPr>
              <w:t>实验活动</w:t>
            </w:r>
            <w:r>
              <w:rPr>
                <w:rFonts w:hint="default" w:ascii="Times New Roman" w:hAnsi="Times New Roman" w:eastAsia="宋体" w:cs="Times New Roman"/>
                <w:color w:val="auto"/>
                <w:sz w:val="24"/>
                <w:highlight w:val="none"/>
                <w:lang w:val="en-US" w:eastAsia="zh-CN"/>
              </w:rPr>
              <w:t>，不属于产业园区外建设项目新增用地项目，且项目用地范围内无生态环境敏感目标，因此，本项目对生态环境影响较小。</w:t>
            </w:r>
          </w:p>
          <w:p w14:paraId="73857A4A">
            <w:pPr>
              <w:keepNext w:val="0"/>
              <w:keepLines w:val="0"/>
              <w:pageBreakBefore w:val="0"/>
              <w:widowControl w:val="0"/>
              <w:kinsoku/>
              <w:wordWrap/>
              <w:overflowPunct/>
              <w:topLinePunct w:val="0"/>
              <w:autoSpaceDE/>
              <w:autoSpaceDN/>
              <w:bidi w:val="0"/>
              <w:adjustRightInd w:val="0"/>
              <w:snapToGrid w:val="0"/>
              <w:textAlignment w:val="auto"/>
              <w:rPr>
                <w:rFonts w:hint="eastAsia"/>
                <w:b/>
                <w:bCs/>
                <w:color w:val="auto"/>
                <w:lang w:val="en-US" w:eastAsia="zh-CN"/>
              </w:rPr>
            </w:pPr>
            <w:r>
              <w:rPr>
                <w:rFonts w:hint="eastAsia"/>
                <w:b/>
                <w:bCs/>
                <w:color w:val="auto"/>
                <w:lang w:val="en-US" w:eastAsia="zh-CN"/>
              </w:rPr>
              <w:t>7、环境风险影响分析</w:t>
            </w:r>
          </w:p>
          <w:p w14:paraId="3256FE35">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项目主要从事免疫诊断技术实验，根据《国民经济行业分类》（GB/T 4754-2017），行业类别属于“M7340医学研究和试验发展”。项目涉及的主要风险物质为：无水乙醇、实验废液、清洗废液。</w:t>
            </w:r>
          </w:p>
          <w:p w14:paraId="5B6B6EAF">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（1）建设项目风险源调查</w:t>
            </w:r>
          </w:p>
          <w:p w14:paraId="22934792">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项目设有试剂柜、危险废物暂存间，其中无水乙醇贮存在试剂柜内，实验废液、清洗废液暂存于危险废物暂存间，项目的风险单元主要为试剂柜、危险废物暂存间。</w:t>
            </w:r>
          </w:p>
          <w:p w14:paraId="07C92D42">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根据《建设项目环境风险评价技术导则》（HJ169-2018）中附录B确定环境风险物质，根据《企业突发环境事件风险分级方法》（HJ941-2018）确定危险物质的临界量。</w:t>
            </w:r>
          </w:p>
          <w:p w14:paraId="7A9126C6">
            <w:pPr>
              <w:numPr>
                <w:ilvl w:val="0"/>
                <w:numId w:val="17"/>
              </w:numPr>
              <w:adjustRightInd w:val="0"/>
              <w:spacing w:line="360" w:lineRule="auto"/>
              <w:ind w:left="425" w:leftChars="0" w:hanging="425" w:firstLineChars="0"/>
              <w:jc w:val="center"/>
              <w:rPr>
                <w:rFonts w:hint="default"/>
                <w:color w:val="auto"/>
                <w:lang w:val="en-US" w:eastAsia="zh-CN"/>
              </w:rPr>
            </w:pPr>
            <w:r>
              <w:rPr>
                <w:rFonts w:hint="eastAsia" w:ascii="Times New Roman" w:hAnsi="Times New Roman" w:eastAsia="宋体" w:cs="Times New Roman"/>
                <w:b/>
                <w:bCs/>
                <w:color w:val="auto"/>
                <w:spacing w:val="6"/>
                <w:sz w:val="24"/>
                <w:highlight w:val="none"/>
                <w:lang w:val="en-US" w:eastAsia="zh-CN"/>
              </w:rPr>
              <w:t xml:space="preserve"> 危险物质汇总表</w:t>
            </w:r>
          </w:p>
          <w:tbl>
            <w:tblPr>
              <w:tblStyle w:val="12"/>
              <w:tblW w:w="5000" w:type="pct"/>
              <w:jc w:val="center"/>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496"/>
              <w:gridCol w:w="1556"/>
              <w:gridCol w:w="1092"/>
              <w:gridCol w:w="1308"/>
              <w:gridCol w:w="948"/>
              <w:gridCol w:w="948"/>
            </w:tblGrid>
            <w:tr w14:paraId="3A2A6D12">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tcBorders>
                    <w:tl2br w:val="nil"/>
                    <w:tr2bl w:val="nil"/>
                  </w:tcBorders>
                  <w:vAlign w:val="center"/>
                </w:tcPr>
                <w:p w14:paraId="7DB47F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序号</w:t>
                  </w:r>
                </w:p>
              </w:tc>
              <w:tc>
                <w:tcPr>
                  <w:tcW w:w="1496" w:type="dxa"/>
                  <w:tcBorders>
                    <w:tl2br w:val="nil"/>
                    <w:tr2bl w:val="nil"/>
                  </w:tcBorders>
                  <w:vAlign w:val="center"/>
                </w:tcPr>
                <w:p w14:paraId="44A5B0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名称</w:t>
                  </w:r>
                </w:p>
              </w:tc>
              <w:tc>
                <w:tcPr>
                  <w:tcW w:w="1556" w:type="dxa"/>
                  <w:tcBorders>
                    <w:tl2br w:val="nil"/>
                    <w:tr2bl w:val="nil"/>
                  </w:tcBorders>
                  <w:vAlign w:val="center"/>
                </w:tcPr>
                <w:p w14:paraId="3525F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判别依据</w:t>
                  </w:r>
                </w:p>
              </w:tc>
              <w:tc>
                <w:tcPr>
                  <w:tcW w:w="1092" w:type="dxa"/>
                  <w:tcBorders>
                    <w:tl2br w:val="nil"/>
                    <w:tr2bl w:val="nil"/>
                  </w:tcBorders>
                  <w:vAlign w:val="center"/>
                </w:tcPr>
                <w:p w14:paraId="5CF0BD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CAS号</w:t>
                  </w:r>
                </w:p>
              </w:tc>
              <w:tc>
                <w:tcPr>
                  <w:tcW w:w="1308" w:type="dxa"/>
                  <w:tcBorders>
                    <w:tl2br w:val="nil"/>
                    <w:tr2bl w:val="nil"/>
                  </w:tcBorders>
                  <w:vAlign w:val="center"/>
                </w:tcPr>
                <w:p w14:paraId="59B93C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最大存储量t</w:t>
                  </w:r>
                </w:p>
              </w:tc>
              <w:tc>
                <w:tcPr>
                  <w:tcW w:w="948" w:type="dxa"/>
                  <w:tcBorders>
                    <w:tl2br w:val="nil"/>
                    <w:tr2bl w:val="nil"/>
                  </w:tcBorders>
                  <w:vAlign w:val="center"/>
                </w:tcPr>
                <w:p w14:paraId="7776EF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临界量t</w:t>
                  </w:r>
                </w:p>
              </w:tc>
              <w:tc>
                <w:tcPr>
                  <w:tcW w:w="948" w:type="dxa"/>
                  <w:tcBorders>
                    <w:tl2br w:val="nil"/>
                    <w:tr2bl w:val="nil"/>
                  </w:tcBorders>
                  <w:vAlign w:val="center"/>
                </w:tcPr>
                <w:p w14:paraId="3303BD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pacing w:val="-10"/>
                      <w:sz w:val="21"/>
                      <w:szCs w:val="21"/>
                      <w:highlight w:val="none"/>
                      <w:vertAlign w:val="baseline"/>
                      <w:lang w:val="en-US" w:eastAsia="zh-CN"/>
                    </w:rPr>
                  </w:pPr>
                  <w:r>
                    <w:rPr>
                      <w:rFonts w:hint="eastAsia"/>
                      <w:b/>
                      <w:bCs/>
                      <w:color w:val="auto"/>
                      <w:spacing w:val="-10"/>
                      <w:sz w:val="21"/>
                      <w:szCs w:val="21"/>
                      <w:highlight w:val="none"/>
                      <w:vertAlign w:val="baseline"/>
                      <w:lang w:val="en-US" w:eastAsia="zh-CN"/>
                    </w:rPr>
                    <w:t>Q值</w:t>
                  </w:r>
                </w:p>
              </w:tc>
            </w:tr>
            <w:tr w14:paraId="72B0BA2D">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tcBorders>
                    <w:tl2br w:val="nil"/>
                    <w:tr2bl w:val="nil"/>
                  </w:tcBorders>
                  <w:vAlign w:val="center"/>
                </w:tcPr>
                <w:p w14:paraId="15275E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w:t>
                  </w:r>
                </w:p>
              </w:tc>
              <w:tc>
                <w:tcPr>
                  <w:tcW w:w="1496" w:type="dxa"/>
                  <w:tcBorders>
                    <w:tl2br w:val="nil"/>
                    <w:tr2bl w:val="nil"/>
                  </w:tcBorders>
                  <w:shd w:val="clear" w:color="auto" w:fill="auto"/>
                  <w:vAlign w:val="center"/>
                </w:tcPr>
                <w:p w14:paraId="59A547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无水乙醇</w:t>
                  </w:r>
                </w:p>
              </w:tc>
              <w:tc>
                <w:tcPr>
                  <w:tcW w:w="1556" w:type="dxa"/>
                  <w:tcBorders>
                    <w:tl2br w:val="nil"/>
                    <w:tr2bl w:val="nil"/>
                  </w:tcBorders>
                  <w:shd w:val="clear" w:color="auto" w:fill="auto"/>
                  <w:vAlign w:val="center"/>
                </w:tcPr>
                <w:p w14:paraId="479B71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参照HJ941</w:t>
                  </w:r>
                </w:p>
                <w:p w14:paraId="23F9B1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乙醇</w:t>
                  </w:r>
                </w:p>
              </w:tc>
              <w:tc>
                <w:tcPr>
                  <w:tcW w:w="1092" w:type="dxa"/>
                  <w:tcBorders>
                    <w:tl2br w:val="nil"/>
                    <w:tr2bl w:val="nil"/>
                  </w:tcBorders>
                  <w:vAlign w:val="center"/>
                </w:tcPr>
                <w:p w14:paraId="7FD97A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64-17-5</w:t>
                  </w:r>
                </w:p>
              </w:tc>
              <w:tc>
                <w:tcPr>
                  <w:tcW w:w="1308" w:type="dxa"/>
                  <w:tcBorders>
                    <w:tl2br w:val="nil"/>
                    <w:tr2bl w:val="nil"/>
                  </w:tcBorders>
                  <w:vAlign w:val="center"/>
                </w:tcPr>
                <w:p w14:paraId="3A0665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0.002</w:t>
                  </w:r>
                </w:p>
              </w:tc>
              <w:tc>
                <w:tcPr>
                  <w:tcW w:w="948" w:type="dxa"/>
                  <w:tcBorders>
                    <w:tl2br w:val="nil"/>
                    <w:tr2bl w:val="nil"/>
                  </w:tcBorders>
                  <w:vAlign w:val="center"/>
                </w:tcPr>
                <w:p w14:paraId="67335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500</w:t>
                  </w:r>
                </w:p>
              </w:tc>
              <w:tc>
                <w:tcPr>
                  <w:tcW w:w="948" w:type="dxa"/>
                  <w:tcBorders>
                    <w:tl2br w:val="nil"/>
                    <w:tr2bl w:val="nil"/>
                  </w:tcBorders>
                  <w:vAlign w:val="center"/>
                </w:tcPr>
                <w:p w14:paraId="713190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0.000004</w:t>
                  </w:r>
                </w:p>
              </w:tc>
            </w:tr>
            <w:tr w14:paraId="355D441B">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tcBorders>
                    <w:tl2br w:val="nil"/>
                    <w:tr2bl w:val="nil"/>
                  </w:tcBorders>
                  <w:vAlign w:val="center"/>
                </w:tcPr>
                <w:p w14:paraId="32FB10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3</w:t>
                  </w:r>
                </w:p>
              </w:tc>
              <w:tc>
                <w:tcPr>
                  <w:tcW w:w="1496" w:type="dxa"/>
                  <w:tcBorders>
                    <w:tl2br w:val="nil"/>
                    <w:tr2bl w:val="nil"/>
                  </w:tcBorders>
                  <w:shd w:val="clear" w:color="auto" w:fill="auto"/>
                  <w:vAlign w:val="center"/>
                </w:tcPr>
                <w:p w14:paraId="1E350E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vertAlign w:val="baseline"/>
                      <w:lang w:val="en-US" w:eastAsia="zh-CN" w:bidi="ar-SA"/>
                    </w:rPr>
                  </w:pPr>
                  <w:r>
                    <w:rPr>
                      <w:rFonts w:hint="eastAsia"/>
                      <w:color w:val="auto"/>
                      <w:sz w:val="21"/>
                      <w:szCs w:val="21"/>
                      <w:highlight w:val="none"/>
                      <w:lang w:eastAsia="zh-CN"/>
                    </w:rPr>
                    <w:t>实验废液</w:t>
                  </w:r>
                </w:p>
              </w:tc>
              <w:tc>
                <w:tcPr>
                  <w:tcW w:w="1556" w:type="dxa"/>
                  <w:vMerge w:val="restart"/>
                  <w:tcBorders>
                    <w:tl2br w:val="nil"/>
                    <w:tr2bl w:val="nil"/>
                  </w:tcBorders>
                  <w:shd w:val="clear" w:color="auto" w:fill="auto"/>
                  <w:vAlign w:val="center"/>
                </w:tcPr>
                <w:p w14:paraId="7B4F62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参照HJ941</w:t>
                  </w:r>
                </w:p>
                <w:p w14:paraId="05223E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s="Times New Roman"/>
                      <w:color w:val="auto"/>
                      <w:sz w:val="21"/>
                      <w:szCs w:val="21"/>
                      <w:highlight w:val="none"/>
                      <w:lang w:val="en-US" w:eastAsia="zh-CN"/>
                    </w:rPr>
                    <w:t>CODcr浓度</w:t>
                  </w:r>
                  <w:r>
                    <w:rPr>
                      <w:rFonts w:hint="eastAsia"/>
                      <w:color w:val="auto"/>
                      <w:sz w:val="21"/>
                      <w:szCs w:val="21"/>
                      <w:highlight w:val="none"/>
                      <w:vertAlign w:val="baseline"/>
                      <w:lang w:val="en-US" w:eastAsia="zh-CN"/>
                    </w:rPr>
                    <w:t>≥10000mg/L的有机废液</w:t>
                  </w:r>
                </w:p>
              </w:tc>
              <w:tc>
                <w:tcPr>
                  <w:tcW w:w="1092" w:type="dxa"/>
                  <w:tcBorders>
                    <w:tl2br w:val="nil"/>
                    <w:tr2bl w:val="nil"/>
                  </w:tcBorders>
                  <w:vAlign w:val="center"/>
                </w:tcPr>
                <w:p w14:paraId="20D665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67-56-1</w:t>
                  </w:r>
                </w:p>
              </w:tc>
              <w:tc>
                <w:tcPr>
                  <w:tcW w:w="1308" w:type="dxa"/>
                  <w:tcBorders>
                    <w:tl2br w:val="nil"/>
                    <w:tr2bl w:val="nil"/>
                  </w:tcBorders>
                  <w:vAlign w:val="center"/>
                </w:tcPr>
                <w:p w14:paraId="321BD1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0.0001</w:t>
                  </w:r>
                </w:p>
              </w:tc>
              <w:tc>
                <w:tcPr>
                  <w:tcW w:w="948" w:type="dxa"/>
                  <w:tcBorders>
                    <w:tl2br w:val="nil"/>
                    <w:tr2bl w:val="nil"/>
                  </w:tcBorders>
                  <w:vAlign w:val="center"/>
                </w:tcPr>
                <w:p w14:paraId="462E95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10</w:t>
                  </w:r>
                </w:p>
              </w:tc>
              <w:tc>
                <w:tcPr>
                  <w:tcW w:w="948" w:type="dxa"/>
                  <w:tcBorders>
                    <w:tl2br w:val="nil"/>
                    <w:tr2bl w:val="nil"/>
                  </w:tcBorders>
                  <w:vAlign w:val="center"/>
                </w:tcPr>
                <w:p w14:paraId="31567D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0.00001</w:t>
                  </w:r>
                </w:p>
              </w:tc>
            </w:tr>
            <w:tr w14:paraId="26A9B023">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tcBorders>
                    <w:tl2br w:val="nil"/>
                    <w:tr2bl w:val="nil"/>
                  </w:tcBorders>
                  <w:vAlign w:val="center"/>
                </w:tcPr>
                <w:p w14:paraId="34AE49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4</w:t>
                  </w:r>
                </w:p>
              </w:tc>
              <w:tc>
                <w:tcPr>
                  <w:tcW w:w="1496" w:type="dxa"/>
                  <w:tcBorders>
                    <w:tl2br w:val="nil"/>
                    <w:tr2bl w:val="nil"/>
                  </w:tcBorders>
                  <w:shd w:val="clear" w:color="auto" w:fill="auto"/>
                  <w:vAlign w:val="center"/>
                </w:tcPr>
                <w:p w14:paraId="7D8C84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vertAlign w:val="baseline"/>
                      <w:lang w:val="en-US" w:eastAsia="zh-CN" w:bidi="ar-SA"/>
                    </w:rPr>
                  </w:pPr>
                  <w:r>
                    <w:rPr>
                      <w:rFonts w:hint="eastAsia"/>
                      <w:color w:val="auto"/>
                      <w:sz w:val="21"/>
                      <w:szCs w:val="21"/>
                      <w:highlight w:val="none"/>
                    </w:rPr>
                    <w:t>清洗</w:t>
                  </w:r>
                  <w:r>
                    <w:rPr>
                      <w:rFonts w:hint="eastAsia"/>
                      <w:color w:val="auto"/>
                      <w:sz w:val="21"/>
                      <w:szCs w:val="21"/>
                      <w:highlight w:val="none"/>
                      <w:lang w:val="en-US" w:eastAsia="zh-CN"/>
                    </w:rPr>
                    <w:t>废液</w:t>
                  </w:r>
                </w:p>
              </w:tc>
              <w:tc>
                <w:tcPr>
                  <w:tcW w:w="1556" w:type="dxa"/>
                  <w:vMerge w:val="continue"/>
                  <w:tcBorders>
                    <w:tl2br w:val="nil"/>
                    <w:tr2bl w:val="nil"/>
                  </w:tcBorders>
                  <w:shd w:val="clear" w:color="auto" w:fill="auto"/>
                  <w:vAlign w:val="center"/>
                </w:tcPr>
                <w:p w14:paraId="27A66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vertAlign w:val="baseline"/>
                      <w:lang w:val="en-US" w:eastAsia="zh-CN"/>
                    </w:rPr>
                  </w:pPr>
                </w:p>
              </w:tc>
              <w:tc>
                <w:tcPr>
                  <w:tcW w:w="1092" w:type="dxa"/>
                  <w:tcBorders>
                    <w:tl2br w:val="nil"/>
                    <w:tr2bl w:val="nil"/>
                  </w:tcBorders>
                  <w:vAlign w:val="center"/>
                </w:tcPr>
                <w:p w14:paraId="527CD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75-05-8</w:t>
                  </w:r>
                </w:p>
              </w:tc>
              <w:tc>
                <w:tcPr>
                  <w:tcW w:w="1308" w:type="dxa"/>
                  <w:tcBorders>
                    <w:tl2br w:val="nil"/>
                    <w:tr2bl w:val="nil"/>
                  </w:tcBorders>
                  <w:vAlign w:val="center"/>
                </w:tcPr>
                <w:p w14:paraId="1503E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0.0005</w:t>
                  </w:r>
                </w:p>
              </w:tc>
              <w:tc>
                <w:tcPr>
                  <w:tcW w:w="948" w:type="dxa"/>
                  <w:tcBorders>
                    <w:tl2br w:val="nil"/>
                    <w:tr2bl w:val="nil"/>
                  </w:tcBorders>
                  <w:vAlign w:val="center"/>
                </w:tcPr>
                <w:p w14:paraId="40EE04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10</w:t>
                  </w:r>
                </w:p>
              </w:tc>
              <w:tc>
                <w:tcPr>
                  <w:tcW w:w="948" w:type="dxa"/>
                  <w:tcBorders>
                    <w:tl2br w:val="nil"/>
                    <w:tr2bl w:val="nil"/>
                  </w:tcBorders>
                  <w:vAlign w:val="center"/>
                </w:tcPr>
                <w:p w14:paraId="418CA7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0.00005</w:t>
                  </w:r>
                </w:p>
              </w:tc>
            </w:tr>
            <w:tr w14:paraId="3278B92B">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5" w:type="dxa"/>
                  <w:gridSpan w:val="6"/>
                  <w:tcBorders>
                    <w:tl2br w:val="nil"/>
                    <w:tr2bl w:val="nil"/>
                  </w:tcBorders>
                  <w:vAlign w:val="center"/>
                </w:tcPr>
                <w:p w14:paraId="073B64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合计</w:t>
                  </w:r>
                </w:p>
              </w:tc>
              <w:tc>
                <w:tcPr>
                  <w:tcW w:w="948" w:type="dxa"/>
                  <w:tcBorders>
                    <w:tl2br w:val="nil"/>
                    <w:tr2bl w:val="nil"/>
                  </w:tcBorders>
                  <w:vAlign w:val="center"/>
                </w:tcPr>
                <w:p w14:paraId="6DFC54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pacing w:val="-10"/>
                      <w:sz w:val="21"/>
                      <w:szCs w:val="21"/>
                      <w:highlight w:val="none"/>
                      <w:vertAlign w:val="baseline"/>
                      <w:lang w:val="en-US" w:eastAsia="zh-CN"/>
                    </w:rPr>
                  </w:pPr>
                  <w:r>
                    <w:rPr>
                      <w:rFonts w:hint="eastAsia"/>
                      <w:b w:val="0"/>
                      <w:bCs w:val="0"/>
                      <w:color w:val="auto"/>
                      <w:spacing w:val="-10"/>
                      <w:sz w:val="21"/>
                      <w:szCs w:val="21"/>
                      <w:highlight w:val="none"/>
                      <w:vertAlign w:val="baseline"/>
                      <w:lang w:val="en-US" w:eastAsia="zh-CN"/>
                    </w:rPr>
                    <w:t>0.000064</w:t>
                  </w:r>
                </w:p>
              </w:tc>
            </w:tr>
          </w:tbl>
          <w:p w14:paraId="0A37D4F9">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由上表可知，本项目Q=0.000064＜1，不需要开展专项分析。</w:t>
            </w:r>
          </w:p>
          <w:p w14:paraId="4B1E03E4">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（2）环境风险途径</w:t>
            </w:r>
          </w:p>
          <w:p w14:paraId="070D75F5">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项目实施后公司风险源分布及可能影响途径见下表。</w:t>
            </w:r>
          </w:p>
          <w:p w14:paraId="7930BFD6">
            <w:pPr>
              <w:numPr>
                <w:ilvl w:val="0"/>
                <w:numId w:val="17"/>
              </w:numPr>
              <w:adjustRightInd w:val="0"/>
              <w:spacing w:line="360" w:lineRule="auto"/>
              <w:ind w:left="425" w:leftChars="0" w:hanging="425" w:firstLineChars="0"/>
              <w:jc w:val="center"/>
              <w:rPr>
                <w:rFonts w:hint="default" w:ascii="Times New Roman" w:hAnsi="Times New Roman" w:eastAsia="宋体" w:cs="Times New Roman"/>
                <w:b/>
                <w:bCs/>
                <w:color w:val="auto"/>
                <w:spacing w:val="6"/>
                <w:sz w:val="24"/>
                <w:highlight w:val="none"/>
                <w:lang w:val="en-US" w:eastAsia="zh-CN"/>
              </w:rPr>
            </w:pPr>
            <w:r>
              <w:rPr>
                <w:rFonts w:hint="eastAsia" w:ascii="Times New Roman" w:hAnsi="Times New Roman" w:eastAsia="宋体" w:cs="Times New Roman"/>
                <w:b/>
                <w:bCs/>
                <w:color w:val="auto"/>
                <w:spacing w:val="6"/>
                <w:sz w:val="24"/>
                <w:highlight w:val="none"/>
                <w:lang w:val="en-US" w:eastAsia="zh-CN"/>
              </w:rPr>
              <w:t>项目风险源分布及影响途径表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266"/>
              <w:gridCol w:w="1005"/>
              <w:gridCol w:w="1590"/>
              <w:gridCol w:w="3067"/>
            </w:tblGrid>
            <w:tr w14:paraId="61DA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dxa"/>
                  <w:vAlign w:val="center"/>
                </w:tcPr>
                <w:p w14:paraId="459A9B2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b/>
                      <w:bCs/>
                      <w:color w:val="auto"/>
                      <w:highlight w:val="none"/>
                      <w:lang w:val="en-US"/>
                    </w:rPr>
                  </w:pPr>
                  <w:r>
                    <w:rPr>
                      <w:rFonts w:hint="eastAsia"/>
                      <w:b/>
                      <w:bCs/>
                      <w:color w:val="auto"/>
                      <w:highlight w:val="none"/>
                      <w:lang w:val="en-US" w:eastAsia="zh-CN"/>
                    </w:rPr>
                    <w:t>风险</w:t>
                  </w:r>
                  <w:r>
                    <w:rPr>
                      <w:rFonts w:hint="default"/>
                      <w:b/>
                      <w:bCs/>
                      <w:color w:val="auto"/>
                      <w:highlight w:val="none"/>
                    </w:rPr>
                    <w:t>单元</w:t>
                  </w:r>
                </w:p>
              </w:tc>
              <w:tc>
                <w:tcPr>
                  <w:tcW w:w="1266" w:type="dxa"/>
                  <w:vAlign w:val="center"/>
                </w:tcPr>
                <w:p w14:paraId="04A7570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b/>
                      <w:bCs/>
                      <w:color w:val="auto"/>
                      <w:highlight w:val="none"/>
                      <w:lang w:val="en-US"/>
                    </w:rPr>
                  </w:pPr>
                  <w:r>
                    <w:rPr>
                      <w:rFonts w:hint="default"/>
                      <w:b/>
                      <w:bCs/>
                      <w:color w:val="auto"/>
                      <w:highlight w:val="none"/>
                      <w:lang w:val="en-US"/>
                    </w:rPr>
                    <w:t>涉及风险物质</w:t>
                  </w:r>
                </w:p>
              </w:tc>
              <w:tc>
                <w:tcPr>
                  <w:tcW w:w="1005" w:type="dxa"/>
                  <w:vAlign w:val="center"/>
                </w:tcPr>
                <w:p w14:paraId="3481D89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b/>
                      <w:bCs/>
                      <w:color w:val="auto"/>
                      <w:highlight w:val="none"/>
                      <w:lang w:val="en-US"/>
                    </w:rPr>
                  </w:pPr>
                  <w:r>
                    <w:rPr>
                      <w:rFonts w:hint="default"/>
                      <w:b/>
                      <w:bCs/>
                      <w:color w:val="auto"/>
                      <w:highlight w:val="none"/>
                      <w:lang w:val="en-US"/>
                    </w:rPr>
                    <w:t>环境风险类型</w:t>
                  </w:r>
                </w:p>
              </w:tc>
              <w:tc>
                <w:tcPr>
                  <w:tcW w:w="1590" w:type="dxa"/>
                  <w:vAlign w:val="center"/>
                </w:tcPr>
                <w:p w14:paraId="6ABFC10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b/>
                      <w:bCs/>
                      <w:color w:val="auto"/>
                      <w:highlight w:val="none"/>
                      <w:lang w:val="en-US"/>
                    </w:rPr>
                  </w:pPr>
                  <w:r>
                    <w:rPr>
                      <w:rFonts w:hint="default"/>
                      <w:b/>
                      <w:bCs/>
                      <w:color w:val="auto"/>
                      <w:highlight w:val="none"/>
                    </w:rPr>
                    <w:t>事故触发因素</w:t>
                  </w:r>
                </w:p>
              </w:tc>
              <w:tc>
                <w:tcPr>
                  <w:tcW w:w="3067" w:type="dxa"/>
                  <w:vAlign w:val="center"/>
                </w:tcPr>
                <w:p w14:paraId="1EAA04B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b/>
                      <w:bCs/>
                      <w:color w:val="auto"/>
                      <w:highlight w:val="none"/>
                      <w:lang w:val="en-US"/>
                    </w:rPr>
                  </w:pPr>
                  <w:r>
                    <w:rPr>
                      <w:rFonts w:hint="default"/>
                      <w:b/>
                      <w:bCs/>
                      <w:color w:val="auto"/>
                      <w:highlight w:val="none"/>
                      <w:lang w:val="en-US"/>
                    </w:rPr>
                    <w:t>环境影响途径</w:t>
                  </w:r>
                </w:p>
              </w:tc>
            </w:tr>
            <w:tr w14:paraId="04F4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dxa"/>
                  <w:vAlign w:val="center"/>
                </w:tcPr>
                <w:p w14:paraId="7C83A6D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宋体"/>
                      <w:color w:val="auto"/>
                      <w:highlight w:val="none"/>
                      <w:lang w:val="en-US" w:eastAsia="zh-CN"/>
                    </w:rPr>
                  </w:pPr>
                  <w:r>
                    <w:rPr>
                      <w:rFonts w:hint="eastAsia"/>
                      <w:color w:val="auto"/>
                      <w:highlight w:val="none"/>
                      <w:lang w:val="en-US" w:eastAsia="zh-CN"/>
                    </w:rPr>
                    <w:t>试剂柜</w:t>
                  </w:r>
                </w:p>
              </w:tc>
              <w:tc>
                <w:tcPr>
                  <w:tcW w:w="1266" w:type="dxa"/>
                  <w:vAlign w:val="center"/>
                </w:tcPr>
                <w:p w14:paraId="3DCFA48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eastAsia="宋体"/>
                      <w:color w:val="auto"/>
                      <w:highlight w:val="none"/>
                      <w:lang w:val="en-US" w:eastAsia="zh-CN"/>
                    </w:rPr>
                  </w:pPr>
                  <w:r>
                    <w:rPr>
                      <w:rFonts w:hint="eastAsia"/>
                      <w:color w:val="auto"/>
                      <w:highlight w:val="none"/>
                    </w:rPr>
                    <w:t>无水乙醇</w:t>
                  </w:r>
                </w:p>
              </w:tc>
              <w:tc>
                <w:tcPr>
                  <w:tcW w:w="1005" w:type="dxa"/>
                  <w:vAlign w:val="center"/>
                </w:tcPr>
                <w:p w14:paraId="67F481C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olor w:val="auto"/>
                      <w:highlight w:val="none"/>
                      <w:lang w:val="en-US"/>
                    </w:rPr>
                  </w:pPr>
                  <w:r>
                    <w:rPr>
                      <w:rFonts w:hint="default"/>
                      <w:color w:val="auto"/>
                      <w:highlight w:val="none"/>
                      <w:lang w:val="en-US"/>
                    </w:rPr>
                    <w:t>泄漏、火灾、</w:t>
                  </w:r>
                  <w:r>
                    <w:rPr>
                      <w:rFonts w:hint="eastAsia"/>
                      <w:color w:val="auto"/>
                      <w:highlight w:val="none"/>
                      <w:lang w:val="en-US" w:eastAsia="zh-CN"/>
                    </w:rPr>
                    <w:t>爆燃</w:t>
                  </w:r>
                </w:p>
              </w:tc>
              <w:tc>
                <w:tcPr>
                  <w:tcW w:w="1590" w:type="dxa"/>
                  <w:vAlign w:val="center"/>
                </w:tcPr>
                <w:p w14:paraId="7C8B716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olor w:val="auto"/>
                      <w:highlight w:val="none"/>
                      <w:lang w:val="en-US"/>
                    </w:rPr>
                  </w:pPr>
                  <w:r>
                    <w:rPr>
                      <w:rFonts w:hint="eastAsia"/>
                      <w:color w:val="auto"/>
                      <w:highlight w:val="none"/>
                    </w:rPr>
                    <w:t>操作管理不当造成包装瓶或桶破损</w:t>
                  </w:r>
                  <w:r>
                    <w:rPr>
                      <w:rFonts w:hint="eastAsia"/>
                      <w:color w:val="auto"/>
                      <w:highlight w:val="none"/>
                      <w:lang w:eastAsia="zh-CN"/>
                    </w:rPr>
                    <w:t>，泄露后接触明火引发爆燃、火灾</w:t>
                  </w:r>
                </w:p>
              </w:tc>
              <w:tc>
                <w:tcPr>
                  <w:tcW w:w="3067" w:type="dxa"/>
                  <w:vAlign w:val="center"/>
                </w:tcPr>
                <w:p w14:paraId="695D2CE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olor w:val="auto"/>
                      <w:highlight w:val="none"/>
                      <w:lang w:val="en-US"/>
                    </w:rPr>
                  </w:pPr>
                  <w:r>
                    <w:rPr>
                      <w:rFonts w:hint="eastAsia"/>
                      <w:color w:val="auto"/>
                      <w:highlight w:val="none"/>
                    </w:rPr>
                    <w:t>泄露挥发到大气中对大气环境产生影响，火灾、爆炸对周围人群产生影响，火灾消防废水</w:t>
                  </w:r>
                  <w:r>
                    <w:rPr>
                      <w:rFonts w:hint="eastAsia"/>
                      <w:color w:val="auto"/>
                      <w:highlight w:val="none"/>
                      <w:lang w:eastAsia="zh-CN"/>
                    </w:rPr>
                    <w:t>引起的地表漫流或通过雨水管网等方式可能</w:t>
                  </w:r>
                  <w:r>
                    <w:rPr>
                      <w:rFonts w:hint="eastAsia"/>
                      <w:color w:val="auto"/>
                      <w:highlight w:val="none"/>
                    </w:rPr>
                    <w:t>对</w:t>
                  </w:r>
                  <w:r>
                    <w:rPr>
                      <w:rFonts w:hint="eastAsia"/>
                      <w:color w:val="auto"/>
                      <w:highlight w:val="none"/>
                      <w:lang w:eastAsia="zh-CN"/>
                    </w:rPr>
                    <w:t>附近</w:t>
                  </w:r>
                  <w:r>
                    <w:rPr>
                      <w:rFonts w:hint="eastAsia"/>
                      <w:color w:val="auto"/>
                      <w:highlight w:val="none"/>
                    </w:rPr>
                    <w:t>地表水产生</w:t>
                  </w:r>
                  <w:r>
                    <w:rPr>
                      <w:rFonts w:hint="eastAsia"/>
                      <w:color w:val="auto"/>
                      <w:highlight w:val="none"/>
                      <w:lang w:eastAsia="zh-CN"/>
                    </w:rPr>
                    <w:t>不利</w:t>
                  </w:r>
                  <w:r>
                    <w:rPr>
                      <w:rFonts w:hint="eastAsia"/>
                      <w:color w:val="auto"/>
                      <w:highlight w:val="none"/>
                    </w:rPr>
                    <w:t>影响</w:t>
                  </w:r>
                </w:p>
              </w:tc>
            </w:tr>
            <w:tr w14:paraId="779F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dxa"/>
                  <w:vAlign w:val="center"/>
                </w:tcPr>
                <w:p w14:paraId="6393A6B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宋体"/>
                      <w:color w:val="auto"/>
                      <w:highlight w:val="none"/>
                      <w:lang w:val="en-US" w:eastAsia="zh-CN"/>
                    </w:rPr>
                  </w:pPr>
                  <w:r>
                    <w:rPr>
                      <w:rFonts w:hint="eastAsia"/>
                      <w:color w:val="auto"/>
                      <w:highlight w:val="none"/>
                      <w:lang w:val="en-US" w:eastAsia="zh-CN"/>
                    </w:rPr>
                    <w:t>危险废物暂存间</w:t>
                  </w:r>
                </w:p>
              </w:tc>
              <w:tc>
                <w:tcPr>
                  <w:tcW w:w="1266" w:type="dxa"/>
                  <w:vAlign w:val="center"/>
                </w:tcPr>
                <w:p w14:paraId="596062D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宋体"/>
                      <w:color w:val="auto"/>
                      <w:highlight w:val="none"/>
                      <w:lang w:val="en-US" w:eastAsia="zh-CN"/>
                    </w:rPr>
                  </w:pPr>
                  <w:r>
                    <w:rPr>
                      <w:rFonts w:hint="eastAsia"/>
                      <w:color w:val="auto"/>
                      <w:highlight w:val="none"/>
                    </w:rPr>
                    <w:t>实验废液、清洗废</w:t>
                  </w:r>
                  <w:r>
                    <w:rPr>
                      <w:rFonts w:hint="eastAsia"/>
                      <w:color w:val="auto"/>
                      <w:highlight w:val="none"/>
                      <w:lang w:val="en-US" w:eastAsia="zh-CN"/>
                    </w:rPr>
                    <w:t>液</w:t>
                  </w:r>
                </w:p>
              </w:tc>
              <w:tc>
                <w:tcPr>
                  <w:tcW w:w="1005" w:type="dxa"/>
                  <w:vAlign w:val="center"/>
                </w:tcPr>
                <w:p w14:paraId="6B569E3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auto"/>
                      <w:highlight w:val="none"/>
                      <w:lang w:val="en-US" w:eastAsia="zh-CN"/>
                    </w:rPr>
                  </w:pPr>
                  <w:r>
                    <w:rPr>
                      <w:rFonts w:hint="default"/>
                      <w:color w:val="auto"/>
                      <w:highlight w:val="none"/>
                      <w:lang w:val="en-US"/>
                    </w:rPr>
                    <w:t>泄漏</w:t>
                  </w:r>
                </w:p>
              </w:tc>
              <w:tc>
                <w:tcPr>
                  <w:tcW w:w="1590" w:type="dxa"/>
                  <w:vAlign w:val="center"/>
                </w:tcPr>
                <w:p w14:paraId="5AC44B1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olor w:val="auto"/>
                      <w:highlight w:val="none"/>
                      <w:lang w:val="en-US"/>
                    </w:rPr>
                  </w:pPr>
                  <w:r>
                    <w:rPr>
                      <w:rFonts w:hint="eastAsia"/>
                      <w:color w:val="auto"/>
                      <w:highlight w:val="none"/>
                    </w:rPr>
                    <w:t>操作管理不当造成包装桶破损</w:t>
                  </w:r>
                </w:p>
              </w:tc>
              <w:tc>
                <w:tcPr>
                  <w:tcW w:w="3067" w:type="dxa"/>
                  <w:vAlign w:val="center"/>
                </w:tcPr>
                <w:p w14:paraId="4AF52FC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olor w:val="auto"/>
                      <w:highlight w:val="none"/>
                      <w:lang w:val="en-US"/>
                    </w:rPr>
                  </w:pPr>
                  <w:r>
                    <w:rPr>
                      <w:rFonts w:hint="eastAsia"/>
                      <w:color w:val="auto"/>
                      <w:highlight w:val="none"/>
                    </w:rPr>
                    <w:t>泄露挥发到大气中对大气环境产生影响，漫流对地下水和土壤产生影响</w:t>
                  </w:r>
                </w:p>
              </w:tc>
            </w:tr>
          </w:tbl>
          <w:p w14:paraId="51EB291D">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（3）环境风险防范措施</w:t>
            </w:r>
          </w:p>
          <w:p w14:paraId="09A19D79">
            <w:pPr>
              <w:widowControl/>
              <w:numPr>
                <w:ilvl w:val="0"/>
                <w:numId w:val="2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建设单位应制定突发环境事件应急预案</w:t>
            </w:r>
            <w:r>
              <w:rPr>
                <w:rFonts w:hint="eastAsia" w:cs="Times New Roman"/>
                <w:color w:val="auto"/>
                <w:kern w:val="0"/>
                <w:sz w:val="24"/>
                <w:highlight w:val="none"/>
                <w:lang w:val="en-US" w:eastAsia="zh-CN"/>
              </w:rPr>
              <w:t>和危险废物专项应急预案</w:t>
            </w:r>
            <w:r>
              <w:rPr>
                <w:rFonts w:hint="default" w:ascii="Times New Roman" w:hAnsi="Times New Roman" w:eastAsia="宋体" w:cs="Times New Roman"/>
                <w:color w:val="auto"/>
                <w:kern w:val="0"/>
                <w:sz w:val="24"/>
                <w:highlight w:val="none"/>
              </w:rPr>
              <w:t>。</w:t>
            </w:r>
          </w:p>
          <w:p w14:paraId="6F5C1928">
            <w:pPr>
              <w:widowControl/>
              <w:numPr>
                <w:ilvl w:val="0"/>
                <w:numId w:val="2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定期检查危险化学品和废液密封状态，禁止跑、冒、滴、漏。</w:t>
            </w:r>
          </w:p>
          <w:p w14:paraId="2BA269BB">
            <w:pPr>
              <w:widowControl/>
              <w:numPr>
                <w:ilvl w:val="0"/>
                <w:numId w:val="2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在风险源场所设置消防栓、灭火器</w:t>
            </w:r>
            <w:r>
              <w:rPr>
                <w:rFonts w:hint="eastAsia" w:cs="Times New Roman"/>
                <w:color w:val="auto"/>
                <w:kern w:val="0"/>
                <w:sz w:val="24"/>
                <w:highlight w:val="none"/>
                <w:lang w:val="en-US" w:eastAsia="zh-CN"/>
              </w:rPr>
              <w:t>等灭火设施</w:t>
            </w:r>
            <w:r>
              <w:rPr>
                <w:rFonts w:hint="default" w:ascii="Times New Roman" w:hAnsi="Times New Roman" w:eastAsia="宋体" w:cs="Times New Roman"/>
                <w:color w:val="auto"/>
                <w:kern w:val="0"/>
                <w:sz w:val="24"/>
                <w:highlight w:val="none"/>
              </w:rPr>
              <w:t>，配备一定数量的自给式呼吸器、消防防护服、消防沙等，并设置明显的</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危险</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警示标识和</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禁止吸烟</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的警示标识。</w:t>
            </w:r>
          </w:p>
          <w:p w14:paraId="75F5F184">
            <w:pPr>
              <w:widowControl/>
              <w:numPr>
                <w:ilvl w:val="0"/>
                <w:numId w:val="2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加强危险废物相关的教育和培训，严禁将危险废物随便倾倒，，严格按照危险废物的类别分类收集，做好危险废物识别标志和台账。</w:t>
            </w:r>
          </w:p>
          <w:p w14:paraId="1A1BFCAD">
            <w:pPr>
              <w:widowControl/>
              <w:numPr>
                <w:ilvl w:val="0"/>
                <w:numId w:val="2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制定操作规程，</w:t>
            </w:r>
            <w:r>
              <w:rPr>
                <w:rFonts w:hint="eastAsia" w:cs="Times New Roman"/>
                <w:color w:val="auto"/>
                <w:kern w:val="0"/>
                <w:sz w:val="24"/>
                <w:highlight w:val="none"/>
                <w:lang w:val="en-US" w:eastAsia="zh-CN"/>
              </w:rPr>
              <w:t>严格按照规程进行各项实验操作，密切关注实验现象，实验期间不得擅自离岗，发现问题及时处理。</w:t>
            </w:r>
            <w:r>
              <w:rPr>
                <w:rFonts w:hint="default" w:ascii="Times New Roman" w:hAnsi="Times New Roman" w:eastAsia="宋体" w:cs="Times New Roman"/>
                <w:color w:val="auto"/>
                <w:kern w:val="0"/>
                <w:sz w:val="24"/>
                <w:highlight w:val="none"/>
              </w:rPr>
              <w:t>定期进行消防安全知识培训，重点培训岗位防火技术、灭火器的使用办法、疏散逃生知识等，加强员工防火意识，确保每位员工都掌握安全防火技能，一旦发生事故能采取正确的应急措施。</w:t>
            </w:r>
          </w:p>
          <w:p w14:paraId="2E5D4DB6">
            <w:pPr>
              <w:widowControl/>
              <w:numPr>
                <w:ilvl w:val="0"/>
                <w:numId w:val="2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建立安全管理制度，制定岗位责任制度，定期对设备等各环节进行检修，发现有损坏的设备、零部件及时更换，减少意外事故发生的概率。</w:t>
            </w:r>
          </w:p>
          <w:p w14:paraId="0A4D7FCB">
            <w:pPr>
              <w:widowControl/>
              <w:numPr>
                <w:ilvl w:val="0"/>
                <w:numId w:val="2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若发生火灾事故，火灾对水体的污染主要体现在灭火过程中，一般在火灾的扑救过程中会使用大量的水来冷却可燃物或扑灭火，消防废水会将火灾中产生的有害物质带走，渗入地下，排入城市排水系统，控制不当，进入周边地表水体可能导致次生水环境风险事故，应在日常营运中注意避免火灾的发生，便可避免消防废水等对水体的污染。园区雨水排放口末端设置紧急切断闸门，一旦发生火灾、水体污染事故，需</w:t>
            </w:r>
            <w:r>
              <w:rPr>
                <w:rFonts w:hint="default" w:ascii="Times New Roman" w:hAnsi="Times New Roman" w:eastAsia="宋体" w:cs="Times New Roman"/>
                <w:color w:val="auto"/>
                <w:kern w:val="0"/>
                <w:sz w:val="24"/>
                <w:highlight w:val="none"/>
                <w:lang w:val="en-US" w:eastAsia="zh-CN"/>
              </w:rPr>
              <w:t>与园区物理联系，</w:t>
            </w:r>
            <w:r>
              <w:rPr>
                <w:rFonts w:hint="default" w:ascii="Times New Roman" w:hAnsi="Times New Roman" w:eastAsia="宋体" w:cs="Times New Roman"/>
                <w:color w:val="auto"/>
                <w:kern w:val="0"/>
                <w:sz w:val="24"/>
                <w:highlight w:val="none"/>
              </w:rPr>
              <w:t>关闭雨水总排口，将事故控制在厂界内，防止对下游造成污染。</w:t>
            </w:r>
          </w:p>
          <w:p w14:paraId="37AB8C1C">
            <w:pPr>
              <w:widowControl/>
              <w:numPr>
                <w:ilvl w:val="0"/>
                <w:numId w:val="22"/>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eastAsia"/>
                <w:color w:val="auto"/>
                <w:lang w:val="en-US" w:eastAsia="zh-CN"/>
              </w:rPr>
              <w:t>按照《实验室生物安全通用要求》（GB19489-2008）等规范要求建立生物安全管理制度和操作规程。</w:t>
            </w:r>
          </w:p>
          <w:p w14:paraId="5CF5A97B">
            <w:pPr>
              <w:adjustRightInd w:val="0"/>
              <w:spacing w:line="360" w:lineRule="auto"/>
              <w:ind w:firstLine="465"/>
              <w:rPr>
                <w:rFonts w:hint="default" w:ascii="Times New Roman" w:hAnsi="Times New Roman" w:eastAsia="宋体" w:cs="Times New Roman"/>
                <w:b w:val="0"/>
                <w:bCs w:val="0"/>
                <w:color w:val="auto"/>
                <w:spacing w:val="-2"/>
                <w:sz w:val="24"/>
                <w:szCs w:val="32"/>
                <w:highlight w:val="none"/>
              </w:rPr>
            </w:pPr>
            <w:r>
              <w:rPr>
                <w:rFonts w:hint="default" w:ascii="Times New Roman" w:hAnsi="Times New Roman" w:eastAsia="宋体" w:cs="Times New Roman"/>
                <w:b w:val="0"/>
                <w:bCs w:val="0"/>
                <w:color w:val="auto"/>
                <w:spacing w:val="-2"/>
                <w:sz w:val="24"/>
                <w:szCs w:val="32"/>
                <w:highlight w:val="none"/>
              </w:rPr>
              <w:t>（</w:t>
            </w:r>
            <w:r>
              <w:rPr>
                <w:rFonts w:hint="default" w:ascii="Times New Roman" w:hAnsi="Times New Roman" w:eastAsia="宋体" w:cs="Times New Roman"/>
                <w:b w:val="0"/>
                <w:bCs w:val="0"/>
                <w:color w:val="auto"/>
                <w:spacing w:val="-2"/>
                <w:sz w:val="24"/>
                <w:szCs w:val="32"/>
                <w:highlight w:val="none"/>
                <w:lang w:val="en-US" w:eastAsia="zh-CN"/>
              </w:rPr>
              <w:t>4</w:t>
            </w:r>
            <w:r>
              <w:rPr>
                <w:rFonts w:hint="default" w:ascii="Times New Roman" w:hAnsi="Times New Roman" w:eastAsia="宋体" w:cs="Times New Roman"/>
                <w:b w:val="0"/>
                <w:bCs w:val="0"/>
                <w:color w:val="auto"/>
                <w:spacing w:val="-2"/>
                <w:sz w:val="24"/>
                <w:szCs w:val="32"/>
                <w:highlight w:val="none"/>
              </w:rPr>
              <w:t>）环境风险评价结论</w:t>
            </w:r>
          </w:p>
          <w:p w14:paraId="38F7328F">
            <w:pPr>
              <w:adjustRightInd w:val="0"/>
              <w:spacing w:line="360" w:lineRule="auto"/>
              <w:ind w:firstLine="465"/>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综上分析，本项目环境风险潜势为I级，风险评价等级为简单分析，存在泄漏、火灾事故类型，本</w:t>
            </w:r>
            <w:r>
              <w:rPr>
                <w:rFonts w:hint="eastAsia" w:cs="Times New Roman"/>
                <w:color w:val="auto"/>
                <w:kern w:val="0"/>
                <w:sz w:val="24"/>
                <w:highlight w:val="none"/>
                <w:lang w:val="en-US" w:eastAsia="zh-CN"/>
              </w:rPr>
              <w:t>项目定期开展安全风险辨识评估，制定操作规程并加强培训，定期开展隐患排查</w:t>
            </w:r>
            <w:r>
              <w:rPr>
                <w:rFonts w:hint="default" w:ascii="Times New Roman" w:hAnsi="Times New Roman" w:eastAsia="宋体" w:cs="Times New Roman"/>
                <w:color w:val="auto"/>
                <w:kern w:val="0"/>
                <w:sz w:val="24"/>
                <w:highlight w:val="none"/>
              </w:rPr>
              <w:t>，确保</w:t>
            </w:r>
            <w:r>
              <w:rPr>
                <w:rFonts w:hint="eastAsia"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运行的安全性；同时在严格执行国家相关法律、法规和规范，按相关操作规章操作的前提下，通过采用相应的控制措施后，本项目环境风险可控。本项目环境风险简单分析内容表见下表。</w:t>
            </w:r>
          </w:p>
          <w:p w14:paraId="7790B547">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根据《建设项目环境风险评价技术导则》（HJ16-218）附录A，本项目环境风险简单分析表填写详见下表。</w:t>
            </w:r>
          </w:p>
          <w:p w14:paraId="65D7EFE1">
            <w:pPr>
              <w:numPr>
                <w:ilvl w:val="0"/>
                <w:numId w:val="17"/>
              </w:numPr>
              <w:adjustRightInd w:val="0"/>
              <w:spacing w:line="360" w:lineRule="auto"/>
              <w:ind w:left="425" w:leftChars="0" w:hanging="425" w:firstLineChars="0"/>
              <w:jc w:val="center"/>
              <w:rPr>
                <w:rFonts w:hint="eastAsia" w:ascii="Times New Roman" w:hAnsi="Times New Roman" w:eastAsia="宋体" w:cs="Times New Roman"/>
                <w:b/>
                <w:bCs/>
                <w:color w:val="auto"/>
                <w:spacing w:val="6"/>
                <w:sz w:val="24"/>
                <w:highlight w:val="none"/>
                <w:lang w:val="en-US" w:eastAsia="zh-CN"/>
              </w:rPr>
            </w:pPr>
            <w:r>
              <w:rPr>
                <w:rFonts w:hint="eastAsia" w:ascii="Times New Roman" w:hAnsi="Times New Roman" w:eastAsia="宋体" w:cs="Times New Roman"/>
                <w:b/>
                <w:bCs/>
                <w:color w:val="auto"/>
                <w:spacing w:val="6"/>
                <w:sz w:val="24"/>
                <w:highlight w:val="none"/>
                <w:lang w:val="en-US" w:eastAsia="zh-CN"/>
              </w:rPr>
              <w:t xml:space="preserve">  建设项目环境风险简单分析内容表</w:t>
            </w:r>
          </w:p>
          <w:tbl>
            <w:tblPr>
              <w:tblStyle w:val="19"/>
              <w:tblW w:w="49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91"/>
              <w:gridCol w:w="657"/>
              <w:gridCol w:w="2248"/>
              <w:gridCol w:w="745"/>
              <w:gridCol w:w="2022"/>
            </w:tblGrid>
            <w:tr w14:paraId="7FFB0CD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117" w:type="dxa"/>
                  <w:tcBorders>
                    <w:tl2br w:val="nil"/>
                    <w:tr2bl w:val="nil"/>
                  </w:tcBorders>
                  <w:vAlign w:val="center"/>
                </w:tcPr>
                <w:p w14:paraId="6C1B677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lang w:val="en-US"/>
                    </w:rPr>
                    <w:t>建设项目名称</w:t>
                  </w:r>
                </w:p>
              </w:tc>
              <w:tc>
                <w:tcPr>
                  <w:tcW w:w="5482" w:type="dxa"/>
                  <w:gridSpan w:val="4"/>
                  <w:tcBorders>
                    <w:tl2br w:val="nil"/>
                    <w:tr2bl w:val="nil"/>
                  </w:tcBorders>
                  <w:vAlign w:val="center"/>
                </w:tcPr>
                <w:p w14:paraId="71E16A5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val="0"/>
                      <w:bCs w:val="0"/>
                      <w:color w:val="auto"/>
                      <w:highlight w:val="none"/>
                      <w:lang w:val="en-US"/>
                    </w:rPr>
                  </w:pPr>
                  <w:r>
                    <w:rPr>
                      <w:rFonts w:hint="eastAsia"/>
                      <w:color w:val="auto"/>
                      <w:highlight w:val="none"/>
                      <w:lang w:eastAsia="zh-CN"/>
                    </w:rPr>
                    <w:t>昂领免疫诊断技术实验室建设项目</w:t>
                  </w:r>
                </w:p>
              </w:tc>
            </w:tr>
            <w:tr w14:paraId="48FC6AC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2117" w:type="dxa"/>
                  <w:tcBorders>
                    <w:tl2br w:val="nil"/>
                    <w:tr2bl w:val="nil"/>
                  </w:tcBorders>
                  <w:vAlign w:val="center"/>
                </w:tcPr>
                <w:p w14:paraId="5DCE80A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lang w:val="en-US"/>
                    </w:rPr>
                    <w:t>建设地点</w:t>
                  </w:r>
                </w:p>
              </w:tc>
              <w:tc>
                <w:tcPr>
                  <w:tcW w:w="5482" w:type="dxa"/>
                  <w:gridSpan w:val="4"/>
                  <w:tcBorders>
                    <w:tl2br w:val="nil"/>
                    <w:tr2bl w:val="nil"/>
                  </w:tcBorders>
                  <w:vAlign w:val="center"/>
                </w:tcPr>
                <w:p w14:paraId="3D39ED7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b w:val="0"/>
                      <w:bCs w:val="0"/>
                      <w:color w:val="auto"/>
                      <w:highlight w:val="none"/>
                      <w:lang w:val="en-US"/>
                    </w:rPr>
                  </w:pPr>
                  <w:r>
                    <w:rPr>
                      <w:rFonts w:hint="eastAsia"/>
                      <w:color w:val="auto"/>
                      <w:szCs w:val="21"/>
                      <w:highlight w:val="none"/>
                      <w:lang w:eastAsia="zh-CN"/>
                    </w:rPr>
                    <w:t>北京经济技术开发区科创十三街18号院5号楼3层0301室</w:t>
                  </w:r>
                </w:p>
              </w:tc>
            </w:tr>
            <w:tr w14:paraId="33E81BF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2117" w:type="dxa"/>
                  <w:tcBorders>
                    <w:tl2br w:val="nil"/>
                    <w:tr2bl w:val="nil"/>
                  </w:tcBorders>
                  <w:vAlign w:val="center"/>
                </w:tcPr>
                <w:p w14:paraId="0510BA6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lang w:val="en-US"/>
                    </w:rPr>
                    <w:t>地理坐标</w:t>
                  </w:r>
                </w:p>
              </w:tc>
              <w:tc>
                <w:tcPr>
                  <w:tcW w:w="635" w:type="dxa"/>
                  <w:tcBorders>
                    <w:tl2br w:val="nil"/>
                    <w:tr2bl w:val="nil"/>
                  </w:tcBorders>
                  <w:vAlign w:val="center"/>
                </w:tcPr>
                <w:p w14:paraId="6B0882C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b w:val="0"/>
                      <w:bCs w:val="0"/>
                      <w:color w:val="auto"/>
                      <w:sz w:val="21"/>
                      <w:szCs w:val="21"/>
                      <w:highlight w:val="none"/>
                      <w:lang w:val="en-US"/>
                    </w:rPr>
                  </w:pPr>
                  <w:r>
                    <w:rPr>
                      <w:b/>
                      <w:bCs/>
                      <w:color w:val="auto"/>
                      <w:sz w:val="21"/>
                      <w:szCs w:val="21"/>
                      <w:highlight w:val="none"/>
                    </w:rPr>
                    <w:t>经度</w:t>
                  </w:r>
                </w:p>
              </w:tc>
              <w:tc>
                <w:tcPr>
                  <w:tcW w:w="2173" w:type="dxa"/>
                  <w:tcBorders>
                    <w:tl2br w:val="nil"/>
                    <w:tr2bl w:val="nil"/>
                  </w:tcBorders>
                  <w:vAlign w:val="center"/>
                </w:tcPr>
                <w:p w14:paraId="5CF0CBF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b w:val="0"/>
                      <w:bCs w:val="0"/>
                      <w:color w:val="auto"/>
                      <w:sz w:val="21"/>
                      <w:szCs w:val="21"/>
                      <w:highlight w:val="none"/>
                      <w:lang w:val="en-US"/>
                    </w:rPr>
                  </w:pPr>
                  <w:r>
                    <w:rPr>
                      <w:rFonts w:hint="eastAsia"/>
                      <w:color w:val="auto"/>
                      <w:highlight w:val="none"/>
                      <w:vertAlign w:val="baseline"/>
                    </w:rPr>
                    <w:t>E116°33′47.516″</w:t>
                  </w:r>
                </w:p>
              </w:tc>
              <w:tc>
                <w:tcPr>
                  <w:tcW w:w="720" w:type="dxa"/>
                  <w:tcBorders>
                    <w:tl2br w:val="nil"/>
                    <w:tr2bl w:val="nil"/>
                  </w:tcBorders>
                  <w:vAlign w:val="center"/>
                </w:tcPr>
                <w:p w14:paraId="74EF997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b w:val="0"/>
                      <w:bCs w:val="0"/>
                      <w:color w:val="auto"/>
                      <w:sz w:val="21"/>
                      <w:szCs w:val="21"/>
                      <w:highlight w:val="none"/>
                      <w:lang w:val="en-US"/>
                    </w:rPr>
                  </w:pPr>
                  <w:r>
                    <w:rPr>
                      <w:b/>
                      <w:bCs/>
                      <w:color w:val="auto"/>
                      <w:sz w:val="21"/>
                      <w:szCs w:val="21"/>
                      <w:highlight w:val="none"/>
                    </w:rPr>
                    <w:t>纬度</w:t>
                  </w:r>
                </w:p>
              </w:tc>
              <w:tc>
                <w:tcPr>
                  <w:tcW w:w="1954" w:type="dxa"/>
                  <w:tcBorders>
                    <w:tl2br w:val="nil"/>
                    <w:tr2bl w:val="nil"/>
                  </w:tcBorders>
                  <w:vAlign w:val="center"/>
                </w:tcPr>
                <w:p w14:paraId="2E6D3D6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b w:val="0"/>
                      <w:bCs w:val="0"/>
                      <w:color w:val="auto"/>
                      <w:sz w:val="21"/>
                      <w:szCs w:val="21"/>
                      <w:highlight w:val="none"/>
                      <w:lang w:val="en-US" w:eastAsia="zh-CN"/>
                    </w:rPr>
                  </w:pPr>
                  <w:r>
                    <w:rPr>
                      <w:rFonts w:hint="eastAsia"/>
                      <w:color w:val="auto"/>
                      <w:highlight w:val="none"/>
                      <w:vertAlign w:val="baseline"/>
                    </w:rPr>
                    <w:t>N39°46′53.104″</w:t>
                  </w:r>
                </w:p>
              </w:tc>
            </w:tr>
            <w:tr w14:paraId="1EF986B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2117" w:type="dxa"/>
                  <w:tcBorders>
                    <w:tl2br w:val="nil"/>
                    <w:tr2bl w:val="nil"/>
                  </w:tcBorders>
                  <w:vAlign w:val="center"/>
                </w:tcPr>
                <w:p w14:paraId="79BA2A5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lang w:val="en-US"/>
                    </w:rPr>
                    <w:t>主要危险物质及分布</w:t>
                  </w:r>
                </w:p>
              </w:tc>
              <w:tc>
                <w:tcPr>
                  <w:tcW w:w="5482" w:type="dxa"/>
                  <w:gridSpan w:val="4"/>
                  <w:tcBorders>
                    <w:tl2br w:val="nil"/>
                    <w:tr2bl w:val="nil"/>
                  </w:tcBorders>
                  <w:vAlign w:val="center"/>
                </w:tcPr>
                <w:p w14:paraId="0591A3B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试剂柜贮存的危险化学品、</w:t>
                  </w:r>
                  <w:r>
                    <w:rPr>
                      <w:rFonts w:hint="default" w:ascii="Times New Roman" w:hAnsi="Times New Roman" w:eastAsia="宋体"/>
                      <w:b w:val="0"/>
                      <w:bCs w:val="0"/>
                      <w:color w:val="auto"/>
                      <w:highlight w:val="none"/>
                      <w:lang w:val="en-US" w:eastAsia="zh-CN"/>
                    </w:rPr>
                    <w:t>危险废物暂存间贮存的危险废物。</w:t>
                  </w:r>
                </w:p>
              </w:tc>
            </w:tr>
            <w:tr w14:paraId="3F698D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60" w:hRule="atLeast"/>
                <w:jc w:val="center"/>
              </w:trPr>
              <w:tc>
                <w:tcPr>
                  <w:tcW w:w="2117" w:type="dxa"/>
                  <w:tcBorders>
                    <w:tl2br w:val="nil"/>
                    <w:tr2bl w:val="nil"/>
                  </w:tcBorders>
                  <w:vAlign w:val="center"/>
                </w:tcPr>
                <w:p w14:paraId="407FA49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rPr>
                  </w:pPr>
                  <w:r>
                    <w:rPr>
                      <w:rFonts w:hint="default" w:ascii="Times New Roman" w:hAnsi="Times New Roman" w:eastAsia="宋体"/>
                      <w:b/>
                      <w:bCs/>
                      <w:color w:val="auto"/>
                      <w:highlight w:val="none"/>
                      <w:lang w:val="en-US"/>
                    </w:rPr>
                    <w:t>环境影响途径及危害后果（大气、地表水、地下水）</w:t>
                  </w:r>
                </w:p>
              </w:tc>
              <w:tc>
                <w:tcPr>
                  <w:tcW w:w="5482" w:type="dxa"/>
                  <w:gridSpan w:val="4"/>
                  <w:tcBorders>
                    <w:tl2br w:val="nil"/>
                    <w:tr2bl w:val="nil"/>
                  </w:tcBorders>
                  <w:vAlign w:val="center"/>
                </w:tcPr>
                <w:p w14:paraId="6D5A8B0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val="0"/>
                      <w:bCs w:val="0"/>
                      <w:color w:val="auto"/>
                      <w:highlight w:val="none"/>
                      <w:lang w:val="en-US"/>
                    </w:rPr>
                  </w:pPr>
                  <w:r>
                    <w:rPr>
                      <w:rFonts w:hint="default" w:ascii="Times New Roman" w:hAnsi="Times New Roman" w:eastAsia="宋体"/>
                      <w:b w:val="0"/>
                      <w:bCs w:val="0"/>
                      <w:color w:val="auto"/>
                      <w:highlight w:val="none"/>
                      <w:lang w:val="en-US"/>
                    </w:rPr>
                    <w:t>影响途径：泄漏后挥发进入大气环境或者火灾事故时伴生烟雾进入大气环境，次生的消防废水进入水环境等。</w:t>
                  </w:r>
                </w:p>
                <w:p w14:paraId="50B600E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ascii="Times New Roman" w:hAnsi="Times New Roman" w:eastAsia="宋体"/>
                      <w:b w:val="0"/>
                      <w:bCs w:val="0"/>
                      <w:color w:val="auto"/>
                      <w:highlight w:val="none"/>
                      <w:lang w:val="en-US"/>
                    </w:rPr>
                  </w:pPr>
                  <w:r>
                    <w:rPr>
                      <w:rFonts w:hint="default" w:ascii="Times New Roman" w:hAnsi="Times New Roman" w:eastAsia="宋体"/>
                      <w:b w:val="0"/>
                      <w:bCs w:val="0"/>
                      <w:color w:val="auto"/>
                      <w:highlight w:val="none"/>
                      <w:lang w:val="en-US"/>
                    </w:rPr>
                    <w:t>危害后果：造成环境空气、地表水等污染。</w:t>
                  </w:r>
                </w:p>
              </w:tc>
            </w:tr>
          </w:tbl>
          <w:p w14:paraId="02F0AD83">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b/>
                <w:bCs/>
                <w:color w:val="auto"/>
                <w:lang w:val="en-US" w:eastAsia="zh-CN"/>
              </w:rPr>
            </w:pPr>
            <w:r>
              <w:rPr>
                <w:rFonts w:hint="eastAsia"/>
                <w:b/>
                <w:bCs/>
                <w:color w:val="auto"/>
                <w:lang w:val="en-US" w:eastAsia="zh-CN"/>
              </w:rPr>
              <w:t>8</w:t>
            </w:r>
            <w:r>
              <w:rPr>
                <w:rFonts w:hint="eastAsia" w:ascii="Times New Roman" w:hAnsi="Times New Roman" w:eastAsia="宋体"/>
                <w:b/>
                <w:bCs/>
                <w:color w:val="auto"/>
                <w:lang w:val="en-US" w:eastAsia="zh-CN"/>
              </w:rPr>
              <w:t>、</w:t>
            </w:r>
            <w:r>
              <w:rPr>
                <w:rFonts w:hint="default" w:ascii="Times New Roman" w:hAnsi="Times New Roman" w:eastAsia="宋体"/>
                <w:b/>
                <w:bCs/>
                <w:color w:val="auto"/>
                <w:lang w:val="en-US" w:eastAsia="zh-CN"/>
              </w:rPr>
              <w:t>环保投资</w:t>
            </w:r>
          </w:p>
          <w:p w14:paraId="6B949421">
            <w:pPr>
              <w:adjustRightInd w:val="0"/>
              <w:spacing w:line="360" w:lineRule="auto"/>
              <w:ind w:firstLine="465"/>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本项目总投资</w:t>
            </w:r>
            <w:r>
              <w:rPr>
                <w:rFonts w:hint="eastAsia" w:ascii="Times New Roman" w:hAnsi="Times New Roman" w:eastAsia="宋体" w:cs="Times New Roman"/>
                <w:color w:val="auto"/>
                <w:kern w:val="0"/>
                <w:sz w:val="24"/>
                <w:highlight w:val="none"/>
                <w:lang w:val="en-US" w:eastAsia="zh-CN"/>
              </w:rPr>
              <w:t>100</w:t>
            </w:r>
            <w:r>
              <w:rPr>
                <w:rFonts w:hint="default" w:ascii="Times New Roman" w:hAnsi="Times New Roman" w:eastAsia="宋体" w:cs="Times New Roman"/>
                <w:color w:val="auto"/>
                <w:kern w:val="0"/>
                <w:sz w:val="24"/>
                <w:highlight w:val="none"/>
              </w:rPr>
              <w:t>万元，其中环保投资</w:t>
            </w:r>
            <w:r>
              <w:rPr>
                <w:rFonts w:hint="eastAsia" w:ascii="Times New Roman" w:hAnsi="Times New Roman" w:eastAsia="宋体" w:cs="Times New Roman"/>
                <w:color w:val="auto"/>
                <w:kern w:val="0"/>
                <w:sz w:val="24"/>
                <w:highlight w:val="none"/>
                <w:lang w:val="en-US" w:eastAsia="zh-CN"/>
              </w:rPr>
              <w:t>104</w:t>
            </w:r>
            <w:r>
              <w:rPr>
                <w:rFonts w:hint="default" w:ascii="Times New Roman" w:hAnsi="Times New Roman" w:eastAsia="宋体" w:cs="Times New Roman"/>
                <w:color w:val="auto"/>
                <w:kern w:val="0"/>
                <w:sz w:val="24"/>
                <w:highlight w:val="none"/>
              </w:rPr>
              <w:t>万元，占总投资</w:t>
            </w:r>
            <w:r>
              <w:rPr>
                <w:rFonts w:hint="eastAsia" w:ascii="Times New Roman" w:hAnsi="Times New Roman" w:eastAsia="宋体" w:cs="Times New Roman"/>
                <w:color w:val="auto"/>
                <w:kern w:val="0"/>
                <w:sz w:val="24"/>
                <w:highlight w:val="none"/>
                <w:lang w:val="en-US" w:eastAsia="zh-CN"/>
              </w:rPr>
              <w:t>10</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。环保投资清单见下表。</w:t>
            </w:r>
          </w:p>
          <w:p w14:paraId="1B3E36B8">
            <w:pPr>
              <w:numPr>
                <w:ilvl w:val="0"/>
                <w:numId w:val="17"/>
              </w:numPr>
              <w:adjustRightInd w:val="0"/>
              <w:spacing w:line="360" w:lineRule="auto"/>
              <w:ind w:left="425" w:leftChars="0" w:hanging="425" w:firstLineChars="0"/>
              <w:jc w:val="center"/>
              <w:rPr>
                <w:rFonts w:hint="default" w:ascii="Times New Roman" w:hAnsi="Times New Roman" w:eastAsia="宋体" w:cs="Times New Roman"/>
                <w:b/>
                <w:bCs/>
                <w:color w:val="auto"/>
                <w:spacing w:val="6"/>
                <w:sz w:val="24"/>
                <w:highlight w:val="none"/>
                <w:lang w:val="en-US" w:eastAsia="zh-CN"/>
              </w:rPr>
            </w:pPr>
            <w:r>
              <w:rPr>
                <w:rFonts w:hint="eastAsia" w:ascii="Times New Roman" w:hAnsi="Times New Roman" w:eastAsia="宋体" w:cs="Times New Roman"/>
                <w:b/>
                <w:bCs/>
                <w:color w:val="auto"/>
                <w:spacing w:val="6"/>
                <w:sz w:val="24"/>
                <w:highlight w:val="none"/>
                <w:lang w:val="en-US" w:eastAsia="zh-CN"/>
              </w:rPr>
              <w:t xml:space="preserve"> </w:t>
            </w:r>
            <w:r>
              <w:rPr>
                <w:rFonts w:hint="default" w:ascii="Times New Roman" w:hAnsi="Times New Roman" w:eastAsia="宋体" w:cs="Times New Roman"/>
                <w:b/>
                <w:bCs/>
                <w:color w:val="auto"/>
                <w:spacing w:val="6"/>
                <w:sz w:val="24"/>
                <w:highlight w:val="none"/>
                <w:lang w:val="en-US" w:eastAsia="zh-CN"/>
              </w:rPr>
              <w:t>环保设施及投资清单</w:t>
            </w:r>
          </w:p>
          <w:tbl>
            <w:tblPr>
              <w:tblStyle w:val="11"/>
              <w:tblW w:w="761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69"/>
              <w:gridCol w:w="2639"/>
              <w:gridCol w:w="2288"/>
            </w:tblGrid>
            <w:tr w14:paraId="57F228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22" w:type="dxa"/>
                  <w:tcBorders>
                    <w:tl2br w:val="nil"/>
                    <w:tr2bl w:val="nil"/>
                  </w:tcBorders>
                  <w:vAlign w:val="center"/>
                </w:tcPr>
                <w:p w14:paraId="133759A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序号</w:t>
                  </w:r>
                </w:p>
              </w:tc>
              <w:tc>
                <w:tcPr>
                  <w:tcW w:w="1969" w:type="dxa"/>
                  <w:tcBorders>
                    <w:tl2br w:val="nil"/>
                    <w:tr2bl w:val="nil"/>
                  </w:tcBorders>
                  <w:vAlign w:val="center"/>
                </w:tcPr>
                <w:p w14:paraId="4375325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项目</w:t>
                  </w:r>
                </w:p>
              </w:tc>
              <w:tc>
                <w:tcPr>
                  <w:tcW w:w="2639" w:type="dxa"/>
                  <w:tcBorders>
                    <w:tl2br w:val="nil"/>
                    <w:tr2bl w:val="nil"/>
                  </w:tcBorders>
                  <w:vAlign w:val="center"/>
                </w:tcPr>
                <w:p w14:paraId="51605AC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治理措施</w:t>
                  </w:r>
                </w:p>
              </w:tc>
              <w:tc>
                <w:tcPr>
                  <w:tcW w:w="2288" w:type="dxa"/>
                  <w:tcBorders>
                    <w:tl2br w:val="nil"/>
                    <w:tr2bl w:val="nil"/>
                  </w:tcBorders>
                  <w:vAlign w:val="center"/>
                </w:tcPr>
                <w:p w14:paraId="78EBE64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投资金额（万元）</w:t>
                  </w:r>
                </w:p>
              </w:tc>
            </w:tr>
            <w:tr w14:paraId="18AC4C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22" w:type="dxa"/>
                  <w:tcBorders>
                    <w:tl2br w:val="nil"/>
                    <w:tr2bl w:val="nil"/>
                  </w:tcBorders>
                  <w:vAlign w:val="center"/>
                </w:tcPr>
                <w:p w14:paraId="4EE5C00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1</w:t>
                  </w:r>
                </w:p>
              </w:tc>
              <w:tc>
                <w:tcPr>
                  <w:tcW w:w="1969" w:type="dxa"/>
                  <w:tcBorders>
                    <w:tl2br w:val="nil"/>
                    <w:tr2bl w:val="nil"/>
                  </w:tcBorders>
                  <w:vAlign w:val="center"/>
                </w:tcPr>
                <w:p w14:paraId="3DB1883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噪声污染防治</w:t>
                  </w:r>
                </w:p>
              </w:tc>
              <w:tc>
                <w:tcPr>
                  <w:tcW w:w="2639" w:type="dxa"/>
                  <w:tcBorders>
                    <w:tl2br w:val="nil"/>
                    <w:tr2bl w:val="nil"/>
                  </w:tcBorders>
                  <w:vAlign w:val="center"/>
                </w:tcPr>
                <w:p w14:paraId="4429FEB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基础减振</w:t>
                  </w:r>
                </w:p>
              </w:tc>
              <w:tc>
                <w:tcPr>
                  <w:tcW w:w="2288" w:type="dxa"/>
                  <w:tcBorders>
                    <w:tl2br w:val="nil"/>
                    <w:tr2bl w:val="nil"/>
                  </w:tcBorders>
                  <w:vAlign w:val="center"/>
                </w:tcPr>
                <w:p w14:paraId="78E081A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p>
              </w:tc>
            </w:tr>
            <w:tr w14:paraId="59F7EA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22" w:type="dxa"/>
                  <w:tcBorders>
                    <w:tl2br w:val="nil"/>
                    <w:tr2bl w:val="nil"/>
                  </w:tcBorders>
                  <w:shd w:val="clear" w:color="auto" w:fill="auto"/>
                  <w:vAlign w:val="center"/>
                </w:tcPr>
                <w:p w14:paraId="4513EEC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2</w:t>
                  </w:r>
                </w:p>
              </w:tc>
              <w:tc>
                <w:tcPr>
                  <w:tcW w:w="1969" w:type="dxa"/>
                  <w:tcBorders>
                    <w:tl2br w:val="nil"/>
                    <w:tr2bl w:val="nil"/>
                  </w:tcBorders>
                  <w:vAlign w:val="center"/>
                </w:tcPr>
                <w:p w14:paraId="3DF55ED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水污染物防治</w:t>
                  </w:r>
                </w:p>
              </w:tc>
              <w:tc>
                <w:tcPr>
                  <w:tcW w:w="2639" w:type="dxa"/>
                  <w:tcBorders>
                    <w:tl2br w:val="nil"/>
                    <w:tr2bl w:val="nil"/>
                  </w:tcBorders>
                  <w:vAlign w:val="center"/>
                </w:tcPr>
                <w:p w14:paraId="492BBD6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污水管道铺设、地面防渗</w:t>
                  </w:r>
                </w:p>
              </w:tc>
              <w:tc>
                <w:tcPr>
                  <w:tcW w:w="2288" w:type="dxa"/>
                  <w:tcBorders>
                    <w:tl2br w:val="nil"/>
                    <w:tr2bl w:val="nil"/>
                  </w:tcBorders>
                  <w:vAlign w:val="center"/>
                </w:tcPr>
                <w:p w14:paraId="29D5DA9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w:t>
                  </w:r>
                </w:p>
              </w:tc>
            </w:tr>
            <w:tr w14:paraId="2E1EDC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22" w:type="dxa"/>
                  <w:tcBorders>
                    <w:tl2br w:val="nil"/>
                    <w:tr2bl w:val="nil"/>
                  </w:tcBorders>
                  <w:shd w:val="clear" w:color="auto" w:fill="auto"/>
                  <w:vAlign w:val="center"/>
                </w:tcPr>
                <w:p w14:paraId="578660B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w:t>
                  </w:r>
                </w:p>
              </w:tc>
              <w:tc>
                <w:tcPr>
                  <w:tcW w:w="1969" w:type="dxa"/>
                  <w:tcBorders>
                    <w:tl2br w:val="nil"/>
                    <w:tr2bl w:val="nil"/>
                  </w:tcBorders>
                  <w:vAlign w:val="center"/>
                </w:tcPr>
                <w:p w14:paraId="0C19CC8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固体废物防治</w:t>
                  </w:r>
                </w:p>
              </w:tc>
              <w:tc>
                <w:tcPr>
                  <w:tcW w:w="2639" w:type="dxa"/>
                  <w:tcBorders>
                    <w:tl2br w:val="nil"/>
                    <w:tr2bl w:val="nil"/>
                  </w:tcBorders>
                  <w:vAlign w:val="center"/>
                </w:tcPr>
                <w:p w14:paraId="2D1762C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规范的危险废物暂存间、一般固废间</w:t>
                  </w:r>
                </w:p>
              </w:tc>
              <w:tc>
                <w:tcPr>
                  <w:tcW w:w="2288" w:type="dxa"/>
                  <w:tcBorders>
                    <w:tl2br w:val="nil"/>
                    <w:tr2bl w:val="nil"/>
                  </w:tcBorders>
                  <w:vAlign w:val="center"/>
                </w:tcPr>
                <w:p w14:paraId="772933B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5</w:t>
                  </w:r>
                </w:p>
              </w:tc>
            </w:tr>
            <w:tr w14:paraId="0050DC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91" w:type="dxa"/>
                  <w:gridSpan w:val="2"/>
                  <w:tcBorders>
                    <w:tl2br w:val="nil"/>
                    <w:tr2bl w:val="nil"/>
                  </w:tcBorders>
                  <w:vAlign w:val="center"/>
                </w:tcPr>
                <w:p w14:paraId="5D8BF5F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总计</w:t>
                  </w:r>
                </w:p>
              </w:tc>
              <w:tc>
                <w:tcPr>
                  <w:tcW w:w="2639" w:type="dxa"/>
                  <w:tcBorders>
                    <w:tl2br w:val="nil"/>
                    <w:tr2bl w:val="nil"/>
                  </w:tcBorders>
                  <w:vAlign w:val="center"/>
                </w:tcPr>
                <w:p w14:paraId="7BFA152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rPr>
                  </w:pPr>
                  <w:r>
                    <w:rPr>
                      <w:rFonts w:hint="default" w:ascii="Times New Roman" w:hAnsi="Times New Roman" w:eastAsia="宋体"/>
                      <w:color w:val="auto"/>
                      <w:highlight w:val="none"/>
                      <w:lang w:val="en-US"/>
                    </w:rPr>
                    <w:t>——</w:t>
                  </w:r>
                </w:p>
              </w:tc>
              <w:tc>
                <w:tcPr>
                  <w:tcW w:w="2288" w:type="dxa"/>
                  <w:tcBorders>
                    <w:tl2br w:val="nil"/>
                    <w:tr2bl w:val="nil"/>
                  </w:tcBorders>
                  <w:vAlign w:val="center"/>
                </w:tcPr>
                <w:p w14:paraId="59C2BD0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10</w:t>
                  </w:r>
                </w:p>
              </w:tc>
            </w:tr>
          </w:tbl>
          <w:p w14:paraId="1F79570A">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p>
          <w:p w14:paraId="7E6FB3ED">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olor w:val="auto"/>
                <w:lang w:val="en-US" w:eastAsia="zh-CN"/>
              </w:rPr>
            </w:pPr>
          </w:p>
        </w:tc>
      </w:tr>
    </w:tbl>
    <w:p w14:paraId="5C209E6C">
      <w:pPr>
        <w:rPr>
          <w:color w:val="auto"/>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C2C5FEF">
      <w:pPr>
        <w:pStyle w:val="2"/>
        <w:bidi w:val="0"/>
        <w:rPr>
          <w:rFonts w:hint="eastAsia"/>
          <w:color w:val="auto"/>
          <w:lang w:val="en-US" w:eastAsia="zh-CN"/>
        </w:rPr>
      </w:pPr>
      <w:r>
        <w:rPr>
          <w:rFonts w:hint="eastAsia"/>
          <w:color w:val="auto"/>
          <w:lang w:val="en-US" w:eastAsia="zh-CN"/>
        </w:rPr>
        <w:t>五、环境保护措施监督检查清单</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317"/>
        <w:gridCol w:w="1451"/>
        <w:gridCol w:w="2460"/>
        <w:gridCol w:w="2145"/>
      </w:tblGrid>
      <w:tr w14:paraId="1422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75"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875E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b/>
                <w:bCs/>
                <w:color w:val="auto"/>
                <w:sz w:val="24"/>
                <w:szCs w:val="24"/>
                <w:vertAlign w:val="baseline"/>
                <w:lang w:val="en-US" w:eastAsia="zh-CN"/>
              </w:rPr>
            </w:pPr>
          </w:p>
          <w:p w14:paraId="44CE5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b/>
                <w:bCs/>
                <w:color w:val="auto"/>
                <w:sz w:val="24"/>
                <w:szCs w:val="24"/>
                <w:vertAlign w:val="baseline"/>
                <w:lang w:val="en-US" w:eastAsia="zh-CN"/>
              </w:rPr>
            </w:pPr>
            <w:r>
              <w:rPr>
                <w:rFonts w:hint="eastAsia"/>
                <w:b/>
                <w:bCs/>
                <w:color w:val="auto"/>
                <w:sz w:val="24"/>
                <w:szCs w:val="24"/>
                <w:vertAlign w:val="baseline"/>
                <w:lang w:val="en-US" w:eastAsia="zh-CN"/>
              </w:rPr>
              <w:t>要素</w:t>
            </w:r>
          </w:p>
          <w:p w14:paraId="77A045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4"/>
                <w:szCs w:val="24"/>
                <w:vertAlign w:val="baseline"/>
                <w:lang w:val="en-US" w:eastAsia="zh-CN"/>
              </w:rPr>
            </w:pPr>
            <w:r>
              <w:rPr>
                <w:rFonts w:hint="eastAsia"/>
                <w:b/>
                <w:bCs/>
                <w:color w:val="auto"/>
                <w:sz w:val="24"/>
                <w:szCs w:val="24"/>
                <w:vertAlign w:val="baseline"/>
                <w:lang w:val="en-US" w:eastAsia="zh-CN"/>
              </w:rPr>
              <w:t>内容</w:t>
            </w:r>
          </w:p>
        </w:tc>
        <w:tc>
          <w:tcPr>
            <w:tcW w:w="1317" w:type="dxa"/>
            <w:vAlign w:val="center"/>
          </w:tcPr>
          <w:p w14:paraId="53AAA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4"/>
                <w:szCs w:val="24"/>
                <w:vertAlign w:val="baseline"/>
                <w:lang w:val="en-US" w:eastAsia="zh-CN"/>
              </w:rPr>
            </w:pPr>
            <w:r>
              <w:rPr>
                <w:rFonts w:hint="eastAsia"/>
                <w:b/>
                <w:bCs/>
                <w:color w:val="auto"/>
                <w:sz w:val="24"/>
                <w:szCs w:val="24"/>
                <w:vertAlign w:val="baseline"/>
                <w:lang w:val="en-US" w:eastAsia="zh-CN"/>
              </w:rPr>
              <w:t>排放口（编号、名称）/污染源</w:t>
            </w:r>
          </w:p>
        </w:tc>
        <w:tc>
          <w:tcPr>
            <w:tcW w:w="1451" w:type="dxa"/>
            <w:vAlign w:val="center"/>
          </w:tcPr>
          <w:p w14:paraId="2ECE5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4"/>
                <w:szCs w:val="24"/>
                <w:vertAlign w:val="baseline"/>
                <w:lang w:val="en-US" w:eastAsia="zh-CN"/>
              </w:rPr>
            </w:pPr>
            <w:r>
              <w:rPr>
                <w:rFonts w:hint="eastAsia"/>
                <w:b/>
                <w:bCs/>
                <w:color w:val="auto"/>
                <w:sz w:val="24"/>
                <w:szCs w:val="24"/>
                <w:vertAlign w:val="baseline"/>
                <w:lang w:val="en-US" w:eastAsia="zh-CN"/>
              </w:rPr>
              <w:t>污染物项目</w:t>
            </w:r>
          </w:p>
        </w:tc>
        <w:tc>
          <w:tcPr>
            <w:tcW w:w="2460" w:type="dxa"/>
            <w:vAlign w:val="center"/>
          </w:tcPr>
          <w:p w14:paraId="227AB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4"/>
                <w:szCs w:val="24"/>
                <w:vertAlign w:val="baseline"/>
                <w:lang w:val="en-US" w:eastAsia="zh-CN"/>
              </w:rPr>
            </w:pPr>
            <w:r>
              <w:rPr>
                <w:rFonts w:hint="eastAsia"/>
                <w:b/>
                <w:bCs/>
                <w:color w:val="auto"/>
                <w:sz w:val="24"/>
                <w:szCs w:val="24"/>
                <w:vertAlign w:val="baseline"/>
                <w:lang w:val="en-US" w:eastAsia="zh-CN"/>
              </w:rPr>
              <w:t>环境保护措施</w:t>
            </w:r>
          </w:p>
        </w:tc>
        <w:tc>
          <w:tcPr>
            <w:tcW w:w="2145" w:type="dxa"/>
            <w:vAlign w:val="center"/>
          </w:tcPr>
          <w:p w14:paraId="06EF9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24"/>
                <w:szCs w:val="24"/>
                <w:vertAlign w:val="baseline"/>
                <w:lang w:val="en-US" w:eastAsia="zh-CN"/>
              </w:rPr>
            </w:pPr>
            <w:r>
              <w:rPr>
                <w:rFonts w:hint="eastAsia"/>
                <w:b/>
                <w:bCs/>
                <w:color w:val="auto"/>
                <w:sz w:val="24"/>
                <w:szCs w:val="24"/>
                <w:vertAlign w:val="baseline"/>
                <w:lang w:val="en-US" w:eastAsia="zh-CN"/>
              </w:rPr>
              <w:t>执行标准</w:t>
            </w:r>
          </w:p>
        </w:tc>
      </w:tr>
      <w:tr w14:paraId="1D01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75" w:type="dxa"/>
            <w:vAlign w:val="center"/>
          </w:tcPr>
          <w:p w14:paraId="2C7974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大气环境</w:t>
            </w:r>
          </w:p>
        </w:tc>
        <w:tc>
          <w:tcPr>
            <w:tcW w:w="1317" w:type="dxa"/>
            <w:vAlign w:val="center"/>
          </w:tcPr>
          <w:p w14:paraId="0CAEB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酒精消毒</w:t>
            </w:r>
          </w:p>
        </w:tc>
        <w:tc>
          <w:tcPr>
            <w:tcW w:w="1451" w:type="dxa"/>
            <w:vAlign w:val="center"/>
          </w:tcPr>
          <w:p w14:paraId="48DC55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非甲烷总烃</w:t>
            </w:r>
          </w:p>
        </w:tc>
        <w:tc>
          <w:tcPr>
            <w:tcW w:w="2460" w:type="dxa"/>
            <w:vAlign w:val="center"/>
          </w:tcPr>
          <w:p w14:paraId="102B02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实验室密闭</w:t>
            </w:r>
          </w:p>
        </w:tc>
        <w:tc>
          <w:tcPr>
            <w:tcW w:w="2145" w:type="dxa"/>
            <w:vAlign w:val="center"/>
          </w:tcPr>
          <w:p w14:paraId="393359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《大气污染物综合排放标准》DB11/501-2017中“表3 生产工艺废气及其他废气大气污染物排放限值-单位周界无组织排放监控点浓度限值”</w:t>
            </w:r>
          </w:p>
        </w:tc>
      </w:tr>
      <w:tr w14:paraId="1DC2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75" w:type="dxa"/>
            <w:vAlign w:val="center"/>
          </w:tcPr>
          <w:p w14:paraId="60C2C5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地表水环境</w:t>
            </w:r>
          </w:p>
        </w:tc>
        <w:tc>
          <w:tcPr>
            <w:tcW w:w="1317" w:type="dxa"/>
            <w:vAlign w:val="center"/>
          </w:tcPr>
          <w:p w14:paraId="2944E1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生活污水、容器第三遍及以后清洗废水</w:t>
            </w:r>
          </w:p>
        </w:tc>
        <w:tc>
          <w:tcPr>
            <w:tcW w:w="1451" w:type="dxa"/>
            <w:vAlign w:val="center"/>
          </w:tcPr>
          <w:p w14:paraId="17CFA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pH、CODcr、BOD</w:t>
            </w:r>
            <w:r>
              <w:rPr>
                <w:rFonts w:hint="eastAsia"/>
                <w:color w:val="auto"/>
                <w:sz w:val="24"/>
                <w:szCs w:val="24"/>
                <w:highlight w:val="none"/>
                <w:vertAlign w:val="subscript"/>
                <w:lang w:val="en-US" w:eastAsia="zh-CN"/>
              </w:rPr>
              <w:t>5</w:t>
            </w:r>
            <w:r>
              <w:rPr>
                <w:rFonts w:hint="eastAsia"/>
                <w:color w:val="auto"/>
                <w:sz w:val="24"/>
                <w:szCs w:val="24"/>
                <w:highlight w:val="none"/>
                <w:vertAlign w:val="baseline"/>
                <w:lang w:val="en-US" w:eastAsia="zh-CN"/>
              </w:rPr>
              <w:t>、SS、氨氮</w:t>
            </w:r>
          </w:p>
        </w:tc>
        <w:tc>
          <w:tcPr>
            <w:tcW w:w="2460" w:type="dxa"/>
            <w:vAlign w:val="center"/>
          </w:tcPr>
          <w:p w14:paraId="791104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color w:val="auto"/>
                <w:sz w:val="24"/>
                <w:szCs w:val="24"/>
                <w:highlight w:val="none"/>
                <w:vertAlign w:val="baseline"/>
                <w:lang w:val="en-US" w:eastAsia="zh-CN"/>
              </w:rPr>
              <w:t>容器</w:t>
            </w:r>
            <w:r>
              <w:rPr>
                <w:rFonts w:hint="default" w:ascii="Times New Roman" w:hAnsi="Times New Roman" w:eastAsia="宋体"/>
                <w:color w:val="auto"/>
                <w:sz w:val="24"/>
                <w:szCs w:val="24"/>
                <w:highlight w:val="none"/>
                <w:vertAlign w:val="baseline"/>
                <w:lang w:val="en-US" w:eastAsia="zh-CN"/>
              </w:rPr>
              <w:t>前</w:t>
            </w:r>
            <w:r>
              <w:rPr>
                <w:rFonts w:hint="eastAsia"/>
                <w:color w:val="auto"/>
                <w:sz w:val="24"/>
                <w:szCs w:val="24"/>
                <w:highlight w:val="none"/>
                <w:vertAlign w:val="baseline"/>
                <w:lang w:val="en-US" w:eastAsia="zh-CN"/>
              </w:rPr>
              <w:t>两</w:t>
            </w:r>
            <w:r>
              <w:rPr>
                <w:rFonts w:hint="eastAsia" w:ascii="Times New Roman" w:hAnsi="Times New Roman" w:eastAsia="宋体"/>
                <w:color w:val="auto"/>
                <w:sz w:val="24"/>
                <w:szCs w:val="24"/>
                <w:highlight w:val="none"/>
                <w:vertAlign w:val="baseline"/>
                <w:lang w:val="en-US" w:eastAsia="zh-CN"/>
              </w:rPr>
              <w:t>遍</w:t>
            </w:r>
            <w:r>
              <w:rPr>
                <w:rFonts w:hint="default" w:ascii="Times New Roman" w:hAnsi="Times New Roman" w:eastAsia="宋体"/>
                <w:color w:val="auto"/>
                <w:sz w:val="24"/>
                <w:szCs w:val="24"/>
                <w:highlight w:val="none"/>
                <w:vertAlign w:val="baseline"/>
                <w:lang w:val="en-US" w:eastAsia="zh-CN"/>
              </w:rPr>
              <w:t>清洗废</w:t>
            </w:r>
            <w:r>
              <w:rPr>
                <w:rFonts w:hint="eastAsia"/>
                <w:color w:val="auto"/>
                <w:sz w:val="24"/>
                <w:szCs w:val="24"/>
                <w:highlight w:val="none"/>
                <w:vertAlign w:val="baseline"/>
                <w:lang w:val="en-US" w:eastAsia="zh-CN"/>
              </w:rPr>
              <w:t>液</w:t>
            </w:r>
            <w:r>
              <w:rPr>
                <w:rFonts w:hint="default" w:ascii="Times New Roman" w:hAnsi="Times New Roman" w:eastAsia="宋体"/>
                <w:color w:val="auto"/>
                <w:sz w:val="24"/>
                <w:szCs w:val="24"/>
                <w:highlight w:val="none"/>
                <w:vertAlign w:val="baseline"/>
                <w:lang w:val="en-US" w:eastAsia="zh-CN"/>
              </w:rPr>
              <w:t>收集后作危险废物处理；</w:t>
            </w:r>
            <w:r>
              <w:rPr>
                <w:rFonts w:hint="eastAsia" w:ascii="Times New Roman" w:hAnsi="Times New Roman" w:eastAsia="宋体"/>
                <w:color w:val="auto"/>
                <w:sz w:val="24"/>
                <w:szCs w:val="24"/>
                <w:highlight w:val="none"/>
                <w:vertAlign w:val="baseline"/>
                <w:lang w:val="en-US" w:eastAsia="zh-CN"/>
              </w:rPr>
              <w:t>第三遍及以后清洗废水与生活污水</w:t>
            </w:r>
            <w:r>
              <w:rPr>
                <w:rFonts w:hint="default" w:ascii="Times New Roman" w:hAnsi="Times New Roman" w:eastAsia="宋体"/>
                <w:color w:val="auto"/>
                <w:sz w:val="24"/>
                <w:szCs w:val="24"/>
                <w:highlight w:val="none"/>
                <w:vertAlign w:val="baseline"/>
                <w:lang w:val="en-US" w:eastAsia="zh-CN"/>
              </w:rPr>
              <w:t>一起经园区化粪池处理，最后经由市政污水管网排入</w:t>
            </w:r>
            <w:r>
              <w:rPr>
                <w:rFonts w:hint="eastAsia" w:ascii="Times New Roman" w:hAnsi="Times New Roman" w:eastAsia="宋体"/>
                <w:color w:val="auto"/>
                <w:sz w:val="24"/>
                <w:szCs w:val="24"/>
                <w:highlight w:val="none"/>
                <w:vertAlign w:val="baseline"/>
                <w:lang w:val="en-US" w:eastAsia="zh-CN"/>
              </w:rPr>
              <w:t>北京亦庄环境科技集团有限公司东区污水处理厂</w:t>
            </w:r>
            <w:r>
              <w:rPr>
                <w:rFonts w:hint="default" w:ascii="Times New Roman" w:hAnsi="Times New Roman" w:eastAsia="宋体"/>
                <w:color w:val="auto"/>
                <w:sz w:val="24"/>
                <w:szCs w:val="24"/>
                <w:highlight w:val="none"/>
                <w:vertAlign w:val="baseline"/>
                <w:lang w:val="en-US" w:eastAsia="zh-CN"/>
              </w:rPr>
              <w:t>。</w:t>
            </w:r>
          </w:p>
        </w:tc>
        <w:tc>
          <w:tcPr>
            <w:tcW w:w="2145" w:type="dxa"/>
            <w:vAlign w:val="center"/>
          </w:tcPr>
          <w:p w14:paraId="25056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北京市《水污染物综合排放标准》（DB11/307-2013）“表3 排入公共污水处理系统的水污染物排放限值”</w:t>
            </w:r>
          </w:p>
        </w:tc>
      </w:tr>
      <w:tr w14:paraId="54F1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75" w:type="dxa"/>
            <w:vAlign w:val="center"/>
          </w:tcPr>
          <w:p w14:paraId="2AF0A1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声环境</w:t>
            </w:r>
          </w:p>
        </w:tc>
        <w:tc>
          <w:tcPr>
            <w:tcW w:w="1317" w:type="dxa"/>
            <w:vAlign w:val="center"/>
          </w:tcPr>
          <w:p w14:paraId="66A7D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实验设备、空调外机</w:t>
            </w:r>
          </w:p>
        </w:tc>
        <w:tc>
          <w:tcPr>
            <w:tcW w:w="1451" w:type="dxa"/>
            <w:vAlign w:val="center"/>
          </w:tcPr>
          <w:p w14:paraId="27049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等效连续A声级</w:t>
            </w:r>
          </w:p>
        </w:tc>
        <w:tc>
          <w:tcPr>
            <w:tcW w:w="2460" w:type="dxa"/>
            <w:vAlign w:val="center"/>
          </w:tcPr>
          <w:p w14:paraId="441302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选用低噪声设备，采用基础减振、厂房隔声等措施</w:t>
            </w:r>
          </w:p>
        </w:tc>
        <w:tc>
          <w:tcPr>
            <w:tcW w:w="2145" w:type="dxa"/>
            <w:vAlign w:val="center"/>
          </w:tcPr>
          <w:p w14:paraId="615CB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《工业企业厂界环境噪声排放标准》（GB12348-2008）中3类标准</w:t>
            </w:r>
          </w:p>
        </w:tc>
      </w:tr>
      <w:tr w14:paraId="202D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75" w:type="dxa"/>
            <w:vAlign w:val="center"/>
          </w:tcPr>
          <w:p w14:paraId="78233C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电磁辐射</w:t>
            </w:r>
          </w:p>
        </w:tc>
        <w:tc>
          <w:tcPr>
            <w:tcW w:w="1317" w:type="dxa"/>
            <w:vAlign w:val="center"/>
          </w:tcPr>
          <w:p w14:paraId="77416A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w:t>
            </w:r>
          </w:p>
        </w:tc>
        <w:tc>
          <w:tcPr>
            <w:tcW w:w="1451" w:type="dxa"/>
            <w:vAlign w:val="center"/>
          </w:tcPr>
          <w:p w14:paraId="34C3B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w:t>
            </w:r>
          </w:p>
        </w:tc>
        <w:tc>
          <w:tcPr>
            <w:tcW w:w="2460" w:type="dxa"/>
            <w:vAlign w:val="center"/>
          </w:tcPr>
          <w:p w14:paraId="7D0C7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w:t>
            </w:r>
          </w:p>
        </w:tc>
        <w:tc>
          <w:tcPr>
            <w:tcW w:w="2145" w:type="dxa"/>
            <w:vAlign w:val="center"/>
          </w:tcPr>
          <w:p w14:paraId="31977F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w:t>
            </w:r>
          </w:p>
        </w:tc>
      </w:tr>
      <w:tr w14:paraId="081F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75" w:type="dxa"/>
            <w:vAlign w:val="center"/>
          </w:tcPr>
          <w:p w14:paraId="4C560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固体废物</w:t>
            </w:r>
          </w:p>
        </w:tc>
        <w:tc>
          <w:tcPr>
            <w:tcW w:w="7373" w:type="dxa"/>
            <w:gridSpan w:val="4"/>
            <w:vAlign w:val="center"/>
          </w:tcPr>
          <w:p w14:paraId="3E1142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olor w:val="auto"/>
                <w:sz w:val="24"/>
                <w:szCs w:val="24"/>
                <w:highlight w:val="none"/>
                <w:vertAlign w:val="baseline"/>
                <w:lang w:val="en-US" w:eastAsia="zh-CN"/>
              </w:rPr>
            </w:pPr>
            <w:r>
              <w:rPr>
                <w:rFonts w:hint="default" w:ascii="Times New Roman" w:hAnsi="Times New Roman" w:eastAsia="宋体"/>
                <w:color w:val="auto"/>
                <w:sz w:val="24"/>
                <w:szCs w:val="24"/>
                <w:highlight w:val="none"/>
                <w:vertAlign w:val="baseline"/>
                <w:lang w:val="en-US" w:eastAsia="zh-CN"/>
              </w:rPr>
              <w:t>项目产生的一般工业固体废物统一收集后交由物资部门回收；危险废物统一收集后暂存于危险废物暂存间，定期交由有资质单位处置</w:t>
            </w:r>
            <w:r>
              <w:rPr>
                <w:rFonts w:hint="eastAsia" w:ascii="Times New Roman" w:hAnsi="Times New Roman" w:eastAsia="宋体"/>
                <w:color w:val="auto"/>
                <w:sz w:val="24"/>
                <w:szCs w:val="24"/>
                <w:highlight w:val="none"/>
                <w:vertAlign w:val="baseline"/>
                <w:lang w:val="en-US" w:eastAsia="zh-CN"/>
              </w:rPr>
              <w:t>；</w:t>
            </w:r>
            <w:r>
              <w:rPr>
                <w:rFonts w:hint="default" w:ascii="Times New Roman" w:hAnsi="Times New Roman" w:eastAsia="宋体"/>
                <w:color w:val="auto"/>
                <w:sz w:val="24"/>
                <w:szCs w:val="24"/>
                <w:highlight w:val="none"/>
                <w:vertAlign w:val="baseline"/>
                <w:lang w:val="en-US" w:eastAsia="zh-CN"/>
              </w:rPr>
              <w:t>生活垃圾统一收集后交环卫部门定期清运。</w:t>
            </w:r>
          </w:p>
          <w:p w14:paraId="3A9B93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olor w:val="auto"/>
                <w:sz w:val="24"/>
                <w:szCs w:val="24"/>
                <w:highlight w:val="none"/>
                <w:vertAlign w:val="baseline"/>
                <w:lang w:val="en-US" w:eastAsia="zh-CN"/>
              </w:rPr>
            </w:pPr>
            <w:r>
              <w:rPr>
                <w:rFonts w:hint="default" w:ascii="Times New Roman" w:hAnsi="Times New Roman" w:eastAsia="宋体"/>
                <w:color w:val="auto"/>
                <w:sz w:val="24"/>
                <w:szCs w:val="24"/>
                <w:highlight w:val="none"/>
                <w:vertAlign w:val="baseline"/>
                <w:lang w:val="en-US" w:eastAsia="zh-CN"/>
              </w:rPr>
              <w:t>生活垃圾处理执行《中华人民共和国固体废物污染环境防治法》（2020年版）及《北京市生活垃圾管理条例》（2020年5月1日起施行，2020年9月25日第二次修正）中的有关规定。</w:t>
            </w:r>
          </w:p>
          <w:p w14:paraId="7D7E1D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olor w:val="auto"/>
                <w:sz w:val="24"/>
                <w:szCs w:val="24"/>
                <w:highlight w:val="none"/>
                <w:vertAlign w:val="baseline"/>
                <w:lang w:val="en-US" w:eastAsia="zh-CN"/>
              </w:rPr>
            </w:pPr>
            <w:r>
              <w:rPr>
                <w:rFonts w:hint="default" w:ascii="Times New Roman" w:hAnsi="Times New Roman" w:eastAsia="宋体"/>
                <w:color w:val="auto"/>
                <w:sz w:val="24"/>
                <w:szCs w:val="24"/>
                <w:highlight w:val="none"/>
                <w:vertAlign w:val="baseline"/>
                <w:lang w:val="en-US" w:eastAsia="zh-CN"/>
              </w:rPr>
              <w:t>一般工业固体废物处置执行《中华人民共和国固体废物污染环境防治法》（2020年9月1日起施行）、《一般工业固体废物贮存和填埋污染控制标准》（GB18599-2020）中的有关规定。</w:t>
            </w:r>
          </w:p>
          <w:p w14:paraId="12954D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szCs w:val="24"/>
                <w:vertAlign w:val="baseline"/>
                <w:lang w:val="en-US" w:eastAsia="zh-CN"/>
              </w:rPr>
            </w:pPr>
            <w:r>
              <w:rPr>
                <w:rFonts w:hint="default" w:ascii="Times New Roman" w:hAnsi="Times New Roman" w:eastAsia="宋体" w:cs="Times New Roman"/>
                <w:bCs/>
                <w:color w:val="auto"/>
                <w:sz w:val="24"/>
                <w:highlight w:val="none"/>
              </w:rPr>
              <w:t>危险废物收集、储存、转运执行《北京市危险废物污染环境防治条例》、（2020年9月1日实施）、《危险废物收集贮存运输技术规范》（HJ2025-2012）、《危险废物贮存污染控制标准》（GB18597-2023）、《危险废物污染防治技术政策》（环发[2021]199号）和《危险废物转移管理办法》（2022年1月1日起施行）、《实验室危险废物污染防治技术规范》（DB11 /T 1368—2016）中的有关规定。</w:t>
            </w:r>
          </w:p>
        </w:tc>
      </w:tr>
      <w:tr w14:paraId="5A1C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75" w:type="dxa"/>
            <w:vAlign w:val="center"/>
          </w:tcPr>
          <w:p w14:paraId="0CF99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土壤及地下水污染防治措施</w:t>
            </w:r>
          </w:p>
        </w:tc>
        <w:tc>
          <w:tcPr>
            <w:tcW w:w="7373" w:type="dxa"/>
            <w:gridSpan w:val="4"/>
            <w:vAlign w:val="center"/>
          </w:tcPr>
          <w:p w14:paraId="360ABA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szCs w:val="24"/>
                <w:vertAlign w:val="baseline"/>
                <w:lang w:val="en-US" w:eastAsia="zh-CN"/>
              </w:rPr>
            </w:pPr>
            <w:r>
              <w:rPr>
                <w:rFonts w:hint="default" w:ascii="Times New Roman" w:hAnsi="Times New Roman" w:eastAsia="宋体"/>
                <w:color w:val="auto"/>
                <w:sz w:val="24"/>
                <w:szCs w:val="24"/>
                <w:highlight w:val="none"/>
                <w:vertAlign w:val="baseline"/>
                <w:lang w:val="en-US" w:eastAsia="zh-CN"/>
              </w:rPr>
              <w:t>本项目防渗分区划分为重点防渗区、一般防渗区。危险废物暂存间</w:t>
            </w:r>
            <w:r>
              <w:rPr>
                <w:rFonts w:hint="eastAsia" w:ascii="Times New Roman" w:hAnsi="Times New Roman" w:eastAsia="宋体"/>
                <w:color w:val="auto"/>
                <w:sz w:val="24"/>
                <w:szCs w:val="24"/>
                <w:highlight w:val="none"/>
                <w:vertAlign w:val="baseline"/>
                <w:lang w:val="en-US" w:eastAsia="zh-CN"/>
              </w:rPr>
              <w:t>、</w:t>
            </w:r>
            <w:r>
              <w:rPr>
                <w:rFonts w:hint="default" w:ascii="Times New Roman" w:hAnsi="Times New Roman" w:eastAsia="宋体"/>
                <w:color w:val="auto"/>
                <w:sz w:val="24"/>
                <w:szCs w:val="24"/>
                <w:highlight w:val="none"/>
                <w:vertAlign w:val="baseline"/>
                <w:lang w:val="en-US" w:eastAsia="zh-CN"/>
              </w:rPr>
              <w:t>实验室为重点防渗区，危险废物暂存间地面与裙脚采取表面防渗措施，使用2mm厚高密度聚乙烯膜或其他防渗材料（渗透系数不大于 10</w:t>
            </w:r>
            <w:r>
              <w:rPr>
                <w:rFonts w:hint="default" w:ascii="Times New Roman" w:hAnsi="Times New Roman" w:eastAsia="宋体"/>
                <w:color w:val="auto"/>
                <w:sz w:val="24"/>
                <w:szCs w:val="24"/>
                <w:highlight w:val="none"/>
                <w:vertAlign w:val="superscript"/>
                <w:lang w:val="en-US" w:eastAsia="zh-CN"/>
              </w:rPr>
              <w:t>-10</w:t>
            </w:r>
            <w:r>
              <w:rPr>
                <w:rFonts w:hint="default" w:ascii="Times New Roman" w:hAnsi="Times New Roman" w:eastAsia="宋体"/>
                <w:color w:val="auto"/>
                <w:sz w:val="24"/>
                <w:szCs w:val="24"/>
                <w:highlight w:val="none"/>
                <w:vertAlign w:val="baseline"/>
                <w:lang w:val="en-US" w:eastAsia="zh-CN"/>
              </w:rPr>
              <w:t>cm/s）；其他区域为一般防渗区，采取等效黏土防渗层Mb≥1.5m，K≤1.0×10</w:t>
            </w:r>
            <w:r>
              <w:rPr>
                <w:rFonts w:hint="default" w:ascii="Times New Roman" w:hAnsi="Times New Roman" w:eastAsia="宋体"/>
                <w:color w:val="auto"/>
                <w:sz w:val="24"/>
                <w:szCs w:val="24"/>
                <w:highlight w:val="none"/>
                <w:vertAlign w:val="superscript"/>
                <w:lang w:val="en-US" w:eastAsia="zh-CN"/>
              </w:rPr>
              <w:t>-7</w:t>
            </w:r>
            <w:r>
              <w:rPr>
                <w:rFonts w:hint="default" w:ascii="Times New Roman" w:hAnsi="Times New Roman" w:eastAsia="宋体"/>
                <w:color w:val="auto"/>
                <w:sz w:val="24"/>
                <w:szCs w:val="24"/>
                <w:highlight w:val="none"/>
                <w:vertAlign w:val="baseline"/>
                <w:lang w:val="en-US" w:eastAsia="zh-CN"/>
              </w:rPr>
              <w:t>cm/s；办公区域为简单防渗区。</w:t>
            </w:r>
          </w:p>
        </w:tc>
      </w:tr>
      <w:tr w14:paraId="6D79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75" w:type="dxa"/>
            <w:vAlign w:val="center"/>
          </w:tcPr>
          <w:p w14:paraId="06886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生态保护措施</w:t>
            </w:r>
          </w:p>
        </w:tc>
        <w:tc>
          <w:tcPr>
            <w:tcW w:w="7373" w:type="dxa"/>
            <w:gridSpan w:val="4"/>
            <w:vAlign w:val="center"/>
          </w:tcPr>
          <w:p w14:paraId="3F1BAC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w:t>
            </w:r>
          </w:p>
        </w:tc>
      </w:tr>
      <w:tr w14:paraId="59BA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75" w:type="dxa"/>
            <w:vAlign w:val="center"/>
          </w:tcPr>
          <w:p w14:paraId="3EC17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环境风险</w:t>
            </w:r>
          </w:p>
          <w:p w14:paraId="778A8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防范措施</w:t>
            </w:r>
          </w:p>
        </w:tc>
        <w:tc>
          <w:tcPr>
            <w:tcW w:w="7373" w:type="dxa"/>
            <w:gridSpan w:val="4"/>
            <w:vAlign w:val="center"/>
          </w:tcPr>
          <w:p w14:paraId="1692DEEA">
            <w:pPr>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泄漏</w:t>
            </w:r>
            <w:r>
              <w:rPr>
                <w:rFonts w:hint="default" w:ascii="Times New Roman" w:hAnsi="Times New Roman" w:eastAsia="宋体" w:cs="Times New Roman"/>
                <w:b/>
                <w:bCs/>
                <w:color w:val="auto"/>
                <w:sz w:val="24"/>
                <w:highlight w:val="none"/>
                <w:lang w:val="en-US" w:eastAsia="zh-CN"/>
              </w:rPr>
              <w:t>防范措施</w:t>
            </w:r>
          </w:p>
          <w:p w14:paraId="1B7E7C2B">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rPr>
              <w:t>、危险废物存入危险废物暂存间时，严格检验危险废物的</w:t>
            </w:r>
            <w:r>
              <w:rPr>
                <w:rFonts w:hint="eastAsia" w:cs="Times New Roman"/>
                <w:color w:val="auto"/>
                <w:sz w:val="24"/>
                <w:highlight w:val="none"/>
                <w:lang w:val="en-US" w:eastAsia="zh-CN"/>
              </w:rPr>
              <w:t>类别</w:t>
            </w:r>
            <w:r>
              <w:rPr>
                <w:rFonts w:hint="default" w:ascii="Times New Roman" w:hAnsi="Times New Roman" w:eastAsia="宋体" w:cs="Times New Roman"/>
                <w:color w:val="auto"/>
                <w:sz w:val="24"/>
                <w:highlight w:val="none"/>
              </w:rPr>
              <w:t>、数量、包装情况、有无泄漏</w:t>
            </w:r>
            <w:r>
              <w:rPr>
                <w:rFonts w:hint="eastAsia" w:cs="Times New Roman"/>
                <w:color w:val="auto"/>
                <w:sz w:val="24"/>
                <w:highlight w:val="none"/>
                <w:lang w:eastAsia="zh-CN"/>
              </w:rPr>
              <w:t>，</w:t>
            </w:r>
            <w:r>
              <w:rPr>
                <w:rFonts w:hint="eastAsia" w:cs="Times New Roman"/>
                <w:color w:val="auto"/>
                <w:sz w:val="24"/>
                <w:highlight w:val="none"/>
                <w:lang w:val="en-US" w:eastAsia="zh-CN"/>
              </w:rPr>
              <w:t>根据危险废物的类别分类贮存，</w:t>
            </w:r>
            <w:r>
              <w:rPr>
                <w:rFonts w:hint="default" w:ascii="Times New Roman" w:hAnsi="Times New Roman" w:eastAsia="宋体" w:cs="Times New Roman"/>
                <w:color w:val="auto"/>
                <w:sz w:val="24"/>
                <w:highlight w:val="none"/>
              </w:rPr>
              <w:t>在贮存期内，定期检查，发现其包装破损、渗漏等状况，及时处理；</w:t>
            </w:r>
          </w:p>
          <w:p w14:paraId="5E6E4A32">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、危险废物暂存间</w:t>
            </w:r>
            <w:r>
              <w:rPr>
                <w:rFonts w:hint="default" w:ascii="Times New Roman" w:hAnsi="Times New Roman" w:eastAsia="宋体" w:cs="Times New Roman"/>
                <w:color w:val="auto"/>
                <w:sz w:val="24"/>
                <w:highlight w:val="none"/>
                <w:lang w:eastAsia="zh-CN"/>
              </w:rPr>
              <w:t>做好</w:t>
            </w:r>
            <w:r>
              <w:rPr>
                <w:rFonts w:hint="default" w:ascii="Times New Roman" w:hAnsi="Times New Roman" w:eastAsia="宋体" w:cs="Times New Roman"/>
                <w:color w:val="auto"/>
                <w:sz w:val="24"/>
                <w:highlight w:val="none"/>
              </w:rPr>
              <w:t>行防渗；一旦发生泄漏，应及时将泄漏物收集至专用桶内，并用活性炭或其他惰性材料吸附，吸附后的材料和清洗废水收集至专用容器内，放于危险废物暂存间内交由有资质单位处理；</w:t>
            </w:r>
          </w:p>
          <w:p w14:paraId="4821526E">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rPr>
              <w:t>、禁止向危险废物贮存场所以外的区域抛撒、倾倒、堆放、填埋或排放危险废物；</w:t>
            </w:r>
          </w:p>
          <w:p w14:paraId="41641FE0">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、制定</w:t>
            </w:r>
            <w:r>
              <w:rPr>
                <w:rFonts w:hint="default" w:ascii="Times New Roman" w:hAnsi="Times New Roman" w:eastAsia="宋体" w:cs="Times New Roman"/>
                <w:color w:val="auto"/>
                <w:sz w:val="24"/>
                <w:highlight w:val="none"/>
                <w:lang w:val="en-US" w:eastAsia="zh-CN"/>
              </w:rPr>
              <w:t>突发</w:t>
            </w:r>
            <w:r>
              <w:rPr>
                <w:rFonts w:hint="default" w:ascii="Times New Roman" w:hAnsi="Times New Roman" w:eastAsia="宋体" w:cs="Times New Roman"/>
                <w:color w:val="auto"/>
                <w:sz w:val="24"/>
                <w:highlight w:val="none"/>
              </w:rPr>
              <w:t>环境风险</w:t>
            </w:r>
            <w:r>
              <w:rPr>
                <w:rFonts w:hint="default" w:ascii="Times New Roman" w:hAnsi="Times New Roman" w:eastAsia="宋体" w:cs="Times New Roman"/>
                <w:color w:val="auto"/>
                <w:sz w:val="24"/>
                <w:highlight w:val="none"/>
                <w:lang w:val="en-US" w:eastAsia="zh-CN"/>
              </w:rPr>
              <w:t>事故</w:t>
            </w:r>
            <w:r>
              <w:rPr>
                <w:rFonts w:hint="default" w:ascii="Times New Roman" w:hAnsi="Times New Roman" w:eastAsia="宋体" w:cs="Times New Roman"/>
                <w:color w:val="auto"/>
                <w:sz w:val="24"/>
                <w:highlight w:val="none"/>
              </w:rPr>
              <w:t>应急预案。</w:t>
            </w:r>
          </w:p>
          <w:p w14:paraId="3927AD04">
            <w:pPr>
              <w:snapToGrid w:val="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火灾</w:t>
            </w:r>
            <w:r>
              <w:rPr>
                <w:rFonts w:hint="eastAsia" w:cs="Times New Roman"/>
                <w:b/>
                <w:bCs/>
                <w:color w:val="auto"/>
                <w:sz w:val="24"/>
                <w:highlight w:val="none"/>
                <w:lang w:val="en-US" w:eastAsia="zh-CN"/>
              </w:rPr>
              <w:t>风险防范</w:t>
            </w:r>
          </w:p>
          <w:p w14:paraId="422547B9">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一旦发生火灾事故，建设单位应及时疏散</w:t>
            </w:r>
            <w:r>
              <w:rPr>
                <w:rFonts w:hint="eastAsia" w:cs="Times New Roman"/>
                <w:color w:val="auto"/>
                <w:sz w:val="24"/>
                <w:highlight w:val="none"/>
                <w:lang w:val="en-US" w:eastAsia="zh-CN"/>
              </w:rPr>
              <w:t>公司</w:t>
            </w:r>
            <w:r>
              <w:rPr>
                <w:rFonts w:hint="default" w:ascii="Times New Roman" w:hAnsi="Times New Roman" w:eastAsia="宋体" w:cs="Times New Roman"/>
                <w:color w:val="auto"/>
                <w:sz w:val="24"/>
                <w:highlight w:val="none"/>
              </w:rPr>
              <w:t>内员工，负责救援的人员，应及时佩戴呼吸器，以免浓烟损害健康。同时，应通知周围人群对人员进行疏散，避免人群长时间在 CO、烟尘浓度较高的条件下活动，出现刺激症状。建设单位在日常工作中应采取如下措施：</w:t>
            </w:r>
          </w:p>
          <w:p w14:paraId="2B3D52CF">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定期</w:t>
            </w:r>
            <w:r>
              <w:rPr>
                <w:rFonts w:hint="default" w:ascii="Times New Roman" w:hAnsi="Times New Roman" w:eastAsia="宋体" w:cs="Times New Roman"/>
                <w:color w:val="auto"/>
                <w:sz w:val="24"/>
                <w:highlight w:val="none"/>
              </w:rPr>
              <w:t>检查</w:t>
            </w:r>
            <w:r>
              <w:rPr>
                <w:rFonts w:hint="eastAsia" w:cs="Times New Roman"/>
                <w:color w:val="auto"/>
                <w:sz w:val="24"/>
                <w:highlight w:val="none"/>
                <w:lang w:val="en-US" w:eastAsia="zh-CN"/>
              </w:rPr>
              <w:t>试剂柜</w:t>
            </w:r>
            <w:r>
              <w:rPr>
                <w:rFonts w:hint="eastAsia" w:cs="Times New Roman"/>
                <w:color w:val="auto"/>
                <w:sz w:val="24"/>
                <w:highlight w:val="none"/>
                <w:lang w:eastAsia="zh-CN"/>
              </w:rPr>
              <w:t>、</w:t>
            </w:r>
            <w:r>
              <w:rPr>
                <w:rFonts w:hint="eastAsia" w:cs="Times New Roman"/>
                <w:color w:val="auto"/>
                <w:sz w:val="24"/>
                <w:highlight w:val="none"/>
                <w:lang w:val="en-US" w:eastAsia="zh-CN"/>
              </w:rPr>
              <w:t>危险废物暂存间的</w:t>
            </w:r>
            <w:r>
              <w:rPr>
                <w:rFonts w:hint="default" w:ascii="Times New Roman" w:hAnsi="Times New Roman" w:eastAsia="宋体" w:cs="Times New Roman"/>
                <w:color w:val="auto"/>
                <w:sz w:val="24"/>
                <w:highlight w:val="none"/>
              </w:rPr>
              <w:t>贮存情况，对使用、贮存情况应记录在册；</w:t>
            </w:r>
          </w:p>
          <w:p w14:paraId="6A9E976E">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、加强火源的管理，</w:t>
            </w:r>
            <w:r>
              <w:rPr>
                <w:rFonts w:hint="eastAsia" w:cs="Times New Roman"/>
                <w:color w:val="auto"/>
                <w:sz w:val="24"/>
                <w:highlight w:val="none"/>
                <w:lang w:val="en-US" w:eastAsia="zh-CN"/>
              </w:rPr>
              <w:t>建设火灾报警装置并定期校验，确保使用效能，</w:t>
            </w:r>
            <w:r>
              <w:rPr>
                <w:rFonts w:hint="default" w:ascii="Times New Roman" w:hAnsi="Times New Roman" w:eastAsia="宋体" w:cs="Times New Roman"/>
                <w:color w:val="auto"/>
                <w:sz w:val="24"/>
                <w:highlight w:val="none"/>
              </w:rPr>
              <w:t>严禁烟火带入，危险物质储存场所应设有明显的禁止烟火安全标志；</w:t>
            </w:r>
          </w:p>
          <w:p w14:paraId="612434B2">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rPr>
              <w:t>、制定操作规程，</w:t>
            </w:r>
            <w:r>
              <w:rPr>
                <w:rFonts w:hint="eastAsia" w:cs="Times New Roman"/>
                <w:color w:val="auto"/>
                <w:sz w:val="24"/>
                <w:highlight w:val="none"/>
                <w:lang w:val="en-US" w:eastAsia="zh-CN"/>
              </w:rPr>
              <w:t>严格按照规范实验操作，工作人员检测操作期间密切关注实验过程，不可擅自离岗，</w:t>
            </w:r>
            <w:r>
              <w:rPr>
                <w:rFonts w:hint="default" w:ascii="Times New Roman" w:hAnsi="Times New Roman" w:eastAsia="宋体" w:cs="Times New Roman"/>
                <w:color w:val="auto"/>
                <w:sz w:val="24"/>
                <w:highlight w:val="none"/>
              </w:rPr>
              <w:t>在危险物质储存场所内设置灭火器，并配备一定数量的自给式呼吸器、消防防护服等；</w:t>
            </w:r>
          </w:p>
          <w:p w14:paraId="4506736B">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、定期对职工进行消防安全知识培训，一旦发生事故能采取正确的应急措施；</w:t>
            </w:r>
          </w:p>
          <w:p w14:paraId="2DA4CA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vertAlign w:val="baseline"/>
                <w:lang w:val="en-US" w:eastAsia="zh-CN"/>
              </w:rPr>
            </w:pPr>
            <w:r>
              <w:rPr>
                <w:rFonts w:hint="default" w:ascii="Times New Roman" w:hAnsi="Times New Roman" w:eastAsia="宋体" w:cs="Times New Roman"/>
                <w:color w:val="auto"/>
                <w:sz w:val="24"/>
                <w:highlight w:val="none"/>
                <w:lang w:val="en-US" w:eastAsia="zh-CN"/>
              </w:rPr>
              <w:t>e</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定期开展安全风险辨识评估，定期组织隐患排查，发现问题及时处理。</w:t>
            </w:r>
          </w:p>
        </w:tc>
      </w:tr>
      <w:tr w14:paraId="20D1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75" w:type="dxa"/>
            <w:vAlign w:val="center"/>
          </w:tcPr>
          <w:p w14:paraId="31D537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其他环境</w:t>
            </w:r>
          </w:p>
          <w:p w14:paraId="28CC5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管理要求</w:t>
            </w:r>
          </w:p>
        </w:tc>
        <w:tc>
          <w:tcPr>
            <w:tcW w:w="7373" w:type="dxa"/>
            <w:gridSpan w:val="4"/>
            <w:vAlign w:val="center"/>
          </w:tcPr>
          <w:p w14:paraId="794D7C00">
            <w:pPr>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与排污许可制衔接要求</w:t>
            </w:r>
          </w:p>
          <w:p w14:paraId="016375BD">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根据《国民经济行业分类》（GB/T4754-2017），本项目属于</w:t>
            </w:r>
            <w:r>
              <w:rPr>
                <w:rFonts w:hint="eastAsia" w:ascii="Times New Roman" w:hAnsi="Times New Roman" w:eastAsia="宋体" w:cs="Times New Roman"/>
                <w:color w:val="auto"/>
                <w:sz w:val="24"/>
                <w:highlight w:val="none"/>
                <w:lang w:val="en-US" w:eastAsia="zh-CN"/>
              </w:rPr>
              <w:t>“M7340医学研究和试验发展”</w:t>
            </w:r>
            <w:r>
              <w:rPr>
                <w:rFonts w:hint="default" w:ascii="Times New Roman" w:hAnsi="Times New Roman" w:eastAsia="宋体" w:cs="Times New Roman"/>
                <w:color w:val="auto"/>
                <w:sz w:val="24"/>
                <w:highlight w:val="none"/>
                <w:lang w:val="en-US" w:eastAsia="zh-CN"/>
              </w:rPr>
              <w:t>。对照《固定污染源排污许可分类管理名录》（2019版），本项目暂无相关要求。</w:t>
            </w:r>
          </w:p>
          <w:p w14:paraId="685561DD">
            <w:pPr>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污染源标志牌设置</w:t>
            </w:r>
          </w:p>
          <w:p w14:paraId="56A26EA5">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本项目排污口</w:t>
            </w:r>
            <w:r>
              <w:rPr>
                <w:rFonts w:hint="eastAsia"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zh-CN"/>
              </w:rPr>
              <w:t>污水总排口1个。建设项目设置排污口应符合</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一明显、二合理、三便于</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的要求，即环保标志明显；排污口设置合理，排污去向合理；便于采集样品、便于监测计算、便于公众参与监督管理。</w:t>
            </w:r>
          </w:p>
          <w:p w14:paraId="528A62EA">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污染源排放口应设置专项图标，执行《环境图形标准排污口（源）》（GB15563.1-1995）、《环境保护图形标志—固体废物贮存（处置）场》（GB15562.2-1995）及北京市《固定污染源监测点位设置技术规范》（DB11/1195-2015）的相关要求。要求规定各排污口（源）提示标志形状采用正方形边框，背景颜色采用绿色，图形颜色采用白色。标志牌应设在与之功能相应的醒目处，并保持清晰、完整。具体标志牌示意图详见下表。</w:t>
            </w:r>
          </w:p>
          <w:p w14:paraId="40B2F56B">
            <w:pPr>
              <w:numPr>
                <w:ilvl w:val="0"/>
                <w:numId w:val="0"/>
              </w:numPr>
              <w:adjustRightInd w:val="0"/>
              <w:spacing w:line="360" w:lineRule="auto"/>
              <w:ind w:leftChars="0"/>
              <w:jc w:val="center"/>
              <w:rPr>
                <w:rFonts w:hint="default" w:ascii="Times New Roman" w:hAnsi="Times New Roman" w:eastAsia="宋体" w:cs="Times New Roman"/>
                <w:b/>
                <w:color w:val="auto"/>
                <w:spacing w:val="-4"/>
                <w:kern w:val="0"/>
                <w:sz w:val="24"/>
                <w:highlight w:val="none"/>
              </w:rPr>
            </w:pPr>
            <w:r>
              <w:rPr>
                <w:rFonts w:hint="default" w:ascii="Times New Roman" w:hAnsi="Times New Roman" w:eastAsia="宋体" w:cs="Times New Roman"/>
                <w:b/>
                <w:color w:val="auto"/>
                <w:spacing w:val="-4"/>
                <w:kern w:val="0"/>
                <w:sz w:val="24"/>
                <w:highlight w:val="none"/>
                <w:lang w:val="en-US" w:eastAsia="zh-CN"/>
              </w:rPr>
              <w:t>表5-</w:t>
            </w:r>
            <w:r>
              <w:rPr>
                <w:rFonts w:hint="eastAsia" w:ascii="Times New Roman" w:hAnsi="Times New Roman" w:cs="Times New Roman"/>
                <w:b/>
                <w:color w:val="auto"/>
                <w:spacing w:val="-4"/>
                <w:kern w:val="0"/>
                <w:sz w:val="24"/>
                <w:highlight w:val="none"/>
                <w:lang w:val="en-US" w:eastAsia="zh-CN"/>
              </w:rPr>
              <w:t>1</w:t>
            </w:r>
            <w:r>
              <w:rPr>
                <w:rFonts w:hint="default" w:ascii="Times New Roman" w:hAnsi="Times New Roman" w:eastAsia="宋体" w:cs="Times New Roman"/>
                <w:b/>
                <w:color w:val="auto"/>
                <w:spacing w:val="-4"/>
                <w:kern w:val="0"/>
                <w:sz w:val="24"/>
                <w:highlight w:val="none"/>
                <w:lang w:val="en-US" w:eastAsia="zh-CN"/>
              </w:rPr>
              <w:t xml:space="preserve">  </w:t>
            </w:r>
            <w:r>
              <w:rPr>
                <w:rFonts w:hint="default" w:ascii="Times New Roman" w:hAnsi="Times New Roman" w:eastAsia="宋体" w:cs="Times New Roman"/>
                <w:b/>
                <w:color w:val="auto"/>
                <w:spacing w:val="-4"/>
                <w:kern w:val="0"/>
                <w:sz w:val="24"/>
                <w:highlight w:val="none"/>
              </w:rPr>
              <w:t>环境</w:t>
            </w:r>
            <w:r>
              <w:rPr>
                <w:rFonts w:hint="default" w:ascii="Times New Roman" w:hAnsi="Times New Roman" w:eastAsia="宋体" w:cs="Times New Roman"/>
                <w:b/>
                <w:color w:val="auto"/>
                <w:sz w:val="24"/>
                <w:highlight w:val="none"/>
              </w:rPr>
              <w:t>保护</w:t>
            </w:r>
            <w:r>
              <w:rPr>
                <w:rFonts w:hint="default" w:ascii="Times New Roman" w:hAnsi="Times New Roman" w:eastAsia="宋体" w:cs="Times New Roman"/>
                <w:b/>
                <w:color w:val="auto"/>
                <w:spacing w:val="-4"/>
                <w:kern w:val="0"/>
                <w:sz w:val="24"/>
                <w:highlight w:val="none"/>
              </w:rPr>
              <w:t>图形符号一览表</w:t>
            </w:r>
          </w:p>
          <w:tbl>
            <w:tblPr>
              <w:tblStyle w:val="11"/>
              <w:tblW w:w="495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1"/>
              <w:gridCol w:w="1206"/>
              <w:gridCol w:w="1335"/>
              <w:gridCol w:w="1329"/>
              <w:gridCol w:w="1287"/>
              <w:gridCol w:w="1267"/>
            </w:tblGrid>
            <w:tr w14:paraId="47B3145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43A40C6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名称</w:t>
                  </w:r>
                </w:p>
              </w:tc>
              <w:tc>
                <w:tcPr>
                  <w:tcW w:w="1297" w:type="dxa"/>
                  <w:tcBorders>
                    <w:tl2br w:val="nil"/>
                    <w:tr2bl w:val="nil"/>
                  </w:tcBorders>
                  <w:vAlign w:val="center"/>
                </w:tcPr>
                <w:p w14:paraId="4C231FB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废气排放口</w:t>
                  </w:r>
                </w:p>
              </w:tc>
              <w:tc>
                <w:tcPr>
                  <w:tcW w:w="1438" w:type="dxa"/>
                  <w:tcBorders>
                    <w:tl2br w:val="nil"/>
                    <w:tr2bl w:val="nil"/>
                  </w:tcBorders>
                  <w:vAlign w:val="center"/>
                </w:tcPr>
                <w:p w14:paraId="532B767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废水排放口</w:t>
                  </w:r>
                </w:p>
              </w:tc>
              <w:tc>
                <w:tcPr>
                  <w:tcW w:w="1431" w:type="dxa"/>
                  <w:tcBorders>
                    <w:tl2br w:val="nil"/>
                    <w:tr2bl w:val="nil"/>
                  </w:tcBorders>
                  <w:vAlign w:val="center"/>
                </w:tcPr>
                <w:p w14:paraId="26CD41E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噪声排放源</w:t>
                  </w:r>
                </w:p>
              </w:tc>
              <w:tc>
                <w:tcPr>
                  <w:tcW w:w="1386" w:type="dxa"/>
                  <w:tcBorders>
                    <w:tl2br w:val="nil"/>
                    <w:tr2bl w:val="nil"/>
                  </w:tcBorders>
                  <w:vAlign w:val="center"/>
                </w:tcPr>
                <w:p w14:paraId="3D291DA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一般工业固体废物</w:t>
                  </w:r>
                </w:p>
              </w:tc>
              <w:tc>
                <w:tcPr>
                  <w:tcW w:w="1363" w:type="dxa"/>
                  <w:tcBorders>
                    <w:tl2br w:val="nil"/>
                    <w:tr2bl w:val="nil"/>
                  </w:tcBorders>
                  <w:vAlign w:val="center"/>
                </w:tcPr>
                <w:p w14:paraId="21A1DB0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危险废物</w:t>
                  </w:r>
                </w:p>
              </w:tc>
            </w:tr>
            <w:tr w14:paraId="6A54C75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55" w:hRule="atLeast"/>
              </w:trPr>
              <w:tc>
                <w:tcPr>
                  <w:tcW w:w="702" w:type="dxa"/>
                  <w:tcBorders>
                    <w:tl2br w:val="nil"/>
                    <w:tr2bl w:val="nil"/>
                  </w:tcBorders>
                  <w:vAlign w:val="center"/>
                </w:tcPr>
                <w:p w14:paraId="6BB27A2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提示图形符号</w:t>
                  </w:r>
                </w:p>
              </w:tc>
              <w:tc>
                <w:tcPr>
                  <w:tcW w:w="1297" w:type="dxa"/>
                  <w:tcBorders>
                    <w:tl2br w:val="nil"/>
                    <w:tr2bl w:val="nil"/>
                  </w:tcBorders>
                  <w:vAlign w:val="center"/>
                </w:tcPr>
                <w:p w14:paraId="293534E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0" distR="0">
                        <wp:extent cx="729615" cy="736600"/>
                        <wp:effectExtent l="0" t="0" r="1905" b="10160"/>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noChangeArrowheads="1"/>
                                </pic:cNvPicPr>
                              </pic:nvPicPr>
                              <pic:blipFill>
                                <a:blip r:embed="rId30"/>
                                <a:srcRect/>
                                <a:stretch>
                                  <a:fillRect/>
                                </a:stretch>
                              </pic:blipFill>
                              <pic:spPr>
                                <a:xfrm>
                                  <a:off x="0" y="0"/>
                                  <a:ext cx="732129" cy="739102"/>
                                </a:xfrm>
                                <a:prstGeom prst="rect">
                                  <a:avLst/>
                                </a:prstGeom>
                                <a:noFill/>
                                <a:ln w="9525">
                                  <a:noFill/>
                                  <a:miter lim="800000"/>
                                  <a:headEnd/>
                                  <a:tailEnd/>
                                </a:ln>
                              </pic:spPr>
                            </pic:pic>
                          </a:graphicData>
                        </a:graphic>
                      </wp:inline>
                    </w:drawing>
                  </w:r>
                </w:p>
              </w:tc>
              <w:tc>
                <w:tcPr>
                  <w:tcW w:w="1438" w:type="dxa"/>
                  <w:tcBorders>
                    <w:tl2br w:val="nil"/>
                    <w:tr2bl w:val="nil"/>
                  </w:tcBorders>
                  <w:vAlign w:val="center"/>
                </w:tcPr>
                <w:p w14:paraId="43E3FA4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0" distR="0">
                        <wp:extent cx="737870" cy="709295"/>
                        <wp:effectExtent l="0" t="0" r="8890" b="698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noChangeArrowheads="1"/>
                                </pic:cNvPicPr>
                              </pic:nvPicPr>
                              <pic:blipFill>
                                <a:blip r:embed="rId31"/>
                                <a:srcRect/>
                                <a:stretch>
                                  <a:fillRect/>
                                </a:stretch>
                              </pic:blipFill>
                              <pic:spPr>
                                <a:xfrm>
                                  <a:off x="0" y="0"/>
                                  <a:ext cx="740105" cy="711911"/>
                                </a:xfrm>
                                <a:prstGeom prst="rect">
                                  <a:avLst/>
                                </a:prstGeom>
                                <a:noFill/>
                                <a:ln w="9525">
                                  <a:noFill/>
                                  <a:miter lim="800000"/>
                                  <a:headEnd/>
                                  <a:tailEnd/>
                                </a:ln>
                              </pic:spPr>
                            </pic:pic>
                          </a:graphicData>
                        </a:graphic>
                      </wp:inline>
                    </w:drawing>
                  </w:r>
                </w:p>
              </w:tc>
              <w:tc>
                <w:tcPr>
                  <w:tcW w:w="1431" w:type="dxa"/>
                  <w:tcBorders>
                    <w:tl2br w:val="nil"/>
                    <w:tr2bl w:val="nil"/>
                  </w:tcBorders>
                  <w:vAlign w:val="center"/>
                </w:tcPr>
                <w:p w14:paraId="6CAA688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0" distR="0">
                        <wp:extent cx="753745" cy="746125"/>
                        <wp:effectExtent l="0" t="0" r="8255" b="635"/>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noChangeArrowheads="1"/>
                                </pic:cNvPicPr>
                              </pic:nvPicPr>
                              <pic:blipFill>
                                <a:blip r:embed="rId32"/>
                                <a:srcRect/>
                                <a:stretch>
                                  <a:fillRect/>
                                </a:stretch>
                              </pic:blipFill>
                              <pic:spPr>
                                <a:xfrm>
                                  <a:off x="0" y="0"/>
                                  <a:ext cx="756054" cy="748854"/>
                                </a:xfrm>
                                <a:prstGeom prst="rect">
                                  <a:avLst/>
                                </a:prstGeom>
                                <a:noFill/>
                                <a:ln w="9525">
                                  <a:noFill/>
                                  <a:miter lim="800000"/>
                                  <a:headEnd/>
                                  <a:tailEnd/>
                                </a:ln>
                              </pic:spPr>
                            </pic:pic>
                          </a:graphicData>
                        </a:graphic>
                      </wp:inline>
                    </w:drawing>
                  </w:r>
                </w:p>
              </w:tc>
              <w:tc>
                <w:tcPr>
                  <w:tcW w:w="1386" w:type="dxa"/>
                  <w:tcBorders>
                    <w:tl2br w:val="nil"/>
                    <w:tr2bl w:val="nil"/>
                  </w:tcBorders>
                  <w:vAlign w:val="center"/>
                </w:tcPr>
                <w:p w14:paraId="562C0C0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0" distR="0">
                        <wp:extent cx="675640" cy="716280"/>
                        <wp:effectExtent l="0" t="0" r="1016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noChangeArrowheads="1"/>
                                </pic:cNvPicPr>
                              </pic:nvPicPr>
                              <pic:blipFill>
                                <a:blip r:embed="rId33"/>
                                <a:srcRect/>
                                <a:stretch>
                                  <a:fillRect/>
                                </a:stretch>
                              </pic:blipFill>
                              <pic:spPr>
                                <a:xfrm>
                                  <a:off x="0" y="0"/>
                                  <a:ext cx="678262" cy="719370"/>
                                </a:xfrm>
                                <a:prstGeom prst="rect">
                                  <a:avLst/>
                                </a:prstGeom>
                                <a:noFill/>
                                <a:ln w="9525">
                                  <a:noFill/>
                                  <a:miter lim="800000"/>
                                  <a:headEnd/>
                                  <a:tailEnd/>
                                </a:ln>
                              </pic:spPr>
                            </pic:pic>
                          </a:graphicData>
                        </a:graphic>
                      </wp:inline>
                    </w:drawing>
                  </w:r>
                </w:p>
              </w:tc>
              <w:tc>
                <w:tcPr>
                  <w:tcW w:w="1363" w:type="dxa"/>
                  <w:tcBorders>
                    <w:tl2br w:val="nil"/>
                    <w:tr2bl w:val="nil"/>
                  </w:tcBorders>
                  <w:vAlign w:val="center"/>
                </w:tcPr>
                <w:p w14:paraId="5546542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w:t>
                  </w:r>
                </w:p>
              </w:tc>
            </w:tr>
            <w:tr w14:paraId="035DD06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77290DD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警告图形符号</w:t>
                  </w:r>
                </w:p>
              </w:tc>
              <w:tc>
                <w:tcPr>
                  <w:tcW w:w="1297" w:type="dxa"/>
                  <w:tcBorders>
                    <w:tl2br w:val="nil"/>
                    <w:tr2bl w:val="nil"/>
                  </w:tcBorders>
                  <w:vAlign w:val="center"/>
                </w:tcPr>
                <w:p w14:paraId="44F22BF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0" distR="0">
                        <wp:extent cx="808990" cy="747395"/>
                        <wp:effectExtent l="0" t="0" r="13970" b="14605"/>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noChangeArrowheads="1"/>
                                </pic:cNvPicPr>
                              </pic:nvPicPr>
                              <pic:blipFill>
                                <a:blip r:embed="rId34"/>
                                <a:srcRect/>
                                <a:stretch>
                                  <a:fillRect/>
                                </a:stretch>
                              </pic:blipFill>
                              <pic:spPr>
                                <a:xfrm>
                                  <a:off x="0" y="0"/>
                                  <a:ext cx="811881" cy="750023"/>
                                </a:xfrm>
                                <a:prstGeom prst="rect">
                                  <a:avLst/>
                                </a:prstGeom>
                                <a:noFill/>
                                <a:ln w="9525">
                                  <a:noFill/>
                                  <a:miter lim="800000"/>
                                  <a:headEnd/>
                                  <a:tailEnd/>
                                </a:ln>
                              </pic:spPr>
                            </pic:pic>
                          </a:graphicData>
                        </a:graphic>
                      </wp:inline>
                    </w:drawing>
                  </w:r>
                </w:p>
              </w:tc>
              <w:tc>
                <w:tcPr>
                  <w:tcW w:w="1438" w:type="dxa"/>
                  <w:tcBorders>
                    <w:tl2br w:val="nil"/>
                    <w:tr2bl w:val="nil"/>
                  </w:tcBorders>
                  <w:vAlign w:val="center"/>
                </w:tcPr>
                <w:p w14:paraId="2FB31A5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0" distR="0">
                        <wp:extent cx="833120" cy="745490"/>
                        <wp:effectExtent l="0" t="0" r="5080" b="127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noChangeArrowheads="1"/>
                                </pic:cNvPicPr>
                              </pic:nvPicPr>
                              <pic:blipFill>
                                <a:blip r:embed="rId35"/>
                                <a:srcRect/>
                                <a:stretch>
                                  <a:fillRect/>
                                </a:stretch>
                              </pic:blipFill>
                              <pic:spPr>
                                <a:xfrm>
                                  <a:off x="0" y="0"/>
                                  <a:ext cx="835805" cy="748244"/>
                                </a:xfrm>
                                <a:prstGeom prst="rect">
                                  <a:avLst/>
                                </a:prstGeom>
                                <a:noFill/>
                                <a:ln w="9525">
                                  <a:noFill/>
                                  <a:miter lim="800000"/>
                                  <a:headEnd/>
                                  <a:tailEnd/>
                                </a:ln>
                              </pic:spPr>
                            </pic:pic>
                          </a:graphicData>
                        </a:graphic>
                      </wp:inline>
                    </w:drawing>
                  </w:r>
                </w:p>
              </w:tc>
              <w:tc>
                <w:tcPr>
                  <w:tcW w:w="1431" w:type="dxa"/>
                  <w:tcBorders>
                    <w:tl2br w:val="nil"/>
                    <w:tr2bl w:val="nil"/>
                  </w:tcBorders>
                  <w:vAlign w:val="center"/>
                </w:tcPr>
                <w:p w14:paraId="2A667E9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0" distR="0">
                        <wp:extent cx="808990" cy="739775"/>
                        <wp:effectExtent l="0" t="0" r="13970" b="6985"/>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spect="1" noChangeArrowheads="1"/>
                                </pic:cNvPicPr>
                              </pic:nvPicPr>
                              <pic:blipFill>
                                <a:blip r:embed="rId36"/>
                                <a:srcRect/>
                                <a:stretch>
                                  <a:fillRect/>
                                </a:stretch>
                              </pic:blipFill>
                              <pic:spPr>
                                <a:xfrm>
                                  <a:off x="0" y="0"/>
                                  <a:ext cx="811880" cy="742290"/>
                                </a:xfrm>
                                <a:prstGeom prst="rect">
                                  <a:avLst/>
                                </a:prstGeom>
                                <a:noFill/>
                                <a:ln w="9525">
                                  <a:noFill/>
                                  <a:miter lim="800000"/>
                                  <a:headEnd/>
                                  <a:tailEnd/>
                                </a:ln>
                              </pic:spPr>
                            </pic:pic>
                          </a:graphicData>
                        </a:graphic>
                      </wp:inline>
                    </w:drawing>
                  </w:r>
                </w:p>
              </w:tc>
              <w:tc>
                <w:tcPr>
                  <w:tcW w:w="1386" w:type="dxa"/>
                  <w:tcBorders>
                    <w:tl2br w:val="nil"/>
                    <w:tr2bl w:val="nil"/>
                  </w:tcBorders>
                  <w:vAlign w:val="center"/>
                </w:tcPr>
                <w:p w14:paraId="263665A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0" distR="0">
                        <wp:extent cx="758190" cy="796925"/>
                        <wp:effectExtent l="0" t="0" r="3810" b="10795"/>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noChangeArrowheads="1"/>
                                </pic:cNvPicPr>
                              </pic:nvPicPr>
                              <pic:blipFill>
                                <a:blip r:embed="rId37"/>
                                <a:srcRect/>
                                <a:stretch>
                                  <a:fillRect/>
                                </a:stretch>
                              </pic:blipFill>
                              <pic:spPr>
                                <a:xfrm>
                                  <a:off x="0" y="0"/>
                                  <a:ext cx="761130" cy="799963"/>
                                </a:xfrm>
                                <a:prstGeom prst="rect">
                                  <a:avLst/>
                                </a:prstGeom>
                                <a:noFill/>
                                <a:ln w="9525">
                                  <a:noFill/>
                                  <a:miter lim="800000"/>
                                  <a:headEnd/>
                                  <a:tailEnd/>
                                </a:ln>
                              </pic:spPr>
                            </pic:pic>
                          </a:graphicData>
                        </a:graphic>
                      </wp:inline>
                    </w:drawing>
                  </w:r>
                </w:p>
              </w:tc>
              <w:tc>
                <w:tcPr>
                  <w:tcW w:w="1363" w:type="dxa"/>
                  <w:tcBorders>
                    <w:tl2br w:val="nil"/>
                    <w:tr2bl w:val="nil"/>
                  </w:tcBorders>
                  <w:vAlign w:val="center"/>
                </w:tcPr>
                <w:p w14:paraId="5CDF9FF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drawing>
                      <wp:inline distT="0" distB="0" distL="114300" distR="114300">
                        <wp:extent cx="728345" cy="608330"/>
                        <wp:effectExtent l="0" t="0" r="3175" b="12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8"/>
                                <a:stretch>
                                  <a:fillRect/>
                                </a:stretch>
                              </pic:blipFill>
                              <pic:spPr>
                                <a:xfrm>
                                  <a:off x="0" y="0"/>
                                  <a:ext cx="728345" cy="608330"/>
                                </a:xfrm>
                                <a:prstGeom prst="rect">
                                  <a:avLst/>
                                </a:prstGeom>
                                <a:noFill/>
                                <a:ln>
                                  <a:noFill/>
                                </a:ln>
                              </pic:spPr>
                            </pic:pic>
                          </a:graphicData>
                        </a:graphic>
                      </wp:inline>
                    </w:drawing>
                  </w:r>
                </w:p>
              </w:tc>
            </w:tr>
            <w:tr w14:paraId="7BA4D52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2ACA6D6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功能</w:t>
                  </w:r>
                </w:p>
              </w:tc>
              <w:tc>
                <w:tcPr>
                  <w:tcW w:w="1297" w:type="dxa"/>
                  <w:tcBorders>
                    <w:tl2br w:val="nil"/>
                    <w:tr2bl w:val="nil"/>
                  </w:tcBorders>
                  <w:vAlign w:val="center"/>
                </w:tcPr>
                <w:p w14:paraId="5AE3E1E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废气向大气环境排放</w:t>
                  </w:r>
                </w:p>
              </w:tc>
              <w:tc>
                <w:tcPr>
                  <w:tcW w:w="1438" w:type="dxa"/>
                  <w:tcBorders>
                    <w:tl2br w:val="nil"/>
                    <w:tr2bl w:val="nil"/>
                  </w:tcBorders>
                  <w:vAlign w:val="center"/>
                </w:tcPr>
                <w:p w14:paraId="0EAD4B9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表示污水向水体排放表示</w:t>
                  </w:r>
                </w:p>
              </w:tc>
              <w:tc>
                <w:tcPr>
                  <w:tcW w:w="1431" w:type="dxa"/>
                  <w:tcBorders>
                    <w:tl2br w:val="nil"/>
                    <w:tr2bl w:val="nil"/>
                  </w:tcBorders>
                  <w:vAlign w:val="center"/>
                </w:tcPr>
                <w:p w14:paraId="6EB708F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表示噪声向外环境排放</w:t>
                  </w:r>
                </w:p>
              </w:tc>
              <w:tc>
                <w:tcPr>
                  <w:tcW w:w="1386" w:type="dxa"/>
                  <w:tcBorders>
                    <w:tl2br w:val="nil"/>
                    <w:tr2bl w:val="nil"/>
                  </w:tcBorders>
                  <w:vAlign w:val="center"/>
                </w:tcPr>
                <w:p w14:paraId="7D6D697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表示一般工业固体废物贮存、处置场所</w:t>
                  </w:r>
                </w:p>
              </w:tc>
              <w:tc>
                <w:tcPr>
                  <w:tcW w:w="1363" w:type="dxa"/>
                  <w:tcBorders>
                    <w:tl2br w:val="nil"/>
                    <w:tr2bl w:val="nil"/>
                  </w:tcBorders>
                  <w:vAlign w:val="center"/>
                </w:tcPr>
                <w:p w14:paraId="28C5807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表示危险废物贮存、处置场所</w:t>
                  </w:r>
                </w:p>
              </w:tc>
            </w:tr>
          </w:tbl>
          <w:p w14:paraId="7B78216A">
            <w:pPr>
              <w:snapToGrid w:val="0"/>
              <w:spacing w:before="120" w:beforeLines="50" w:line="360" w:lineRule="auto"/>
              <w:ind w:firstLine="472" w:firstLineChars="196"/>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监测点位</w:t>
            </w:r>
            <w:r>
              <w:rPr>
                <w:rFonts w:hint="default" w:ascii="Times New Roman" w:hAnsi="Times New Roman" w:eastAsia="宋体" w:cs="Times New Roman"/>
                <w:b/>
                <w:bCs/>
                <w:color w:val="auto"/>
                <w:sz w:val="24"/>
                <w:highlight w:val="none"/>
              </w:rPr>
              <w:t>设置</w:t>
            </w:r>
          </w:p>
          <w:p w14:paraId="0F28084B">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按照《排污单位污染物排放口监测点位设置技术规范》（HJ1405-2024）、《固定污染源监测点位设置技术规范》（DB11/1195-2015）要求，本项目设置</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个废水排放口（DW001）。</w:t>
            </w:r>
          </w:p>
          <w:p w14:paraId="5866ADE3">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排放口设立监测点位标志牌，建立排放口监测点位档案，档案内容应包含监测点位二维码涵盖的信息，以及对监测点位的管理记录，包括对标志牌的标识是否清晰完整，工作平台、梯架、自动监测系统是否能正常使用，安全防护装置是否过期失效，防护设施有无破损现象，排放口附近有无堆积物等方面的检查和维修清理记录，记录周期不少于每半年一次。监测点位标志牌示例图见下图。</w:t>
            </w:r>
          </w:p>
          <w:p w14:paraId="1087E109">
            <w:pPr>
              <w:numPr>
                <w:ilvl w:val="0"/>
                <w:numId w:val="0"/>
              </w:numPr>
              <w:adjustRightInd w:val="0"/>
              <w:spacing w:line="360" w:lineRule="auto"/>
              <w:ind w:leftChars="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color w:val="auto"/>
                <w:spacing w:val="-4"/>
                <w:kern w:val="0"/>
                <w:sz w:val="24"/>
                <w:highlight w:val="none"/>
                <w:lang w:val="en-US" w:eastAsia="zh-CN"/>
              </w:rPr>
              <w:t>表5-</w:t>
            </w:r>
            <w:r>
              <w:rPr>
                <w:rFonts w:hint="eastAsia" w:ascii="Times New Roman" w:hAnsi="Times New Roman" w:cs="Times New Roman"/>
                <w:b/>
                <w:color w:val="auto"/>
                <w:spacing w:val="-4"/>
                <w:kern w:val="0"/>
                <w:sz w:val="24"/>
                <w:highlight w:val="none"/>
                <w:lang w:val="en-US" w:eastAsia="zh-CN"/>
              </w:rPr>
              <w:t>2</w:t>
            </w:r>
            <w:r>
              <w:rPr>
                <w:rFonts w:hint="default" w:ascii="Times New Roman" w:hAnsi="Times New Roman" w:eastAsia="宋体" w:cs="Times New Roman"/>
                <w:b/>
                <w:color w:val="auto"/>
                <w:spacing w:val="-4"/>
                <w:kern w:val="0"/>
                <w:sz w:val="24"/>
                <w:highlight w:val="none"/>
                <w:lang w:val="en-US" w:eastAsia="zh-CN"/>
              </w:rPr>
              <w:t xml:space="preserve">  </w:t>
            </w:r>
            <w:r>
              <w:rPr>
                <w:rFonts w:hint="default" w:ascii="Times New Roman" w:hAnsi="Times New Roman" w:eastAsia="宋体" w:cs="Times New Roman"/>
                <w:b/>
                <w:color w:val="auto"/>
                <w:sz w:val="24"/>
                <w:highlight w:val="none"/>
                <w:lang w:val="en-US" w:eastAsia="zh-CN"/>
              </w:rPr>
              <w:t>监测点位标志牌示例图</w:t>
            </w:r>
          </w:p>
          <w:tbl>
            <w:tblPr>
              <w:tblStyle w:val="12"/>
              <w:tblW w:w="735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5"/>
            </w:tblGrid>
            <w:tr w14:paraId="57486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55" w:type="dxa"/>
                  <w:tcBorders>
                    <w:tl2br w:val="nil"/>
                    <w:tr2bl w:val="nil"/>
                  </w:tcBorders>
                  <w:vAlign w:val="center"/>
                </w:tcPr>
                <w:p w14:paraId="4A082683">
                  <w:pPr>
                    <w:spacing w:line="360" w:lineRule="auto"/>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color w:val="auto"/>
                    </w:rPr>
                    <w:drawing>
                      <wp:inline distT="0" distB="0" distL="114300" distR="114300">
                        <wp:extent cx="2138045" cy="1718310"/>
                        <wp:effectExtent l="0" t="0" r="10795" b="38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9"/>
                                <a:stretch>
                                  <a:fillRect/>
                                </a:stretch>
                              </pic:blipFill>
                              <pic:spPr>
                                <a:xfrm>
                                  <a:off x="0" y="0"/>
                                  <a:ext cx="2138045" cy="1718310"/>
                                </a:xfrm>
                                <a:prstGeom prst="rect">
                                  <a:avLst/>
                                </a:prstGeom>
                                <a:noFill/>
                                <a:ln>
                                  <a:noFill/>
                                </a:ln>
                              </pic:spPr>
                            </pic:pic>
                          </a:graphicData>
                        </a:graphic>
                      </wp:inline>
                    </w:drawing>
                  </w:r>
                </w:p>
              </w:tc>
            </w:tr>
          </w:tbl>
          <w:p w14:paraId="7E683327">
            <w:pPr>
              <w:spacing w:line="360" w:lineRule="auto"/>
              <w:ind w:firstLine="2409" w:firstLineChars="10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图5-1 监测点位标志牌示意图</w:t>
            </w:r>
          </w:p>
          <w:p w14:paraId="3A6C8C8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项目竣工环境保护验收</w:t>
            </w:r>
          </w:p>
          <w:p w14:paraId="2B43E64A">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根据《关于发布&lt;建设项目竣工环境保护验收暂行办法&gt;的公告》（国环规环评[2017]4号）、《关于发布&lt;建设项目竣工环境保护验收技术指南 污染影响类&gt;的公告》（公告2018年第9号），本项目需开展竣工环境保护自主验收工作。本次评价项目竣工环保</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三同时</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验收内容详见下表。</w:t>
            </w:r>
          </w:p>
          <w:p w14:paraId="63CEB925">
            <w:pPr>
              <w:numPr>
                <w:ilvl w:val="0"/>
                <w:numId w:val="0"/>
              </w:numPr>
              <w:adjustRightInd w:val="0"/>
              <w:spacing w:line="360" w:lineRule="auto"/>
              <w:ind w:leftChars="0"/>
              <w:jc w:val="center"/>
              <w:rPr>
                <w:rFonts w:hint="default" w:ascii="Times New Roman" w:hAnsi="Times New Roman" w:eastAsia="宋体" w:cs="Times New Roman"/>
                <w:b/>
                <w:color w:val="auto"/>
                <w:spacing w:val="-4"/>
                <w:kern w:val="0"/>
                <w:sz w:val="24"/>
                <w:highlight w:val="none"/>
                <w:lang w:val="en-US" w:eastAsia="zh-CN"/>
              </w:rPr>
            </w:pPr>
            <w:r>
              <w:rPr>
                <w:rFonts w:hint="default" w:ascii="Times New Roman" w:hAnsi="Times New Roman" w:eastAsia="宋体" w:cs="Times New Roman"/>
                <w:b/>
                <w:color w:val="auto"/>
                <w:spacing w:val="-4"/>
                <w:kern w:val="0"/>
                <w:sz w:val="24"/>
                <w:highlight w:val="none"/>
                <w:lang w:val="en-US" w:eastAsia="zh-CN"/>
              </w:rPr>
              <w:t>表5-3  本项目竣工环保</w:t>
            </w:r>
            <w:r>
              <w:rPr>
                <w:rFonts w:hint="eastAsia" w:cs="Times New Roman"/>
                <w:b/>
                <w:color w:val="auto"/>
                <w:spacing w:val="-4"/>
                <w:kern w:val="0"/>
                <w:sz w:val="24"/>
                <w:highlight w:val="none"/>
                <w:lang w:val="en-US" w:eastAsia="zh-CN"/>
              </w:rPr>
              <w:t>“</w:t>
            </w:r>
            <w:r>
              <w:rPr>
                <w:rFonts w:hint="default" w:ascii="Times New Roman" w:hAnsi="Times New Roman" w:eastAsia="宋体" w:cs="Times New Roman"/>
                <w:b/>
                <w:color w:val="auto"/>
                <w:spacing w:val="-4"/>
                <w:kern w:val="0"/>
                <w:sz w:val="24"/>
                <w:highlight w:val="none"/>
                <w:lang w:val="en-US" w:eastAsia="zh-CN"/>
              </w:rPr>
              <w:t>三同时</w:t>
            </w:r>
            <w:r>
              <w:rPr>
                <w:rFonts w:hint="eastAsia" w:cs="Times New Roman"/>
                <w:b/>
                <w:color w:val="auto"/>
                <w:spacing w:val="-4"/>
                <w:kern w:val="0"/>
                <w:sz w:val="24"/>
                <w:highlight w:val="none"/>
                <w:lang w:val="en-US" w:eastAsia="zh-CN"/>
              </w:rPr>
              <w:t>”</w:t>
            </w:r>
            <w:r>
              <w:rPr>
                <w:rFonts w:hint="default" w:ascii="Times New Roman" w:hAnsi="Times New Roman" w:eastAsia="宋体" w:cs="Times New Roman"/>
                <w:b/>
                <w:color w:val="auto"/>
                <w:spacing w:val="-4"/>
                <w:kern w:val="0"/>
                <w:sz w:val="24"/>
                <w:highlight w:val="none"/>
                <w:lang w:val="en-US" w:eastAsia="zh-CN"/>
              </w:rPr>
              <w:t>验收内容一览表</w:t>
            </w:r>
          </w:p>
          <w:tbl>
            <w:tblPr>
              <w:tblStyle w:val="1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31"/>
              <w:gridCol w:w="932"/>
              <w:gridCol w:w="1575"/>
              <w:gridCol w:w="1890"/>
              <w:gridCol w:w="2329"/>
            </w:tblGrid>
            <w:tr w14:paraId="526402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tcBorders>
                    <w:tl2br w:val="nil"/>
                    <w:tr2bl w:val="nil"/>
                  </w:tcBorders>
                  <w:vAlign w:val="center"/>
                </w:tcPr>
                <w:p w14:paraId="7A301AC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项目</w:t>
                  </w:r>
                </w:p>
              </w:tc>
              <w:tc>
                <w:tcPr>
                  <w:tcW w:w="651" w:type="pct"/>
                  <w:tcBorders>
                    <w:tl2br w:val="nil"/>
                    <w:tr2bl w:val="nil"/>
                  </w:tcBorders>
                  <w:vAlign w:val="center"/>
                </w:tcPr>
                <w:p w14:paraId="68B8396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污染源</w:t>
                  </w:r>
                </w:p>
              </w:tc>
              <w:tc>
                <w:tcPr>
                  <w:tcW w:w="1100" w:type="pct"/>
                  <w:tcBorders>
                    <w:tl2br w:val="nil"/>
                    <w:tr2bl w:val="nil"/>
                  </w:tcBorders>
                  <w:vAlign w:val="center"/>
                </w:tcPr>
                <w:p w14:paraId="65CDDB4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污染物</w:t>
                  </w:r>
                </w:p>
              </w:tc>
              <w:tc>
                <w:tcPr>
                  <w:tcW w:w="1320" w:type="pct"/>
                  <w:tcBorders>
                    <w:tl2br w:val="nil"/>
                    <w:tr2bl w:val="nil"/>
                  </w:tcBorders>
                  <w:vAlign w:val="center"/>
                </w:tcPr>
                <w:p w14:paraId="4CEF4A9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验收设施</w:t>
                  </w:r>
                </w:p>
              </w:tc>
              <w:tc>
                <w:tcPr>
                  <w:tcW w:w="1627" w:type="pct"/>
                  <w:tcBorders>
                    <w:tl2br w:val="nil"/>
                    <w:tr2bl w:val="nil"/>
                  </w:tcBorders>
                  <w:vAlign w:val="center"/>
                </w:tcPr>
                <w:p w14:paraId="448A19D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b/>
                      <w:bCs/>
                      <w:color w:val="auto"/>
                      <w:highlight w:val="none"/>
                      <w:lang w:val="en-US" w:eastAsia="zh-CN"/>
                    </w:rPr>
                  </w:pPr>
                  <w:r>
                    <w:rPr>
                      <w:rFonts w:hint="default" w:ascii="Times New Roman" w:hAnsi="Times New Roman" w:eastAsia="宋体"/>
                      <w:b/>
                      <w:bCs/>
                      <w:color w:val="auto"/>
                      <w:highlight w:val="none"/>
                      <w:lang w:val="en-US" w:eastAsia="zh-CN"/>
                    </w:rPr>
                    <w:t>验收标准要求</w:t>
                  </w:r>
                </w:p>
              </w:tc>
            </w:tr>
            <w:tr w14:paraId="4BBBDF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tcBorders>
                    <w:tl2br w:val="nil"/>
                    <w:tr2bl w:val="nil"/>
                  </w:tcBorders>
                  <w:vAlign w:val="center"/>
                </w:tcPr>
                <w:p w14:paraId="6AA7C2C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废水</w:t>
                  </w:r>
                </w:p>
              </w:tc>
              <w:tc>
                <w:tcPr>
                  <w:tcW w:w="651" w:type="pct"/>
                  <w:tcBorders>
                    <w:tl2br w:val="nil"/>
                    <w:tr2bl w:val="nil"/>
                  </w:tcBorders>
                  <w:vAlign w:val="center"/>
                </w:tcPr>
                <w:p w14:paraId="24557B2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员工生活</w:t>
                  </w:r>
                  <w:r>
                    <w:rPr>
                      <w:rFonts w:hint="eastAsia" w:ascii="Times New Roman" w:hAnsi="Times New Roman" w:eastAsia="宋体"/>
                      <w:color w:val="auto"/>
                      <w:highlight w:val="none"/>
                      <w:lang w:val="en-US" w:eastAsia="zh-CN"/>
                    </w:rPr>
                    <w:t>污水、容器第三遍及以后清洗废水</w:t>
                  </w:r>
                </w:p>
              </w:tc>
              <w:tc>
                <w:tcPr>
                  <w:tcW w:w="1100" w:type="pct"/>
                  <w:tcBorders>
                    <w:tl2br w:val="nil"/>
                    <w:tr2bl w:val="nil"/>
                  </w:tcBorders>
                  <w:vAlign w:val="center"/>
                </w:tcPr>
                <w:p w14:paraId="6FF5A61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pH、COD</w:t>
                  </w:r>
                  <w:r>
                    <w:rPr>
                      <w:rFonts w:hint="default" w:ascii="Times New Roman" w:hAnsi="Times New Roman" w:eastAsia="宋体"/>
                      <w:color w:val="auto"/>
                      <w:highlight w:val="none"/>
                      <w:vertAlign w:val="subscript"/>
                      <w:lang w:val="en-US" w:eastAsia="zh-CN"/>
                    </w:rPr>
                    <w:t>Cr</w:t>
                  </w:r>
                  <w:r>
                    <w:rPr>
                      <w:rFonts w:hint="default" w:ascii="Times New Roman" w:hAnsi="Times New Roman" w:eastAsia="宋体"/>
                      <w:color w:val="auto"/>
                      <w:highlight w:val="none"/>
                      <w:lang w:val="en-US" w:eastAsia="zh-CN"/>
                    </w:rPr>
                    <w:t>、</w:t>
                  </w:r>
                </w:p>
                <w:p w14:paraId="6A09AED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BOD</w:t>
                  </w:r>
                  <w:r>
                    <w:rPr>
                      <w:rFonts w:hint="default" w:ascii="Times New Roman" w:hAnsi="Times New Roman" w:eastAsia="宋体"/>
                      <w:color w:val="auto"/>
                      <w:highlight w:val="none"/>
                      <w:vertAlign w:val="subscript"/>
                      <w:lang w:val="en-US" w:eastAsia="zh-CN"/>
                    </w:rPr>
                    <w:t>5</w:t>
                  </w:r>
                  <w:r>
                    <w:rPr>
                      <w:rFonts w:hint="default" w:ascii="Times New Roman" w:hAnsi="Times New Roman" w:eastAsia="宋体"/>
                      <w:color w:val="auto"/>
                      <w:highlight w:val="none"/>
                      <w:lang w:val="en-US" w:eastAsia="zh-CN"/>
                    </w:rPr>
                    <w:t>、SS、氨氮</w:t>
                  </w:r>
                  <w:r>
                    <w:rPr>
                      <w:rFonts w:hint="eastAsia" w:ascii="Times New Roman" w:hAnsi="Times New Roman" w:eastAsia="宋体"/>
                      <w:color w:val="auto"/>
                      <w:highlight w:val="none"/>
                      <w:lang w:val="en-US" w:eastAsia="zh-CN"/>
                    </w:rPr>
                    <w:t>、</w:t>
                  </w:r>
                </w:p>
              </w:tc>
              <w:tc>
                <w:tcPr>
                  <w:tcW w:w="1320" w:type="pct"/>
                  <w:tcBorders>
                    <w:tl2br w:val="nil"/>
                    <w:tr2bl w:val="nil"/>
                  </w:tcBorders>
                  <w:shd w:val="clear" w:color="auto" w:fill="auto"/>
                  <w:vAlign w:val="center"/>
                </w:tcPr>
                <w:p w14:paraId="66E38AA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化粪池、污水收集管</w:t>
                  </w:r>
                  <w:r>
                    <w:rPr>
                      <w:rFonts w:hint="eastAsia" w:ascii="Times New Roman" w:hAnsi="Times New Roman" w:eastAsia="宋体"/>
                      <w:color w:val="auto"/>
                      <w:highlight w:val="none"/>
                      <w:lang w:val="en-US" w:eastAsia="zh-CN"/>
                    </w:rPr>
                    <w:t>道</w:t>
                  </w:r>
                  <w:r>
                    <w:rPr>
                      <w:rFonts w:hint="default" w:ascii="Times New Roman" w:hAnsi="Times New Roman" w:eastAsia="宋体"/>
                      <w:color w:val="auto"/>
                      <w:highlight w:val="none"/>
                      <w:lang w:val="en-US" w:eastAsia="zh-CN"/>
                    </w:rPr>
                    <w:t>、排放标志</w:t>
                  </w:r>
                </w:p>
              </w:tc>
              <w:tc>
                <w:tcPr>
                  <w:tcW w:w="1627" w:type="pct"/>
                  <w:tcBorders>
                    <w:tl2br w:val="nil"/>
                    <w:tr2bl w:val="nil"/>
                  </w:tcBorders>
                  <w:vAlign w:val="center"/>
                </w:tcPr>
                <w:p w14:paraId="5A53CC2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北京市《水污染物综合排放标准》（DB11/307-2013）</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eastAsia="zh-CN"/>
                    </w:rPr>
                    <w:t>排入公共污水处理系统的水污染物排放限值</w:t>
                  </w:r>
                  <w:r>
                    <w:rPr>
                      <w:rFonts w:hint="eastAsia" w:ascii="Times New Roman" w:hAnsi="Times New Roman" w:eastAsia="宋体"/>
                      <w:color w:val="auto"/>
                      <w:highlight w:val="none"/>
                      <w:lang w:val="en-US" w:eastAsia="zh-CN"/>
                    </w:rPr>
                    <w:t>”</w:t>
                  </w:r>
                </w:p>
              </w:tc>
            </w:tr>
            <w:tr w14:paraId="2FF62F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tcBorders>
                    <w:tl2br w:val="nil"/>
                    <w:tr2bl w:val="nil"/>
                  </w:tcBorders>
                  <w:vAlign w:val="center"/>
                </w:tcPr>
                <w:p w14:paraId="4FFC833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噪声</w:t>
                  </w:r>
                </w:p>
              </w:tc>
              <w:tc>
                <w:tcPr>
                  <w:tcW w:w="651" w:type="pct"/>
                  <w:tcBorders>
                    <w:tl2br w:val="nil"/>
                    <w:tr2bl w:val="nil"/>
                  </w:tcBorders>
                  <w:vAlign w:val="center"/>
                </w:tcPr>
                <w:p w14:paraId="7603777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实验</w:t>
                  </w:r>
                  <w:r>
                    <w:rPr>
                      <w:rFonts w:hint="eastAsia" w:ascii="Times New Roman" w:hAnsi="Times New Roman" w:eastAsia="宋体"/>
                      <w:color w:val="auto"/>
                      <w:highlight w:val="none"/>
                      <w:lang w:val="en-US" w:eastAsia="zh-CN"/>
                    </w:rPr>
                    <w:t>及公用工程设施</w:t>
                  </w:r>
                </w:p>
              </w:tc>
              <w:tc>
                <w:tcPr>
                  <w:tcW w:w="1100" w:type="pct"/>
                  <w:tcBorders>
                    <w:tl2br w:val="nil"/>
                    <w:tr2bl w:val="nil"/>
                  </w:tcBorders>
                  <w:vAlign w:val="center"/>
                </w:tcPr>
                <w:p w14:paraId="1A9BB2F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厂界噪声</w:t>
                  </w:r>
                </w:p>
              </w:tc>
              <w:tc>
                <w:tcPr>
                  <w:tcW w:w="1320" w:type="pct"/>
                  <w:tcBorders>
                    <w:tl2br w:val="nil"/>
                    <w:tr2bl w:val="nil"/>
                  </w:tcBorders>
                  <w:vAlign w:val="center"/>
                </w:tcPr>
                <w:p w14:paraId="12DB752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减震、隔声、布局</w:t>
                  </w:r>
                </w:p>
              </w:tc>
              <w:tc>
                <w:tcPr>
                  <w:tcW w:w="1627" w:type="pct"/>
                  <w:tcBorders>
                    <w:tl2br w:val="nil"/>
                    <w:tr2bl w:val="nil"/>
                  </w:tcBorders>
                  <w:vAlign w:val="center"/>
                </w:tcPr>
                <w:p w14:paraId="51D7280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《工业企业厂界环境噪声排放标准》（GB12348-2008）中的3类标准</w:t>
                  </w:r>
                </w:p>
              </w:tc>
            </w:tr>
            <w:tr w14:paraId="69F9AC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tcBorders>
                    <w:tl2br w:val="nil"/>
                    <w:tr2bl w:val="nil"/>
                  </w:tcBorders>
                  <w:vAlign w:val="center"/>
                </w:tcPr>
                <w:p w14:paraId="5B4F7D4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lang w:val="en-US" w:eastAsia="zh-CN"/>
                    </w:rPr>
                    <w:t>一般</w:t>
                  </w:r>
                  <w:r>
                    <w:rPr>
                      <w:rFonts w:hint="default" w:ascii="Times New Roman" w:hAnsi="Times New Roman" w:eastAsia="宋体"/>
                      <w:color w:val="auto"/>
                      <w:highlight w:val="none"/>
                    </w:rPr>
                    <w:t>固体废物</w:t>
                  </w:r>
                </w:p>
              </w:tc>
              <w:tc>
                <w:tcPr>
                  <w:tcW w:w="651" w:type="pct"/>
                  <w:tcBorders>
                    <w:tl2br w:val="nil"/>
                    <w:tr2bl w:val="nil"/>
                  </w:tcBorders>
                  <w:vAlign w:val="center"/>
                </w:tcPr>
                <w:p w14:paraId="3FEDF67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实验过程</w:t>
                  </w:r>
                </w:p>
                <w:p w14:paraId="49A5287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员工生活</w:t>
                  </w:r>
                </w:p>
              </w:tc>
              <w:tc>
                <w:tcPr>
                  <w:tcW w:w="1100" w:type="pct"/>
                  <w:tcBorders>
                    <w:tl2br w:val="nil"/>
                    <w:tr2bl w:val="nil"/>
                  </w:tcBorders>
                  <w:vAlign w:val="center"/>
                </w:tcPr>
                <w:p w14:paraId="0EFB75C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未沾染化学试剂的</w:t>
                  </w:r>
                  <w:r>
                    <w:rPr>
                      <w:rFonts w:hint="default" w:ascii="Times New Roman" w:hAnsi="Times New Roman" w:eastAsia="宋体"/>
                      <w:color w:val="auto"/>
                      <w:highlight w:val="none"/>
                    </w:rPr>
                    <w:t>废包装材料</w:t>
                  </w:r>
                  <w:r>
                    <w:rPr>
                      <w:rFonts w:hint="default"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生活垃圾。</w:t>
                  </w:r>
                </w:p>
              </w:tc>
              <w:tc>
                <w:tcPr>
                  <w:tcW w:w="1320" w:type="pct"/>
                  <w:tcBorders>
                    <w:tl2br w:val="nil"/>
                    <w:tr2bl w:val="nil"/>
                  </w:tcBorders>
                  <w:vAlign w:val="center"/>
                </w:tcPr>
                <w:p w14:paraId="60151C0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lang w:val="en-US" w:eastAsia="zh-CN"/>
                    </w:rPr>
                    <w:t>一般固废间、管理台账、管理制度</w:t>
                  </w:r>
                </w:p>
              </w:tc>
              <w:tc>
                <w:tcPr>
                  <w:tcW w:w="1627" w:type="pct"/>
                  <w:tcBorders>
                    <w:tl2br w:val="nil"/>
                    <w:tr2bl w:val="nil"/>
                  </w:tcBorders>
                  <w:vAlign w:val="center"/>
                </w:tcPr>
                <w:p w14:paraId="7242459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《中华人民共和国固体废物污染环境防治法》（2020年版）及《北京市生活垃圾管理条例》（2020年5月1日起施行，2020年9月25日第二次修正）中的有关规定</w:t>
                  </w:r>
                </w:p>
              </w:tc>
            </w:tr>
            <w:tr w14:paraId="2B19DC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1" w:type="pct"/>
                  <w:tcBorders>
                    <w:tl2br w:val="nil"/>
                    <w:tr2bl w:val="nil"/>
                  </w:tcBorders>
                  <w:vAlign w:val="center"/>
                </w:tcPr>
                <w:p w14:paraId="53087A7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危险废物</w:t>
                  </w:r>
                </w:p>
              </w:tc>
              <w:tc>
                <w:tcPr>
                  <w:tcW w:w="651" w:type="pct"/>
                  <w:tcBorders>
                    <w:tl2br w:val="nil"/>
                    <w:tr2bl w:val="nil"/>
                  </w:tcBorders>
                  <w:vAlign w:val="center"/>
                </w:tcPr>
                <w:p w14:paraId="1A807D5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实验过程</w:t>
                  </w:r>
                </w:p>
              </w:tc>
              <w:tc>
                <w:tcPr>
                  <w:tcW w:w="1100" w:type="pct"/>
                  <w:tcBorders>
                    <w:tl2br w:val="nil"/>
                    <w:tr2bl w:val="nil"/>
                  </w:tcBorders>
                  <w:vAlign w:val="center"/>
                </w:tcPr>
                <w:p w14:paraId="4250261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废试剂瓶、废一次性耗材、实验废液、清洗废液、</w:t>
                  </w:r>
                </w:p>
              </w:tc>
              <w:tc>
                <w:tcPr>
                  <w:tcW w:w="1320" w:type="pct"/>
                  <w:tcBorders>
                    <w:tl2br w:val="nil"/>
                    <w:tr2bl w:val="nil"/>
                  </w:tcBorders>
                  <w:shd w:val="clear" w:color="auto" w:fill="auto"/>
                  <w:vAlign w:val="center"/>
                </w:tcPr>
                <w:p w14:paraId="08AC736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lang w:val="en-US" w:eastAsia="zh-CN"/>
                    </w:rPr>
                    <w:t>危险废物暂存间、管理台账、管理制度</w:t>
                  </w:r>
                </w:p>
              </w:tc>
              <w:tc>
                <w:tcPr>
                  <w:tcW w:w="1627" w:type="pct"/>
                  <w:tcBorders>
                    <w:tl2br w:val="nil"/>
                    <w:tr2bl w:val="nil"/>
                  </w:tcBorders>
                  <w:vAlign w:val="center"/>
                </w:tcPr>
                <w:p w14:paraId="5CFFAF3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《危险废物贮存污染控制标准》（GB18597-2023）、《危险废物转移管理办法》（2022年1月1日施行）、《实验室危险废物污染防治技术规范》（DB11/T 1368-2016）中的相关规定</w:t>
                  </w:r>
                </w:p>
              </w:tc>
            </w:tr>
          </w:tbl>
          <w:p w14:paraId="5B5852E9">
            <w:pPr>
              <w:adjustRightInd w:val="0"/>
              <w:snapToGrid w:val="0"/>
              <w:rPr>
                <w:rFonts w:hint="default" w:ascii="Times New Roman" w:hAnsi="Times New Roman" w:eastAsia="宋体" w:cs="Times New Roman"/>
                <w:color w:val="auto"/>
                <w:sz w:val="24"/>
                <w:highlight w:val="none"/>
              </w:rPr>
            </w:pPr>
          </w:p>
          <w:p w14:paraId="52446A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vertAlign w:val="baseline"/>
                <w:lang w:val="en-US" w:eastAsia="zh-CN"/>
              </w:rPr>
            </w:pPr>
          </w:p>
        </w:tc>
      </w:tr>
    </w:tbl>
    <w:p w14:paraId="6B597BC5">
      <w:pPr>
        <w:rPr>
          <w:rFonts w:hint="default"/>
          <w:color w:val="auto"/>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E9DB39">
      <w:pPr>
        <w:pStyle w:val="2"/>
        <w:bidi w:val="0"/>
        <w:rPr>
          <w:rFonts w:hint="default"/>
          <w:color w:val="auto"/>
          <w:lang w:val="en-US" w:eastAsia="zh-CN"/>
        </w:rPr>
      </w:pPr>
      <w:r>
        <w:rPr>
          <w:rFonts w:hint="eastAsia"/>
          <w:color w:val="auto"/>
          <w:lang w:val="en-US" w:eastAsia="zh-CN"/>
        </w:rPr>
        <w:t>六、结论</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7252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48" w:type="dxa"/>
            <w:vAlign w:val="center"/>
          </w:tcPr>
          <w:p w14:paraId="1E7008E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sz w:val="24"/>
                <w:szCs w:val="24"/>
                <w:vertAlign w:val="baseline"/>
              </w:rPr>
            </w:pPr>
          </w:p>
          <w:p w14:paraId="06A8F300">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r>
              <w:rPr>
                <w:rFonts w:hint="eastAsia"/>
                <w:color w:val="auto"/>
                <w:sz w:val="24"/>
                <w:szCs w:val="24"/>
                <w:vertAlign w:val="baseline"/>
              </w:rPr>
              <w:t>综上所述，本项目符合国家及北京市相关产业政策，污染源治理措施可靠有效，污染物均能够达标排放，可以满足当地的环境功能区划的要求，在全面加强监督管理，执行环保“三同时”制度和认真落实各项环保措施的条件下，可实现各类污染物稳定达标排放，满足区域总量控制要求。从环境保护角度分析，项目的建设是可行的，对环境的影响在可接受的范围。</w:t>
            </w:r>
          </w:p>
          <w:p w14:paraId="39C1FACE">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3A0D4688">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2380B0D6">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1B20A742">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3F5B43BA">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5E2B8A17">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7C241D59">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1AA0BE90">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0E9F3B1C">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3A88FDF0">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056A64F2">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1AFB7F20">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7BA7D3B5">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2515AAB9">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4E9EDB61">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6003AA47">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5D81596F">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0BA370F9">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474F8A04">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47F2A516">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585C9F14">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6AAC3477">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68DFF3E2">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70A2E064">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p w14:paraId="6DDFEED5">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szCs w:val="24"/>
                <w:vertAlign w:val="baseline"/>
              </w:rPr>
            </w:pPr>
          </w:p>
        </w:tc>
      </w:tr>
    </w:tbl>
    <w:p w14:paraId="146EE4C2">
      <w:pPr>
        <w:rPr>
          <w:color w:val="auto"/>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E10FAF">
      <w:pPr>
        <w:pStyle w:val="2"/>
        <w:keepNext/>
        <w:keepLines/>
        <w:pageBreakBefore w:val="0"/>
        <w:widowControl w:val="0"/>
        <w:kinsoku/>
        <w:wordWrap/>
        <w:overflowPunct/>
        <w:topLinePunct w:val="0"/>
        <w:autoSpaceDE/>
        <w:autoSpaceDN/>
        <w:bidi w:val="0"/>
        <w:adjustRightInd/>
        <w:snapToGrid/>
        <w:jc w:val="both"/>
        <w:textAlignment w:val="auto"/>
        <w:rPr>
          <w:rFonts w:hint="eastAsia"/>
          <w:color w:val="auto"/>
          <w:lang w:val="en-US" w:eastAsia="zh-CN"/>
        </w:rPr>
      </w:pPr>
      <w:r>
        <w:rPr>
          <w:rFonts w:hint="eastAsia"/>
          <w:color w:val="auto"/>
          <w:sz w:val="28"/>
          <w:szCs w:val="28"/>
          <w:lang w:val="en-US" w:eastAsia="zh-CN"/>
        </w:rPr>
        <w:t>附表</w:t>
      </w:r>
    </w:p>
    <w:p w14:paraId="4B580ACF">
      <w:pPr>
        <w:pStyle w:val="2"/>
        <w:bidi w:val="0"/>
        <w:rPr>
          <w:rFonts w:hint="eastAsia"/>
          <w:color w:val="auto"/>
          <w:lang w:val="en-US" w:eastAsia="zh-CN"/>
        </w:rPr>
      </w:pPr>
      <w:r>
        <w:rPr>
          <w:rFonts w:hint="eastAsia"/>
          <w:color w:val="auto"/>
          <w:lang w:val="en-US" w:eastAsia="zh-CN"/>
        </w:rPr>
        <w:t>建设项目污染物排放量汇总表</w:t>
      </w:r>
    </w:p>
    <w:tbl>
      <w:tblPr>
        <w:tblStyle w:val="1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936"/>
        <w:gridCol w:w="1615"/>
        <w:gridCol w:w="1615"/>
        <w:gridCol w:w="1615"/>
        <w:gridCol w:w="1615"/>
        <w:gridCol w:w="1615"/>
        <w:gridCol w:w="1615"/>
        <w:gridCol w:w="1264"/>
      </w:tblGrid>
      <w:tr w14:paraId="528BB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24" w:type="dxa"/>
            <w:tcBorders>
              <w:top w:val="single" w:color="auto" w:sz="2" w:space="0"/>
              <w:left w:val="single" w:color="auto" w:sz="2" w:space="0"/>
              <w:bottom w:val="single" w:color="auto" w:sz="2" w:space="0"/>
              <w:right w:val="single" w:color="auto" w:sz="2" w:space="0"/>
              <w:tl2br w:val="single" w:color="auto" w:sz="4" w:space="0"/>
            </w:tcBorders>
            <w:tcMar>
              <w:left w:w="28" w:type="dxa"/>
              <w:right w:w="28" w:type="dxa"/>
            </w:tcMar>
            <w:vAlign w:val="center"/>
          </w:tcPr>
          <w:p w14:paraId="580B808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rFonts w:hint="eastAsia"/>
                <w:b/>
                <w:bCs/>
                <w:color w:val="auto"/>
                <w:sz w:val="21"/>
                <w:szCs w:val="21"/>
                <w:highlight w:val="none"/>
                <w:lang w:val="en-US" w:eastAsia="zh-CN"/>
              </w:rPr>
              <w:t xml:space="preserve">     </w:t>
            </w:r>
            <w:r>
              <w:rPr>
                <w:rFonts w:hint="eastAsia"/>
                <w:b/>
                <w:bCs/>
                <w:color w:val="auto"/>
                <w:sz w:val="21"/>
                <w:szCs w:val="21"/>
                <w:highlight w:val="none"/>
              </w:rPr>
              <w:t>项目</w:t>
            </w:r>
          </w:p>
          <w:p w14:paraId="16A145B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b/>
                <w:bCs/>
                <w:color w:val="auto"/>
                <w:sz w:val="21"/>
                <w:szCs w:val="21"/>
                <w:highlight w:val="none"/>
              </w:rPr>
            </w:pPr>
            <w:r>
              <w:rPr>
                <w:rFonts w:hint="eastAsia"/>
                <w:b/>
                <w:bCs/>
                <w:color w:val="auto"/>
                <w:sz w:val="21"/>
                <w:szCs w:val="21"/>
                <w:highlight w:val="none"/>
              </w:rPr>
              <w:t>分类</w:t>
            </w:r>
          </w:p>
        </w:tc>
        <w:tc>
          <w:tcPr>
            <w:tcW w:w="1936"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14:paraId="099D332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rFonts w:hint="eastAsia"/>
                <w:b/>
                <w:bCs/>
                <w:color w:val="auto"/>
                <w:sz w:val="21"/>
                <w:szCs w:val="21"/>
                <w:highlight w:val="none"/>
              </w:rPr>
              <w:t>污染物名称</w:t>
            </w:r>
          </w:p>
        </w:tc>
        <w:tc>
          <w:tcPr>
            <w:tcW w:w="161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14:paraId="762DE81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现有工程排放量</w:t>
            </w:r>
            <w:r>
              <w:rPr>
                <w:rFonts w:hint="eastAsia"/>
                <w:b/>
                <w:bCs/>
                <w:color w:val="auto"/>
                <w:sz w:val="21"/>
                <w:szCs w:val="21"/>
                <w:highlight w:val="none"/>
              </w:rPr>
              <w:t>（</w:t>
            </w:r>
            <w:r>
              <w:rPr>
                <w:b/>
                <w:bCs/>
                <w:color w:val="auto"/>
                <w:sz w:val="21"/>
                <w:szCs w:val="21"/>
                <w:highlight w:val="none"/>
              </w:rPr>
              <w:t>固</w:t>
            </w:r>
            <w:r>
              <w:rPr>
                <w:rFonts w:hint="eastAsia"/>
                <w:b/>
                <w:bCs/>
                <w:color w:val="auto"/>
                <w:sz w:val="21"/>
                <w:szCs w:val="21"/>
                <w:highlight w:val="none"/>
              </w:rPr>
              <w:t>体</w:t>
            </w:r>
            <w:r>
              <w:rPr>
                <w:b/>
                <w:bCs/>
                <w:color w:val="auto"/>
                <w:sz w:val="21"/>
                <w:szCs w:val="21"/>
                <w:highlight w:val="none"/>
              </w:rPr>
              <w:t>废</w:t>
            </w:r>
            <w:r>
              <w:rPr>
                <w:rFonts w:hint="eastAsia"/>
                <w:b/>
                <w:bCs/>
                <w:color w:val="auto"/>
                <w:sz w:val="21"/>
                <w:szCs w:val="21"/>
                <w:highlight w:val="none"/>
              </w:rPr>
              <w:t>物</w:t>
            </w:r>
            <w:r>
              <w:rPr>
                <w:b/>
                <w:bCs/>
                <w:color w:val="auto"/>
                <w:sz w:val="21"/>
                <w:szCs w:val="21"/>
                <w:highlight w:val="none"/>
              </w:rPr>
              <w:t>产生量</w:t>
            </w:r>
            <w:r>
              <w:rPr>
                <w:rFonts w:hint="eastAsia"/>
                <w:b/>
                <w:bCs/>
                <w:color w:val="auto"/>
                <w:sz w:val="21"/>
                <w:szCs w:val="21"/>
                <w:highlight w:val="none"/>
              </w:rPr>
              <w:t>）①</w:t>
            </w:r>
          </w:p>
        </w:tc>
        <w:tc>
          <w:tcPr>
            <w:tcW w:w="161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14:paraId="4BB7A93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现有工程许可排放量</w:t>
            </w:r>
            <w:r>
              <w:rPr>
                <w:rFonts w:hint="eastAsia"/>
                <w:b/>
                <w:bCs/>
                <w:color w:val="auto"/>
                <w:sz w:val="21"/>
                <w:szCs w:val="21"/>
                <w:highlight w:val="none"/>
              </w:rPr>
              <w:t>②</w:t>
            </w:r>
          </w:p>
        </w:tc>
        <w:tc>
          <w:tcPr>
            <w:tcW w:w="161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14:paraId="077987A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在建工程排放量</w:t>
            </w:r>
            <w:r>
              <w:rPr>
                <w:rFonts w:hint="eastAsia"/>
                <w:b/>
                <w:bCs/>
                <w:color w:val="auto"/>
                <w:sz w:val="21"/>
                <w:szCs w:val="21"/>
                <w:highlight w:val="none"/>
              </w:rPr>
              <w:t>（</w:t>
            </w:r>
            <w:r>
              <w:rPr>
                <w:b/>
                <w:bCs/>
                <w:color w:val="auto"/>
                <w:sz w:val="21"/>
                <w:szCs w:val="21"/>
                <w:highlight w:val="none"/>
              </w:rPr>
              <w:t>固</w:t>
            </w:r>
            <w:r>
              <w:rPr>
                <w:rFonts w:hint="eastAsia"/>
                <w:b/>
                <w:bCs/>
                <w:color w:val="auto"/>
                <w:sz w:val="21"/>
                <w:szCs w:val="21"/>
                <w:highlight w:val="none"/>
              </w:rPr>
              <w:t>体</w:t>
            </w:r>
            <w:r>
              <w:rPr>
                <w:b/>
                <w:bCs/>
                <w:color w:val="auto"/>
                <w:sz w:val="21"/>
                <w:szCs w:val="21"/>
                <w:highlight w:val="none"/>
              </w:rPr>
              <w:t>废</w:t>
            </w:r>
            <w:r>
              <w:rPr>
                <w:rFonts w:hint="eastAsia"/>
                <w:b/>
                <w:bCs/>
                <w:color w:val="auto"/>
                <w:sz w:val="21"/>
                <w:szCs w:val="21"/>
                <w:highlight w:val="none"/>
              </w:rPr>
              <w:t>物</w:t>
            </w:r>
            <w:r>
              <w:rPr>
                <w:b/>
                <w:bCs/>
                <w:color w:val="auto"/>
                <w:sz w:val="21"/>
                <w:szCs w:val="21"/>
                <w:highlight w:val="none"/>
              </w:rPr>
              <w:t>产生量</w:t>
            </w:r>
            <w:r>
              <w:rPr>
                <w:rFonts w:hint="eastAsia"/>
                <w:b/>
                <w:bCs/>
                <w:color w:val="auto"/>
                <w:sz w:val="21"/>
                <w:szCs w:val="21"/>
                <w:highlight w:val="none"/>
              </w:rPr>
              <w:t>）③</w:t>
            </w:r>
          </w:p>
        </w:tc>
        <w:tc>
          <w:tcPr>
            <w:tcW w:w="161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14:paraId="4417B50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rFonts w:hint="eastAsia"/>
                <w:b/>
                <w:bCs/>
                <w:color w:val="auto"/>
                <w:sz w:val="21"/>
                <w:szCs w:val="21"/>
                <w:highlight w:val="none"/>
              </w:rPr>
              <w:t>项目</w:t>
            </w:r>
            <w:r>
              <w:rPr>
                <w:b/>
                <w:bCs/>
                <w:color w:val="auto"/>
                <w:sz w:val="21"/>
                <w:szCs w:val="21"/>
                <w:highlight w:val="none"/>
              </w:rPr>
              <w:t>排放量</w:t>
            </w:r>
            <w:r>
              <w:rPr>
                <w:rFonts w:hint="eastAsia"/>
                <w:b/>
                <w:bCs/>
                <w:color w:val="auto"/>
                <w:sz w:val="21"/>
                <w:szCs w:val="21"/>
                <w:highlight w:val="none"/>
              </w:rPr>
              <w:t>（</w:t>
            </w:r>
            <w:r>
              <w:rPr>
                <w:b/>
                <w:bCs/>
                <w:color w:val="auto"/>
                <w:sz w:val="21"/>
                <w:szCs w:val="21"/>
                <w:highlight w:val="none"/>
              </w:rPr>
              <w:t>固</w:t>
            </w:r>
            <w:r>
              <w:rPr>
                <w:rFonts w:hint="eastAsia"/>
                <w:b/>
                <w:bCs/>
                <w:color w:val="auto"/>
                <w:sz w:val="21"/>
                <w:szCs w:val="21"/>
                <w:highlight w:val="none"/>
              </w:rPr>
              <w:t>体</w:t>
            </w:r>
            <w:r>
              <w:rPr>
                <w:b/>
                <w:bCs/>
                <w:color w:val="auto"/>
                <w:sz w:val="21"/>
                <w:szCs w:val="21"/>
                <w:highlight w:val="none"/>
              </w:rPr>
              <w:t>废</w:t>
            </w:r>
            <w:r>
              <w:rPr>
                <w:rFonts w:hint="eastAsia"/>
                <w:b/>
                <w:bCs/>
                <w:color w:val="auto"/>
                <w:sz w:val="21"/>
                <w:szCs w:val="21"/>
                <w:highlight w:val="none"/>
              </w:rPr>
              <w:t>物</w:t>
            </w:r>
            <w:r>
              <w:rPr>
                <w:b/>
                <w:bCs/>
                <w:color w:val="auto"/>
                <w:sz w:val="21"/>
                <w:szCs w:val="21"/>
                <w:highlight w:val="none"/>
              </w:rPr>
              <w:t>产生量</w:t>
            </w:r>
            <w:r>
              <w:rPr>
                <w:rFonts w:hint="eastAsia"/>
                <w:b/>
                <w:bCs/>
                <w:color w:val="auto"/>
                <w:sz w:val="21"/>
                <w:szCs w:val="21"/>
                <w:highlight w:val="none"/>
              </w:rPr>
              <w:t>）④</w:t>
            </w:r>
          </w:p>
        </w:tc>
        <w:tc>
          <w:tcPr>
            <w:tcW w:w="161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14:paraId="4D35AE9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以新带老削减量</w:t>
            </w:r>
            <w:r>
              <w:rPr>
                <w:rFonts w:hint="eastAsia"/>
                <w:b/>
                <w:bCs/>
                <w:color w:val="auto"/>
                <w:sz w:val="21"/>
                <w:szCs w:val="21"/>
                <w:highlight w:val="none"/>
              </w:rPr>
              <w:t>（</w:t>
            </w:r>
            <w:r>
              <w:rPr>
                <w:b/>
                <w:bCs/>
                <w:color w:val="auto"/>
                <w:sz w:val="21"/>
                <w:szCs w:val="21"/>
                <w:highlight w:val="none"/>
              </w:rPr>
              <w:t>新建项目不填</w:t>
            </w:r>
            <w:r>
              <w:rPr>
                <w:rFonts w:hint="eastAsia"/>
                <w:b/>
                <w:bCs/>
                <w:color w:val="auto"/>
                <w:sz w:val="21"/>
                <w:szCs w:val="21"/>
                <w:highlight w:val="none"/>
              </w:rPr>
              <w:t>）⑤</w:t>
            </w:r>
          </w:p>
        </w:tc>
        <w:tc>
          <w:tcPr>
            <w:tcW w:w="161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14:paraId="2E1B758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
                <w:bCs/>
                <w:color w:val="auto"/>
                <w:sz w:val="21"/>
                <w:szCs w:val="21"/>
                <w:highlight w:val="none"/>
                <w:lang w:val="en-US" w:eastAsia="zh-CN"/>
              </w:rPr>
            </w:pPr>
            <w:r>
              <w:rPr>
                <w:rFonts w:hint="eastAsia"/>
                <w:b/>
                <w:bCs/>
                <w:color w:val="auto"/>
                <w:sz w:val="21"/>
                <w:szCs w:val="21"/>
                <w:highlight w:val="none"/>
              </w:rPr>
              <w:t>项目</w:t>
            </w:r>
            <w:r>
              <w:rPr>
                <w:b/>
                <w:bCs/>
                <w:color w:val="auto"/>
                <w:sz w:val="21"/>
                <w:szCs w:val="21"/>
                <w:highlight w:val="none"/>
              </w:rPr>
              <w:t>建成后排放量</w:t>
            </w:r>
            <w:r>
              <w:rPr>
                <w:rFonts w:hint="eastAsia"/>
                <w:b/>
                <w:bCs/>
                <w:color w:val="auto"/>
                <w:sz w:val="21"/>
                <w:szCs w:val="21"/>
                <w:highlight w:val="none"/>
              </w:rPr>
              <w:t>（</w:t>
            </w:r>
            <w:r>
              <w:rPr>
                <w:b/>
                <w:bCs/>
                <w:color w:val="auto"/>
                <w:sz w:val="21"/>
                <w:szCs w:val="21"/>
                <w:highlight w:val="none"/>
              </w:rPr>
              <w:t>固</w:t>
            </w:r>
            <w:r>
              <w:rPr>
                <w:rFonts w:hint="eastAsia"/>
                <w:b/>
                <w:bCs/>
                <w:color w:val="auto"/>
                <w:sz w:val="21"/>
                <w:szCs w:val="21"/>
                <w:highlight w:val="none"/>
              </w:rPr>
              <w:t>体</w:t>
            </w:r>
            <w:r>
              <w:rPr>
                <w:b/>
                <w:bCs/>
                <w:color w:val="auto"/>
                <w:sz w:val="21"/>
                <w:szCs w:val="21"/>
                <w:highlight w:val="none"/>
              </w:rPr>
              <w:t>废</w:t>
            </w:r>
            <w:r>
              <w:rPr>
                <w:rFonts w:hint="eastAsia"/>
                <w:b/>
                <w:bCs/>
                <w:color w:val="auto"/>
                <w:sz w:val="21"/>
                <w:szCs w:val="21"/>
                <w:highlight w:val="none"/>
              </w:rPr>
              <w:t>物</w:t>
            </w:r>
            <w:r>
              <w:rPr>
                <w:b/>
                <w:bCs/>
                <w:color w:val="auto"/>
                <w:sz w:val="21"/>
                <w:szCs w:val="21"/>
                <w:highlight w:val="none"/>
              </w:rPr>
              <w:t>产生量</w:t>
            </w:r>
            <w:r>
              <w:rPr>
                <w:rFonts w:hint="eastAsia"/>
                <w:b/>
                <w:bCs/>
                <w:color w:val="auto"/>
                <w:sz w:val="21"/>
                <w:szCs w:val="21"/>
                <w:highlight w:val="none"/>
                <w:lang w:eastAsia="zh-CN"/>
              </w:rPr>
              <w:t>）⑥</w:t>
            </w:r>
          </w:p>
        </w:tc>
        <w:tc>
          <w:tcPr>
            <w:tcW w:w="1264"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14:paraId="237A6E8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变化量</w:t>
            </w:r>
            <w:r>
              <w:rPr>
                <w:rFonts w:hint="eastAsia"/>
                <w:b/>
                <w:bCs/>
                <w:color w:val="auto"/>
                <w:sz w:val="21"/>
                <w:szCs w:val="21"/>
                <w:highlight w:val="none"/>
              </w:rPr>
              <w:t>⑦</w:t>
            </w:r>
          </w:p>
        </w:tc>
      </w:tr>
      <w:tr w14:paraId="535F2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restart"/>
            <w:tcBorders>
              <w:top w:val="single" w:color="000000" w:sz="8" w:space="0"/>
              <w:left w:val="single" w:color="auto" w:sz="2" w:space="0"/>
              <w:right w:val="single" w:color="auto" w:sz="2" w:space="0"/>
            </w:tcBorders>
            <w:vAlign w:val="center"/>
          </w:tcPr>
          <w:p w14:paraId="7B8B769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废水</w:t>
            </w:r>
          </w:p>
        </w:tc>
        <w:tc>
          <w:tcPr>
            <w:tcW w:w="1936" w:type="dxa"/>
            <w:tcBorders>
              <w:top w:val="single" w:color="000000" w:sz="8" w:space="0"/>
              <w:left w:val="single" w:color="auto" w:sz="2" w:space="0"/>
              <w:bottom w:val="single" w:color="auto" w:sz="2" w:space="0"/>
              <w:right w:val="single" w:color="auto" w:sz="2" w:space="0"/>
            </w:tcBorders>
            <w:vAlign w:val="center"/>
          </w:tcPr>
          <w:p w14:paraId="0EA528E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COD</w:t>
            </w:r>
            <w:r>
              <w:rPr>
                <w:rFonts w:hint="eastAsia"/>
                <w:color w:val="auto"/>
                <w:sz w:val="21"/>
                <w:szCs w:val="21"/>
                <w:highlight w:val="none"/>
                <w:vertAlign w:val="subscript"/>
              </w:rPr>
              <w:t>cr</w:t>
            </w:r>
          </w:p>
        </w:tc>
        <w:tc>
          <w:tcPr>
            <w:tcW w:w="1615" w:type="dxa"/>
            <w:tcBorders>
              <w:top w:val="single" w:color="auto" w:sz="2" w:space="0"/>
              <w:left w:val="single" w:color="auto" w:sz="2" w:space="0"/>
              <w:bottom w:val="single" w:color="auto" w:sz="2" w:space="0"/>
              <w:right w:val="single" w:color="auto" w:sz="2" w:space="0"/>
            </w:tcBorders>
            <w:vAlign w:val="center"/>
          </w:tcPr>
          <w:p w14:paraId="530EFAC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仿宋"/>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FFFFFF"/>
            <w:vAlign w:val="center"/>
          </w:tcPr>
          <w:p w14:paraId="4E2F1AC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4B8278C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FFFFFF"/>
            <w:vAlign w:val="center"/>
          </w:tcPr>
          <w:p w14:paraId="417DAC7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heme="minorBidi"/>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0407</w:t>
            </w:r>
            <w:r>
              <w:rPr>
                <w:rFonts w:hint="default" w:ascii="Times New Roman" w:hAnsi="Times New Roman" w:eastAsia="宋体" w:cs="Times New Roman"/>
                <w:color w:val="auto"/>
                <w:sz w:val="21"/>
                <w:szCs w:val="21"/>
                <w:highlight w:val="none"/>
                <w:lang w:val="en-US" w:eastAsia="zh-CN"/>
              </w:rPr>
              <w:t xml:space="preserve"> </w:t>
            </w:r>
          </w:p>
        </w:tc>
        <w:tc>
          <w:tcPr>
            <w:tcW w:w="1615" w:type="dxa"/>
            <w:tcBorders>
              <w:top w:val="single" w:color="auto" w:sz="2" w:space="0"/>
              <w:left w:val="single" w:color="auto" w:sz="2" w:space="0"/>
              <w:bottom w:val="single" w:color="auto" w:sz="2" w:space="0"/>
              <w:right w:val="single" w:color="auto" w:sz="2" w:space="0"/>
            </w:tcBorders>
            <w:vAlign w:val="center"/>
          </w:tcPr>
          <w:p w14:paraId="6C477E6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6C6FEEF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FFFFFF"/>
            <w:vAlign w:val="center"/>
          </w:tcPr>
          <w:p w14:paraId="751B4E6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0407</w:t>
            </w:r>
            <w:r>
              <w:rPr>
                <w:rFonts w:hint="default" w:ascii="Times New Roman" w:hAnsi="Times New Roman" w:eastAsia="宋体" w:cs="Times New Roman"/>
                <w:color w:val="auto"/>
                <w:sz w:val="21"/>
                <w:szCs w:val="21"/>
                <w:highlight w:val="none"/>
                <w:lang w:val="en-US" w:eastAsia="zh-CN"/>
              </w:rPr>
              <w:t xml:space="preserve"> </w:t>
            </w:r>
          </w:p>
        </w:tc>
      </w:tr>
      <w:tr w14:paraId="18EE6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continue"/>
            <w:tcBorders>
              <w:left w:val="single" w:color="auto" w:sz="2" w:space="0"/>
              <w:right w:val="single" w:color="auto" w:sz="2" w:space="0"/>
            </w:tcBorders>
            <w:vAlign w:val="center"/>
          </w:tcPr>
          <w:p w14:paraId="30E14BE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p>
        </w:tc>
        <w:tc>
          <w:tcPr>
            <w:tcW w:w="1936" w:type="dxa"/>
            <w:tcBorders>
              <w:top w:val="single" w:color="auto" w:sz="2" w:space="0"/>
              <w:left w:val="single" w:color="auto" w:sz="2" w:space="0"/>
              <w:bottom w:val="single" w:color="auto" w:sz="2" w:space="0"/>
              <w:right w:val="single" w:color="auto" w:sz="2" w:space="0"/>
            </w:tcBorders>
            <w:vAlign w:val="center"/>
          </w:tcPr>
          <w:p w14:paraId="7E4087B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BOD</w:t>
            </w:r>
            <w:r>
              <w:rPr>
                <w:rFonts w:hint="eastAsia"/>
                <w:color w:val="auto"/>
                <w:sz w:val="21"/>
                <w:szCs w:val="21"/>
                <w:highlight w:val="none"/>
                <w:vertAlign w:val="subscript"/>
                <w:lang w:eastAsia="zh-CN"/>
              </w:rPr>
              <w:t>5</w:t>
            </w:r>
          </w:p>
        </w:tc>
        <w:tc>
          <w:tcPr>
            <w:tcW w:w="1615" w:type="dxa"/>
            <w:tcBorders>
              <w:top w:val="single" w:color="auto" w:sz="2" w:space="0"/>
              <w:left w:val="single" w:color="auto" w:sz="2" w:space="0"/>
              <w:bottom w:val="single" w:color="auto" w:sz="2" w:space="0"/>
              <w:right w:val="single" w:color="auto" w:sz="2" w:space="0"/>
            </w:tcBorders>
            <w:vAlign w:val="center"/>
          </w:tcPr>
          <w:p w14:paraId="1177B4D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仿宋"/>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FFFFFF"/>
            <w:vAlign w:val="center"/>
          </w:tcPr>
          <w:p w14:paraId="576B057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60BFDCB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FFFFFF"/>
            <w:vAlign w:val="center"/>
          </w:tcPr>
          <w:p w14:paraId="2ABC3E4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ascii="Times New Roman" w:hAnsi="Times New Roman" w:eastAsia="宋体" w:cstheme="minorBidi"/>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0243</w:t>
            </w:r>
            <w:r>
              <w:rPr>
                <w:rFonts w:hint="default" w:ascii="Times New Roman" w:hAnsi="Times New Roman" w:eastAsia="宋体" w:cs="Times New Roman"/>
                <w:color w:val="auto"/>
                <w:sz w:val="21"/>
                <w:szCs w:val="21"/>
                <w:highlight w:val="none"/>
                <w:lang w:val="en-US" w:eastAsia="zh-CN"/>
              </w:rPr>
              <w:t xml:space="preserve"> </w:t>
            </w:r>
          </w:p>
        </w:tc>
        <w:tc>
          <w:tcPr>
            <w:tcW w:w="1615" w:type="dxa"/>
            <w:tcBorders>
              <w:top w:val="single" w:color="auto" w:sz="2" w:space="0"/>
              <w:left w:val="single" w:color="auto" w:sz="2" w:space="0"/>
              <w:bottom w:val="single" w:color="auto" w:sz="2" w:space="0"/>
              <w:right w:val="single" w:color="auto" w:sz="2" w:space="0"/>
            </w:tcBorders>
            <w:vAlign w:val="center"/>
          </w:tcPr>
          <w:p w14:paraId="23D430C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4E2C56C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FFFFFF"/>
            <w:vAlign w:val="center"/>
          </w:tcPr>
          <w:p w14:paraId="2B0BAD4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0243</w:t>
            </w:r>
            <w:r>
              <w:rPr>
                <w:rFonts w:hint="default" w:ascii="Times New Roman" w:hAnsi="Times New Roman" w:eastAsia="宋体" w:cs="Times New Roman"/>
                <w:color w:val="auto"/>
                <w:sz w:val="21"/>
                <w:szCs w:val="21"/>
                <w:highlight w:val="none"/>
                <w:lang w:val="en-US" w:eastAsia="zh-CN"/>
              </w:rPr>
              <w:t xml:space="preserve"> </w:t>
            </w:r>
          </w:p>
        </w:tc>
      </w:tr>
      <w:tr w14:paraId="70576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continue"/>
            <w:tcBorders>
              <w:left w:val="single" w:color="auto" w:sz="2" w:space="0"/>
              <w:right w:val="single" w:color="auto" w:sz="2" w:space="0"/>
            </w:tcBorders>
            <w:vAlign w:val="center"/>
          </w:tcPr>
          <w:p w14:paraId="63A40B1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p>
        </w:tc>
        <w:tc>
          <w:tcPr>
            <w:tcW w:w="1936" w:type="dxa"/>
            <w:tcBorders>
              <w:top w:val="single" w:color="auto" w:sz="2" w:space="0"/>
              <w:left w:val="single" w:color="auto" w:sz="2" w:space="0"/>
              <w:bottom w:val="single" w:color="auto" w:sz="2" w:space="0"/>
              <w:right w:val="single" w:color="auto" w:sz="2" w:space="0"/>
            </w:tcBorders>
            <w:vAlign w:val="center"/>
          </w:tcPr>
          <w:p w14:paraId="63F7500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SS</w:t>
            </w:r>
          </w:p>
        </w:tc>
        <w:tc>
          <w:tcPr>
            <w:tcW w:w="1615" w:type="dxa"/>
            <w:tcBorders>
              <w:top w:val="single" w:color="auto" w:sz="2" w:space="0"/>
              <w:left w:val="single" w:color="auto" w:sz="2" w:space="0"/>
              <w:bottom w:val="single" w:color="auto" w:sz="2" w:space="0"/>
              <w:right w:val="single" w:color="auto" w:sz="2" w:space="0"/>
            </w:tcBorders>
            <w:vAlign w:val="center"/>
          </w:tcPr>
          <w:p w14:paraId="03525CD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仿宋"/>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FFFFFF"/>
            <w:vAlign w:val="center"/>
          </w:tcPr>
          <w:p w14:paraId="430DC07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7D97856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FFFFFF"/>
            <w:vAlign w:val="center"/>
          </w:tcPr>
          <w:p w14:paraId="7E1F7DC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ascii="Times New Roman" w:hAnsi="Times New Roman" w:eastAsia="宋体" w:cstheme="minorBidi"/>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224</w:t>
            </w:r>
          </w:p>
        </w:tc>
        <w:tc>
          <w:tcPr>
            <w:tcW w:w="1615" w:type="dxa"/>
            <w:tcBorders>
              <w:top w:val="single" w:color="auto" w:sz="2" w:space="0"/>
              <w:left w:val="single" w:color="auto" w:sz="2" w:space="0"/>
              <w:bottom w:val="single" w:color="auto" w:sz="2" w:space="0"/>
              <w:right w:val="single" w:color="auto" w:sz="2" w:space="0"/>
            </w:tcBorders>
            <w:vAlign w:val="center"/>
          </w:tcPr>
          <w:p w14:paraId="595070D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34947B5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FFFFFF"/>
            <w:vAlign w:val="center"/>
          </w:tcPr>
          <w:p w14:paraId="5A124B8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224</w:t>
            </w:r>
          </w:p>
        </w:tc>
      </w:tr>
      <w:tr w14:paraId="1DF52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continue"/>
            <w:tcBorders>
              <w:left w:val="single" w:color="auto" w:sz="2" w:space="0"/>
              <w:right w:val="single" w:color="auto" w:sz="2" w:space="0"/>
            </w:tcBorders>
            <w:vAlign w:val="center"/>
          </w:tcPr>
          <w:p w14:paraId="58BCDD7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p>
        </w:tc>
        <w:tc>
          <w:tcPr>
            <w:tcW w:w="1936" w:type="dxa"/>
            <w:tcBorders>
              <w:top w:val="single" w:color="auto" w:sz="2" w:space="0"/>
              <w:left w:val="single" w:color="auto" w:sz="2" w:space="0"/>
              <w:bottom w:val="single" w:color="auto" w:sz="2" w:space="0"/>
              <w:right w:val="single" w:color="auto" w:sz="2" w:space="0"/>
            </w:tcBorders>
            <w:vAlign w:val="center"/>
          </w:tcPr>
          <w:p w14:paraId="098A847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氨氮</w:t>
            </w:r>
          </w:p>
        </w:tc>
        <w:tc>
          <w:tcPr>
            <w:tcW w:w="1615" w:type="dxa"/>
            <w:tcBorders>
              <w:top w:val="single" w:color="auto" w:sz="2" w:space="0"/>
              <w:left w:val="single" w:color="auto" w:sz="2" w:space="0"/>
              <w:bottom w:val="single" w:color="auto" w:sz="2" w:space="0"/>
              <w:right w:val="single" w:color="auto" w:sz="2" w:space="0"/>
            </w:tcBorders>
            <w:vAlign w:val="center"/>
          </w:tcPr>
          <w:p w14:paraId="61E4739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FFFFFF"/>
            <w:vAlign w:val="center"/>
          </w:tcPr>
          <w:p w14:paraId="7896E3E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58CA8B1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FFFFFF"/>
            <w:vAlign w:val="center"/>
          </w:tcPr>
          <w:p w14:paraId="3B20EE9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ascii="Times New Roman" w:hAnsi="Times New Roman" w:eastAsia="宋体" w:cstheme="minorBidi"/>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042</w:t>
            </w:r>
            <w:r>
              <w:rPr>
                <w:rFonts w:hint="default" w:ascii="Times New Roman" w:hAnsi="Times New Roman" w:eastAsia="宋体" w:cs="Times New Roman"/>
                <w:color w:val="auto"/>
                <w:sz w:val="21"/>
                <w:szCs w:val="21"/>
                <w:highlight w:val="none"/>
                <w:lang w:val="en-US" w:eastAsia="zh-CN"/>
              </w:rPr>
              <w:t xml:space="preserve"> </w:t>
            </w:r>
          </w:p>
        </w:tc>
        <w:tc>
          <w:tcPr>
            <w:tcW w:w="1615" w:type="dxa"/>
            <w:tcBorders>
              <w:top w:val="single" w:color="auto" w:sz="2" w:space="0"/>
              <w:left w:val="single" w:color="auto" w:sz="2" w:space="0"/>
              <w:bottom w:val="single" w:color="auto" w:sz="2" w:space="0"/>
              <w:right w:val="single" w:color="auto" w:sz="2" w:space="0"/>
            </w:tcBorders>
            <w:vAlign w:val="center"/>
          </w:tcPr>
          <w:p w14:paraId="4C4FC84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6125FFC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FFFFFF"/>
            <w:vAlign w:val="center"/>
          </w:tcPr>
          <w:p w14:paraId="7AD32D7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ascii="Times New Roman" w:hAnsi="Times New Roman" w:eastAsia="宋体" w:cstheme="minorBidi"/>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042</w:t>
            </w:r>
            <w:r>
              <w:rPr>
                <w:rFonts w:hint="default" w:ascii="Times New Roman" w:hAnsi="Times New Roman" w:eastAsia="宋体" w:cs="Times New Roman"/>
                <w:color w:val="auto"/>
                <w:sz w:val="21"/>
                <w:szCs w:val="21"/>
                <w:highlight w:val="none"/>
                <w:lang w:val="en-US" w:eastAsia="zh-CN"/>
              </w:rPr>
              <w:t xml:space="preserve"> </w:t>
            </w:r>
          </w:p>
        </w:tc>
      </w:tr>
      <w:tr w14:paraId="1796A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restart"/>
            <w:tcBorders>
              <w:top w:val="single" w:color="auto" w:sz="2" w:space="0"/>
              <w:left w:val="single" w:color="auto" w:sz="2" w:space="0"/>
              <w:right w:val="single" w:color="auto" w:sz="2" w:space="0"/>
            </w:tcBorders>
            <w:vAlign w:val="center"/>
          </w:tcPr>
          <w:p w14:paraId="77D302B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rFonts w:hint="eastAsia"/>
                <w:b/>
                <w:bCs/>
                <w:color w:val="auto"/>
                <w:sz w:val="21"/>
                <w:szCs w:val="21"/>
                <w:highlight w:val="none"/>
              </w:rPr>
              <w:t>一般工业</w:t>
            </w:r>
          </w:p>
          <w:p w14:paraId="7F2CB4B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rFonts w:hint="eastAsia"/>
                <w:b/>
                <w:bCs/>
                <w:color w:val="auto"/>
                <w:sz w:val="21"/>
                <w:szCs w:val="21"/>
                <w:highlight w:val="none"/>
              </w:rPr>
              <w:t>固体废物</w:t>
            </w:r>
          </w:p>
        </w:tc>
        <w:tc>
          <w:tcPr>
            <w:tcW w:w="1936" w:type="dxa"/>
            <w:tcBorders>
              <w:top w:val="single" w:color="auto" w:sz="2" w:space="0"/>
              <w:left w:val="single" w:color="auto" w:sz="2" w:space="0"/>
              <w:bottom w:val="single" w:color="auto" w:sz="2" w:space="0"/>
              <w:right w:val="single" w:color="auto" w:sz="2" w:space="0"/>
            </w:tcBorders>
            <w:vAlign w:val="center"/>
          </w:tcPr>
          <w:p w14:paraId="02B4A2B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lang w:eastAsia="zh-CN"/>
              </w:rPr>
              <w:t>废包装材料</w:t>
            </w:r>
          </w:p>
        </w:tc>
        <w:tc>
          <w:tcPr>
            <w:tcW w:w="1615" w:type="dxa"/>
            <w:tcBorders>
              <w:top w:val="single" w:color="auto" w:sz="2" w:space="0"/>
              <w:left w:val="single" w:color="auto" w:sz="2" w:space="0"/>
              <w:bottom w:val="single" w:color="auto" w:sz="2" w:space="0"/>
              <w:right w:val="single" w:color="auto" w:sz="2" w:space="0"/>
            </w:tcBorders>
            <w:vAlign w:val="center"/>
          </w:tcPr>
          <w:p w14:paraId="16A0C64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FFFFFF"/>
            <w:vAlign w:val="center"/>
          </w:tcPr>
          <w:p w14:paraId="55A588E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754A700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1256B90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1615" w:type="dxa"/>
            <w:tcBorders>
              <w:top w:val="single" w:color="auto" w:sz="2" w:space="0"/>
              <w:left w:val="single" w:color="auto" w:sz="2" w:space="0"/>
              <w:bottom w:val="single" w:color="auto" w:sz="2" w:space="0"/>
              <w:right w:val="single" w:color="auto" w:sz="2" w:space="0"/>
            </w:tcBorders>
            <w:vAlign w:val="center"/>
          </w:tcPr>
          <w:p w14:paraId="316179D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75CED92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auto"/>
            <w:vAlign w:val="center"/>
          </w:tcPr>
          <w:p w14:paraId="1A230E8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lang w:val="en-US" w:eastAsia="zh-CN"/>
              </w:rPr>
              <w:t>+0.5</w:t>
            </w:r>
          </w:p>
        </w:tc>
      </w:tr>
      <w:tr w14:paraId="42668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continue"/>
            <w:tcBorders>
              <w:left w:val="single" w:color="auto" w:sz="2" w:space="0"/>
              <w:right w:val="single" w:color="auto" w:sz="2" w:space="0"/>
            </w:tcBorders>
            <w:vAlign w:val="center"/>
          </w:tcPr>
          <w:p w14:paraId="70B1FF8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
                <w:bCs/>
                <w:color w:val="auto"/>
                <w:sz w:val="21"/>
                <w:szCs w:val="21"/>
                <w:highlight w:val="none"/>
              </w:rPr>
            </w:pPr>
          </w:p>
        </w:tc>
        <w:tc>
          <w:tcPr>
            <w:tcW w:w="1936" w:type="dxa"/>
            <w:tcBorders>
              <w:top w:val="single" w:color="auto" w:sz="2" w:space="0"/>
              <w:left w:val="single" w:color="auto" w:sz="2" w:space="0"/>
              <w:bottom w:val="single" w:color="auto" w:sz="2" w:space="0"/>
              <w:right w:val="single" w:color="auto" w:sz="2" w:space="0"/>
            </w:tcBorders>
            <w:vAlign w:val="center"/>
          </w:tcPr>
          <w:p w14:paraId="58B0B9B9">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生活垃圾</w:t>
            </w:r>
          </w:p>
        </w:tc>
        <w:tc>
          <w:tcPr>
            <w:tcW w:w="1615" w:type="dxa"/>
            <w:tcBorders>
              <w:top w:val="single" w:color="auto" w:sz="2" w:space="0"/>
              <w:left w:val="single" w:color="auto" w:sz="2" w:space="0"/>
              <w:bottom w:val="single" w:color="auto" w:sz="2" w:space="0"/>
              <w:right w:val="single" w:color="auto" w:sz="2" w:space="0"/>
            </w:tcBorders>
            <w:vAlign w:val="center"/>
          </w:tcPr>
          <w:p w14:paraId="53C744E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4D0BBDE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714EFDE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29E15A8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1.25</w:t>
            </w:r>
          </w:p>
        </w:tc>
        <w:tc>
          <w:tcPr>
            <w:tcW w:w="1615" w:type="dxa"/>
            <w:tcBorders>
              <w:top w:val="single" w:color="auto" w:sz="2" w:space="0"/>
              <w:left w:val="single" w:color="auto" w:sz="2" w:space="0"/>
              <w:bottom w:val="single" w:color="auto" w:sz="2" w:space="0"/>
              <w:right w:val="single" w:color="auto" w:sz="2" w:space="0"/>
            </w:tcBorders>
            <w:vAlign w:val="center"/>
          </w:tcPr>
          <w:p w14:paraId="4C8A99B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5432426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auto"/>
            <w:vAlign w:val="center"/>
          </w:tcPr>
          <w:p w14:paraId="76BB3F9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lang w:val="en-US" w:eastAsia="zh-CN"/>
              </w:rPr>
              <w:t>+1.25</w:t>
            </w:r>
          </w:p>
        </w:tc>
      </w:tr>
      <w:tr w14:paraId="15DBE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restart"/>
            <w:tcBorders>
              <w:top w:val="single" w:color="auto" w:sz="2" w:space="0"/>
              <w:left w:val="single" w:color="auto" w:sz="2" w:space="0"/>
              <w:right w:val="single" w:color="auto" w:sz="2" w:space="0"/>
            </w:tcBorders>
            <w:vAlign w:val="center"/>
          </w:tcPr>
          <w:p w14:paraId="22C8C48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r>
              <w:rPr>
                <w:rFonts w:hint="eastAsia"/>
                <w:b/>
                <w:bCs/>
                <w:color w:val="auto"/>
                <w:sz w:val="21"/>
                <w:szCs w:val="21"/>
                <w:highlight w:val="none"/>
              </w:rPr>
              <w:t>危险废物</w:t>
            </w:r>
          </w:p>
        </w:tc>
        <w:tc>
          <w:tcPr>
            <w:tcW w:w="1936" w:type="dxa"/>
            <w:tcBorders>
              <w:top w:val="single" w:color="auto" w:sz="2" w:space="0"/>
              <w:left w:val="single" w:color="auto" w:sz="2" w:space="0"/>
              <w:bottom w:val="single" w:color="auto" w:sz="2" w:space="0"/>
              <w:right w:val="single" w:color="auto" w:sz="2" w:space="0"/>
            </w:tcBorders>
            <w:vAlign w:val="center"/>
          </w:tcPr>
          <w:p w14:paraId="5530DD38">
            <w:pPr>
              <w:numPr>
                <w:ilvl w:val="0"/>
                <w:numId w:val="0"/>
              </w:numPr>
              <w:adjustRightInd w:val="0"/>
              <w:snapToGrid w:val="0"/>
              <w:spacing w:line="240" w:lineRule="auto"/>
              <w:ind w:left="0" w:leftChars="0" w:firstLine="0" w:firstLineChars="0"/>
              <w:jc w:val="center"/>
              <w:rPr>
                <w:color w:val="auto"/>
                <w:sz w:val="21"/>
                <w:szCs w:val="21"/>
                <w:highlight w:val="none"/>
              </w:rPr>
            </w:pPr>
            <w:r>
              <w:rPr>
                <w:rFonts w:hint="eastAsia" w:ascii="Times New Roman" w:hAnsi="Times New Roman" w:eastAsia="宋体" w:cs="Times New Roman"/>
                <w:color w:val="auto"/>
                <w:sz w:val="21"/>
                <w:szCs w:val="21"/>
                <w:highlight w:val="none"/>
                <w:vertAlign w:val="baseline"/>
                <w:lang w:val="en-US" w:eastAsia="zh-CN"/>
              </w:rPr>
              <w:t>实验废液</w:t>
            </w:r>
          </w:p>
        </w:tc>
        <w:tc>
          <w:tcPr>
            <w:tcW w:w="1615" w:type="dxa"/>
            <w:tcBorders>
              <w:top w:val="single" w:color="auto" w:sz="2" w:space="0"/>
              <w:left w:val="single" w:color="auto" w:sz="2" w:space="0"/>
              <w:bottom w:val="single" w:color="auto" w:sz="2" w:space="0"/>
              <w:right w:val="single" w:color="auto" w:sz="2" w:space="0"/>
            </w:tcBorders>
            <w:shd w:val="clear" w:color="auto" w:fill="auto"/>
            <w:vAlign w:val="center"/>
          </w:tcPr>
          <w:p w14:paraId="74969C5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auto"/>
            <w:vAlign w:val="center"/>
          </w:tcPr>
          <w:p w14:paraId="697C898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auto"/>
            <w:vAlign w:val="center"/>
          </w:tcPr>
          <w:p w14:paraId="7E33DA0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shd w:val="clear" w:color="auto" w:fill="auto"/>
            <w:vAlign w:val="center"/>
          </w:tcPr>
          <w:p w14:paraId="2571D21F">
            <w:p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w:t>
            </w:r>
          </w:p>
        </w:tc>
        <w:tc>
          <w:tcPr>
            <w:tcW w:w="1615" w:type="dxa"/>
            <w:tcBorders>
              <w:top w:val="single" w:color="auto" w:sz="2" w:space="0"/>
              <w:left w:val="single" w:color="auto" w:sz="2" w:space="0"/>
              <w:bottom w:val="single" w:color="auto" w:sz="2" w:space="0"/>
              <w:right w:val="single" w:color="auto" w:sz="2" w:space="0"/>
            </w:tcBorders>
            <w:vAlign w:val="center"/>
          </w:tcPr>
          <w:p w14:paraId="63AC6E4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4D6770C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auto"/>
            <w:vAlign w:val="center"/>
          </w:tcPr>
          <w:p w14:paraId="220739E7">
            <w:p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w:t>
            </w:r>
          </w:p>
        </w:tc>
      </w:tr>
      <w:tr w14:paraId="7E656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continue"/>
            <w:tcBorders>
              <w:left w:val="single" w:color="auto" w:sz="2" w:space="0"/>
              <w:right w:val="single" w:color="auto" w:sz="2" w:space="0"/>
            </w:tcBorders>
            <w:vAlign w:val="center"/>
          </w:tcPr>
          <w:p w14:paraId="7175E1A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p>
        </w:tc>
        <w:tc>
          <w:tcPr>
            <w:tcW w:w="1936" w:type="dxa"/>
            <w:tcBorders>
              <w:top w:val="single" w:color="auto" w:sz="2" w:space="0"/>
              <w:left w:val="single" w:color="auto" w:sz="2" w:space="0"/>
              <w:bottom w:val="single" w:color="auto" w:sz="2" w:space="0"/>
              <w:right w:val="single" w:color="auto" w:sz="2" w:space="0"/>
            </w:tcBorders>
            <w:vAlign w:val="center"/>
          </w:tcPr>
          <w:p w14:paraId="201851C0">
            <w:pPr>
              <w:numPr>
                <w:ilvl w:val="0"/>
                <w:numId w:val="0"/>
              </w:numPr>
              <w:adjustRightInd w:val="0"/>
              <w:snapToGrid w:val="0"/>
              <w:spacing w:line="240" w:lineRule="auto"/>
              <w:ind w:left="0" w:leftChars="0" w:firstLine="0" w:firstLineChars="0"/>
              <w:jc w:val="center"/>
              <w:rPr>
                <w:color w:val="auto"/>
                <w:sz w:val="21"/>
                <w:szCs w:val="21"/>
                <w:highlight w:val="none"/>
              </w:rPr>
            </w:pPr>
            <w:r>
              <w:rPr>
                <w:rFonts w:hint="eastAsia" w:ascii="Times New Roman" w:hAnsi="Times New Roman" w:eastAsia="宋体" w:cs="Times New Roman"/>
                <w:color w:val="auto"/>
                <w:sz w:val="21"/>
                <w:szCs w:val="21"/>
                <w:highlight w:val="none"/>
                <w:vertAlign w:val="baseline"/>
                <w:lang w:val="en-US" w:eastAsia="zh-CN"/>
              </w:rPr>
              <w:t>清洗废液</w:t>
            </w:r>
          </w:p>
        </w:tc>
        <w:tc>
          <w:tcPr>
            <w:tcW w:w="1615" w:type="dxa"/>
            <w:tcBorders>
              <w:top w:val="single" w:color="auto" w:sz="2" w:space="0"/>
              <w:left w:val="single" w:color="auto" w:sz="2" w:space="0"/>
              <w:bottom w:val="single" w:color="auto" w:sz="2" w:space="0"/>
              <w:right w:val="single" w:color="auto" w:sz="2" w:space="0"/>
            </w:tcBorders>
            <w:vAlign w:val="center"/>
          </w:tcPr>
          <w:p w14:paraId="25E57B7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2BC7E39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09D1F28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46E0493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0.45</w:t>
            </w:r>
          </w:p>
        </w:tc>
        <w:tc>
          <w:tcPr>
            <w:tcW w:w="1615" w:type="dxa"/>
            <w:tcBorders>
              <w:top w:val="single" w:color="auto" w:sz="2" w:space="0"/>
              <w:left w:val="single" w:color="auto" w:sz="2" w:space="0"/>
              <w:bottom w:val="single" w:color="auto" w:sz="2" w:space="0"/>
              <w:right w:val="single" w:color="auto" w:sz="2" w:space="0"/>
            </w:tcBorders>
            <w:vAlign w:val="center"/>
          </w:tcPr>
          <w:p w14:paraId="3E3B2AE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19A3C9C5">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auto"/>
            <w:vAlign w:val="center"/>
          </w:tcPr>
          <w:p w14:paraId="3AD1567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lang w:val="en-US" w:eastAsia="zh-CN"/>
              </w:rPr>
              <w:t>+0.45</w:t>
            </w:r>
          </w:p>
        </w:tc>
      </w:tr>
      <w:tr w14:paraId="4B5F6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continue"/>
            <w:tcBorders>
              <w:left w:val="single" w:color="auto" w:sz="2" w:space="0"/>
              <w:right w:val="single" w:color="auto" w:sz="2" w:space="0"/>
            </w:tcBorders>
            <w:vAlign w:val="center"/>
          </w:tcPr>
          <w:p w14:paraId="1DD31A9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p>
        </w:tc>
        <w:tc>
          <w:tcPr>
            <w:tcW w:w="1936" w:type="dxa"/>
            <w:tcBorders>
              <w:top w:val="single" w:color="auto" w:sz="2" w:space="0"/>
              <w:left w:val="single" w:color="auto" w:sz="2" w:space="0"/>
              <w:bottom w:val="single" w:color="auto" w:sz="2" w:space="0"/>
              <w:right w:val="single" w:color="auto" w:sz="2" w:space="0"/>
            </w:tcBorders>
            <w:vAlign w:val="center"/>
          </w:tcPr>
          <w:p w14:paraId="57F7DA1D">
            <w:pPr>
              <w:numPr>
                <w:ilvl w:val="0"/>
                <w:numId w:val="0"/>
              </w:numPr>
              <w:adjustRightInd w:val="0"/>
              <w:snapToGrid w:val="0"/>
              <w:spacing w:line="240" w:lineRule="auto"/>
              <w:ind w:left="0" w:leftChars="0" w:firstLine="0" w:firstLineChars="0"/>
              <w:jc w:val="center"/>
              <w:rPr>
                <w:color w:val="auto"/>
                <w:sz w:val="21"/>
                <w:szCs w:val="21"/>
                <w:highlight w:val="none"/>
              </w:rPr>
            </w:pPr>
            <w:r>
              <w:rPr>
                <w:rFonts w:hint="eastAsia" w:ascii="Times New Roman" w:hAnsi="Times New Roman" w:eastAsia="宋体" w:cs="Times New Roman"/>
                <w:color w:val="auto"/>
                <w:sz w:val="21"/>
                <w:szCs w:val="21"/>
                <w:highlight w:val="none"/>
                <w:vertAlign w:val="baseline"/>
                <w:lang w:val="en-US" w:eastAsia="zh-CN"/>
              </w:rPr>
              <w:t>废试剂瓶</w:t>
            </w:r>
          </w:p>
        </w:tc>
        <w:tc>
          <w:tcPr>
            <w:tcW w:w="1615" w:type="dxa"/>
            <w:tcBorders>
              <w:top w:val="single" w:color="auto" w:sz="2" w:space="0"/>
              <w:left w:val="single" w:color="auto" w:sz="2" w:space="0"/>
              <w:bottom w:val="single" w:color="auto" w:sz="2" w:space="0"/>
              <w:right w:val="single" w:color="auto" w:sz="2" w:space="0"/>
            </w:tcBorders>
            <w:vAlign w:val="center"/>
          </w:tcPr>
          <w:p w14:paraId="54D4D72B">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478B329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128AB181">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228AB18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0.1</w:t>
            </w:r>
          </w:p>
        </w:tc>
        <w:tc>
          <w:tcPr>
            <w:tcW w:w="1615" w:type="dxa"/>
            <w:tcBorders>
              <w:top w:val="single" w:color="auto" w:sz="2" w:space="0"/>
              <w:left w:val="single" w:color="auto" w:sz="2" w:space="0"/>
              <w:bottom w:val="single" w:color="auto" w:sz="2" w:space="0"/>
              <w:right w:val="single" w:color="auto" w:sz="2" w:space="0"/>
            </w:tcBorders>
            <w:vAlign w:val="center"/>
          </w:tcPr>
          <w:p w14:paraId="6D50527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5E791FE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auto"/>
            <w:vAlign w:val="center"/>
          </w:tcPr>
          <w:p w14:paraId="568ED1D0">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lang w:val="en-US" w:eastAsia="zh-CN"/>
              </w:rPr>
              <w:t>+0.1</w:t>
            </w:r>
          </w:p>
        </w:tc>
      </w:tr>
      <w:tr w14:paraId="37120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4" w:type="dxa"/>
            <w:vMerge w:val="continue"/>
            <w:tcBorders>
              <w:left w:val="single" w:color="auto" w:sz="2" w:space="0"/>
              <w:right w:val="single" w:color="auto" w:sz="2" w:space="0"/>
            </w:tcBorders>
            <w:vAlign w:val="center"/>
          </w:tcPr>
          <w:p w14:paraId="4DF607F3">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color w:val="auto"/>
                <w:sz w:val="21"/>
                <w:szCs w:val="21"/>
                <w:highlight w:val="none"/>
              </w:rPr>
            </w:pPr>
          </w:p>
        </w:tc>
        <w:tc>
          <w:tcPr>
            <w:tcW w:w="1936" w:type="dxa"/>
            <w:tcBorders>
              <w:top w:val="single" w:color="auto" w:sz="2" w:space="0"/>
              <w:left w:val="single" w:color="auto" w:sz="2" w:space="0"/>
              <w:bottom w:val="single" w:color="auto" w:sz="2" w:space="0"/>
              <w:right w:val="single" w:color="auto" w:sz="2" w:space="0"/>
            </w:tcBorders>
            <w:vAlign w:val="center"/>
          </w:tcPr>
          <w:p w14:paraId="2AED9C06">
            <w:pPr>
              <w:numPr>
                <w:ilvl w:val="0"/>
                <w:numId w:val="0"/>
              </w:numPr>
              <w:adjustRightInd w:val="0"/>
              <w:snapToGrid w:val="0"/>
              <w:spacing w:line="240" w:lineRule="auto"/>
              <w:ind w:left="0" w:leftChars="0" w:firstLine="0" w:firstLineChars="0"/>
              <w:jc w:val="center"/>
              <w:rPr>
                <w:color w:val="auto"/>
                <w:sz w:val="21"/>
                <w:szCs w:val="21"/>
                <w:highlight w:val="none"/>
              </w:rPr>
            </w:pPr>
            <w:r>
              <w:rPr>
                <w:rFonts w:hint="eastAsia" w:ascii="Times New Roman" w:hAnsi="Times New Roman" w:eastAsia="宋体" w:cs="Times New Roman"/>
                <w:color w:val="auto"/>
                <w:sz w:val="21"/>
                <w:szCs w:val="21"/>
                <w:highlight w:val="none"/>
                <w:vertAlign w:val="baseline"/>
                <w:lang w:val="en-US" w:eastAsia="zh-CN"/>
              </w:rPr>
              <w:t>废一次性耗材</w:t>
            </w:r>
          </w:p>
        </w:tc>
        <w:tc>
          <w:tcPr>
            <w:tcW w:w="1615" w:type="dxa"/>
            <w:tcBorders>
              <w:top w:val="single" w:color="auto" w:sz="2" w:space="0"/>
              <w:left w:val="single" w:color="auto" w:sz="2" w:space="0"/>
              <w:bottom w:val="single" w:color="auto" w:sz="2" w:space="0"/>
              <w:right w:val="single" w:color="auto" w:sz="2" w:space="0"/>
            </w:tcBorders>
            <w:vAlign w:val="center"/>
          </w:tcPr>
          <w:p w14:paraId="05493922">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703761AE">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782F6494">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5A8F5577">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0.05</w:t>
            </w:r>
          </w:p>
        </w:tc>
        <w:tc>
          <w:tcPr>
            <w:tcW w:w="1615" w:type="dxa"/>
            <w:tcBorders>
              <w:top w:val="single" w:color="auto" w:sz="2" w:space="0"/>
              <w:left w:val="single" w:color="auto" w:sz="2" w:space="0"/>
              <w:bottom w:val="single" w:color="auto" w:sz="2" w:space="0"/>
              <w:right w:val="single" w:color="auto" w:sz="2" w:space="0"/>
            </w:tcBorders>
            <w:vAlign w:val="center"/>
          </w:tcPr>
          <w:p w14:paraId="7902B628">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auto"/>
                <w:sz w:val="21"/>
                <w:szCs w:val="21"/>
                <w:highlight w:val="none"/>
              </w:rPr>
            </w:pPr>
            <w:r>
              <w:rPr>
                <w:rFonts w:hint="eastAsia"/>
                <w:color w:val="auto"/>
                <w:sz w:val="21"/>
                <w:szCs w:val="21"/>
                <w:highlight w:val="none"/>
              </w:rPr>
              <w:t>/</w:t>
            </w:r>
          </w:p>
        </w:tc>
        <w:tc>
          <w:tcPr>
            <w:tcW w:w="1615" w:type="dxa"/>
            <w:tcBorders>
              <w:top w:val="single" w:color="auto" w:sz="2" w:space="0"/>
              <w:left w:val="single" w:color="auto" w:sz="2" w:space="0"/>
              <w:bottom w:val="single" w:color="auto" w:sz="2" w:space="0"/>
              <w:right w:val="single" w:color="auto" w:sz="2" w:space="0"/>
            </w:tcBorders>
            <w:vAlign w:val="center"/>
          </w:tcPr>
          <w:p w14:paraId="19FD384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rPr>
              <w:t>/</w:t>
            </w:r>
          </w:p>
        </w:tc>
        <w:tc>
          <w:tcPr>
            <w:tcW w:w="1264" w:type="dxa"/>
            <w:tcBorders>
              <w:top w:val="single" w:color="auto" w:sz="2" w:space="0"/>
              <w:left w:val="single" w:color="auto" w:sz="2" w:space="0"/>
              <w:bottom w:val="single" w:color="auto" w:sz="2" w:space="0"/>
              <w:right w:val="single" w:color="auto" w:sz="2" w:space="0"/>
            </w:tcBorders>
            <w:shd w:val="clear" w:color="auto" w:fill="auto"/>
            <w:vAlign w:val="center"/>
          </w:tcPr>
          <w:p w14:paraId="269B872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lang w:val="en-US" w:eastAsia="zh-CN"/>
              </w:rPr>
              <w:t>+0.05</w:t>
            </w:r>
          </w:p>
        </w:tc>
      </w:tr>
    </w:tbl>
    <w:p w14:paraId="336D4934">
      <w:pPr>
        <w:ind w:left="0" w:leftChars="0" w:firstLine="0" w:firstLineChars="0"/>
        <w:rPr>
          <w:rFonts w:hint="default"/>
          <w:color w:val="auto"/>
          <w:lang w:val="en-US" w:eastAsia="zh-CN"/>
        </w:rPr>
      </w:pPr>
      <w:r>
        <w:rPr>
          <w:rFonts w:hint="eastAsia"/>
          <w:color w:val="auto"/>
          <w:sz w:val="21"/>
          <w:szCs w:val="21"/>
          <w:lang w:val="en-US" w:eastAsia="zh-CN"/>
        </w:rPr>
        <w:t>注：⑥=①+③+④-⑤；⑦=⑥-①</w:t>
      </w:r>
    </w:p>
    <w:p w14:paraId="780BC332">
      <w:pPr>
        <w:rPr>
          <w:color w:val="auto"/>
        </w:rPr>
        <w:sectPr>
          <w:pgSz w:w="16838" w:h="11906" w:orient="landscape"/>
          <w:pgMar w:top="1587"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38158A">
      <w:pPr>
        <w:rPr>
          <w:rFonts w:hint="eastAsia"/>
          <w:color w:val="auto"/>
          <w:lang w:val="en-US" w:eastAsia="zh-CN"/>
        </w:rPr>
      </w:pPr>
      <w:r>
        <w:rPr>
          <w:rFonts w:hint="eastAsia"/>
          <w:b/>
          <w:bCs/>
          <w:color w:val="auto"/>
          <w:sz w:val="24"/>
          <w:szCs w:val="24"/>
          <w:lang w:val="en-US" w:eastAsia="zh-CN"/>
        </w:rPr>
        <w:t>附图</w:t>
      </w:r>
    </w:p>
    <w:p w14:paraId="2A840484">
      <w:pPr>
        <w:rPr>
          <w:rFonts w:hint="eastAsia"/>
          <w:color w:val="auto"/>
          <w:lang w:val="en-US" w:eastAsia="zh-CN"/>
        </w:rPr>
      </w:pPr>
      <w:r>
        <w:rPr>
          <w:rFonts w:hint="eastAsia"/>
          <w:color w:val="auto"/>
          <w:lang w:val="en-US" w:eastAsia="zh-CN"/>
        </w:rPr>
        <w:t>附图1 项目地理位置图</w:t>
      </w:r>
    </w:p>
    <w:p w14:paraId="0E3A572B">
      <w:pPr>
        <w:rPr>
          <w:rFonts w:hint="eastAsia"/>
          <w:color w:val="auto"/>
          <w:lang w:val="en-US" w:eastAsia="zh-CN"/>
        </w:rPr>
      </w:pPr>
      <w:r>
        <w:rPr>
          <w:rFonts w:hint="eastAsia"/>
          <w:color w:val="auto"/>
          <w:lang w:val="en-US" w:eastAsia="zh-CN"/>
        </w:rPr>
        <w:t>附图2 项目周边关系图</w:t>
      </w:r>
    </w:p>
    <w:p w14:paraId="49E35F7C">
      <w:pPr>
        <w:rPr>
          <w:rFonts w:hint="eastAsia"/>
          <w:color w:val="auto"/>
          <w:lang w:val="en-US" w:eastAsia="zh-CN"/>
        </w:rPr>
      </w:pPr>
      <w:r>
        <w:rPr>
          <w:rFonts w:hint="eastAsia"/>
          <w:color w:val="auto"/>
          <w:lang w:val="en-US" w:eastAsia="zh-CN"/>
        </w:rPr>
        <w:t>附图3 项目平面布置图</w:t>
      </w:r>
    </w:p>
    <w:p w14:paraId="1D0030D2">
      <w:pPr>
        <w:rPr>
          <w:rFonts w:hint="eastAsia"/>
          <w:color w:val="auto"/>
          <w:lang w:val="en-US" w:eastAsia="zh-CN"/>
        </w:rPr>
      </w:pPr>
      <w:r>
        <w:rPr>
          <w:rFonts w:hint="eastAsia"/>
          <w:color w:val="auto"/>
          <w:lang w:val="en-US" w:eastAsia="zh-CN"/>
        </w:rPr>
        <w:t>附图3 项目周边敏感目标分布图</w:t>
      </w:r>
    </w:p>
    <w:p w14:paraId="14FB017F">
      <w:pPr>
        <w:rPr>
          <w:rFonts w:hint="eastAsia"/>
          <w:color w:val="auto"/>
          <w:lang w:val="en-US" w:eastAsia="zh-CN"/>
        </w:rPr>
      </w:pPr>
    </w:p>
    <w:p w14:paraId="064A03BB">
      <w:pPr>
        <w:rPr>
          <w:rFonts w:hint="eastAsia"/>
          <w:color w:val="auto"/>
          <w:lang w:val="en-US" w:eastAsia="zh-CN"/>
        </w:rPr>
      </w:pPr>
    </w:p>
    <w:p w14:paraId="036C8A3C">
      <w:pPr>
        <w:rPr>
          <w:rFonts w:hint="default"/>
          <w:color w:val="auto"/>
          <w:lang w:val="en-US" w:eastAsia="zh-CN"/>
        </w:rPr>
      </w:pPr>
      <w:r>
        <w:rPr>
          <w:rFonts w:hint="eastAsia"/>
          <w:b/>
          <w:bCs/>
          <w:color w:val="auto"/>
          <w:lang w:val="en-US" w:eastAsia="zh-CN"/>
        </w:rPr>
        <w:t>附件</w:t>
      </w:r>
    </w:p>
    <w:p w14:paraId="599A574A">
      <w:pPr>
        <w:rPr>
          <w:rFonts w:hint="eastAsia"/>
          <w:color w:val="auto"/>
          <w:lang w:val="en-US" w:eastAsia="zh-CN"/>
        </w:rPr>
      </w:pPr>
      <w:r>
        <w:rPr>
          <w:rFonts w:hint="eastAsia"/>
          <w:color w:val="auto"/>
          <w:lang w:val="en-US" w:eastAsia="zh-CN"/>
        </w:rPr>
        <w:t>附件1 营业执照</w:t>
      </w:r>
    </w:p>
    <w:p w14:paraId="22B523AD">
      <w:pPr>
        <w:rPr>
          <w:rFonts w:hint="eastAsia"/>
          <w:color w:val="auto"/>
          <w:lang w:val="en-US" w:eastAsia="zh-CN"/>
        </w:rPr>
      </w:pPr>
      <w:r>
        <w:rPr>
          <w:rFonts w:hint="eastAsia"/>
          <w:color w:val="auto"/>
          <w:lang w:val="en-US" w:eastAsia="zh-CN"/>
        </w:rPr>
        <w:t>附件2 租赁协议</w:t>
      </w:r>
    </w:p>
    <w:p w14:paraId="31B46DB5">
      <w:pPr>
        <w:rPr>
          <w:rFonts w:hint="default"/>
          <w:color w:val="auto"/>
          <w:lang w:val="en-US" w:eastAsia="zh-CN"/>
        </w:rPr>
      </w:pPr>
      <w:r>
        <w:rPr>
          <w:rFonts w:hint="eastAsia"/>
          <w:color w:val="auto"/>
          <w:lang w:val="en-US" w:eastAsia="zh-CN"/>
        </w:rPr>
        <w:t>附件3 房产证</w:t>
      </w:r>
    </w:p>
    <w:p w14:paraId="55842FF8">
      <w:pPr>
        <w:rPr>
          <w:rFonts w:hint="default"/>
          <w:color w:val="auto"/>
          <w:lang w:val="en-US" w:eastAsia="zh-CN"/>
        </w:rPr>
      </w:pPr>
      <w:r>
        <w:rPr>
          <w:rFonts w:hint="eastAsia"/>
          <w:color w:val="auto"/>
          <w:lang w:val="en-US" w:eastAsia="zh-CN"/>
        </w:rPr>
        <w:t>附件4 危废处置协议</w:t>
      </w:r>
    </w:p>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B71286-0DE4-49DE-9D3E-5362D2A3584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2B34DF9B-0BBD-4CA4-A3A0-35E3BB498C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96C60">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D10F7">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FFD10F7">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4DB4E"/>
    <w:multiLevelType w:val="singleLevel"/>
    <w:tmpl w:val="80E4DB4E"/>
    <w:lvl w:ilvl="0" w:tentative="0">
      <w:start w:val="1"/>
      <w:numFmt w:val="decimalEnclosedCircleChinese"/>
      <w:suff w:val="nothing"/>
      <w:lvlText w:val="%1　"/>
      <w:lvlJc w:val="left"/>
      <w:pPr>
        <w:ind w:left="0" w:firstLine="400"/>
      </w:pPr>
      <w:rPr>
        <w:rFonts w:hint="eastAsia"/>
      </w:rPr>
    </w:lvl>
  </w:abstractNum>
  <w:abstractNum w:abstractNumId="1">
    <w:nsid w:val="9D4DBE1C"/>
    <w:multiLevelType w:val="singleLevel"/>
    <w:tmpl w:val="9D4DBE1C"/>
    <w:lvl w:ilvl="0" w:tentative="0">
      <w:start w:val="1"/>
      <w:numFmt w:val="decimalEnclosedCircleChinese"/>
      <w:suff w:val="nothing"/>
      <w:lvlText w:val="%1　"/>
      <w:lvlJc w:val="left"/>
      <w:pPr>
        <w:ind w:left="0" w:firstLine="400"/>
      </w:pPr>
      <w:rPr>
        <w:rFonts w:hint="eastAsia"/>
      </w:rPr>
    </w:lvl>
  </w:abstractNum>
  <w:abstractNum w:abstractNumId="2">
    <w:nsid w:val="A8ECED9F"/>
    <w:multiLevelType w:val="singleLevel"/>
    <w:tmpl w:val="A8ECED9F"/>
    <w:lvl w:ilvl="0" w:tentative="0">
      <w:start w:val="1"/>
      <w:numFmt w:val="decimalEnclosedCircleChinese"/>
      <w:suff w:val="nothing"/>
      <w:lvlText w:val="%1　"/>
      <w:lvlJc w:val="left"/>
      <w:pPr>
        <w:ind w:left="0" w:firstLine="400"/>
      </w:pPr>
      <w:rPr>
        <w:rFonts w:hint="eastAsia"/>
      </w:rPr>
    </w:lvl>
  </w:abstractNum>
  <w:abstractNum w:abstractNumId="3">
    <w:nsid w:val="AB72EF49"/>
    <w:multiLevelType w:val="singleLevel"/>
    <w:tmpl w:val="AB72EF49"/>
    <w:lvl w:ilvl="0" w:tentative="0">
      <w:start w:val="1"/>
      <w:numFmt w:val="decimalEnclosedCircleChinese"/>
      <w:suff w:val="nothing"/>
      <w:lvlText w:val="%1　"/>
      <w:lvlJc w:val="left"/>
      <w:pPr>
        <w:ind w:left="0" w:firstLine="400"/>
      </w:pPr>
      <w:rPr>
        <w:rFonts w:hint="eastAsia"/>
      </w:rPr>
    </w:lvl>
  </w:abstractNum>
  <w:abstractNum w:abstractNumId="4">
    <w:nsid w:val="D95763AB"/>
    <w:multiLevelType w:val="singleLevel"/>
    <w:tmpl w:val="D95763AB"/>
    <w:lvl w:ilvl="0" w:tentative="0">
      <w:start w:val="1"/>
      <w:numFmt w:val="decimalEnclosedCircleChinese"/>
      <w:suff w:val="nothing"/>
      <w:lvlText w:val="%1　"/>
      <w:lvlJc w:val="left"/>
      <w:pPr>
        <w:tabs>
          <w:tab w:val="left" w:pos="0"/>
        </w:tabs>
        <w:ind w:left="20" w:firstLine="400"/>
      </w:pPr>
      <w:rPr>
        <w:rFonts w:hint="eastAsia" w:ascii="Times New Roman" w:hAnsi="Times New Roman" w:eastAsia="Times New Roman" w:cs="Times New Roman"/>
        <w:color w:val="auto"/>
        <w:sz w:val="21"/>
        <w:szCs w:val="21"/>
        <w:highlight w:val="none"/>
      </w:rPr>
    </w:lvl>
  </w:abstractNum>
  <w:abstractNum w:abstractNumId="5">
    <w:nsid w:val="EEF565A6"/>
    <w:multiLevelType w:val="singleLevel"/>
    <w:tmpl w:val="EEF565A6"/>
    <w:lvl w:ilvl="0" w:tentative="0">
      <w:start w:val="1"/>
      <w:numFmt w:val="decimalEnclosedCircleChinese"/>
      <w:suff w:val="nothing"/>
      <w:lvlText w:val="%1　"/>
      <w:lvlJc w:val="left"/>
      <w:pPr>
        <w:ind w:left="0" w:firstLine="400"/>
      </w:pPr>
      <w:rPr>
        <w:rFonts w:hint="eastAsia"/>
      </w:rPr>
    </w:lvl>
  </w:abstractNum>
  <w:abstractNum w:abstractNumId="6">
    <w:nsid w:val="EF7F2199"/>
    <w:multiLevelType w:val="singleLevel"/>
    <w:tmpl w:val="EF7F2199"/>
    <w:lvl w:ilvl="0" w:tentative="0">
      <w:start w:val="1"/>
      <w:numFmt w:val="decimalEnclosedCircleChinese"/>
      <w:suff w:val="nothing"/>
      <w:lvlText w:val="%1　"/>
      <w:lvlJc w:val="left"/>
      <w:pPr>
        <w:ind w:left="0" w:firstLine="400"/>
      </w:pPr>
      <w:rPr>
        <w:rFonts w:hint="eastAsia"/>
      </w:rPr>
    </w:lvl>
  </w:abstractNum>
  <w:abstractNum w:abstractNumId="7">
    <w:nsid w:val="FA37E599"/>
    <w:multiLevelType w:val="singleLevel"/>
    <w:tmpl w:val="FA37E599"/>
    <w:lvl w:ilvl="0" w:tentative="0">
      <w:start w:val="1"/>
      <w:numFmt w:val="decimalEnclosedCircleChinese"/>
      <w:suff w:val="nothing"/>
      <w:lvlText w:val="%1　"/>
      <w:lvlJc w:val="left"/>
      <w:pPr>
        <w:ind w:left="0" w:firstLine="400"/>
      </w:pPr>
      <w:rPr>
        <w:rFonts w:hint="eastAsia"/>
      </w:rPr>
    </w:lvl>
  </w:abstractNum>
  <w:abstractNum w:abstractNumId="8">
    <w:nsid w:val="06F6C723"/>
    <w:multiLevelType w:val="singleLevel"/>
    <w:tmpl w:val="06F6C723"/>
    <w:lvl w:ilvl="0" w:tentative="0">
      <w:start w:val="1"/>
      <w:numFmt w:val="decimal"/>
      <w:lvlText w:val="表1-%1"/>
      <w:lvlJc w:val="left"/>
      <w:pPr>
        <w:tabs>
          <w:tab w:val="left" w:pos="420"/>
        </w:tabs>
        <w:ind w:left="425" w:leftChars="0" w:hanging="425" w:firstLineChars="0"/>
      </w:pPr>
      <w:rPr>
        <w:rFonts w:hint="default"/>
      </w:rPr>
    </w:lvl>
  </w:abstractNum>
  <w:abstractNum w:abstractNumId="9">
    <w:nsid w:val="0A37CA6C"/>
    <w:multiLevelType w:val="singleLevel"/>
    <w:tmpl w:val="0A37CA6C"/>
    <w:lvl w:ilvl="0" w:tentative="0">
      <w:start w:val="1"/>
      <w:numFmt w:val="decimal"/>
      <w:suff w:val="nothing"/>
      <w:lvlText w:val="%1、"/>
      <w:lvlJc w:val="left"/>
    </w:lvl>
  </w:abstractNum>
  <w:abstractNum w:abstractNumId="10">
    <w:nsid w:val="101A8F69"/>
    <w:multiLevelType w:val="singleLevel"/>
    <w:tmpl w:val="101A8F69"/>
    <w:lvl w:ilvl="0" w:tentative="0">
      <w:start w:val="2"/>
      <w:numFmt w:val="decimal"/>
      <w:suff w:val="nothing"/>
      <w:lvlText w:val="（%1）"/>
      <w:lvlJc w:val="left"/>
    </w:lvl>
  </w:abstractNum>
  <w:abstractNum w:abstractNumId="11">
    <w:nsid w:val="10CB2A01"/>
    <w:multiLevelType w:val="singleLevel"/>
    <w:tmpl w:val="10CB2A01"/>
    <w:lvl w:ilvl="0" w:tentative="0">
      <w:start w:val="1"/>
      <w:numFmt w:val="decimalEnclosedCircleChinese"/>
      <w:suff w:val="nothing"/>
      <w:lvlText w:val="%1　"/>
      <w:lvlJc w:val="left"/>
      <w:pPr>
        <w:ind w:left="0" w:firstLine="400"/>
      </w:pPr>
      <w:rPr>
        <w:rFonts w:hint="eastAsia"/>
      </w:rPr>
    </w:lvl>
  </w:abstractNum>
  <w:abstractNum w:abstractNumId="12">
    <w:nsid w:val="2DE73685"/>
    <w:multiLevelType w:val="singleLevel"/>
    <w:tmpl w:val="2DE73685"/>
    <w:lvl w:ilvl="0" w:tentative="0">
      <w:start w:val="1"/>
      <w:numFmt w:val="decimalEnclosedCircleChinese"/>
      <w:suff w:val="nothing"/>
      <w:lvlText w:val="%1　"/>
      <w:lvlJc w:val="left"/>
      <w:pPr>
        <w:ind w:left="0" w:firstLine="400"/>
      </w:pPr>
      <w:rPr>
        <w:rFonts w:hint="eastAsia"/>
      </w:rPr>
    </w:lvl>
  </w:abstractNum>
  <w:abstractNum w:abstractNumId="13">
    <w:nsid w:val="329002CD"/>
    <w:multiLevelType w:val="singleLevel"/>
    <w:tmpl w:val="329002CD"/>
    <w:lvl w:ilvl="0" w:tentative="0">
      <w:start w:val="1"/>
      <w:numFmt w:val="decimal"/>
      <w:suff w:val="nothing"/>
      <w:lvlText w:val="%1、"/>
      <w:lvlJc w:val="left"/>
    </w:lvl>
  </w:abstractNum>
  <w:abstractNum w:abstractNumId="14">
    <w:nsid w:val="34D15378"/>
    <w:multiLevelType w:val="singleLevel"/>
    <w:tmpl w:val="34D15378"/>
    <w:lvl w:ilvl="0" w:tentative="0">
      <w:start w:val="1"/>
      <w:numFmt w:val="decimalEnclosedCircleChinese"/>
      <w:suff w:val="nothing"/>
      <w:lvlText w:val="%1　"/>
      <w:lvlJc w:val="left"/>
      <w:pPr>
        <w:ind w:left="0" w:firstLine="400"/>
      </w:pPr>
      <w:rPr>
        <w:rFonts w:hint="eastAsia"/>
      </w:rPr>
    </w:lvl>
  </w:abstractNum>
  <w:abstractNum w:abstractNumId="15">
    <w:nsid w:val="3CF828A1"/>
    <w:multiLevelType w:val="singleLevel"/>
    <w:tmpl w:val="3CF828A1"/>
    <w:lvl w:ilvl="0" w:tentative="0">
      <w:start w:val="1"/>
      <w:numFmt w:val="decimal"/>
      <w:lvlText w:val="图2-%1"/>
      <w:lvlJc w:val="left"/>
      <w:pPr>
        <w:tabs>
          <w:tab w:val="left" w:pos="420"/>
        </w:tabs>
        <w:ind w:left="425" w:leftChars="0" w:hanging="425" w:firstLineChars="0"/>
      </w:pPr>
      <w:rPr>
        <w:rFonts w:hint="default"/>
      </w:rPr>
    </w:lvl>
  </w:abstractNum>
  <w:abstractNum w:abstractNumId="16">
    <w:nsid w:val="495C44B5"/>
    <w:multiLevelType w:val="singleLevel"/>
    <w:tmpl w:val="495C44B5"/>
    <w:lvl w:ilvl="0" w:tentative="0">
      <w:start w:val="1"/>
      <w:numFmt w:val="decimal"/>
      <w:suff w:val="nothing"/>
      <w:lvlText w:val="（%1）"/>
      <w:lvlJc w:val="left"/>
      <w:rPr>
        <w:rFonts w:hint="default"/>
        <w:b w:val="0"/>
        <w:bCs w:val="0"/>
      </w:rPr>
    </w:lvl>
  </w:abstractNum>
  <w:abstractNum w:abstractNumId="17">
    <w:nsid w:val="549FC482"/>
    <w:multiLevelType w:val="singleLevel"/>
    <w:tmpl w:val="549FC482"/>
    <w:lvl w:ilvl="0" w:tentative="0">
      <w:start w:val="1"/>
      <w:numFmt w:val="decimalEnclosedCircleChinese"/>
      <w:suff w:val="nothing"/>
      <w:lvlText w:val="%1　"/>
      <w:lvlJc w:val="left"/>
      <w:pPr>
        <w:ind w:left="0" w:firstLine="400"/>
      </w:pPr>
      <w:rPr>
        <w:rFonts w:hint="eastAsia"/>
      </w:rPr>
    </w:lvl>
  </w:abstractNum>
  <w:abstractNum w:abstractNumId="18">
    <w:nsid w:val="56038AB4"/>
    <w:multiLevelType w:val="singleLevel"/>
    <w:tmpl w:val="56038AB4"/>
    <w:lvl w:ilvl="0" w:tentative="0">
      <w:start w:val="1"/>
      <w:numFmt w:val="decimal"/>
      <w:lvlText w:val="表2-%1"/>
      <w:lvlJc w:val="left"/>
      <w:pPr>
        <w:tabs>
          <w:tab w:val="left" w:pos="420"/>
        </w:tabs>
        <w:ind w:left="425" w:leftChars="0" w:hanging="425" w:firstLineChars="0"/>
      </w:pPr>
      <w:rPr>
        <w:rFonts w:hint="default"/>
      </w:rPr>
    </w:lvl>
  </w:abstractNum>
  <w:abstractNum w:abstractNumId="19">
    <w:nsid w:val="6704C568"/>
    <w:multiLevelType w:val="singleLevel"/>
    <w:tmpl w:val="6704C568"/>
    <w:lvl w:ilvl="0" w:tentative="0">
      <w:start w:val="1"/>
      <w:numFmt w:val="decimal"/>
      <w:lvlText w:val="表3-%1"/>
      <w:lvlJc w:val="left"/>
      <w:pPr>
        <w:tabs>
          <w:tab w:val="left" w:pos="420"/>
        </w:tabs>
        <w:ind w:left="425" w:leftChars="0" w:hanging="425" w:firstLineChars="0"/>
      </w:pPr>
      <w:rPr>
        <w:rFonts w:hint="default"/>
      </w:rPr>
    </w:lvl>
  </w:abstractNum>
  <w:abstractNum w:abstractNumId="20">
    <w:nsid w:val="72E084E3"/>
    <w:multiLevelType w:val="singleLevel"/>
    <w:tmpl w:val="72E084E3"/>
    <w:lvl w:ilvl="0" w:tentative="0">
      <w:start w:val="1"/>
      <w:numFmt w:val="decimal"/>
      <w:lvlText w:val="表4-%1"/>
      <w:lvlJc w:val="left"/>
      <w:pPr>
        <w:tabs>
          <w:tab w:val="left" w:pos="420"/>
        </w:tabs>
        <w:ind w:left="425" w:leftChars="0" w:hanging="425" w:firstLineChars="0"/>
      </w:pPr>
      <w:rPr>
        <w:rFonts w:hint="default"/>
      </w:rPr>
    </w:lvl>
  </w:abstractNum>
  <w:abstractNum w:abstractNumId="21">
    <w:nsid w:val="74F658EE"/>
    <w:multiLevelType w:val="singleLevel"/>
    <w:tmpl w:val="74F658EE"/>
    <w:lvl w:ilvl="0" w:tentative="0">
      <w:start w:val="1"/>
      <w:numFmt w:val="decimal"/>
      <w:lvlText w:val="图1-%1"/>
      <w:lvlJc w:val="left"/>
      <w:pPr>
        <w:tabs>
          <w:tab w:val="left" w:pos="420"/>
        </w:tabs>
        <w:ind w:left="425" w:leftChars="0" w:hanging="425" w:firstLineChars="0"/>
      </w:pPr>
      <w:rPr>
        <w:rFonts w:hint="default"/>
        <w:b/>
        <w:bCs/>
        <w:sz w:val="24"/>
        <w:szCs w:val="24"/>
      </w:rPr>
    </w:lvl>
  </w:abstractNum>
  <w:num w:numId="1">
    <w:abstractNumId w:val="13"/>
  </w:num>
  <w:num w:numId="2">
    <w:abstractNumId w:val="21"/>
  </w:num>
  <w:num w:numId="3">
    <w:abstractNumId w:val="8"/>
  </w:num>
  <w:num w:numId="4">
    <w:abstractNumId w:val="16"/>
  </w:num>
  <w:num w:numId="5">
    <w:abstractNumId w:val="1"/>
  </w:num>
  <w:num w:numId="6">
    <w:abstractNumId w:val="18"/>
  </w:num>
  <w:num w:numId="7">
    <w:abstractNumId w:val="0"/>
  </w:num>
  <w:num w:numId="8">
    <w:abstractNumId w:val="14"/>
  </w:num>
  <w:num w:numId="9">
    <w:abstractNumId w:val="15"/>
  </w:num>
  <w:num w:numId="10">
    <w:abstractNumId w:val="12"/>
  </w:num>
  <w:num w:numId="11">
    <w:abstractNumId w:val="10"/>
  </w:num>
  <w:num w:numId="12">
    <w:abstractNumId w:val="2"/>
  </w:num>
  <w:num w:numId="13">
    <w:abstractNumId w:val="3"/>
  </w:num>
  <w:num w:numId="14">
    <w:abstractNumId w:val="7"/>
  </w:num>
  <w:num w:numId="15">
    <w:abstractNumId w:val="19"/>
  </w:num>
  <w:num w:numId="16">
    <w:abstractNumId w:val="9"/>
  </w:num>
  <w:num w:numId="17">
    <w:abstractNumId w:val="20"/>
  </w:num>
  <w:num w:numId="18">
    <w:abstractNumId w:val="4"/>
  </w:num>
  <w:num w:numId="19">
    <w:abstractNumId w:val="11"/>
  </w:num>
  <w:num w:numId="20">
    <w:abstractNumId w:val="17"/>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4OTQyYWQxMTk4OThiOTA2YzA1YjgxN2IzYjZkMmIifQ=="/>
  </w:docVars>
  <w:rsids>
    <w:rsidRoot w:val="1D7F664E"/>
    <w:rsid w:val="0033238F"/>
    <w:rsid w:val="00365F61"/>
    <w:rsid w:val="00481283"/>
    <w:rsid w:val="005673A4"/>
    <w:rsid w:val="00645991"/>
    <w:rsid w:val="00882190"/>
    <w:rsid w:val="00B06E28"/>
    <w:rsid w:val="00B405E6"/>
    <w:rsid w:val="00BD2E0B"/>
    <w:rsid w:val="00C97DDF"/>
    <w:rsid w:val="00D01278"/>
    <w:rsid w:val="00DC5579"/>
    <w:rsid w:val="00FC1153"/>
    <w:rsid w:val="01131056"/>
    <w:rsid w:val="01374E54"/>
    <w:rsid w:val="015F1AEA"/>
    <w:rsid w:val="017B6273"/>
    <w:rsid w:val="019A6605"/>
    <w:rsid w:val="01B446F6"/>
    <w:rsid w:val="01E1048D"/>
    <w:rsid w:val="01F54D28"/>
    <w:rsid w:val="020E58C2"/>
    <w:rsid w:val="02186CB5"/>
    <w:rsid w:val="02214A54"/>
    <w:rsid w:val="02561432"/>
    <w:rsid w:val="02806B84"/>
    <w:rsid w:val="028265A2"/>
    <w:rsid w:val="028B5457"/>
    <w:rsid w:val="02AE1C1E"/>
    <w:rsid w:val="02CD58F4"/>
    <w:rsid w:val="02CF10B4"/>
    <w:rsid w:val="02FE20CD"/>
    <w:rsid w:val="030F42DA"/>
    <w:rsid w:val="03395B24"/>
    <w:rsid w:val="03517FC2"/>
    <w:rsid w:val="03600692"/>
    <w:rsid w:val="0365214C"/>
    <w:rsid w:val="03716D43"/>
    <w:rsid w:val="03A03184"/>
    <w:rsid w:val="03AF696B"/>
    <w:rsid w:val="03EA2651"/>
    <w:rsid w:val="03F84D6E"/>
    <w:rsid w:val="04317D7F"/>
    <w:rsid w:val="043F0BEF"/>
    <w:rsid w:val="046046C1"/>
    <w:rsid w:val="04D623D1"/>
    <w:rsid w:val="05353DA0"/>
    <w:rsid w:val="05571F68"/>
    <w:rsid w:val="05687CD1"/>
    <w:rsid w:val="056C5A14"/>
    <w:rsid w:val="058C2EA0"/>
    <w:rsid w:val="05A056BD"/>
    <w:rsid w:val="05CA44E8"/>
    <w:rsid w:val="05E23147"/>
    <w:rsid w:val="05E421B7"/>
    <w:rsid w:val="05F81E86"/>
    <w:rsid w:val="061B64E7"/>
    <w:rsid w:val="06226E8B"/>
    <w:rsid w:val="0628019F"/>
    <w:rsid w:val="0630252B"/>
    <w:rsid w:val="06565D7C"/>
    <w:rsid w:val="0659586C"/>
    <w:rsid w:val="065F3530"/>
    <w:rsid w:val="06642C67"/>
    <w:rsid w:val="067F19C3"/>
    <w:rsid w:val="068428E9"/>
    <w:rsid w:val="06962FAE"/>
    <w:rsid w:val="07050DDE"/>
    <w:rsid w:val="07131EBF"/>
    <w:rsid w:val="071A5C49"/>
    <w:rsid w:val="07366080"/>
    <w:rsid w:val="078B414B"/>
    <w:rsid w:val="07B20FA4"/>
    <w:rsid w:val="07B54D24"/>
    <w:rsid w:val="07EA70C4"/>
    <w:rsid w:val="07EC5F53"/>
    <w:rsid w:val="07FB6F8A"/>
    <w:rsid w:val="08175B7D"/>
    <w:rsid w:val="08200903"/>
    <w:rsid w:val="083F3B30"/>
    <w:rsid w:val="087727CB"/>
    <w:rsid w:val="088A7F5F"/>
    <w:rsid w:val="08C43FC2"/>
    <w:rsid w:val="08E04023"/>
    <w:rsid w:val="08E25FED"/>
    <w:rsid w:val="08E367C5"/>
    <w:rsid w:val="08F655F4"/>
    <w:rsid w:val="09120F81"/>
    <w:rsid w:val="092B4317"/>
    <w:rsid w:val="096F24EB"/>
    <w:rsid w:val="097A7B38"/>
    <w:rsid w:val="0995305F"/>
    <w:rsid w:val="09EB2C7F"/>
    <w:rsid w:val="0A210598"/>
    <w:rsid w:val="0A531E98"/>
    <w:rsid w:val="0A5C592B"/>
    <w:rsid w:val="0A637C9C"/>
    <w:rsid w:val="0A656ED5"/>
    <w:rsid w:val="0A775534"/>
    <w:rsid w:val="0AA25A34"/>
    <w:rsid w:val="0AE20526"/>
    <w:rsid w:val="0AF03A75"/>
    <w:rsid w:val="0AFD221C"/>
    <w:rsid w:val="0B0569D0"/>
    <w:rsid w:val="0B2847EE"/>
    <w:rsid w:val="0B4374F7"/>
    <w:rsid w:val="0B61253D"/>
    <w:rsid w:val="0B764878"/>
    <w:rsid w:val="0B901117"/>
    <w:rsid w:val="0B9A0544"/>
    <w:rsid w:val="0BB47AAC"/>
    <w:rsid w:val="0BBC0D77"/>
    <w:rsid w:val="0BCF0AAA"/>
    <w:rsid w:val="0BFC5617"/>
    <w:rsid w:val="0C061A9A"/>
    <w:rsid w:val="0C1C35C4"/>
    <w:rsid w:val="0C324B95"/>
    <w:rsid w:val="0C457E2B"/>
    <w:rsid w:val="0C4D7304"/>
    <w:rsid w:val="0C566AD6"/>
    <w:rsid w:val="0C72724E"/>
    <w:rsid w:val="0C99013C"/>
    <w:rsid w:val="0CAD246E"/>
    <w:rsid w:val="0CC872A8"/>
    <w:rsid w:val="0CDD3AEB"/>
    <w:rsid w:val="0CE76C15"/>
    <w:rsid w:val="0CF05602"/>
    <w:rsid w:val="0D2766C4"/>
    <w:rsid w:val="0D3779E5"/>
    <w:rsid w:val="0D4B00CB"/>
    <w:rsid w:val="0D677DD7"/>
    <w:rsid w:val="0DA0008B"/>
    <w:rsid w:val="0DED64B7"/>
    <w:rsid w:val="0E1C0F1B"/>
    <w:rsid w:val="0E2F31E9"/>
    <w:rsid w:val="0E362DEB"/>
    <w:rsid w:val="0E4C3A5C"/>
    <w:rsid w:val="0E8D070E"/>
    <w:rsid w:val="0E941B37"/>
    <w:rsid w:val="0EA21367"/>
    <w:rsid w:val="0EAC6E81"/>
    <w:rsid w:val="0ED2440E"/>
    <w:rsid w:val="0ED876BC"/>
    <w:rsid w:val="0EDF38FB"/>
    <w:rsid w:val="0EED1247"/>
    <w:rsid w:val="0F0C3DC3"/>
    <w:rsid w:val="0F20786F"/>
    <w:rsid w:val="0F24568B"/>
    <w:rsid w:val="0F306279"/>
    <w:rsid w:val="0F3D5D2B"/>
    <w:rsid w:val="0F50118D"/>
    <w:rsid w:val="0F5157A2"/>
    <w:rsid w:val="0F5337A0"/>
    <w:rsid w:val="0F7B115A"/>
    <w:rsid w:val="0F89169A"/>
    <w:rsid w:val="0FB436F8"/>
    <w:rsid w:val="0FD85487"/>
    <w:rsid w:val="0FF35FE1"/>
    <w:rsid w:val="0FFD54BA"/>
    <w:rsid w:val="100741D0"/>
    <w:rsid w:val="10077732"/>
    <w:rsid w:val="10284C2D"/>
    <w:rsid w:val="103D35F3"/>
    <w:rsid w:val="1047050D"/>
    <w:rsid w:val="105C1B2F"/>
    <w:rsid w:val="107309EB"/>
    <w:rsid w:val="10A35FE1"/>
    <w:rsid w:val="10BD35C7"/>
    <w:rsid w:val="11034D52"/>
    <w:rsid w:val="110B7116"/>
    <w:rsid w:val="111E4303"/>
    <w:rsid w:val="114015B7"/>
    <w:rsid w:val="11472E91"/>
    <w:rsid w:val="114D6B16"/>
    <w:rsid w:val="1152522F"/>
    <w:rsid w:val="11550591"/>
    <w:rsid w:val="115A68FB"/>
    <w:rsid w:val="11C646FD"/>
    <w:rsid w:val="11EA579E"/>
    <w:rsid w:val="120C1B9A"/>
    <w:rsid w:val="121A05A5"/>
    <w:rsid w:val="124D4F3D"/>
    <w:rsid w:val="12541D09"/>
    <w:rsid w:val="12705219"/>
    <w:rsid w:val="12744159"/>
    <w:rsid w:val="12A14823"/>
    <w:rsid w:val="12D401EB"/>
    <w:rsid w:val="13157F18"/>
    <w:rsid w:val="131C1775"/>
    <w:rsid w:val="133C054F"/>
    <w:rsid w:val="139452E8"/>
    <w:rsid w:val="13BA1693"/>
    <w:rsid w:val="13DA4490"/>
    <w:rsid w:val="14261483"/>
    <w:rsid w:val="1426657D"/>
    <w:rsid w:val="143924B9"/>
    <w:rsid w:val="143D67CD"/>
    <w:rsid w:val="1443102C"/>
    <w:rsid w:val="145B1CE7"/>
    <w:rsid w:val="1461070D"/>
    <w:rsid w:val="149F15FA"/>
    <w:rsid w:val="14B7657F"/>
    <w:rsid w:val="14C166CB"/>
    <w:rsid w:val="14DA013C"/>
    <w:rsid w:val="150B04AE"/>
    <w:rsid w:val="151E65FF"/>
    <w:rsid w:val="152158DE"/>
    <w:rsid w:val="152D6DA8"/>
    <w:rsid w:val="15564E61"/>
    <w:rsid w:val="155C30D0"/>
    <w:rsid w:val="157248F3"/>
    <w:rsid w:val="15E038B4"/>
    <w:rsid w:val="15E61275"/>
    <w:rsid w:val="162866FA"/>
    <w:rsid w:val="165E3157"/>
    <w:rsid w:val="16606BE9"/>
    <w:rsid w:val="166E0EC0"/>
    <w:rsid w:val="16774218"/>
    <w:rsid w:val="16781D3E"/>
    <w:rsid w:val="169326D4"/>
    <w:rsid w:val="16A14DF1"/>
    <w:rsid w:val="16CE5A82"/>
    <w:rsid w:val="16DA75EF"/>
    <w:rsid w:val="16DC407B"/>
    <w:rsid w:val="16F21AF1"/>
    <w:rsid w:val="17440D71"/>
    <w:rsid w:val="174476C3"/>
    <w:rsid w:val="176302F9"/>
    <w:rsid w:val="177B7D38"/>
    <w:rsid w:val="17B62B1E"/>
    <w:rsid w:val="17D11706"/>
    <w:rsid w:val="17D47B56"/>
    <w:rsid w:val="17D86F39"/>
    <w:rsid w:val="17ED6E2E"/>
    <w:rsid w:val="180715CC"/>
    <w:rsid w:val="18261A79"/>
    <w:rsid w:val="18294BDD"/>
    <w:rsid w:val="18365A0D"/>
    <w:rsid w:val="184E52CB"/>
    <w:rsid w:val="18772E29"/>
    <w:rsid w:val="1892123C"/>
    <w:rsid w:val="18B25F38"/>
    <w:rsid w:val="18C27E6E"/>
    <w:rsid w:val="18C4730F"/>
    <w:rsid w:val="18D725FB"/>
    <w:rsid w:val="18E3357D"/>
    <w:rsid w:val="19137AFC"/>
    <w:rsid w:val="19201620"/>
    <w:rsid w:val="19226886"/>
    <w:rsid w:val="192B1750"/>
    <w:rsid w:val="194A3CCC"/>
    <w:rsid w:val="19744A3F"/>
    <w:rsid w:val="19AB252D"/>
    <w:rsid w:val="19BC6185"/>
    <w:rsid w:val="19D86C87"/>
    <w:rsid w:val="19EF167C"/>
    <w:rsid w:val="1A005443"/>
    <w:rsid w:val="1A136006"/>
    <w:rsid w:val="1A332204"/>
    <w:rsid w:val="1A711D62"/>
    <w:rsid w:val="1A8B170E"/>
    <w:rsid w:val="1A8E101F"/>
    <w:rsid w:val="1AA44EB0"/>
    <w:rsid w:val="1AB24B0C"/>
    <w:rsid w:val="1AB95B8E"/>
    <w:rsid w:val="1ABF1CEA"/>
    <w:rsid w:val="1ACB4B33"/>
    <w:rsid w:val="1AD11A1D"/>
    <w:rsid w:val="1AD34930"/>
    <w:rsid w:val="1ADA340E"/>
    <w:rsid w:val="1AE15B68"/>
    <w:rsid w:val="1AE856E5"/>
    <w:rsid w:val="1AEE6496"/>
    <w:rsid w:val="1B126E3F"/>
    <w:rsid w:val="1B19589E"/>
    <w:rsid w:val="1B2B55D1"/>
    <w:rsid w:val="1B385F1B"/>
    <w:rsid w:val="1B621343"/>
    <w:rsid w:val="1B9238A2"/>
    <w:rsid w:val="1BB362FC"/>
    <w:rsid w:val="1BD658B7"/>
    <w:rsid w:val="1BD72DB7"/>
    <w:rsid w:val="1BEF055C"/>
    <w:rsid w:val="1BF105C9"/>
    <w:rsid w:val="1C221D98"/>
    <w:rsid w:val="1C333C64"/>
    <w:rsid w:val="1C511068"/>
    <w:rsid w:val="1C633B5F"/>
    <w:rsid w:val="1CA16487"/>
    <w:rsid w:val="1D046F94"/>
    <w:rsid w:val="1D062D03"/>
    <w:rsid w:val="1D28626C"/>
    <w:rsid w:val="1D2C40BC"/>
    <w:rsid w:val="1D3339B8"/>
    <w:rsid w:val="1D3C1D18"/>
    <w:rsid w:val="1D570900"/>
    <w:rsid w:val="1D5D5D83"/>
    <w:rsid w:val="1D5F77B4"/>
    <w:rsid w:val="1D6F5C49"/>
    <w:rsid w:val="1D7F664E"/>
    <w:rsid w:val="1D994A74"/>
    <w:rsid w:val="1DED6B6E"/>
    <w:rsid w:val="1DFC78B2"/>
    <w:rsid w:val="1DFE521F"/>
    <w:rsid w:val="1E125451"/>
    <w:rsid w:val="1E206F43"/>
    <w:rsid w:val="1E210712"/>
    <w:rsid w:val="1E27481D"/>
    <w:rsid w:val="1E5D4164"/>
    <w:rsid w:val="1E697AC5"/>
    <w:rsid w:val="1E8F3F05"/>
    <w:rsid w:val="1EA26DE3"/>
    <w:rsid w:val="1EBC0B3B"/>
    <w:rsid w:val="1F016D75"/>
    <w:rsid w:val="1F2B5BA0"/>
    <w:rsid w:val="1F681E21"/>
    <w:rsid w:val="1F892A00"/>
    <w:rsid w:val="1F9A415C"/>
    <w:rsid w:val="1FCF5C5C"/>
    <w:rsid w:val="200C4F17"/>
    <w:rsid w:val="20103DF1"/>
    <w:rsid w:val="20166850"/>
    <w:rsid w:val="201E5705"/>
    <w:rsid w:val="202251F5"/>
    <w:rsid w:val="203171E6"/>
    <w:rsid w:val="2043516B"/>
    <w:rsid w:val="204A7578"/>
    <w:rsid w:val="206A7046"/>
    <w:rsid w:val="20806F21"/>
    <w:rsid w:val="208C4F67"/>
    <w:rsid w:val="209E05F3"/>
    <w:rsid w:val="20A0436C"/>
    <w:rsid w:val="20A26336"/>
    <w:rsid w:val="20D65FDF"/>
    <w:rsid w:val="20D97055"/>
    <w:rsid w:val="20DD6F2F"/>
    <w:rsid w:val="20DE23E5"/>
    <w:rsid w:val="20EA3839"/>
    <w:rsid w:val="21056B7A"/>
    <w:rsid w:val="212C5BFF"/>
    <w:rsid w:val="213243E7"/>
    <w:rsid w:val="217355DC"/>
    <w:rsid w:val="218040E0"/>
    <w:rsid w:val="21C85928"/>
    <w:rsid w:val="21F52EF8"/>
    <w:rsid w:val="21FE134A"/>
    <w:rsid w:val="22037739"/>
    <w:rsid w:val="225712AC"/>
    <w:rsid w:val="2265586D"/>
    <w:rsid w:val="228266BA"/>
    <w:rsid w:val="22AB456A"/>
    <w:rsid w:val="22AF7D64"/>
    <w:rsid w:val="22E06CA1"/>
    <w:rsid w:val="2302587B"/>
    <w:rsid w:val="23144B9D"/>
    <w:rsid w:val="2369313B"/>
    <w:rsid w:val="23694EE9"/>
    <w:rsid w:val="23902475"/>
    <w:rsid w:val="23B56896"/>
    <w:rsid w:val="23BC326A"/>
    <w:rsid w:val="23C14D25"/>
    <w:rsid w:val="23D44ABF"/>
    <w:rsid w:val="23D83E1C"/>
    <w:rsid w:val="23F80BF7"/>
    <w:rsid w:val="240E783E"/>
    <w:rsid w:val="242236D7"/>
    <w:rsid w:val="243450D7"/>
    <w:rsid w:val="243454F7"/>
    <w:rsid w:val="24350EEC"/>
    <w:rsid w:val="244514B2"/>
    <w:rsid w:val="24877D1C"/>
    <w:rsid w:val="2499710F"/>
    <w:rsid w:val="24A3267C"/>
    <w:rsid w:val="24C83E91"/>
    <w:rsid w:val="25013F85"/>
    <w:rsid w:val="25050C41"/>
    <w:rsid w:val="25055ACB"/>
    <w:rsid w:val="253A0D01"/>
    <w:rsid w:val="254E25E8"/>
    <w:rsid w:val="25585215"/>
    <w:rsid w:val="258A49D0"/>
    <w:rsid w:val="258D4688"/>
    <w:rsid w:val="25983863"/>
    <w:rsid w:val="25F25669"/>
    <w:rsid w:val="26215F4F"/>
    <w:rsid w:val="26347A30"/>
    <w:rsid w:val="26527EB6"/>
    <w:rsid w:val="26612D6B"/>
    <w:rsid w:val="26642ABE"/>
    <w:rsid w:val="266D29E7"/>
    <w:rsid w:val="26A10E3D"/>
    <w:rsid w:val="26EA0A6E"/>
    <w:rsid w:val="26EF1BA9"/>
    <w:rsid w:val="26F176CF"/>
    <w:rsid w:val="27225ADA"/>
    <w:rsid w:val="27457A1B"/>
    <w:rsid w:val="274719E5"/>
    <w:rsid w:val="2751016E"/>
    <w:rsid w:val="278247CB"/>
    <w:rsid w:val="279462AC"/>
    <w:rsid w:val="279B763B"/>
    <w:rsid w:val="27E2526A"/>
    <w:rsid w:val="27E4338C"/>
    <w:rsid w:val="280C4E96"/>
    <w:rsid w:val="281A4A03"/>
    <w:rsid w:val="281B7617"/>
    <w:rsid w:val="283914D3"/>
    <w:rsid w:val="287A34CB"/>
    <w:rsid w:val="28C464D2"/>
    <w:rsid w:val="28DD07CD"/>
    <w:rsid w:val="28E82D54"/>
    <w:rsid w:val="292C2C40"/>
    <w:rsid w:val="293B76B1"/>
    <w:rsid w:val="294C32E2"/>
    <w:rsid w:val="295126A7"/>
    <w:rsid w:val="297E7214"/>
    <w:rsid w:val="299A404E"/>
    <w:rsid w:val="29AC6221"/>
    <w:rsid w:val="29B42C36"/>
    <w:rsid w:val="29D07A70"/>
    <w:rsid w:val="29D37560"/>
    <w:rsid w:val="29DC75D4"/>
    <w:rsid w:val="2A0E1655"/>
    <w:rsid w:val="2A2722E3"/>
    <w:rsid w:val="2A326424"/>
    <w:rsid w:val="2A5E2BEC"/>
    <w:rsid w:val="2A7F1496"/>
    <w:rsid w:val="2A944F41"/>
    <w:rsid w:val="2A9B3276"/>
    <w:rsid w:val="2AAE3A07"/>
    <w:rsid w:val="2AD04CEE"/>
    <w:rsid w:val="2AD0584D"/>
    <w:rsid w:val="2AD571B7"/>
    <w:rsid w:val="2AD83742"/>
    <w:rsid w:val="2AE13EFE"/>
    <w:rsid w:val="2AFD7873"/>
    <w:rsid w:val="2B140A52"/>
    <w:rsid w:val="2B237433"/>
    <w:rsid w:val="2B284CA6"/>
    <w:rsid w:val="2B404781"/>
    <w:rsid w:val="2B4A7991"/>
    <w:rsid w:val="2BC576B3"/>
    <w:rsid w:val="2BC85C3C"/>
    <w:rsid w:val="2BD55B51"/>
    <w:rsid w:val="2BD56553"/>
    <w:rsid w:val="2BEA480D"/>
    <w:rsid w:val="2C11436F"/>
    <w:rsid w:val="2C28464D"/>
    <w:rsid w:val="2C2E3173"/>
    <w:rsid w:val="2C6669D8"/>
    <w:rsid w:val="2C83526D"/>
    <w:rsid w:val="2C8D7E9A"/>
    <w:rsid w:val="2C9C00DD"/>
    <w:rsid w:val="2CA927FA"/>
    <w:rsid w:val="2CC439AD"/>
    <w:rsid w:val="2CE6398C"/>
    <w:rsid w:val="2D224D02"/>
    <w:rsid w:val="2D5C710B"/>
    <w:rsid w:val="2D612B18"/>
    <w:rsid w:val="2D684463"/>
    <w:rsid w:val="2D7C3246"/>
    <w:rsid w:val="2DA350AD"/>
    <w:rsid w:val="2DB9081B"/>
    <w:rsid w:val="2DF45CF7"/>
    <w:rsid w:val="2DF801CB"/>
    <w:rsid w:val="2E114AFB"/>
    <w:rsid w:val="2E244142"/>
    <w:rsid w:val="2E262AE5"/>
    <w:rsid w:val="2E4722CA"/>
    <w:rsid w:val="2E4A6E4C"/>
    <w:rsid w:val="2E5D322A"/>
    <w:rsid w:val="2E60513A"/>
    <w:rsid w:val="2E774004"/>
    <w:rsid w:val="2E8250B1"/>
    <w:rsid w:val="2E8D3859"/>
    <w:rsid w:val="2E9D6949"/>
    <w:rsid w:val="2EC94F21"/>
    <w:rsid w:val="2EFC2E12"/>
    <w:rsid w:val="2F124686"/>
    <w:rsid w:val="2F3A598B"/>
    <w:rsid w:val="2F611A76"/>
    <w:rsid w:val="2F745341"/>
    <w:rsid w:val="2F7D0BFC"/>
    <w:rsid w:val="2F854E58"/>
    <w:rsid w:val="2FBC4699"/>
    <w:rsid w:val="2FD47F42"/>
    <w:rsid w:val="2FE5304B"/>
    <w:rsid w:val="2FEA115F"/>
    <w:rsid w:val="300E30A0"/>
    <w:rsid w:val="30303A1F"/>
    <w:rsid w:val="305330D0"/>
    <w:rsid w:val="305D237C"/>
    <w:rsid w:val="30A9101A"/>
    <w:rsid w:val="30C145B6"/>
    <w:rsid w:val="30DF2C8E"/>
    <w:rsid w:val="30E6123D"/>
    <w:rsid w:val="30EB3EF2"/>
    <w:rsid w:val="30FC55EE"/>
    <w:rsid w:val="31127610"/>
    <w:rsid w:val="311E19F3"/>
    <w:rsid w:val="313308E4"/>
    <w:rsid w:val="31342ADC"/>
    <w:rsid w:val="31352B82"/>
    <w:rsid w:val="314E5151"/>
    <w:rsid w:val="31813D45"/>
    <w:rsid w:val="319553BB"/>
    <w:rsid w:val="31C61758"/>
    <w:rsid w:val="31CC4FC0"/>
    <w:rsid w:val="31D900D5"/>
    <w:rsid w:val="31F22330"/>
    <w:rsid w:val="31F91B2E"/>
    <w:rsid w:val="321E3E8A"/>
    <w:rsid w:val="3222750B"/>
    <w:rsid w:val="32276EFB"/>
    <w:rsid w:val="323B2146"/>
    <w:rsid w:val="32476D3D"/>
    <w:rsid w:val="3249732A"/>
    <w:rsid w:val="324D1711"/>
    <w:rsid w:val="3250694A"/>
    <w:rsid w:val="32513718"/>
    <w:rsid w:val="327411B4"/>
    <w:rsid w:val="32A93F8C"/>
    <w:rsid w:val="32B11D48"/>
    <w:rsid w:val="32D65578"/>
    <w:rsid w:val="32F715D4"/>
    <w:rsid w:val="32FD1C1A"/>
    <w:rsid w:val="331851E3"/>
    <w:rsid w:val="331E0810"/>
    <w:rsid w:val="332744B6"/>
    <w:rsid w:val="332D7CE1"/>
    <w:rsid w:val="33721B98"/>
    <w:rsid w:val="337C30AF"/>
    <w:rsid w:val="338053ED"/>
    <w:rsid w:val="33A822A1"/>
    <w:rsid w:val="33D740F0"/>
    <w:rsid w:val="33E40F52"/>
    <w:rsid w:val="33F425AD"/>
    <w:rsid w:val="33FF75B3"/>
    <w:rsid w:val="34050C5E"/>
    <w:rsid w:val="341C1F51"/>
    <w:rsid w:val="34390D95"/>
    <w:rsid w:val="344275EC"/>
    <w:rsid w:val="346F3D78"/>
    <w:rsid w:val="34720743"/>
    <w:rsid w:val="347B0F20"/>
    <w:rsid w:val="3482405C"/>
    <w:rsid w:val="34A3453E"/>
    <w:rsid w:val="34B8747A"/>
    <w:rsid w:val="34C24459"/>
    <w:rsid w:val="34D80120"/>
    <w:rsid w:val="34E22D4D"/>
    <w:rsid w:val="34E538E1"/>
    <w:rsid w:val="34E645EB"/>
    <w:rsid w:val="34F32864"/>
    <w:rsid w:val="35060098"/>
    <w:rsid w:val="35647C06"/>
    <w:rsid w:val="357168B2"/>
    <w:rsid w:val="35AE771F"/>
    <w:rsid w:val="35BD5633"/>
    <w:rsid w:val="35E87669"/>
    <w:rsid w:val="3607690F"/>
    <w:rsid w:val="361B3C67"/>
    <w:rsid w:val="361E7DB5"/>
    <w:rsid w:val="36323721"/>
    <w:rsid w:val="36360F13"/>
    <w:rsid w:val="36513CE6"/>
    <w:rsid w:val="3654016C"/>
    <w:rsid w:val="3667350A"/>
    <w:rsid w:val="3679323D"/>
    <w:rsid w:val="3681331C"/>
    <w:rsid w:val="369A22FE"/>
    <w:rsid w:val="36AA3C04"/>
    <w:rsid w:val="36C7044C"/>
    <w:rsid w:val="36D37347"/>
    <w:rsid w:val="36E032BC"/>
    <w:rsid w:val="37344571"/>
    <w:rsid w:val="373C2F97"/>
    <w:rsid w:val="375E2317"/>
    <w:rsid w:val="376637C1"/>
    <w:rsid w:val="376B202F"/>
    <w:rsid w:val="376C65F4"/>
    <w:rsid w:val="378708F1"/>
    <w:rsid w:val="37920A5A"/>
    <w:rsid w:val="379E40CE"/>
    <w:rsid w:val="37A662B4"/>
    <w:rsid w:val="37AB1B1C"/>
    <w:rsid w:val="37EB016A"/>
    <w:rsid w:val="37FF2434"/>
    <w:rsid w:val="381652CF"/>
    <w:rsid w:val="38743292"/>
    <w:rsid w:val="38787C50"/>
    <w:rsid w:val="387E2D8D"/>
    <w:rsid w:val="388F0AF6"/>
    <w:rsid w:val="38A04AB1"/>
    <w:rsid w:val="38A5656B"/>
    <w:rsid w:val="38AC5B4C"/>
    <w:rsid w:val="38C56FE4"/>
    <w:rsid w:val="38CE6F11"/>
    <w:rsid w:val="38E77618"/>
    <w:rsid w:val="390E5EBF"/>
    <w:rsid w:val="39243934"/>
    <w:rsid w:val="39665CFB"/>
    <w:rsid w:val="399B0870"/>
    <w:rsid w:val="3A0177D1"/>
    <w:rsid w:val="3A1E65D5"/>
    <w:rsid w:val="3A37310E"/>
    <w:rsid w:val="3A5B15D7"/>
    <w:rsid w:val="3A5F274A"/>
    <w:rsid w:val="3A815F8A"/>
    <w:rsid w:val="3AC95E9E"/>
    <w:rsid w:val="3ADB0417"/>
    <w:rsid w:val="3AEA64B7"/>
    <w:rsid w:val="3AEC101C"/>
    <w:rsid w:val="3AF57A20"/>
    <w:rsid w:val="3AFD443D"/>
    <w:rsid w:val="3B3243A4"/>
    <w:rsid w:val="3B392F9B"/>
    <w:rsid w:val="3B457B92"/>
    <w:rsid w:val="3B642CDE"/>
    <w:rsid w:val="3B7A7FBD"/>
    <w:rsid w:val="3B837F8F"/>
    <w:rsid w:val="3BB54D17"/>
    <w:rsid w:val="3BFD4EE9"/>
    <w:rsid w:val="3C1934F8"/>
    <w:rsid w:val="3C1D6B2F"/>
    <w:rsid w:val="3C333E8E"/>
    <w:rsid w:val="3C463BC1"/>
    <w:rsid w:val="3C5F6A31"/>
    <w:rsid w:val="3C8302B8"/>
    <w:rsid w:val="3C860462"/>
    <w:rsid w:val="3C8A1D00"/>
    <w:rsid w:val="3CD218B8"/>
    <w:rsid w:val="3CE05DC4"/>
    <w:rsid w:val="3CE8383B"/>
    <w:rsid w:val="3CF16201"/>
    <w:rsid w:val="3D1646DA"/>
    <w:rsid w:val="3D2A76F5"/>
    <w:rsid w:val="3D31760F"/>
    <w:rsid w:val="3D403908"/>
    <w:rsid w:val="3D4E0F7F"/>
    <w:rsid w:val="3D5B369C"/>
    <w:rsid w:val="3D726BD0"/>
    <w:rsid w:val="3D7B789B"/>
    <w:rsid w:val="3D915310"/>
    <w:rsid w:val="3DA83CC3"/>
    <w:rsid w:val="3DD551FD"/>
    <w:rsid w:val="3DEE4689"/>
    <w:rsid w:val="3DEE62BF"/>
    <w:rsid w:val="3DF80D16"/>
    <w:rsid w:val="3E015FF2"/>
    <w:rsid w:val="3E2D5039"/>
    <w:rsid w:val="3E5406F3"/>
    <w:rsid w:val="3E610DA3"/>
    <w:rsid w:val="3E6B1E2F"/>
    <w:rsid w:val="3E6C7238"/>
    <w:rsid w:val="3EA11583"/>
    <w:rsid w:val="3EA370A9"/>
    <w:rsid w:val="3ED6218D"/>
    <w:rsid w:val="3EF34A48"/>
    <w:rsid w:val="3F0B0729"/>
    <w:rsid w:val="3F2006FA"/>
    <w:rsid w:val="3F231C80"/>
    <w:rsid w:val="3F233F49"/>
    <w:rsid w:val="3F2D2340"/>
    <w:rsid w:val="3F476304"/>
    <w:rsid w:val="3F61342D"/>
    <w:rsid w:val="3F724AD0"/>
    <w:rsid w:val="3F7B7136"/>
    <w:rsid w:val="3FC419CD"/>
    <w:rsid w:val="3FFE689A"/>
    <w:rsid w:val="3FFF3A02"/>
    <w:rsid w:val="406771DA"/>
    <w:rsid w:val="408F1FDB"/>
    <w:rsid w:val="40972C3D"/>
    <w:rsid w:val="409A0980"/>
    <w:rsid w:val="40B14644"/>
    <w:rsid w:val="40CA760B"/>
    <w:rsid w:val="40D5482A"/>
    <w:rsid w:val="40D6341C"/>
    <w:rsid w:val="40DF25DF"/>
    <w:rsid w:val="40E57E4D"/>
    <w:rsid w:val="410C568F"/>
    <w:rsid w:val="411643F0"/>
    <w:rsid w:val="413F7BFA"/>
    <w:rsid w:val="41596145"/>
    <w:rsid w:val="415B4052"/>
    <w:rsid w:val="41744D2D"/>
    <w:rsid w:val="418D4040"/>
    <w:rsid w:val="41980BB6"/>
    <w:rsid w:val="41BB6E00"/>
    <w:rsid w:val="425D496F"/>
    <w:rsid w:val="427540B2"/>
    <w:rsid w:val="42755200"/>
    <w:rsid w:val="42AC5635"/>
    <w:rsid w:val="42B0401C"/>
    <w:rsid w:val="42B12D3E"/>
    <w:rsid w:val="42C716E4"/>
    <w:rsid w:val="42C817D4"/>
    <w:rsid w:val="42C910A8"/>
    <w:rsid w:val="42C926E3"/>
    <w:rsid w:val="42CB6BCE"/>
    <w:rsid w:val="42D02437"/>
    <w:rsid w:val="42D068DB"/>
    <w:rsid w:val="42EA4EB5"/>
    <w:rsid w:val="42FC322C"/>
    <w:rsid w:val="43280C11"/>
    <w:rsid w:val="432C7A52"/>
    <w:rsid w:val="432E58E0"/>
    <w:rsid w:val="433378D3"/>
    <w:rsid w:val="43566DE0"/>
    <w:rsid w:val="43862465"/>
    <w:rsid w:val="4392593E"/>
    <w:rsid w:val="43DD4E0B"/>
    <w:rsid w:val="442B034B"/>
    <w:rsid w:val="44316F05"/>
    <w:rsid w:val="44461FB5"/>
    <w:rsid w:val="447D214A"/>
    <w:rsid w:val="448E7C71"/>
    <w:rsid w:val="44B33DBE"/>
    <w:rsid w:val="44C42545"/>
    <w:rsid w:val="44D206E8"/>
    <w:rsid w:val="44D97CC8"/>
    <w:rsid w:val="44DB3636"/>
    <w:rsid w:val="44E80DC8"/>
    <w:rsid w:val="450929D1"/>
    <w:rsid w:val="45117F57"/>
    <w:rsid w:val="45163F36"/>
    <w:rsid w:val="452E5DBE"/>
    <w:rsid w:val="453550AC"/>
    <w:rsid w:val="453750D5"/>
    <w:rsid w:val="4554734F"/>
    <w:rsid w:val="458E2E38"/>
    <w:rsid w:val="45F11042"/>
    <w:rsid w:val="46054AED"/>
    <w:rsid w:val="46243F0D"/>
    <w:rsid w:val="46731A57"/>
    <w:rsid w:val="46771071"/>
    <w:rsid w:val="469F284C"/>
    <w:rsid w:val="46D544C0"/>
    <w:rsid w:val="46FA326F"/>
    <w:rsid w:val="478C7274"/>
    <w:rsid w:val="478D6B48"/>
    <w:rsid w:val="47A10840"/>
    <w:rsid w:val="47CC1C05"/>
    <w:rsid w:val="47D83241"/>
    <w:rsid w:val="47ED5839"/>
    <w:rsid w:val="47F52692"/>
    <w:rsid w:val="48157E9E"/>
    <w:rsid w:val="48333FF5"/>
    <w:rsid w:val="484C07B1"/>
    <w:rsid w:val="48623B31"/>
    <w:rsid w:val="48671147"/>
    <w:rsid w:val="486C28DA"/>
    <w:rsid w:val="487D6BBD"/>
    <w:rsid w:val="48934632"/>
    <w:rsid w:val="48E96000"/>
    <w:rsid w:val="48F13107"/>
    <w:rsid w:val="491D5CAA"/>
    <w:rsid w:val="49507E2D"/>
    <w:rsid w:val="496524E9"/>
    <w:rsid w:val="4973642B"/>
    <w:rsid w:val="4974069B"/>
    <w:rsid w:val="49804BB7"/>
    <w:rsid w:val="49831FB1"/>
    <w:rsid w:val="49870902"/>
    <w:rsid w:val="49A71CCC"/>
    <w:rsid w:val="49AC366C"/>
    <w:rsid w:val="49AC7392"/>
    <w:rsid w:val="49B85B8D"/>
    <w:rsid w:val="49E54A1A"/>
    <w:rsid w:val="49ED1B20"/>
    <w:rsid w:val="49F454A4"/>
    <w:rsid w:val="4A1B19A9"/>
    <w:rsid w:val="4A35158C"/>
    <w:rsid w:val="4A631DE2"/>
    <w:rsid w:val="4A7D2EA4"/>
    <w:rsid w:val="4AD52CE0"/>
    <w:rsid w:val="4AD53E56"/>
    <w:rsid w:val="4ADB5E1D"/>
    <w:rsid w:val="4ADC47AE"/>
    <w:rsid w:val="4AFA47E9"/>
    <w:rsid w:val="4B0215FB"/>
    <w:rsid w:val="4B160893"/>
    <w:rsid w:val="4B1B26BD"/>
    <w:rsid w:val="4B2941E7"/>
    <w:rsid w:val="4B862F1F"/>
    <w:rsid w:val="4BAF5065"/>
    <w:rsid w:val="4BD51B55"/>
    <w:rsid w:val="4C15710C"/>
    <w:rsid w:val="4C254C16"/>
    <w:rsid w:val="4C481290"/>
    <w:rsid w:val="4C806C7C"/>
    <w:rsid w:val="4C8F3EBC"/>
    <w:rsid w:val="4C984320"/>
    <w:rsid w:val="4CBD3A2C"/>
    <w:rsid w:val="4CD314A1"/>
    <w:rsid w:val="4CDF47AB"/>
    <w:rsid w:val="4CE0771A"/>
    <w:rsid w:val="4CE63B56"/>
    <w:rsid w:val="4D167887"/>
    <w:rsid w:val="4D422183"/>
    <w:rsid w:val="4D9E49DF"/>
    <w:rsid w:val="4DA57F84"/>
    <w:rsid w:val="4DD3102D"/>
    <w:rsid w:val="4DEF09C3"/>
    <w:rsid w:val="4E1818FE"/>
    <w:rsid w:val="4E6B36B4"/>
    <w:rsid w:val="4E751D89"/>
    <w:rsid w:val="4E7B3B9E"/>
    <w:rsid w:val="4E9E788D"/>
    <w:rsid w:val="4EC921AC"/>
    <w:rsid w:val="4F266313"/>
    <w:rsid w:val="4F62274C"/>
    <w:rsid w:val="4F7C0C9A"/>
    <w:rsid w:val="4F895E47"/>
    <w:rsid w:val="4FCF2439"/>
    <w:rsid w:val="4FD77C83"/>
    <w:rsid w:val="4FE324BF"/>
    <w:rsid w:val="4FF376F1"/>
    <w:rsid w:val="500135C9"/>
    <w:rsid w:val="50212524"/>
    <w:rsid w:val="502343F1"/>
    <w:rsid w:val="5051105B"/>
    <w:rsid w:val="5056329E"/>
    <w:rsid w:val="50642410"/>
    <w:rsid w:val="506D5769"/>
    <w:rsid w:val="5090264F"/>
    <w:rsid w:val="50962F12"/>
    <w:rsid w:val="50966156"/>
    <w:rsid w:val="50AE00E4"/>
    <w:rsid w:val="50DB6B76"/>
    <w:rsid w:val="50F65CE1"/>
    <w:rsid w:val="51037408"/>
    <w:rsid w:val="51054768"/>
    <w:rsid w:val="511B6F73"/>
    <w:rsid w:val="51257DF2"/>
    <w:rsid w:val="512C3963"/>
    <w:rsid w:val="513C7DDC"/>
    <w:rsid w:val="5151508A"/>
    <w:rsid w:val="51533C6F"/>
    <w:rsid w:val="516F72BF"/>
    <w:rsid w:val="5176689F"/>
    <w:rsid w:val="51937BB9"/>
    <w:rsid w:val="51A111A9"/>
    <w:rsid w:val="51AF3FA8"/>
    <w:rsid w:val="51DB16D8"/>
    <w:rsid w:val="51DB6702"/>
    <w:rsid w:val="51DC4954"/>
    <w:rsid w:val="51E47CAD"/>
    <w:rsid w:val="51E63A25"/>
    <w:rsid w:val="51F06EA8"/>
    <w:rsid w:val="51F15F26"/>
    <w:rsid w:val="520224D5"/>
    <w:rsid w:val="520774F7"/>
    <w:rsid w:val="521F6F37"/>
    <w:rsid w:val="522307D5"/>
    <w:rsid w:val="522602C5"/>
    <w:rsid w:val="522916D2"/>
    <w:rsid w:val="52374280"/>
    <w:rsid w:val="524A2E7A"/>
    <w:rsid w:val="524E4E4A"/>
    <w:rsid w:val="528174BF"/>
    <w:rsid w:val="53315789"/>
    <w:rsid w:val="533B1F79"/>
    <w:rsid w:val="537D2685"/>
    <w:rsid w:val="539B2FF7"/>
    <w:rsid w:val="53B84F4D"/>
    <w:rsid w:val="53CD2652"/>
    <w:rsid w:val="53CE29C2"/>
    <w:rsid w:val="53EE716F"/>
    <w:rsid w:val="540168F4"/>
    <w:rsid w:val="54147425"/>
    <w:rsid w:val="545C2AD3"/>
    <w:rsid w:val="54B25E40"/>
    <w:rsid w:val="54BD64BF"/>
    <w:rsid w:val="54BF4B2D"/>
    <w:rsid w:val="54CD67D6"/>
    <w:rsid w:val="54DB5397"/>
    <w:rsid w:val="54F40207"/>
    <w:rsid w:val="5531145B"/>
    <w:rsid w:val="553C4352"/>
    <w:rsid w:val="553E2958"/>
    <w:rsid w:val="55410F72"/>
    <w:rsid w:val="55761912"/>
    <w:rsid w:val="558772CD"/>
    <w:rsid w:val="55937A20"/>
    <w:rsid w:val="55CE3E0E"/>
    <w:rsid w:val="55DD513F"/>
    <w:rsid w:val="55FB68DC"/>
    <w:rsid w:val="563A726F"/>
    <w:rsid w:val="56421912"/>
    <w:rsid w:val="56576C9F"/>
    <w:rsid w:val="565C6063"/>
    <w:rsid w:val="56785AB4"/>
    <w:rsid w:val="569A59E3"/>
    <w:rsid w:val="56AF6ADB"/>
    <w:rsid w:val="56D025AE"/>
    <w:rsid w:val="570959A2"/>
    <w:rsid w:val="570D1A54"/>
    <w:rsid w:val="574003BC"/>
    <w:rsid w:val="57603931"/>
    <w:rsid w:val="576F626A"/>
    <w:rsid w:val="57A14FC1"/>
    <w:rsid w:val="57AE6D93"/>
    <w:rsid w:val="57B679F5"/>
    <w:rsid w:val="580B5D01"/>
    <w:rsid w:val="581666E6"/>
    <w:rsid w:val="581973DB"/>
    <w:rsid w:val="581E2F41"/>
    <w:rsid w:val="58B008E9"/>
    <w:rsid w:val="58C425E6"/>
    <w:rsid w:val="5903310E"/>
    <w:rsid w:val="59142C25"/>
    <w:rsid w:val="59222643"/>
    <w:rsid w:val="592E5DE4"/>
    <w:rsid w:val="592F621B"/>
    <w:rsid w:val="5941638D"/>
    <w:rsid w:val="594554D5"/>
    <w:rsid w:val="594778C1"/>
    <w:rsid w:val="597C07CB"/>
    <w:rsid w:val="59E95E90"/>
    <w:rsid w:val="59F70FA5"/>
    <w:rsid w:val="5A087BE3"/>
    <w:rsid w:val="5A4532B2"/>
    <w:rsid w:val="5A4C3C6E"/>
    <w:rsid w:val="5A4E2167"/>
    <w:rsid w:val="5A514F94"/>
    <w:rsid w:val="5A564ACA"/>
    <w:rsid w:val="5A6051AD"/>
    <w:rsid w:val="5A6B0E63"/>
    <w:rsid w:val="5A6F20DD"/>
    <w:rsid w:val="5A717C66"/>
    <w:rsid w:val="5A837B59"/>
    <w:rsid w:val="5AD175C5"/>
    <w:rsid w:val="5AE6533A"/>
    <w:rsid w:val="5AEB3E5A"/>
    <w:rsid w:val="5AF01CBC"/>
    <w:rsid w:val="5AF65264"/>
    <w:rsid w:val="5B0371FD"/>
    <w:rsid w:val="5B04316E"/>
    <w:rsid w:val="5B2B4256"/>
    <w:rsid w:val="5B8300AB"/>
    <w:rsid w:val="5B85605C"/>
    <w:rsid w:val="5BEE4A1C"/>
    <w:rsid w:val="5C275F49"/>
    <w:rsid w:val="5C313AEE"/>
    <w:rsid w:val="5C5C4DA4"/>
    <w:rsid w:val="5C7210D8"/>
    <w:rsid w:val="5C746AB7"/>
    <w:rsid w:val="5C9A1694"/>
    <w:rsid w:val="5C9F4EFC"/>
    <w:rsid w:val="5CA24B14"/>
    <w:rsid w:val="5CAF2C65"/>
    <w:rsid w:val="5CBF734C"/>
    <w:rsid w:val="5CC04E72"/>
    <w:rsid w:val="5CE76EFF"/>
    <w:rsid w:val="5CEE7C31"/>
    <w:rsid w:val="5D656145"/>
    <w:rsid w:val="5D7925EB"/>
    <w:rsid w:val="5DB06C95"/>
    <w:rsid w:val="5DB951D2"/>
    <w:rsid w:val="5E2002BE"/>
    <w:rsid w:val="5E231B5D"/>
    <w:rsid w:val="5E3A39CB"/>
    <w:rsid w:val="5E3E0745"/>
    <w:rsid w:val="5E5E4943"/>
    <w:rsid w:val="5E6275F0"/>
    <w:rsid w:val="5E8728D2"/>
    <w:rsid w:val="5EF063F0"/>
    <w:rsid w:val="5EF54B0B"/>
    <w:rsid w:val="5EFC4888"/>
    <w:rsid w:val="5EFC6BC4"/>
    <w:rsid w:val="5EFD23AE"/>
    <w:rsid w:val="5F2A6295"/>
    <w:rsid w:val="5F6917F1"/>
    <w:rsid w:val="5F724B4A"/>
    <w:rsid w:val="5F9A5F76"/>
    <w:rsid w:val="5FBC5DC5"/>
    <w:rsid w:val="5FCB6008"/>
    <w:rsid w:val="5FD0361E"/>
    <w:rsid w:val="5FDF533E"/>
    <w:rsid w:val="5FEF619A"/>
    <w:rsid w:val="5FF97FD7"/>
    <w:rsid w:val="60144461"/>
    <w:rsid w:val="60200102"/>
    <w:rsid w:val="603718EF"/>
    <w:rsid w:val="60536011"/>
    <w:rsid w:val="6065020A"/>
    <w:rsid w:val="60653D12"/>
    <w:rsid w:val="608D1D0E"/>
    <w:rsid w:val="609B568F"/>
    <w:rsid w:val="61001CE1"/>
    <w:rsid w:val="61023A4D"/>
    <w:rsid w:val="61202383"/>
    <w:rsid w:val="613E3C29"/>
    <w:rsid w:val="614E49B4"/>
    <w:rsid w:val="619D7A4B"/>
    <w:rsid w:val="61A42FB4"/>
    <w:rsid w:val="61A81B3A"/>
    <w:rsid w:val="61B15B5F"/>
    <w:rsid w:val="61B74A96"/>
    <w:rsid w:val="61BA4586"/>
    <w:rsid w:val="61CD6067"/>
    <w:rsid w:val="61D5331B"/>
    <w:rsid w:val="61DD4253"/>
    <w:rsid w:val="61F8142E"/>
    <w:rsid w:val="62073150"/>
    <w:rsid w:val="621C7E79"/>
    <w:rsid w:val="621D13A6"/>
    <w:rsid w:val="62220CBD"/>
    <w:rsid w:val="6223037D"/>
    <w:rsid w:val="62283ED1"/>
    <w:rsid w:val="625E2DB7"/>
    <w:rsid w:val="628A26E1"/>
    <w:rsid w:val="628D77F7"/>
    <w:rsid w:val="62954633"/>
    <w:rsid w:val="62AC3ECF"/>
    <w:rsid w:val="62B2525D"/>
    <w:rsid w:val="62B67116"/>
    <w:rsid w:val="62E23D94"/>
    <w:rsid w:val="62E53885"/>
    <w:rsid w:val="62E5574C"/>
    <w:rsid w:val="62E879E8"/>
    <w:rsid w:val="62EA49F7"/>
    <w:rsid w:val="62FA7330"/>
    <w:rsid w:val="6356208C"/>
    <w:rsid w:val="635C5BB2"/>
    <w:rsid w:val="636624E3"/>
    <w:rsid w:val="63696264"/>
    <w:rsid w:val="63696E29"/>
    <w:rsid w:val="637A570E"/>
    <w:rsid w:val="63A566FC"/>
    <w:rsid w:val="63AD43A2"/>
    <w:rsid w:val="63D34A76"/>
    <w:rsid w:val="63EF200F"/>
    <w:rsid w:val="640A7CBC"/>
    <w:rsid w:val="643C1282"/>
    <w:rsid w:val="643E6C3E"/>
    <w:rsid w:val="6449399F"/>
    <w:rsid w:val="644A1AD5"/>
    <w:rsid w:val="64590086"/>
    <w:rsid w:val="64913083"/>
    <w:rsid w:val="64E42046"/>
    <w:rsid w:val="64F403C5"/>
    <w:rsid w:val="6514683A"/>
    <w:rsid w:val="65471226"/>
    <w:rsid w:val="654E74BF"/>
    <w:rsid w:val="655C6080"/>
    <w:rsid w:val="657D21E6"/>
    <w:rsid w:val="65AD0E8B"/>
    <w:rsid w:val="65B62578"/>
    <w:rsid w:val="65C634F9"/>
    <w:rsid w:val="65C8585C"/>
    <w:rsid w:val="65C92FEA"/>
    <w:rsid w:val="65E816C2"/>
    <w:rsid w:val="65FA13F5"/>
    <w:rsid w:val="660F2580"/>
    <w:rsid w:val="66174349"/>
    <w:rsid w:val="661B1DC2"/>
    <w:rsid w:val="66342B59"/>
    <w:rsid w:val="66511E42"/>
    <w:rsid w:val="66677D78"/>
    <w:rsid w:val="667F4A03"/>
    <w:rsid w:val="66924167"/>
    <w:rsid w:val="66A6332B"/>
    <w:rsid w:val="66AC4B45"/>
    <w:rsid w:val="671A256A"/>
    <w:rsid w:val="674D3AD6"/>
    <w:rsid w:val="675B4115"/>
    <w:rsid w:val="6782581A"/>
    <w:rsid w:val="678648A8"/>
    <w:rsid w:val="679A4970"/>
    <w:rsid w:val="67A94E81"/>
    <w:rsid w:val="67D75874"/>
    <w:rsid w:val="67D85E69"/>
    <w:rsid w:val="67EA72A2"/>
    <w:rsid w:val="67EC0641"/>
    <w:rsid w:val="67F16B5C"/>
    <w:rsid w:val="682A1534"/>
    <w:rsid w:val="687E00BB"/>
    <w:rsid w:val="688F22C8"/>
    <w:rsid w:val="689830EE"/>
    <w:rsid w:val="68AA7102"/>
    <w:rsid w:val="68DA3578"/>
    <w:rsid w:val="68E1689C"/>
    <w:rsid w:val="68EF0FB9"/>
    <w:rsid w:val="69083E29"/>
    <w:rsid w:val="6943629B"/>
    <w:rsid w:val="69670B4F"/>
    <w:rsid w:val="69746B44"/>
    <w:rsid w:val="69847953"/>
    <w:rsid w:val="698E639C"/>
    <w:rsid w:val="69B55CD8"/>
    <w:rsid w:val="69C75A92"/>
    <w:rsid w:val="69C8489A"/>
    <w:rsid w:val="69DE12FA"/>
    <w:rsid w:val="6A1C198C"/>
    <w:rsid w:val="6A1F0D5E"/>
    <w:rsid w:val="6A747C14"/>
    <w:rsid w:val="6A8B342C"/>
    <w:rsid w:val="6AB51D8E"/>
    <w:rsid w:val="6B124127"/>
    <w:rsid w:val="6B99448D"/>
    <w:rsid w:val="6B9B28D9"/>
    <w:rsid w:val="6B9F5C32"/>
    <w:rsid w:val="6BAF2675"/>
    <w:rsid w:val="6BB822C3"/>
    <w:rsid w:val="6BBF2EC5"/>
    <w:rsid w:val="6BDB75D3"/>
    <w:rsid w:val="6BE217A4"/>
    <w:rsid w:val="6BF012D0"/>
    <w:rsid w:val="6C15018D"/>
    <w:rsid w:val="6C150D37"/>
    <w:rsid w:val="6C303574"/>
    <w:rsid w:val="6C353187"/>
    <w:rsid w:val="6C44786E"/>
    <w:rsid w:val="6C666467"/>
    <w:rsid w:val="6C7367AA"/>
    <w:rsid w:val="6C736A51"/>
    <w:rsid w:val="6C9156FE"/>
    <w:rsid w:val="6C987FDB"/>
    <w:rsid w:val="6CA14487"/>
    <w:rsid w:val="6CB40765"/>
    <w:rsid w:val="6CE626D3"/>
    <w:rsid w:val="6CEB7CE9"/>
    <w:rsid w:val="6D2448C8"/>
    <w:rsid w:val="6D260D22"/>
    <w:rsid w:val="6D2B458A"/>
    <w:rsid w:val="6D382D72"/>
    <w:rsid w:val="6D4A665F"/>
    <w:rsid w:val="6DB256C5"/>
    <w:rsid w:val="6DB30807"/>
    <w:rsid w:val="6DDD7632"/>
    <w:rsid w:val="6E2D0C79"/>
    <w:rsid w:val="6E426268"/>
    <w:rsid w:val="6EAC097F"/>
    <w:rsid w:val="6EB760D5"/>
    <w:rsid w:val="6EBF31DC"/>
    <w:rsid w:val="6EC151A6"/>
    <w:rsid w:val="6EF65A2C"/>
    <w:rsid w:val="6EFF182A"/>
    <w:rsid w:val="6F0F2106"/>
    <w:rsid w:val="6F376AFB"/>
    <w:rsid w:val="6F4C550C"/>
    <w:rsid w:val="6F712728"/>
    <w:rsid w:val="6FB76632"/>
    <w:rsid w:val="6FC72057"/>
    <w:rsid w:val="6FD00963"/>
    <w:rsid w:val="6FDA37C5"/>
    <w:rsid w:val="6FEC6252"/>
    <w:rsid w:val="6FEF189F"/>
    <w:rsid w:val="7018767E"/>
    <w:rsid w:val="703C400F"/>
    <w:rsid w:val="703D79F0"/>
    <w:rsid w:val="704763A0"/>
    <w:rsid w:val="705834D7"/>
    <w:rsid w:val="70797C5D"/>
    <w:rsid w:val="70826EAE"/>
    <w:rsid w:val="709564D3"/>
    <w:rsid w:val="70CB348B"/>
    <w:rsid w:val="70D80585"/>
    <w:rsid w:val="70E64A50"/>
    <w:rsid w:val="70F42876"/>
    <w:rsid w:val="70F74EAF"/>
    <w:rsid w:val="710F044A"/>
    <w:rsid w:val="71397275"/>
    <w:rsid w:val="715B774C"/>
    <w:rsid w:val="71755DD4"/>
    <w:rsid w:val="71842F04"/>
    <w:rsid w:val="719C5A56"/>
    <w:rsid w:val="71A1306D"/>
    <w:rsid w:val="71BB1B5A"/>
    <w:rsid w:val="71DB4F10"/>
    <w:rsid w:val="72087E0A"/>
    <w:rsid w:val="72186237"/>
    <w:rsid w:val="723D2D95"/>
    <w:rsid w:val="72676064"/>
    <w:rsid w:val="72785B7B"/>
    <w:rsid w:val="727D4B80"/>
    <w:rsid w:val="72872A88"/>
    <w:rsid w:val="728C7879"/>
    <w:rsid w:val="72D444F2"/>
    <w:rsid w:val="72E10069"/>
    <w:rsid w:val="72E476B5"/>
    <w:rsid w:val="72EA4C72"/>
    <w:rsid w:val="73090B02"/>
    <w:rsid w:val="730B7B0B"/>
    <w:rsid w:val="730D6C0C"/>
    <w:rsid w:val="73133AF6"/>
    <w:rsid w:val="73145BA9"/>
    <w:rsid w:val="732950C8"/>
    <w:rsid w:val="73341FFD"/>
    <w:rsid w:val="734D759F"/>
    <w:rsid w:val="734E4B2E"/>
    <w:rsid w:val="735C724B"/>
    <w:rsid w:val="73814A84"/>
    <w:rsid w:val="73C848E1"/>
    <w:rsid w:val="73E22942"/>
    <w:rsid w:val="73ED27FD"/>
    <w:rsid w:val="73F61BDB"/>
    <w:rsid w:val="740F250F"/>
    <w:rsid w:val="742D6E39"/>
    <w:rsid w:val="743414C6"/>
    <w:rsid w:val="74405F2F"/>
    <w:rsid w:val="744A3547"/>
    <w:rsid w:val="7453031D"/>
    <w:rsid w:val="7480345A"/>
    <w:rsid w:val="74A6269D"/>
    <w:rsid w:val="74CC21AE"/>
    <w:rsid w:val="74D86DA5"/>
    <w:rsid w:val="74D90B4D"/>
    <w:rsid w:val="754C32EF"/>
    <w:rsid w:val="754E0E15"/>
    <w:rsid w:val="75616D9B"/>
    <w:rsid w:val="756D573F"/>
    <w:rsid w:val="756E622E"/>
    <w:rsid w:val="75926677"/>
    <w:rsid w:val="759D6957"/>
    <w:rsid w:val="75BB0D91"/>
    <w:rsid w:val="75D05594"/>
    <w:rsid w:val="75D21A46"/>
    <w:rsid w:val="75EB6213"/>
    <w:rsid w:val="75ED6880"/>
    <w:rsid w:val="762B79F3"/>
    <w:rsid w:val="76594D7B"/>
    <w:rsid w:val="765A29A5"/>
    <w:rsid w:val="767E1BCE"/>
    <w:rsid w:val="76B17777"/>
    <w:rsid w:val="76BB679E"/>
    <w:rsid w:val="7701370F"/>
    <w:rsid w:val="770666C4"/>
    <w:rsid w:val="772A325C"/>
    <w:rsid w:val="773B3127"/>
    <w:rsid w:val="774E15A1"/>
    <w:rsid w:val="77984802"/>
    <w:rsid w:val="779E42D6"/>
    <w:rsid w:val="781C3718"/>
    <w:rsid w:val="78783C4A"/>
    <w:rsid w:val="787B21CF"/>
    <w:rsid w:val="78974A35"/>
    <w:rsid w:val="78C626DB"/>
    <w:rsid w:val="78CC2212"/>
    <w:rsid w:val="78DD498A"/>
    <w:rsid w:val="790B60C7"/>
    <w:rsid w:val="792E3438"/>
    <w:rsid w:val="794F75FA"/>
    <w:rsid w:val="79945A1E"/>
    <w:rsid w:val="79CD4906"/>
    <w:rsid w:val="79E65AC0"/>
    <w:rsid w:val="79FC3536"/>
    <w:rsid w:val="7A082A05"/>
    <w:rsid w:val="7A3158C6"/>
    <w:rsid w:val="7A3C0BE4"/>
    <w:rsid w:val="7A611FA2"/>
    <w:rsid w:val="7AB21E46"/>
    <w:rsid w:val="7AB94F83"/>
    <w:rsid w:val="7AC2124A"/>
    <w:rsid w:val="7B034450"/>
    <w:rsid w:val="7B053505"/>
    <w:rsid w:val="7B2B5D06"/>
    <w:rsid w:val="7B451FBE"/>
    <w:rsid w:val="7B4920BF"/>
    <w:rsid w:val="7B494559"/>
    <w:rsid w:val="7B963516"/>
    <w:rsid w:val="7B9E6024"/>
    <w:rsid w:val="7BB20D3D"/>
    <w:rsid w:val="7BBF0CBF"/>
    <w:rsid w:val="7BC462E4"/>
    <w:rsid w:val="7BD52290"/>
    <w:rsid w:val="7BE473F9"/>
    <w:rsid w:val="7BE47D7F"/>
    <w:rsid w:val="7BE6624C"/>
    <w:rsid w:val="7BEB5610"/>
    <w:rsid w:val="7BF769D3"/>
    <w:rsid w:val="7C127041"/>
    <w:rsid w:val="7C442F72"/>
    <w:rsid w:val="7C4B079E"/>
    <w:rsid w:val="7CE24C65"/>
    <w:rsid w:val="7D030793"/>
    <w:rsid w:val="7D337D02"/>
    <w:rsid w:val="7D491552"/>
    <w:rsid w:val="7D6B2EAC"/>
    <w:rsid w:val="7D855E3A"/>
    <w:rsid w:val="7D87580C"/>
    <w:rsid w:val="7DD0449A"/>
    <w:rsid w:val="7DF87373"/>
    <w:rsid w:val="7E04294B"/>
    <w:rsid w:val="7E0B3D48"/>
    <w:rsid w:val="7E4153DE"/>
    <w:rsid w:val="7E521976"/>
    <w:rsid w:val="7E626D78"/>
    <w:rsid w:val="7E71755F"/>
    <w:rsid w:val="7E9F0934"/>
    <w:rsid w:val="7EA2457D"/>
    <w:rsid w:val="7EA515B5"/>
    <w:rsid w:val="7EBE76E6"/>
    <w:rsid w:val="7EE60311"/>
    <w:rsid w:val="7EE667BD"/>
    <w:rsid w:val="7EE741A2"/>
    <w:rsid w:val="7EEC216D"/>
    <w:rsid w:val="7F096561"/>
    <w:rsid w:val="7F0D3AEF"/>
    <w:rsid w:val="7F0F5AB9"/>
    <w:rsid w:val="7F154064"/>
    <w:rsid w:val="7F1964E7"/>
    <w:rsid w:val="7F1E5CFC"/>
    <w:rsid w:val="7F5B2AAD"/>
    <w:rsid w:val="7F923FF5"/>
    <w:rsid w:val="7FA96493"/>
    <w:rsid w:val="7FC56178"/>
    <w:rsid w:val="7FE17456"/>
    <w:rsid w:val="7FEC7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jc w:val="center"/>
      <w:outlineLvl w:val="0"/>
    </w:pPr>
    <w:rPr>
      <w:rFonts w:eastAsia="黑体"/>
      <w:b/>
      <w:bCs/>
      <w:kern w:val="44"/>
      <w:sz w:val="30"/>
      <w:szCs w:val="30"/>
    </w:rPr>
  </w:style>
  <w:style w:type="paragraph" w:styleId="3">
    <w:name w:val="heading 3"/>
    <w:basedOn w:val="1"/>
    <w:next w:val="1"/>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djustRightInd w:val="0"/>
      <w:snapToGrid w:val="0"/>
      <w:spacing w:line="460" w:lineRule="atLeast"/>
      <w:ind w:firstLine="200" w:firstLineChars="200"/>
    </w:pPr>
    <w:rPr>
      <w:rFonts w:ascii="Times New Roman" w:hAnsi="Times New Roman" w:eastAsia="宋体"/>
      <w:sz w:val="24"/>
    </w:rPr>
  </w:style>
  <w:style w:type="paragraph" w:styleId="5">
    <w:name w:val="caption"/>
    <w:basedOn w:val="1"/>
    <w:next w:val="1"/>
    <w:unhideWhenUsed/>
    <w:qFormat/>
    <w:uiPriority w:val="0"/>
    <w:rPr>
      <w:rFonts w:ascii="Arial" w:hAnsi="Arial" w:eastAsia="黑体"/>
      <w:sz w:val="20"/>
    </w:rPr>
  </w:style>
  <w:style w:type="paragraph" w:styleId="6">
    <w:name w:val="annotation text"/>
    <w:basedOn w:val="1"/>
    <w:qFormat/>
    <w:uiPriority w:val="0"/>
    <w:pPr>
      <w:jc w:val="left"/>
    </w:pPr>
  </w:style>
  <w:style w:type="paragraph" w:styleId="7">
    <w:name w:val="Date"/>
    <w:basedOn w:val="1"/>
    <w:next w:val="1"/>
    <w:qFormat/>
    <w:uiPriority w:val="0"/>
    <w:rPr>
      <w:sz w:val="2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paragraph" w:customStyle="1" w:styleId="15">
    <w:name w:val="表注图注"/>
    <w:basedOn w:val="1"/>
    <w:qFormat/>
    <w:uiPriority w:val="0"/>
    <w:pPr>
      <w:ind w:firstLine="0" w:firstLineChars="0"/>
      <w:jc w:val="center"/>
    </w:pPr>
    <w:rPr>
      <w:b/>
      <w:bCs/>
      <w:sz w:val="21"/>
      <w:szCs w:val="21"/>
    </w:rPr>
  </w:style>
  <w:style w:type="paragraph" w:customStyle="1" w:styleId="16">
    <w:name w:val="标注"/>
    <w:basedOn w:val="1"/>
    <w:qFormat/>
    <w:uiPriority w:val="0"/>
    <w:pPr>
      <w:adjustRightInd w:val="0"/>
      <w:snapToGrid w:val="0"/>
      <w:ind w:firstLine="0" w:firstLineChars="0"/>
    </w:pPr>
    <w:rPr>
      <w:rFonts w:ascii="Times New Roman" w:hAnsi="Times New Roman" w:eastAsia="宋体" w:cs="Times New Roman"/>
      <w:b/>
      <w:bCs/>
      <w:sz w:val="18"/>
      <w:szCs w:val="18"/>
    </w:rPr>
  </w:style>
  <w:style w:type="paragraph" w:customStyle="1" w:styleId="17">
    <w:name w:val="表格文本"/>
    <w:basedOn w:val="1"/>
    <w:next w:val="1"/>
    <w:qFormat/>
    <w:uiPriority w:val="0"/>
    <w:pPr>
      <w:spacing w:line="288" w:lineRule="auto"/>
      <w:ind w:left="-60" w:leftChars="-25" w:right="-60" w:rightChars="-25" w:firstLine="0" w:firstLineChars="0"/>
      <w:jc w:val="center"/>
    </w:pPr>
    <w:rPr>
      <w:rFonts w:ascii="Times New Roman" w:hAnsi="Times New Roman" w:eastAsia="宋体"/>
      <w:sz w:val="21"/>
    </w:rPr>
  </w:style>
  <w:style w:type="paragraph" w:customStyle="1" w:styleId="18">
    <w:name w:val="图表标题"/>
    <w:basedOn w:val="1"/>
    <w:qFormat/>
    <w:uiPriority w:val="0"/>
    <w:pPr>
      <w:ind w:firstLine="0" w:firstLineChars="0"/>
      <w:jc w:val="center"/>
    </w:pPr>
    <w:rPr>
      <w:rFonts w:ascii="Times New Roman" w:hAnsi="Times New Roman" w:eastAsia="宋体"/>
      <w:b/>
      <w:color w:val="000000"/>
      <w:spacing w:val="3"/>
      <w:sz w:val="21"/>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备注格式"/>
    <w:basedOn w:val="1"/>
    <w:qFormat/>
    <w:uiPriority w:val="0"/>
    <w:pPr>
      <w:spacing w:line="288" w:lineRule="auto"/>
    </w:pPr>
    <w:rPr>
      <w:rFonts w:ascii="Times New Roman" w:hAnsi="Times New Roman" w:eastAsia="仿宋"/>
      <w:b/>
      <w:sz w:val="21"/>
      <w:u w:val="single"/>
    </w:rPr>
  </w:style>
  <w:style w:type="paragraph" w:customStyle="1" w:styleId="21">
    <w:name w:val="表格"/>
    <w:basedOn w:val="1"/>
    <w:autoRedefine/>
    <w:qFormat/>
    <w:uiPriority w:val="0"/>
    <w:pPr>
      <w:jc w:val="center"/>
    </w:pPr>
    <w:rPr>
      <w:rFonts w:ascii="Times New Roman" w:hAnsi="Times New Roman"/>
      <w:snapToGrid w:val="0"/>
      <w:color w:val="auto"/>
      <w:sz w:val="24"/>
      <w:szCs w:val="21"/>
    </w:rPr>
  </w:style>
  <w:style w:type="paragraph" w:customStyle="1" w:styleId="22">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wmf"/><Relationship Id="rId24" Type="http://schemas.openxmlformats.org/officeDocument/2006/relationships/oleObject" Target="embeddings/oleObject7.bin"/><Relationship Id="rId23" Type="http://schemas.openxmlformats.org/officeDocument/2006/relationships/image" Target="media/image11.emf"/><Relationship Id="rId22" Type="http://schemas.openxmlformats.org/officeDocument/2006/relationships/oleObject" Target="embeddings/oleObject6.bin"/><Relationship Id="rId21" Type="http://schemas.openxmlformats.org/officeDocument/2006/relationships/image" Target="media/image10.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4.bin"/><Relationship Id="rId17" Type="http://schemas.openxmlformats.org/officeDocument/2006/relationships/image" Target="media/image8.emf"/><Relationship Id="rId16" Type="http://schemas.openxmlformats.org/officeDocument/2006/relationships/oleObject" Target="embeddings/oleObject3.bin"/><Relationship Id="rId15" Type="http://schemas.openxmlformats.org/officeDocument/2006/relationships/image" Target="media/image7.emf"/><Relationship Id="rId14" Type="http://schemas.openxmlformats.org/officeDocument/2006/relationships/oleObject" Target="embeddings/oleObject2.bin"/><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wNDU1OTQ1NjA5IiwKCSJHcm91cElkIiA6ICIzMzYxMzI3MzkiLAoJIkltYWdlIiA6ICJpVkJPUncwS0dnb0FBQUFOU1VoRVVnQUFBMGNBQUFFUkNBWUFBQUN3OHR4QUFBQUFBWE5TUjBJQXJzNGM2UUFBSUFCSlJFRlVlSnpzM1hsOEZQWDlQL0RYZTJhVGJFSUNoRXZVV0tPR2drdU9uVTI5cW1pMTNrcTFvclZGV3crODhTZW9yVlZyYTYwSDBnSWVwZDZpRmtWcnJiYlVBeFcxQ2xZOHNyTTVES0RSUm9rZ0VrRWhrRTJ5TysvZkg5bk5kNU5za2czazJ1VDFmRHg4c0puNXpHZmVpMHgyM3pPZnovc0R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OZmYvV1orUTA2WG5hbDh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19004</Words>
  <Characters>20235</Characters>
  <Lines>0</Lines>
  <Paragraphs>0</Paragraphs>
  <TotalTime>0</TotalTime>
  <ScaleCrop>false</ScaleCrop>
  <LinksUpToDate>false</LinksUpToDate>
  <CharactersWithSpaces>20280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2024-08-05T03:59:00Z</dcterms:created>
  <dc:creator>拾</dc:creator>
  <cp:lastModifiedBy>碧水蓝天</cp:lastModifiedBy>
  <dcterms:modified xsi:type="dcterms:W3CDTF">2025-10-24T00:47:37Z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543E1343E49249D7974A72C4A1F5934D_13</vt:lpwstr>
  </property>
  <property fmtid="{D5CDD505-2E9C-101B-9397-08002B2CF9AE}" pid="4" name="KSOTemplateDocerSaveRecord">
    <vt:lpwstr>eyJoZGlkIjoiMTZjYzBmYjFhNTNhOWU5YWExOGQxZWIyY2JkMzU0ZGQiLCJ1c2VySWQiOiI1OTQ0Nzk4OTIifQ==</vt:lpwstr>
  </property>
</Properties>
</file>