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E1938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sz w:val="24"/>
          <w:szCs w:val="24"/>
        </w:rPr>
      </w:pPr>
    </w:p>
    <w:p w14:paraId="620FF43D">
      <w:pPr>
        <w:rPr>
          <w:rFonts w:hint="eastAsia"/>
        </w:rPr>
        <w:sectPr>
          <w:pgSz w:w="11906" w:h="16838"/>
          <w:pgMar w:top="1134" w:right="850" w:bottom="1440" w:left="850" w:header="851" w:footer="992" w:gutter="0"/>
          <w:pgBorders>
            <w:top w:val="none" w:sz="0" w:space="0"/>
            <w:left w:val="none" w:sz="0" w:space="0"/>
            <w:bottom w:val="none" w:sz="0" w:space="0"/>
            <w:right w:val="none" w:sz="0" w:space="0"/>
          </w:pgBorders>
          <w:cols w:space="425" w:num="1"/>
          <w:docGrid w:type="lines" w:linePitch="312" w:charSpace="0"/>
        </w:sectPr>
      </w:pPr>
    </w:p>
    <w:p w14:paraId="4B632287">
      <w:pPr>
        <w:pStyle w:val="2"/>
        <w:bidi w:val="0"/>
        <w:rPr>
          <w:rFonts w:hint="default"/>
          <w:lang w:val="en-US" w:eastAsia="zh-CN"/>
        </w:rPr>
      </w:pPr>
      <w:r>
        <w:rPr>
          <w:rFonts w:hint="eastAsia"/>
          <w:lang w:val="en-US" w:eastAsia="zh-CN"/>
        </w:rPr>
        <w:t>一、建设项目基本情况</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7"/>
        <w:gridCol w:w="2542"/>
        <w:gridCol w:w="1783"/>
        <w:gridCol w:w="3336"/>
      </w:tblGrid>
      <w:tr w14:paraId="23A17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9" w:type="dxa"/>
            <w:vAlign w:val="center"/>
          </w:tcPr>
          <w:p w14:paraId="115BFF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vertAlign w:val="baseline"/>
                <w:lang w:val="en-US" w:eastAsia="zh-CN"/>
              </w:rPr>
            </w:pPr>
            <w:r>
              <w:rPr>
                <w:rFonts w:hint="eastAsia"/>
                <w:vertAlign w:val="baseline"/>
                <w:lang w:val="en-US" w:eastAsia="zh-CN"/>
              </w:rPr>
              <w:t>建设项目</w:t>
            </w:r>
          </w:p>
          <w:p w14:paraId="3E5A5C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vertAlign w:val="baseline"/>
                <w:lang w:val="en-US" w:eastAsia="zh-CN"/>
              </w:rPr>
            </w:pPr>
            <w:r>
              <w:rPr>
                <w:rFonts w:hint="eastAsia"/>
                <w:vertAlign w:val="baseline"/>
                <w:lang w:val="en-US" w:eastAsia="zh-CN"/>
              </w:rPr>
              <w:t>名称</w:t>
            </w:r>
          </w:p>
        </w:tc>
        <w:tc>
          <w:tcPr>
            <w:tcW w:w="7339" w:type="dxa"/>
            <w:gridSpan w:val="3"/>
            <w:vAlign w:val="center"/>
          </w:tcPr>
          <w:p w14:paraId="416C96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vertAlign w:val="baseline"/>
                <w:lang w:val="en-US" w:eastAsia="zh-CN"/>
              </w:rPr>
            </w:pPr>
            <w:r>
              <w:rPr>
                <w:rFonts w:hint="eastAsia"/>
                <w:vertAlign w:val="baseline"/>
                <w:lang w:val="en-US" w:eastAsia="zh-CN"/>
              </w:rPr>
              <w:t>北京至爱动物医院项目</w:t>
            </w:r>
          </w:p>
        </w:tc>
      </w:tr>
      <w:tr w14:paraId="6D7E1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9" w:type="dxa"/>
            <w:vAlign w:val="center"/>
          </w:tcPr>
          <w:p w14:paraId="19D831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vertAlign w:val="baseline"/>
                <w:lang w:val="en-US" w:eastAsia="zh-CN"/>
              </w:rPr>
            </w:pPr>
            <w:r>
              <w:rPr>
                <w:rFonts w:hint="eastAsia"/>
                <w:vertAlign w:val="baseline"/>
                <w:lang w:val="en-US" w:eastAsia="zh-CN"/>
              </w:rPr>
              <w:t>项目代码</w:t>
            </w:r>
          </w:p>
        </w:tc>
        <w:tc>
          <w:tcPr>
            <w:tcW w:w="7339" w:type="dxa"/>
            <w:gridSpan w:val="3"/>
            <w:vAlign w:val="center"/>
          </w:tcPr>
          <w:p w14:paraId="60B331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vertAlign w:val="baseline"/>
                <w:lang w:val="en-US" w:eastAsia="zh-CN"/>
              </w:rPr>
            </w:pPr>
            <w:r>
              <w:rPr>
                <w:rFonts w:hint="eastAsia"/>
                <w:vertAlign w:val="baseline"/>
                <w:lang w:val="en-US" w:eastAsia="zh-CN"/>
              </w:rPr>
              <w:t>无</w:t>
            </w:r>
          </w:p>
        </w:tc>
      </w:tr>
      <w:tr w14:paraId="5902B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9" w:type="dxa"/>
            <w:vAlign w:val="center"/>
          </w:tcPr>
          <w:p w14:paraId="6863B4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vertAlign w:val="baseline"/>
                <w:lang w:val="en-US" w:eastAsia="zh-CN"/>
              </w:rPr>
            </w:pPr>
            <w:r>
              <w:rPr>
                <w:rFonts w:hint="eastAsia"/>
                <w:vertAlign w:val="baseline"/>
                <w:lang w:val="en-US" w:eastAsia="zh-CN"/>
              </w:rPr>
              <w:t>建设单位</w:t>
            </w:r>
          </w:p>
          <w:p w14:paraId="307003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vertAlign w:val="baseline"/>
                <w:lang w:val="en-US" w:eastAsia="zh-CN"/>
              </w:rPr>
            </w:pPr>
            <w:r>
              <w:rPr>
                <w:rFonts w:hint="eastAsia"/>
                <w:vertAlign w:val="baseline"/>
                <w:lang w:val="en-US" w:eastAsia="zh-CN"/>
              </w:rPr>
              <w:t>联系人</w:t>
            </w:r>
          </w:p>
        </w:tc>
        <w:tc>
          <w:tcPr>
            <w:tcW w:w="2595" w:type="dxa"/>
            <w:vAlign w:val="center"/>
          </w:tcPr>
          <w:p w14:paraId="65D62D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vertAlign w:val="baseline"/>
                <w:lang w:val="en-US" w:eastAsia="zh-CN"/>
              </w:rPr>
            </w:pPr>
            <w:r>
              <w:rPr>
                <w:rFonts w:hint="eastAsia"/>
                <w:vertAlign w:val="baseline"/>
                <w:lang w:val="en-US" w:eastAsia="zh-CN"/>
              </w:rPr>
              <w:t>李焜民</w:t>
            </w:r>
          </w:p>
        </w:tc>
        <w:tc>
          <w:tcPr>
            <w:tcW w:w="1560" w:type="dxa"/>
            <w:vAlign w:val="center"/>
          </w:tcPr>
          <w:p w14:paraId="414DAD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vertAlign w:val="baseline"/>
                <w:lang w:val="en-US" w:eastAsia="zh-CN"/>
              </w:rPr>
            </w:pPr>
            <w:r>
              <w:rPr>
                <w:rFonts w:hint="eastAsia"/>
                <w:vertAlign w:val="baseline"/>
                <w:lang w:val="en-US" w:eastAsia="zh-CN"/>
              </w:rPr>
              <w:t>联系方式</w:t>
            </w:r>
          </w:p>
        </w:tc>
        <w:tc>
          <w:tcPr>
            <w:tcW w:w="3184" w:type="dxa"/>
            <w:vAlign w:val="center"/>
          </w:tcPr>
          <w:p w14:paraId="3EEF3C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vertAlign w:val="baseline"/>
              </w:rPr>
            </w:pPr>
            <w:bookmarkStart w:id="0" w:name="_GoBack"/>
            <w:bookmarkEnd w:id="0"/>
            <w:r>
              <w:rPr>
                <w:rFonts w:hint="eastAsia"/>
                <w:vertAlign w:val="baseline"/>
              </w:rPr>
              <w:t>13691284064</w:t>
            </w:r>
          </w:p>
        </w:tc>
      </w:tr>
      <w:tr w14:paraId="371AC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9" w:type="dxa"/>
            <w:vAlign w:val="center"/>
          </w:tcPr>
          <w:p w14:paraId="21C9E2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vertAlign w:val="baseline"/>
                <w:lang w:val="en-US" w:eastAsia="zh-CN"/>
              </w:rPr>
            </w:pPr>
            <w:r>
              <w:rPr>
                <w:rFonts w:hint="eastAsia"/>
                <w:vertAlign w:val="baseline"/>
                <w:lang w:val="en-US" w:eastAsia="zh-CN"/>
              </w:rPr>
              <w:t>建设地点</w:t>
            </w:r>
          </w:p>
        </w:tc>
        <w:tc>
          <w:tcPr>
            <w:tcW w:w="7339" w:type="dxa"/>
            <w:gridSpan w:val="3"/>
            <w:vAlign w:val="center"/>
          </w:tcPr>
          <w:p w14:paraId="031F73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vertAlign w:val="baseline"/>
                <w:lang w:val="en-US" w:eastAsia="zh-CN"/>
              </w:rPr>
            </w:pPr>
            <w:r>
              <w:rPr>
                <w:rFonts w:hint="eastAsia"/>
                <w:vertAlign w:val="baseline"/>
                <w:lang w:val="en-US" w:eastAsia="zh-CN"/>
              </w:rPr>
              <w:t>北京市房山区良乡拱辰星园4号楼1层0102底商</w:t>
            </w:r>
          </w:p>
        </w:tc>
      </w:tr>
      <w:tr w14:paraId="21E7F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9" w:type="dxa"/>
            <w:vAlign w:val="center"/>
          </w:tcPr>
          <w:p w14:paraId="344A5F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vertAlign w:val="baseline"/>
                <w:lang w:val="en-US" w:eastAsia="zh-CN"/>
              </w:rPr>
            </w:pPr>
            <w:r>
              <w:rPr>
                <w:rFonts w:hint="eastAsia"/>
                <w:vertAlign w:val="baseline"/>
                <w:lang w:val="en-US" w:eastAsia="zh-CN"/>
              </w:rPr>
              <w:t>地理坐标</w:t>
            </w:r>
          </w:p>
        </w:tc>
        <w:tc>
          <w:tcPr>
            <w:tcW w:w="7339" w:type="dxa"/>
            <w:gridSpan w:val="3"/>
            <w:vAlign w:val="center"/>
          </w:tcPr>
          <w:p w14:paraId="69E9FA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vertAlign w:val="baseline"/>
              </w:rPr>
            </w:pPr>
            <w:r>
              <w:rPr>
                <w:rFonts w:hint="eastAsia"/>
                <w:highlight w:val="none"/>
                <w:vertAlign w:val="baseline"/>
              </w:rPr>
              <w:t>东经</w:t>
            </w:r>
            <w:r>
              <w:rPr>
                <w:rFonts w:hint="eastAsia"/>
                <w:highlight w:val="none"/>
                <w:u w:val="single"/>
                <w:vertAlign w:val="baseline"/>
              </w:rPr>
              <w:t xml:space="preserve"> 116 </w:t>
            </w:r>
            <w:r>
              <w:rPr>
                <w:rFonts w:hint="eastAsia"/>
                <w:highlight w:val="none"/>
                <w:vertAlign w:val="baseline"/>
              </w:rPr>
              <w:t>度</w:t>
            </w:r>
            <w:r>
              <w:rPr>
                <w:rFonts w:hint="eastAsia"/>
                <w:highlight w:val="none"/>
                <w:u w:val="single"/>
                <w:vertAlign w:val="baseline"/>
              </w:rPr>
              <w:t xml:space="preserve"> </w:t>
            </w:r>
            <w:r>
              <w:rPr>
                <w:rFonts w:hint="eastAsia"/>
                <w:highlight w:val="none"/>
                <w:u w:val="single"/>
                <w:vertAlign w:val="baseline"/>
                <w:lang w:val="en-US" w:eastAsia="zh-CN"/>
              </w:rPr>
              <w:t>7</w:t>
            </w:r>
            <w:r>
              <w:rPr>
                <w:rFonts w:hint="eastAsia"/>
                <w:highlight w:val="none"/>
                <w:u w:val="single"/>
                <w:vertAlign w:val="baseline"/>
              </w:rPr>
              <w:t xml:space="preserve"> </w:t>
            </w:r>
            <w:r>
              <w:rPr>
                <w:rFonts w:hint="eastAsia"/>
                <w:highlight w:val="none"/>
                <w:vertAlign w:val="baseline"/>
              </w:rPr>
              <w:t>分</w:t>
            </w:r>
            <w:r>
              <w:rPr>
                <w:rFonts w:hint="eastAsia"/>
                <w:highlight w:val="none"/>
                <w:u w:val="single"/>
                <w:vertAlign w:val="baseline"/>
              </w:rPr>
              <w:t xml:space="preserve"> </w:t>
            </w:r>
            <w:r>
              <w:rPr>
                <w:rFonts w:hint="eastAsia"/>
                <w:highlight w:val="none"/>
                <w:u w:val="single"/>
                <w:vertAlign w:val="baseline"/>
                <w:lang w:val="en-US" w:eastAsia="zh-CN"/>
              </w:rPr>
              <w:t>56.461</w:t>
            </w:r>
            <w:r>
              <w:rPr>
                <w:rFonts w:hint="eastAsia"/>
                <w:highlight w:val="none"/>
                <w:u w:val="single"/>
                <w:vertAlign w:val="baseline"/>
              </w:rPr>
              <w:t xml:space="preserve"> </w:t>
            </w:r>
            <w:r>
              <w:rPr>
                <w:rFonts w:hint="eastAsia"/>
                <w:highlight w:val="none"/>
                <w:vertAlign w:val="baseline"/>
              </w:rPr>
              <w:t>秒，北纬</w:t>
            </w:r>
            <w:r>
              <w:rPr>
                <w:rFonts w:hint="eastAsia"/>
                <w:highlight w:val="none"/>
                <w:u w:val="single"/>
                <w:vertAlign w:val="baseline"/>
              </w:rPr>
              <w:t xml:space="preserve"> 39 </w:t>
            </w:r>
            <w:r>
              <w:rPr>
                <w:rFonts w:hint="eastAsia"/>
                <w:highlight w:val="none"/>
                <w:vertAlign w:val="baseline"/>
              </w:rPr>
              <w:t>度</w:t>
            </w:r>
            <w:r>
              <w:rPr>
                <w:rFonts w:hint="eastAsia"/>
                <w:highlight w:val="none"/>
                <w:u w:val="single"/>
                <w:vertAlign w:val="baseline"/>
              </w:rPr>
              <w:t xml:space="preserve"> </w:t>
            </w:r>
            <w:r>
              <w:rPr>
                <w:rFonts w:hint="eastAsia"/>
                <w:highlight w:val="none"/>
                <w:u w:val="single"/>
                <w:vertAlign w:val="baseline"/>
                <w:lang w:val="en-US" w:eastAsia="zh-CN"/>
              </w:rPr>
              <w:t>43</w:t>
            </w:r>
            <w:r>
              <w:rPr>
                <w:rFonts w:hint="eastAsia"/>
                <w:highlight w:val="none"/>
                <w:u w:val="single"/>
                <w:vertAlign w:val="baseline"/>
              </w:rPr>
              <w:t xml:space="preserve"> </w:t>
            </w:r>
            <w:r>
              <w:rPr>
                <w:rFonts w:hint="eastAsia"/>
                <w:highlight w:val="none"/>
                <w:vertAlign w:val="baseline"/>
              </w:rPr>
              <w:t>分</w:t>
            </w:r>
            <w:r>
              <w:rPr>
                <w:rFonts w:hint="eastAsia"/>
                <w:highlight w:val="none"/>
                <w:u w:val="single"/>
                <w:vertAlign w:val="baseline"/>
              </w:rPr>
              <w:t xml:space="preserve"> </w:t>
            </w:r>
            <w:r>
              <w:rPr>
                <w:rFonts w:hint="eastAsia"/>
                <w:highlight w:val="none"/>
                <w:u w:val="single"/>
                <w:vertAlign w:val="baseline"/>
                <w:lang w:val="en-US" w:eastAsia="zh-CN"/>
              </w:rPr>
              <w:t>56.786</w:t>
            </w:r>
            <w:r>
              <w:rPr>
                <w:rFonts w:hint="eastAsia"/>
                <w:highlight w:val="none"/>
                <w:u w:val="single"/>
                <w:vertAlign w:val="baseline"/>
              </w:rPr>
              <w:t xml:space="preserve"> </w:t>
            </w:r>
            <w:r>
              <w:rPr>
                <w:rFonts w:hint="eastAsia"/>
                <w:highlight w:val="none"/>
                <w:vertAlign w:val="baseline"/>
              </w:rPr>
              <w:t>秒</w:t>
            </w:r>
          </w:p>
        </w:tc>
      </w:tr>
      <w:tr w14:paraId="626FA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9" w:type="dxa"/>
            <w:vAlign w:val="center"/>
          </w:tcPr>
          <w:p w14:paraId="57B0DC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vertAlign w:val="baseline"/>
                <w:lang w:val="en-US" w:eastAsia="zh-CN"/>
              </w:rPr>
            </w:pPr>
            <w:r>
              <w:rPr>
                <w:rFonts w:hint="eastAsia"/>
                <w:vertAlign w:val="baseline"/>
                <w:lang w:val="en-US" w:eastAsia="zh-CN"/>
              </w:rPr>
              <w:t>国民经济</w:t>
            </w:r>
          </w:p>
          <w:p w14:paraId="423544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行业类别</w:t>
            </w:r>
          </w:p>
        </w:tc>
        <w:tc>
          <w:tcPr>
            <w:tcW w:w="2595" w:type="dxa"/>
            <w:vAlign w:val="center"/>
          </w:tcPr>
          <w:p w14:paraId="152C6D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vertAlign w:val="baseline"/>
                <w:lang w:val="en-US" w:eastAsia="zh-CN"/>
              </w:rPr>
            </w:pPr>
            <w:r>
              <w:rPr>
                <w:rFonts w:hint="eastAsia"/>
                <w:vertAlign w:val="baseline"/>
                <w:lang w:val="en-US" w:eastAsia="zh-CN"/>
              </w:rPr>
              <w:t>O8222</w:t>
            </w:r>
          </w:p>
          <w:p w14:paraId="255FC8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vertAlign w:val="baseline"/>
                <w:lang w:val="en-US" w:eastAsia="zh-CN"/>
              </w:rPr>
            </w:pPr>
            <w:r>
              <w:rPr>
                <w:rFonts w:hint="eastAsia"/>
                <w:vertAlign w:val="baseline"/>
                <w:lang w:val="en-US" w:eastAsia="zh-CN"/>
              </w:rPr>
              <w:t>宠物医院服务</w:t>
            </w:r>
          </w:p>
        </w:tc>
        <w:tc>
          <w:tcPr>
            <w:tcW w:w="1560" w:type="dxa"/>
            <w:vAlign w:val="center"/>
          </w:tcPr>
          <w:p w14:paraId="3FE3B1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vertAlign w:val="baseline"/>
                <w:lang w:val="en-US" w:eastAsia="zh-CN"/>
              </w:rPr>
            </w:pPr>
            <w:r>
              <w:rPr>
                <w:rFonts w:hint="eastAsia"/>
                <w:vertAlign w:val="baseline"/>
                <w:lang w:val="en-US" w:eastAsia="zh-CN"/>
              </w:rPr>
              <w:t>建设项目行业类别</w:t>
            </w:r>
          </w:p>
        </w:tc>
        <w:tc>
          <w:tcPr>
            <w:tcW w:w="3184" w:type="dxa"/>
            <w:vAlign w:val="center"/>
          </w:tcPr>
          <w:p w14:paraId="7CC263D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eastAsia="宋体"/>
                <w:vertAlign w:val="baseline"/>
                <w:lang w:val="en-US" w:eastAsia="zh-CN"/>
              </w:rPr>
            </w:pPr>
            <w:r>
              <w:rPr>
                <w:rFonts w:hint="eastAsia"/>
                <w:vertAlign w:val="baseline"/>
                <w:lang w:val="en-US" w:eastAsia="zh-CN"/>
              </w:rPr>
              <w:t>五十</w:t>
            </w:r>
            <w:r>
              <w:rPr>
                <w:rFonts w:hint="eastAsia"/>
                <w:vertAlign w:val="baseline"/>
              </w:rPr>
              <w:t>、</w:t>
            </w:r>
            <w:r>
              <w:rPr>
                <w:rFonts w:hint="eastAsia"/>
                <w:vertAlign w:val="baseline"/>
                <w:lang w:val="en-US" w:eastAsia="zh-CN"/>
              </w:rPr>
              <w:t>社会事业与服务业</w:t>
            </w:r>
            <w:r>
              <w:rPr>
                <w:rFonts w:hint="eastAsia"/>
                <w:vertAlign w:val="baseline"/>
              </w:rPr>
              <w:t>：</w:t>
            </w:r>
            <w:r>
              <w:rPr>
                <w:rFonts w:hint="eastAsia"/>
                <w:vertAlign w:val="baseline"/>
                <w:lang w:val="en-US" w:eastAsia="zh-CN"/>
              </w:rPr>
              <w:t>123动物医院：设有动物颅腔、胸腔或腹腔手术设施的</w:t>
            </w:r>
          </w:p>
        </w:tc>
      </w:tr>
      <w:tr w14:paraId="0533B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9" w:type="dxa"/>
            <w:vAlign w:val="center"/>
          </w:tcPr>
          <w:p w14:paraId="16FBA1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建设性质</w:t>
            </w:r>
          </w:p>
        </w:tc>
        <w:tc>
          <w:tcPr>
            <w:tcW w:w="2595" w:type="dxa"/>
            <w:vAlign w:val="center"/>
          </w:tcPr>
          <w:p w14:paraId="72F34B1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vertAlign w:val="baseline"/>
              </w:rPr>
            </w:pPr>
            <w:r>
              <w:rPr>
                <w:rFonts w:hint="eastAsia"/>
                <w:vertAlign w:val="baseline"/>
              </w:rPr>
              <w:sym w:font="Wingdings" w:char="00FE"/>
            </w:r>
            <w:r>
              <w:rPr>
                <w:rFonts w:hint="eastAsia"/>
                <w:vertAlign w:val="baseline"/>
              </w:rPr>
              <w:t>新建（迁建）</w:t>
            </w:r>
          </w:p>
          <w:p w14:paraId="53A7D05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vertAlign w:val="baseline"/>
              </w:rPr>
            </w:pPr>
            <w:r>
              <w:rPr>
                <w:rFonts w:hint="eastAsia"/>
                <w:vertAlign w:val="baseline"/>
              </w:rPr>
              <w:sym w:font="Wingdings" w:char="00A8"/>
            </w:r>
            <w:r>
              <w:rPr>
                <w:rFonts w:hint="eastAsia"/>
                <w:vertAlign w:val="baseline"/>
              </w:rPr>
              <w:t>改建</w:t>
            </w:r>
          </w:p>
          <w:p w14:paraId="55C6543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vertAlign w:val="baseline"/>
              </w:rPr>
            </w:pPr>
            <w:r>
              <w:rPr>
                <w:rFonts w:hint="eastAsia"/>
                <w:vertAlign w:val="baseline"/>
              </w:rPr>
              <w:sym w:font="Wingdings" w:char="00A8"/>
            </w:r>
            <w:r>
              <w:rPr>
                <w:rFonts w:hint="eastAsia"/>
                <w:vertAlign w:val="baseline"/>
              </w:rPr>
              <w:t>扩建</w:t>
            </w:r>
          </w:p>
          <w:p w14:paraId="0809ADB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vertAlign w:val="baseline"/>
              </w:rPr>
            </w:pPr>
            <w:r>
              <w:rPr>
                <w:rFonts w:hint="eastAsia"/>
                <w:vertAlign w:val="baseline"/>
              </w:rPr>
              <w:sym w:font="Wingdings" w:char="00A8"/>
            </w:r>
            <w:r>
              <w:rPr>
                <w:rFonts w:hint="eastAsia"/>
                <w:vertAlign w:val="baseline"/>
              </w:rPr>
              <w:t>技术改造</w:t>
            </w:r>
          </w:p>
        </w:tc>
        <w:tc>
          <w:tcPr>
            <w:tcW w:w="1560" w:type="dxa"/>
            <w:vAlign w:val="center"/>
          </w:tcPr>
          <w:p w14:paraId="4E1AF0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vertAlign w:val="baseline"/>
                <w:lang w:val="en-US" w:eastAsia="zh-CN"/>
              </w:rPr>
            </w:pPr>
            <w:r>
              <w:rPr>
                <w:rFonts w:hint="eastAsia"/>
                <w:vertAlign w:val="baseline"/>
                <w:lang w:val="en-US" w:eastAsia="zh-CN"/>
              </w:rPr>
              <w:t>建设项目申报情形</w:t>
            </w:r>
          </w:p>
        </w:tc>
        <w:tc>
          <w:tcPr>
            <w:tcW w:w="3184" w:type="dxa"/>
            <w:vAlign w:val="center"/>
          </w:tcPr>
          <w:p w14:paraId="20ABED9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vertAlign w:val="baseline"/>
              </w:rPr>
            </w:pPr>
            <w:r>
              <w:rPr>
                <w:rFonts w:hint="eastAsia"/>
                <w:vertAlign w:val="baseline"/>
              </w:rPr>
              <w:sym w:font="Wingdings" w:char="00FE"/>
            </w:r>
            <w:r>
              <w:rPr>
                <w:rFonts w:hint="eastAsia"/>
                <w:vertAlign w:val="baseline"/>
              </w:rPr>
              <w:t>首次申报项目</w:t>
            </w:r>
          </w:p>
          <w:p w14:paraId="52F460F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vertAlign w:val="baseline"/>
              </w:rPr>
            </w:pPr>
            <w:r>
              <w:rPr>
                <w:rFonts w:hint="eastAsia"/>
                <w:vertAlign w:val="baseline"/>
              </w:rPr>
              <w:sym w:font="Wingdings" w:char="00A8"/>
            </w:r>
            <w:r>
              <w:rPr>
                <w:rFonts w:hint="eastAsia"/>
                <w:vertAlign w:val="baseline"/>
              </w:rPr>
              <w:t>不予批准后再次申报项目</w:t>
            </w:r>
          </w:p>
          <w:p w14:paraId="6608921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vertAlign w:val="baseline"/>
              </w:rPr>
            </w:pPr>
            <w:r>
              <w:rPr>
                <w:rFonts w:hint="eastAsia"/>
                <w:vertAlign w:val="baseline"/>
              </w:rPr>
              <w:sym w:font="Wingdings" w:char="00A8"/>
            </w:r>
            <w:r>
              <w:rPr>
                <w:rFonts w:hint="eastAsia"/>
                <w:vertAlign w:val="baseline"/>
              </w:rPr>
              <w:t>超五年重新审核项目</w:t>
            </w:r>
          </w:p>
          <w:p w14:paraId="2020D6E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vertAlign w:val="baseline"/>
              </w:rPr>
            </w:pPr>
            <w:r>
              <w:rPr>
                <w:rFonts w:hint="eastAsia"/>
                <w:vertAlign w:val="baseline"/>
              </w:rPr>
              <w:sym w:font="Wingdings" w:char="00A8"/>
            </w:r>
            <w:r>
              <w:rPr>
                <w:rFonts w:hint="eastAsia"/>
                <w:vertAlign w:val="baseline"/>
              </w:rPr>
              <w:t>重大变动重新报批项目</w:t>
            </w:r>
          </w:p>
        </w:tc>
      </w:tr>
      <w:tr w14:paraId="27572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9" w:type="dxa"/>
            <w:vAlign w:val="center"/>
          </w:tcPr>
          <w:p w14:paraId="693122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项目审批（核准/备案）部门（选填）</w:t>
            </w:r>
          </w:p>
        </w:tc>
        <w:tc>
          <w:tcPr>
            <w:tcW w:w="2595" w:type="dxa"/>
            <w:vAlign w:val="center"/>
          </w:tcPr>
          <w:p w14:paraId="751BE3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vertAlign w:val="baseline"/>
                <w:lang w:val="en-US" w:eastAsia="zh-CN"/>
              </w:rPr>
            </w:pPr>
            <w:r>
              <w:rPr>
                <w:rFonts w:hint="eastAsia"/>
                <w:vertAlign w:val="baseline"/>
                <w:lang w:val="en-US" w:eastAsia="zh-CN"/>
              </w:rPr>
              <w:t>无</w:t>
            </w:r>
          </w:p>
        </w:tc>
        <w:tc>
          <w:tcPr>
            <w:tcW w:w="1560" w:type="dxa"/>
            <w:vAlign w:val="center"/>
          </w:tcPr>
          <w:p w14:paraId="627CA8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vertAlign w:val="baseline"/>
                <w:lang w:val="en-US" w:eastAsia="zh-CN"/>
              </w:rPr>
            </w:pPr>
            <w:r>
              <w:rPr>
                <w:rFonts w:hint="eastAsia"/>
                <w:vertAlign w:val="baseline"/>
                <w:lang w:val="en-US" w:eastAsia="zh-CN"/>
              </w:rPr>
              <w:t>项目审批（核准/备案）文号（选填）</w:t>
            </w:r>
          </w:p>
        </w:tc>
        <w:tc>
          <w:tcPr>
            <w:tcW w:w="3184" w:type="dxa"/>
            <w:vAlign w:val="center"/>
          </w:tcPr>
          <w:p w14:paraId="48BC00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vertAlign w:val="baseline"/>
                <w:lang w:val="en-US" w:eastAsia="zh-CN"/>
              </w:rPr>
            </w:pPr>
            <w:r>
              <w:rPr>
                <w:rFonts w:hint="eastAsia"/>
                <w:vertAlign w:val="baseline"/>
                <w:lang w:val="en-US" w:eastAsia="zh-CN"/>
              </w:rPr>
              <w:t>无</w:t>
            </w:r>
          </w:p>
        </w:tc>
      </w:tr>
      <w:tr w14:paraId="1A278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9" w:type="dxa"/>
            <w:vAlign w:val="center"/>
          </w:tcPr>
          <w:p w14:paraId="17E8E7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vertAlign w:val="baseline"/>
                <w:lang w:val="en-US" w:eastAsia="zh-CN"/>
              </w:rPr>
            </w:pPr>
            <w:r>
              <w:rPr>
                <w:rFonts w:hint="eastAsia"/>
                <w:vertAlign w:val="baseline"/>
                <w:lang w:val="en-US" w:eastAsia="zh-CN"/>
              </w:rPr>
              <w:t>总投资</w:t>
            </w:r>
          </w:p>
          <w:p w14:paraId="4A9711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（万元）</w:t>
            </w:r>
          </w:p>
        </w:tc>
        <w:tc>
          <w:tcPr>
            <w:tcW w:w="2595" w:type="dxa"/>
            <w:vAlign w:val="center"/>
          </w:tcPr>
          <w:p w14:paraId="7E357D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vertAlign w:val="baseline"/>
                <w:lang w:val="en-US" w:eastAsia="zh-CN"/>
              </w:rPr>
            </w:pPr>
            <w:r>
              <w:rPr>
                <w:rFonts w:hint="eastAsia"/>
                <w:vertAlign w:val="baseline"/>
                <w:lang w:val="en-US" w:eastAsia="zh-CN"/>
              </w:rPr>
              <w:t>120</w:t>
            </w:r>
          </w:p>
        </w:tc>
        <w:tc>
          <w:tcPr>
            <w:tcW w:w="1560" w:type="dxa"/>
            <w:vAlign w:val="center"/>
          </w:tcPr>
          <w:p w14:paraId="7E486A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vertAlign w:val="baseline"/>
                <w:lang w:val="en-US" w:eastAsia="zh-CN"/>
              </w:rPr>
            </w:pPr>
            <w:r>
              <w:rPr>
                <w:rFonts w:hint="eastAsia"/>
                <w:vertAlign w:val="baseline"/>
                <w:lang w:val="en-US" w:eastAsia="zh-CN"/>
              </w:rPr>
              <w:t>环保投资（万元）</w:t>
            </w:r>
          </w:p>
        </w:tc>
        <w:tc>
          <w:tcPr>
            <w:tcW w:w="3184" w:type="dxa"/>
            <w:vAlign w:val="center"/>
          </w:tcPr>
          <w:p w14:paraId="78F063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vertAlign w:val="baseline"/>
                <w:lang w:val="en-US" w:eastAsia="zh-CN"/>
              </w:rPr>
            </w:pPr>
            <w:r>
              <w:rPr>
                <w:rFonts w:hint="eastAsia"/>
                <w:vertAlign w:val="baseline"/>
                <w:lang w:val="en-US" w:eastAsia="zh-CN"/>
              </w:rPr>
              <w:t>3</w:t>
            </w:r>
          </w:p>
        </w:tc>
      </w:tr>
      <w:tr w14:paraId="1F4EF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9" w:type="dxa"/>
            <w:vAlign w:val="center"/>
          </w:tcPr>
          <w:p w14:paraId="49C62F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vertAlign w:val="baseline"/>
                <w:lang w:val="en-US" w:eastAsia="zh-CN"/>
              </w:rPr>
            </w:pPr>
            <w:r>
              <w:rPr>
                <w:rFonts w:hint="eastAsia"/>
                <w:vertAlign w:val="baseline"/>
                <w:lang w:val="en-US" w:eastAsia="zh-CN"/>
              </w:rPr>
              <w:t>环保投资</w:t>
            </w:r>
          </w:p>
          <w:p w14:paraId="090D1C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占比（%）</w:t>
            </w:r>
          </w:p>
        </w:tc>
        <w:tc>
          <w:tcPr>
            <w:tcW w:w="2595" w:type="dxa"/>
            <w:vAlign w:val="center"/>
          </w:tcPr>
          <w:p w14:paraId="5C6CBC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vertAlign w:val="baseline"/>
                <w:lang w:val="en-US" w:eastAsia="zh-CN"/>
              </w:rPr>
            </w:pPr>
            <w:r>
              <w:rPr>
                <w:rFonts w:hint="eastAsia"/>
                <w:vertAlign w:val="baseline"/>
                <w:lang w:val="en-US" w:eastAsia="zh-CN"/>
              </w:rPr>
              <w:t>2.5</w:t>
            </w:r>
          </w:p>
        </w:tc>
        <w:tc>
          <w:tcPr>
            <w:tcW w:w="1560" w:type="dxa"/>
            <w:vAlign w:val="center"/>
          </w:tcPr>
          <w:p w14:paraId="001B51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vertAlign w:val="baseline"/>
                <w:lang w:val="en-US" w:eastAsia="zh-CN"/>
              </w:rPr>
            </w:pPr>
            <w:r>
              <w:rPr>
                <w:rFonts w:hint="eastAsia"/>
                <w:vertAlign w:val="baseline"/>
                <w:lang w:val="en-US" w:eastAsia="zh-CN"/>
              </w:rPr>
              <w:t>施工工期</w:t>
            </w:r>
          </w:p>
        </w:tc>
        <w:tc>
          <w:tcPr>
            <w:tcW w:w="3184" w:type="dxa"/>
            <w:vAlign w:val="center"/>
          </w:tcPr>
          <w:p w14:paraId="01F4AE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vertAlign w:val="baseline"/>
                <w:lang w:val="en-US" w:eastAsia="zh-CN"/>
              </w:rPr>
            </w:pPr>
            <w:r>
              <w:rPr>
                <w:rFonts w:hint="eastAsia"/>
                <w:vertAlign w:val="baseline"/>
                <w:lang w:val="en-US" w:eastAsia="zh-CN"/>
              </w:rPr>
              <w:t>1个月</w:t>
            </w:r>
          </w:p>
        </w:tc>
      </w:tr>
      <w:tr w14:paraId="687CB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9" w:type="dxa"/>
            <w:vAlign w:val="center"/>
          </w:tcPr>
          <w:p w14:paraId="7EAD63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vertAlign w:val="baseline"/>
                <w:lang w:val="en-US" w:eastAsia="zh-CN"/>
              </w:rPr>
            </w:pPr>
            <w:r>
              <w:rPr>
                <w:rFonts w:hint="eastAsia"/>
                <w:vertAlign w:val="baseline"/>
                <w:lang w:val="en-US" w:eastAsia="zh-CN"/>
              </w:rPr>
              <w:t>是否开工</w:t>
            </w:r>
          </w:p>
          <w:p w14:paraId="75114B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建设</w:t>
            </w:r>
          </w:p>
        </w:tc>
        <w:tc>
          <w:tcPr>
            <w:tcW w:w="2595" w:type="dxa"/>
            <w:vAlign w:val="center"/>
          </w:tcPr>
          <w:p w14:paraId="400CAC1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vertAlign w:val="baseline"/>
                <w:lang w:val="en-US" w:eastAsia="zh-CN"/>
              </w:rPr>
            </w:pPr>
            <w:r>
              <w:rPr>
                <w:rFonts w:hint="eastAsia"/>
                <w:vertAlign w:val="baseline"/>
              </w:rPr>
              <w:sym w:font="Wingdings" w:char="00FE"/>
            </w:r>
            <w:r>
              <w:rPr>
                <w:rFonts w:hint="eastAsia"/>
                <w:vertAlign w:val="baseline"/>
                <w:lang w:val="en-US" w:eastAsia="zh-CN"/>
              </w:rPr>
              <w:t>否：</w:t>
            </w:r>
          </w:p>
          <w:p w14:paraId="0F8E57D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eastAsia="宋体"/>
                <w:vertAlign w:val="baseline"/>
                <w:lang w:val="en-US" w:eastAsia="zh-CN"/>
              </w:rPr>
            </w:pPr>
            <w:r>
              <w:rPr>
                <w:rFonts w:hint="eastAsia"/>
                <w:vertAlign w:val="baseline"/>
              </w:rPr>
              <w:sym w:font="Wingdings" w:char="00A8"/>
            </w:r>
            <w:r>
              <w:rPr>
                <w:rFonts w:hint="eastAsia"/>
                <w:vertAlign w:val="baseline"/>
                <w:lang w:val="en-US" w:eastAsia="zh-CN"/>
              </w:rPr>
              <w:t>是：</w:t>
            </w:r>
          </w:p>
        </w:tc>
        <w:tc>
          <w:tcPr>
            <w:tcW w:w="1560" w:type="dxa"/>
            <w:vAlign w:val="center"/>
          </w:tcPr>
          <w:p w14:paraId="760579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vertAlign w:val="baseline"/>
                <w:lang w:val="en-US" w:eastAsia="zh-CN"/>
              </w:rPr>
            </w:pPr>
            <w:r>
              <w:rPr>
                <w:rFonts w:hint="eastAsia"/>
                <w:vertAlign w:val="baseline"/>
                <w:lang w:val="en-US" w:eastAsia="zh-CN"/>
              </w:rPr>
              <w:t>用地（用海）面积（m</w:t>
            </w:r>
            <w:r>
              <w:rPr>
                <w:rFonts w:hint="eastAsia"/>
                <w:vertAlign w:val="superscript"/>
                <w:lang w:val="en-US" w:eastAsia="zh-CN"/>
              </w:rPr>
              <w:t>2</w:t>
            </w:r>
            <w:r>
              <w:rPr>
                <w:rFonts w:hint="eastAsia"/>
                <w:vertAlign w:val="baseline"/>
                <w:lang w:val="en-US" w:eastAsia="zh-CN"/>
              </w:rPr>
              <w:t>）</w:t>
            </w:r>
          </w:p>
        </w:tc>
        <w:tc>
          <w:tcPr>
            <w:tcW w:w="3184" w:type="dxa"/>
            <w:vAlign w:val="center"/>
          </w:tcPr>
          <w:p w14:paraId="049FB4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vertAlign w:val="baseline"/>
                <w:lang w:val="en-US" w:eastAsia="zh-CN"/>
              </w:rPr>
            </w:pPr>
            <w:r>
              <w:rPr>
                <w:rFonts w:hint="eastAsia"/>
                <w:vertAlign w:val="baseline"/>
                <w:lang w:val="en-US" w:eastAsia="zh-CN"/>
              </w:rPr>
              <w:t>125.98</w:t>
            </w:r>
          </w:p>
        </w:tc>
      </w:tr>
      <w:tr w14:paraId="0399C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9" w:type="dxa"/>
            <w:vAlign w:val="center"/>
          </w:tcPr>
          <w:p w14:paraId="68F060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vertAlign w:val="baseline"/>
                <w:lang w:val="en-US" w:eastAsia="zh-CN"/>
              </w:rPr>
            </w:pPr>
            <w:r>
              <w:rPr>
                <w:rFonts w:hint="eastAsia"/>
                <w:vertAlign w:val="baseline"/>
                <w:lang w:val="en-US" w:eastAsia="zh-CN"/>
              </w:rPr>
              <w:t>专项评价</w:t>
            </w:r>
          </w:p>
          <w:p w14:paraId="71653E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设置情况</w:t>
            </w:r>
          </w:p>
        </w:tc>
        <w:tc>
          <w:tcPr>
            <w:tcW w:w="7339" w:type="dxa"/>
            <w:gridSpan w:val="3"/>
            <w:vAlign w:val="center"/>
          </w:tcPr>
          <w:p w14:paraId="254EEBA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宋体"/>
                <w:vertAlign w:val="baseline"/>
                <w:lang w:eastAsia="zh-CN"/>
              </w:rPr>
            </w:pPr>
            <w:r>
              <w:rPr>
                <w:rFonts w:hint="eastAsia"/>
                <w:highlight w:val="none"/>
                <w:vertAlign w:val="baseline"/>
                <w:lang w:val="en-US" w:eastAsia="zh-CN"/>
              </w:rPr>
              <w:t>无</w:t>
            </w:r>
          </w:p>
        </w:tc>
      </w:tr>
      <w:tr w14:paraId="164B9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9" w:type="dxa"/>
            <w:vAlign w:val="center"/>
          </w:tcPr>
          <w:p w14:paraId="2E52CE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规划情况</w:t>
            </w:r>
          </w:p>
        </w:tc>
        <w:tc>
          <w:tcPr>
            <w:tcW w:w="7339" w:type="dxa"/>
            <w:gridSpan w:val="3"/>
            <w:vAlign w:val="center"/>
          </w:tcPr>
          <w:p w14:paraId="0F0634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rPr>
            </w:pPr>
            <w:r>
              <w:rPr>
                <w:rFonts w:hint="eastAsia"/>
                <w:vertAlign w:val="baseline"/>
              </w:rPr>
              <w:t>1、《</w:t>
            </w:r>
            <w:r>
              <w:rPr>
                <w:rFonts w:hint="eastAsia"/>
                <w:vertAlign w:val="baseline"/>
                <w:lang w:val="en-US" w:eastAsia="zh-CN"/>
              </w:rPr>
              <w:t>房山分区</w:t>
            </w:r>
            <w:r>
              <w:rPr>
                <w:rFonts w:hint="eastAsia"/>
                <w:vertAlign w:val="baseline"/>
              </w:rPr>
              <w:t>规划（国土空间规划）（2017年-2035年）》；</w:t>
            </w:r>
          </w:p>
          <w:p w14:paraId="2261FB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rPr>
            </w:pPr>
            <w:r>
              <w:rPr>
                <w:rFonts w:hint="eastAsia"/>
                <w:vertAlign w:val="baseline"/>
              </w:rPr>
              <w:t>审批机关：北京市人民政府</w:t>
            </w:r>
          </w:p>
          <w:p w14:paraId="0B05B6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rPr>
            </w:pPr>
            <w:r>
              <w:rPr>
                <w:rFonts w:hint="eastAsia"/>
                <w:vertAlign w:val="baseline"/>
              </w:rPr>
              <w:t>审批文件名称：北京市人民政府关于对《</w:t>
            </w:r>
            <w:r>
              <w:rPr>
                <w:rFonts w:hint="eastAsia"/>
                <w:vertAlign w:val="baseline"/>
                <w:lang w:val="en-US" w:eastAsia="zh-CN"/>
              </w:rPr>
              <w:t>房山</w:t>
            </w:r>
            <w:r>
              <w:rPr>
                <w:rFonts w:hint="eastAsia"/>
                <w:vertAlign w:val="baseline"/>
              </w:rPr>
              <w:t>分区规划（国土空间规划）（2017年—2035年）》的批复（2019.11.20）</w:t>
            </w:r>
          </w:p>
          <w:p w14:paraId="4DFE1E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rPr>
            </w:pPr>
            <w:r>
              <w:rPr>
                <w:rFonts w:hint="eastAsia"/>
                <w:vertAlign w:val="baseline"/>
              </w:rPr>
              <w:t>2、《落实“三区三线”〈</w:t>
            </w:r>
            <w:r>
              <w:rPr>
                <w:rFonts w:hint="eastAsia"/>
                <w:vertAlign w:val="baseline"/>
                <w:lang w:val="en-US" w:eastAsia="zh-CN"/>
              </w:rPr>
              <w:t>房山</w:t>
            </w:r>
            <w:r>
              <w:rPr>
                <w:rFonts w:hint="eastAsia"/>
                <w:vertAlign w:val="baseline"/>
              </w:rPr>
              <w:t>分区规划（国土空间规划）（2017年-2035年）〉修改成果》；</w:t>
            </w:r>
          </w:p>
          <w:p w14:paraId="2D42D2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rPr>
            </w:pPr>
            <w:r>
              <w:rPr>
                <w:rFonts w:hint="eastAsia"/>
                <w:vertAlign w:val="baseline"/>
              </w:rPr>
              <w:t>审批机关：北京市人民政府</w:t>
            </w:r>
          </w:p>
          <w:p w14:paraId="3AE4F1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r>
              <w:rPr>
                <w:rFonts w:hint="eastAsia"/>
                <w:vertAlign w:val="baseline"/>
              </w:rPr>
              <w:t>审批文件名称：《北京市人民政府关于对朝阳等13个区分区规划及亦庄新城规划修改方案的批复》（2023.3.25）</w:t>
            </w:r>
          </w:p>
        </w:tc>
      </w:tr>
      <w:tr w14:paraId="6676E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9" w:type="dxa"/>
            <w:vAlign w:val="center"/>
          </w:tcPr>
          <w:p w14:paraId="55A347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vertAlign w:val="baseline"/>
                <w:lang w:val="en-US" w:eastAsia="zh-CN"/>
              </w:rPr>
            </w:pPr>
            <w:r>
              <w:rPr>
                <w:rFonts w:hint="eastAsia"/>
                <w:vertAlign w:val="baseline"/>
                <w:lang w:val="en-US" w:eastAsia="zh-CN"/>
              </w:rPr>
              <w:t>规划环境影响评价情况</w:t>
            </w:r>
          </w:p>
        </w:tc>
        <w:tc>
          <w:tcPr>
            <w:tcW w:w="7339" w:type="dxa"/>
            <w:gridSpan w:val="3"/>
            <w:vAlign w:val="center"/>
          </w:tcPr>
          <w:p w14:paraId="70711EB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vertAlign w:val="baseline"/>
              </w:rPr>
            </w:pPr>
            <w:r>
              <w:rPr>
                <w:rFonts w:hint="eastAsia"/>
                <w:vertAlign w:val="baseline"/>
                <w:lang w:val="en-US" w:eastAsia="zh-CN"/>
              </w:rPr>
              <w:t>无</w:t>
            </w:r>
          </w:p>
        </w:tc>
      </w:tr>
      <w:tr w14:paraId="5AD3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9" w:type="dxa"/>
            <w:vAlign w:val="center"/>
          </w:tcPr>
          <w:p w14:paraId="23E6B1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vertAlign w:val="baseline"/>
                <w:lang w:val="en-US" w:eastAsia="zh-CN"/>
              </w:rPr>
            </w:pPr>
            <w:r>
              <w:rPr>
                <w:rFonts w:hint="eastAsia"/>
                <w:vertAlign w:val="baseline"/>
                <w:lang w:val="en-US" w:eastAsia="zh-CN"/>
              </w:rPr>
              <w:t>规划及规划环境影响评价符合性分析</w:t>
            </w:r>
          </w:p>
        </w:tc>
        <w:tc>
          <w:tcPr>
            <w:tcW w:w="7339" w:type="dxa"/>
            <w:gridSpan w:val="3"/>
            <w:vAlign w:val="center"/>
          </w:tcPr>
          <w:p w14:paraId="54BBD8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r>
              <w:rPr>
                <w:rFonts w:hint="eastAsia"/>
                <w:vertAlign w:val="baseline"/>
                <w:lang w:val="en-US" w:eastAsia="zh-CN"/>
              </w:rPr>
              <w:t>1、与《房山分区规划（国土空间规划）（2017年—2035年）》符合性分析</w:t>
            </w:r>
          </w:p>
          <w:p w14:paraId="6F6D5A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vertAlign w:val="baseline"/>
                <w:lang w:val="en-US" w:eastAsia="zh-CN"/>
              </w:rPr>
            </w:pPr>
            <w:r>
              <w:rPr>
                <w:rFonts w:hint="eastAsia"/>
                <w:vertAlign w:val="baseline"/>
                <w:lang w:val="en-US" w:eastAsia="zh-CN"/>
              </w:rPr>
              <w:t>根据北京市人民政府关于对《房山分区规划（国土空间规划）（2017年—2035年）》的批复（2019.11.20），第27条“建设便利高效、宜业宜居的公共服务体系：加强品质建设，做优公共服务中心及社区服务圈，建设便利高效、宜业有活力、宜居有魅力的新城。补充教育设施增量，引进优质教育资源。补足医疗卫生设施及基层医疗卫生服务机构，提升医疗卫生服务水平。完善文化设施建设，提升文化氛围。丰富商业配套，提高生活便利度。提升公共空间品质，营造舒适环境。”</w:t>
            </w:r>
          </w:p>
          <w:p w14:paraId="79CFF7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r>
              <w:rPr>
                <w:rFonts w:hint="eastAsia"/>
                <w:vertAlign w:val="baseline"/>
                <w:lang w:val="en-US" w:eastAsia="zh-CN"/>
              </w:rPr>
              <w:t>本项目为动物医院，属于社区事业与服务业，符合房山分区规划要求。</w:t>
            </w:r>
          </w:p>
          <w:p w14:paraId="16DB9C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r>
              <w:rPr>
                <w:rFonts w:hint="eastAsia"/>
                <w:vertAlign w:val="baseline"/>
                <w:lang w:val="en-US" w:eastAsia="zh-CN"/>
              </w:rPr>
              <w:t>2、与《落实“三区三线”〈房山分区规划（国土空间规划）（2017年-2035年）〉修改成果》符合性分析</w:t>
            </w:r>
          </w:p>
          <w:p w14:paraId="0474B0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r>
              <w:rPr>
                <w:rFonts w:hint="eastAsia"/>
                <w:vertAlign w:val="baseline"/>
                <w:lang w:val="en-US" w:eastAsia="zh-CN"/>
              </w:rPr>
              <w:t>根据落实的“三区三线”划定成果，第二章第二节第20条，“生态保护红线面积不低于627.0平方公里”，修改为“生态保护红线面积不低于685.9平方公里”；附表修改成果为房山分区规划（国土空间规划）指标体系中的“生态保护红线面积（平方公里）”，2035年数值由“</w:t>
            </w:r>
            <w:r>
              <w:rPr>
                <w:rFonts w:hint="default" w:ascii="Times New Roman" w:hAnsi="Times New Roman" w:cs="Times New Roman"/>
                <w:vertAlign w:val="baseline"/>
                <w:lang w:val="en-US" w:eastAsia="zh-CN"/>
              </w:rPr>
              <w:t>≥627.0</w:t>
            </w:r>
            <w:r>
              <w:rPr>
                <w:rFonts w:hint="eastAsia" w:ascii="Times New Roman" w:hAnsi="Times New Roman" w:cs="Times New Roman"/>
                <w:vertAlign w:val="baseline"/>
                <w:lang w:val="en-US" w:eastAsia="zh-CN"/>
              </w:rPr>
              <w:t>”</w:t>
            </w:r>
            <w:r>
              <w:rPr>
                <w:rFonts w:hint="default" w:ascii="Times New Roman" w:hAnsi="Times New Roman" w:cs="Times New Roman"/>
                <w:vertAlign w:val="baseline"/>
                <w:lang w:val="en-US" w:eastAsia="zh-CN"/>
              </w:rPr>
              <w:t>修改为</w:t>
            </w:r>
            <w:r>
              <w:rPr>
                <w:rFonts w:hint="eastAsia" w:ascii="Times New Roman" w:hAnsi="Times New Roman" w:cs="Times New Roman"/>
                <w:vertAlign w:val="baseline"/>
                <w:lang w:val="en-US" w:eastAsia="zh-CN"/>
              </w:rPr>
              <w:t>“</w:t>
            </w:r>
            <w:r>
              <w:rPr>
                <w:rFonts w:hint="default" w:ascii="Times New Roman" w:hAnsi="Times New Roman" w:cs="Times New Roman"/>
                <w:vertAlign w:val="baseline"/>
                <w:lang w:val="en-US" w:eastAsia="zh-CN"/>
              </w:rPr>
              <w:t>≥685.9</w:t>
            </w:r>
            <w:r>
              <w:rPr>
                <w:rFonts w:hint="eastAsia" w:ascii="Times New Roman" w:hAnsi="Times New Roman" w:cs="Times New Roman"/>
                <w:vertAlign w:val="baseline"/>
                <w:lang w:val="en-US" w:eastAsia="zh-CN"/>
              </w:rPr>
              <w:t>”</w:t>
            </w:r>
            <w:r>
              <w:rPr>
                <w:rFonts w:hint="default" w:ascii="Times New Roman" w:hAnsi="Times New Roman" w:cs="Times New Roman"/>
                <w:vertAlign w:val="baseline"/>
                <w:lang w:val="en-US" w:eastAsia="zh-CN"/>
              </w:rPr>
              <w:t>；附图05两线三区规划图、附图06</w:t>
            </w:r>
            <w:r>
              <w:rPr>
                <w:rFonts w:hint="eastAsia"/>
                <w:vertAlign w:val="baseline"/>
                <w:lang w:val="en-US" w:eastAsia="zh-CN"/>
              </w:rPr>
              <w:t>国土空间规划分区图按照本次修改方案进行更新。</w:t>
            </w:r>
          </w:p>
          <w:p w14:paraId="5BAE67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vertAlign w:val="baseline"/>
                <w:lang w:val="en-US" w:eastAsia="zh-CN"/>
              </w:rPr>
            </w:pPr>
            <w:r>
              <w:rPr>
                <w:rFonts w:hint="eastAsia"/>
                <w:vertAlign w:val="baseline"/>
                <w:lang w:val="en-US" w:eastAsia="zh-CN"/>
              </w:rPr>
              <w:t>本项目位于北京市房山区良乡拱辰星园4号楼1层0102底商，不涉及生态保护红线区域，本项目符合《落实“三区三线”〈房山分区规划（国土空间规划）（2017年—2035年）〉修改成果》要求。本项目在两线三区规划分区中位置见下图。</w:t>
            </w:r>
          </w:p>
          <w:p w14:paraId="21D2A7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p>
          <w:p w14:paraId="3F1530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p>
          <w:p w14:paraId="3C9065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p>
          <w:p w14:paraId="08EF2B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p>
          <w:p w14:paraId="43E755D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vertAlign w:val="baseline"/>
                <w:lang w:val="en-US" w:eastAsia="zh-CN"/>
              </w:rPr>
            </w:pPr>
            <w:r>
              <w:rPr>
                <w:sz w:val="24"/>
              </w:rPr>
              <mc:AlternateContent>
                <mc:Choice Requires="wps">
                  <w:drawing>
                    <wp:anchor distT="0" distB="0" distL="114300" distR="114300" simplePos="0" relativeHeight="251661312" behindDoc="0" locked="0" layoutInCell="1" allowOverlap="1">
                      <wp:simplePos x="0" y="0"/>
                      <wp:positionH relativeFrom="column">
                        <wp:posOffset>2551430</wp:posOffset>
                      </wp:positionH>
                      <wp:positionV relativeFrom="paragraph">
                        <wp:posOffset>1032510</wp:posOffset>
                      </wp:positionV>
                      <wp:extent cx="828675" cy="332105"/>
                      <wp:effectExtent l="6350" t="6350" r="22225" b="499745"/>
                      <wp:wrapNone/>
                      <wp:docPr id="3" name="圆角矩形标注 3"/>
                      <wp:cNvGraphicFramePr/>
                      <a:graphic xmlns:a="http://schemas.openxmlformats.org/drawingml/2006/main">
                        <a:graphicData uri="http://schemas.microsoft.com/office/word/2010/wordprocessingShape">
                          <wps:wsp>
                            <wps:cNvSpPr/>
                            <wps:spPr>
                              <a:xfrm>
                                <a:off x="4304030" y="2154555"/>
                                <a:ext cx="828675" cy="332105"/>
                              </a:xfrm>
                              <a:prstGeom prst="wedgeRoundRectCallout">
                                <a:avLst>
                                  <a:gd name="adj1" fmla="val 33218"/>
                                  <a:gd name="adj2" fmla="val 188623"/>
                                  <a:gd name="adj3" fmla="val 16667"/>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917F91A">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b/>
                                      <w:bCs/>
                                      <w:color w:val="000000" w:themeColor="text1"/>
                                      <w:sz w:val="21"/>
                                      <w:szCs w:val="21"/>
                                      <w:lang w:val="en-US" w:eastAsia="zh-CN"/>
                                      <w14:textFill>
                                        <w14:solidFill>
                                          <w14:schemeClr w14:val="tx1"/>
                                        </w14:solidFill>
                                      </w14:textFill>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00.9pt;margin-top:81.3pt;height:26.15pt;width:65.25pt;z-index:251661312;v-text-anchor:middle;mso-width-relative:page;mso-height-relative:page;" filled="f" stroked="t" coordsize="21600,21600" o:gfxdata="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imGBz&#10;2QAAAAsBAAAPAAAAAAAAAAEAIAAAACIAAABkcnMvZG93bnJldi54bWxQSwECFAAUAAAACACHTuJA&#10;WwIPAMsCAAB0BQAADgAAAAAAAAABACAAAAAoAQAAZHJzL2Uyb0RvYy54bWxQSwUGAAAAAAYABgBZ&#10;AQAAZQYAAAAA&#10;" adj="17975,51543,14400">
                      <v:fill on="f" focussize="0,0"/>
                      <v:stroke weight="1pt" color="#000000 [3213]" miterlimit="8" joinstyle="miter"/>
                      <v:imagedata o:title=""/>
                      <o:lock v:ext="edit" aspectratio="f"/>
                      <v:textbox>
                        <w:txbxContent>
                          <w:p w14:paraId="2917F91A">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b/>
                                <w:bCs/>
                                <w:color w:val="000000" w:themeColor="text1"/>
                                <w:sz w:val="21"/>
                                <w:szCs w:val="21"/>
                                <w:lang w:val="en-US" w:eastAsia="zh-CN"/>
                                <w14:textFill>
                                  <w14:solidFill>
                                    <w14:schemeClr w14:val="tx1"/>
                                  </w14:solidFill>
                                </w14:textFill>
                              </w:rPr>
                              <w:t>项目位置</w:t>
                            </w:r>
                          </w:p>
                        </w:txbxContent>
                      </v:textbox>
                    </v:shape>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3199130</wp:posOffset>
                      </wp:positionH>
                      <wp:positionV relativeFrom="paragraph">
                        <wp:posOffset>1810385</wp:posOffset>
                      </wp:positionV>
                      <wp:extent cx="90170" cy="90170"/>
                      <wp:effectExtent l="6350" t="6350" r="17780" b="17780"/>
                      <wp:wrapNone/>
                      <wp:docPr id="2" name="椭圆 2"/>
                      <wp:cNvGraphicFramePr/>
                      <a:graphic xmlns:a="http://schemas.openxmlformats.org/drawingml/2006/main">
                        <a:graphicData uri="http://schemas.microsoft.com/office/word/2010/wordprocessingShape">
                          <wps:wsp>
                            <wps:cNvSpPr/>
                            <wps:spPr>
                              <a:xfrm>
                                <a:off x="4218305" y="2628900"/>
                                <a:ext cx="90170" cy="90170"/>
                              </a:xfrm>
                              <a:prstGeom prst="ellips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51.9pt;margin-top:142.55pt;height:7.1pt;width:7.1pt;z-index:251660288;v-text-anchor:middle;mso-width-relative:page;mso-height-relative:page;" fillcolor="#000000 [3213]" filled="t" stroked="t" coordsize="21600,21600" o:gfxdata="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VsAg/aAAAACwEAAA8AAAAAAAAAAQAgAAAAIgAAAGRycy9k&#10;b3ducmV2LnhtbFBLAQIUABQAAAAIAIdO4kAbMG6ZcgIAAAAFAAAOAAAAAAAAAAEAIAAAACkBAABk&#10;cnMvZTJvRG9jLnhtbFBLBQYAAAAABgAGAFkBAAANBgAAAAA=&#10;">
                      <v:fill on="t" focussize="0,0"/>
                      <v:stroke weight="1pt" color="#000000 [3213]" miterlimit="8" joinstyle="miter"/>
                      <v:imagedata o:title=""/>
                      <o:lock v:ext="edit" aspectratio="f"/>
                    </v:shape>
                  </w:pict>
                </mc:Fallback>
              </mc:AlternateContent>
            </w:r>
            <w:r>
              <w:drawing>
                <wp:inline distT="0" distB="0" distL="114300" distR="114300">
                  <wp:extent cx="4679950" cy="3243580"/>
                  <wp:effectExtent l="0" t="0" r="6350" b="1397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7"/>
                          <a:srcRect l="2535" t="3600" r="2644" b="3514"/>
                          <a:stretch>
                            <a:fillRect/>
                          </a:stretch>
                        </pic:blipFill>
                        <pic:spPr>
                          <a:xfrm>
                            <a:off x="0" y="0"/>
                            <a:ext cx="4679950" cy="3243580"/>
                          </a:xfrm>
                          <a:prstGeom prst="rect">
                            <a:avLst/>
                          </a:prstGeom>
                          <a:noFill/>
                          <a:ln>
                            <a:noFill/>
                          </a:ln>
                        </pic:spPr>
                      </pic:pic>
                    </a:graphicData>
                  </a:graphic>
                </wp:inline>
              </w:drawing>
            </w:r>
          </w:p>
          <w:p w14:paraId="4AB939D3">
            <w:pPr>
              <w:pStyle w:val="11"/>
              <w:bidi w:val="0"/>
              <w:rPr>
                <w:rFonts w:hint="default"/>
                <w:lang w:val="en-US" w:eastAsia="zh-CN"/>
              </w:rPr>
            </w:pPr>
            <w:r>
              <w:rPr>
                <w:rFonts w:hint="eastAsia"/>
                <w:lang w:val="en-US" w:eastAsia="zh-CN"/>
              </w:rPr>
              <w:t>图1-1 本项目与房山分区规划（国土空间规划分区图）位置关系</w:t>
            </w:r>
          </w:p>
          <w:p w14:paraId="4F4AD9F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vertAlign w:val="baseline"/>
                <w:lang w:val="en-US" w:eastAsia="zh-CN"/>
              </w:rPr>
            </w:pPr>
            <w:r>
              <w:rPr>
                <w:sz w:val="24"/>
              </w:rPr>
              <mc:AlternateContent>
                <mc:Choice Requires="wps">
                  <w:drawing>
                    <wp:anchor distT="0" distB="0" distL="114300" distR="114300" simplePos="0" relativeHeight="251669504" behindDoc="0" locked="0" layoutInCell="1" allowOverlap="1">
                      <wp:simplePos x="0" y="0"/>
                      <wp:positionH relativeFrom="column">
                        <wp:posOffset>2522220</wp:posOffset>
                      </wp:positionH>
                      <wp:positionV relativeFrom="paragraph">
                        <wp:posOffset>1029970</wp:posOffset>
                      </wp:positionV>
                      <wp:extent cx="828675" cy="332105"/>
                      <wp:effectExtent l="6350" t="6350" r="22225" b="499745"/>
                      <wp:wrapNone/>
                      <wp:docPr id="23" name="圆角矩形标注 23"/>
                      <wp:cNvGraphicFramePr/>
                      <a:graphic xmlns:a="http://schemas.openxmlformats.org/drawingml/2006/main">
                        <a:graphicData uri="http://schemas.microsoft.com/office/word/2010/wordprocessingShape">
                          <wps:wsp>
                            <wps:cNvSpPr/>
                            <wps:spPr>
                              <a:xfrm>
                                <a:off x="0" y="0"/>
                                <a:ext cx="828675" cy="332105"/>
                              </a:xfrm>
                              <a:prstGeom prst="wedgeRoundRectCallout">
                                <a:avLst>
                                  <a:gd name="adj1" fmla="val 33218"/>
                                  <a:gd name="adj2" fmla="val 188623"/>
                                  <a:gd name="adj3" fmla="val 16667"/>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9159719">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b/>
                                      <w:bCs/>
                                      <w:color w:val="000000" w:themeColor="text1"/>
                                      <w:sz w:val="21"/>
                                      <w:szCs w:val="21"/>
                                      <w:lang w:val="en-US" w:eastAsia="zh-CN"/>
                                      <w14:textFill>
                                        <w14:solidFill>
                                          <w14:schemeClr w14:val="tx1"/>
                                        </w14:solidFill>
                                      </w14:textFill>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98.6pt;margin-top:81.1pt;height:26.15pt;width:65.25pt;z-index:251669504;v-text-anchor:middle;mso-width-relative:page;mso-height-relative:page;" filled="f" stroked="t" coordsize="21600,21600" o:gfxdata="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W5Vv52QAAAAsBAAAPAAAA&#10;AAAAAAEAIAAAACIAAABkcnMvZG93bnJldi54bWxQSwECFAAUAAAACACHTuJA+Gu8Nb8CAABqBQAA&#10;DgAAAAAAAAABACAAAAAoAQAAZHJzL2Uyb0RvYy54bWxQSwUGAAAAAAYABgBZAQAAWQYAAAAA&#10;" adj="17975,51543,14400">
                      <v:fill on="f" focussize="0,0"/>
                      <v:stroke weight="1pt" color="#000000 [3213]" miterlimit="8" joinstyle="miter"/>
                      <v:imagedata o:title=""/>
                      <o:lock v:ext="edit" aspectratio="f"/>
                      <v:textbox>
                        <w:txbxContent>
                          <w:p w14:paraId="19159719">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b/>
                                <w:bCs/>
                                <w:color w:val="000000" w:themeColor="text1"/>
                                <w:sz w:val="21"/>
                                <w:szCs w:val="21"/>
                                <w:lang w:val="en-US" w:eastAsia="zh-CN"/>
                                <w14:textFill>
                                  <w14:solidFill>
                                    <w14:schemeClr w14:val="tx1"/>
                                  </w14:solidFill>
                                </w14:textFill>
                              </w:rPr>
                              <w:t>项目位置</w:t>
                            </w:r>
                          </w:p>
                        </w:txbxContent>
                      </v:textbox>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3169920</wp:posOffset>
                      </wp:positionH>
                      <wp:positionV relativeFrom="paragraph">
                        <wp:posOffset>1807845</wp:posOffset>
                      </wp:positionV>
                      <wp:extent cx="90170" cy="90170"/>
                      <wp:effectExtent l="6350" t="6350" r="17780" b="17780"/>
                      <wp:wrapNone/>
                      <wp:docPr id="15" name="椭圆 15"/>
                      <wp:cNvGraphicFramePr/>
                      <a:graphic xmlns:a="http://schemas.openxmlformats.org/drawingml/2006/main">
                        <a:graphicData uri="http://schemas.microsoft.com/office/word/2010/wordprocessingShape">
                          <wps:wsp>
                            <wps:cNvSpPr/>
                            <wps:spPr>
                              <a:xfrm>
                                <a:off x="0" y="0"/>
                                <a:ext cx="90170" cy="90170"/>
                              </a:xfrm>
                              <a:prstGeom prst="ellips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49.6pt;margin-top:142.35pt;height:7.1pt;width:7.1pt;z-index:251668480;v-text-anchor:middle;mso-width-relative:page;mso-height-relative:page;" fillcolor="#000000 [3213]" filled="t" stroked="t" coordsize="21600,21600" o:gfxdata="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2Qyz/aAAAACwEAAA8AAAAAAAAAAQAgAAAAIgAAAGRycy9kb3ducmV2LnhtbFBL&#10;AQIUABQAAAAIAIdO4kCfP9CoZgIAAPYEAAAOAAAAAAAAAAEAIAAAACkBAABkcnMvZTJvRG9jLnht&#10;bFBLBQYAAAAABgAGAFkBAAABBgAAAAA=&#10;">
                      <v:fill on="t" focussize="0,0"/>
                      <v:stroke weight="1pt" color="#000000 [3213]" miterlimit="8" joinstyle="miter"/>
                      <v:imagedata o:title=""/>
                      <o:lock v:ext="edit" aspectratio="f"/>
                    </v:shape>
                  </w:pict>
                </mc:Fallback>
              </mc:AlternateContent>
            </w:r>
            <w:r>
              <w:drawing>
                <wp:inline distT="0" distB="0" distL="114300" distR="114300">
                  <wp:extent cx="4679950" cy="3230880"/>
                  <wp:effectExtent l="0" t="0" r="6350" b="762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rcRect l="2718" t="3858" r="2657" b="3806"/>
                          <a:stretch>
                            <a:fillRect/>
                          </a:stretch>
                        </pic:blipFill>
                        <pic:spPr>
                          <a:xfrm>
                            <a:off x="0" y="0"/>
                            <a:ext cx="4679950" cy="3230880"/>
                          </a:xfrm>
                          <a:prstGeom prst="rect">
                            <a:avLst/>
                          </a:prstGeom>
                          <a:noFill/>
                          <a:ln>
                            <a:noFill/>
                          </a:ln>
                        </pic:spPr>
                      </pic:pic>
                    </a:graphicData>
                  </a:graphic>
                </wp:inline>
              </w:drawing>
            </w:r>
          </w:p>
          <w:p w14:paraId="7FCE83C9">
            <w:pPr>
              <w:pStyle w:val="11"/>
              <w:bidi w:val="0"/>
              <w:rPr>
                <w:rFonts w:hint="eastAsia"/>
                <w:lang w:val="en-US" w:eastAsia="zh-CN"/>
              </w:rPr>
            </w:pPr>
            <w:r>
              <w:rPr>
                <w:rFonts w:hint="eastAsia"/>
                <w:lang w:val="en-US" w:eastAsia="zh-CN"/>
              </w:rPr>
              <w:t>图1-2 本项目与房山分区规划（两线三区规划图）位置关系</w:t>
            </w:r>
          </w:p>
          <w:p w14:paraId="7809E8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r>
              <w:rPr>
                <w:rFonts w:hint="eastAsia"/>
                <w:vertAlign w:val="baseline"/>
                <w:lang w:val="en-US" w:eastAsia="zh-CN"/>
              </w:rPr>
              <w:t>根据房山分区规划，本项目位于城镇建设用地和集中建设区，符合房山分区规划（国土空间规划）（2017年—2035年）〉修改成果要求。</w:t>
            </w:r>
          </w:p>
        </w:tc>
      </w:tr>
      <w:tr w14:paraId="378A8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9" w:type="dxa"/>
            <w:vAlign w:val="center"/>
          </w:tcPr>
          <w:p w14:paraId="400AB3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vertAlign w:val="baseline"/>
                <w:lang w:val="en-US" w:eastAsia="zh-CN"/>
              </w:rPr>
            </w:pPr>
            <w:r>
              <w:rPr>
                <w:rFonts w:hint="eastAsia"/>
                <w:vertAlign w:val="baseline"/>
                <w:lang w:val="en-US" w:eastAsia="zh-CN"/>
              </w:rPr>
              <w:t>其他符合性分析</w:t>
            </w:r>
          </w:p>
        </w:tc>
        <w:tc>
          <w:tcPr>
            <w:tcW w:w="7339" w:type="dxa"/>
            <w:gridSpan w:val="3"/>
            <w:vAlign w:val="center"/>
          </w:tcPr>
          <w:p w14:paraId="318A76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vertAlign w:val="baseline"/>
                <w:lang w:val="en-US" w:eastAsia="zh-CN"/>
              </w:rPr>
            </w:pPr>
            <w:r>
              <w:rPr>
                <w:rFonts w:hint="eastAsia"/>
                <w:vertAlign w:val="baseline"/>
                <w:lang w:val="en-US" w:eastAsia="zh-CN"/>
              </w:rPr>
              <w:t>1、产业政策符合性分析</w:t>
            </w:r>
          </w:p>
          <w:p w14:paraId="50A38A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r>
              <w:rPr>
                <w:rFonts w:hint="eastAsia"/>
                <w:vertAlign w:val="baseline"/>
              </w:rPr>
              <w:t>本项目</w:t>
            </w:r>
            <w:r>
              <w:rPr>
                <w:rFonts w:hint="eastAsia"/>
                <w:vertAlign w:val="baseline"/>
                <w:lang w:val="en-US" w:eastAsia="zh-CN"/>
              </w:rPr>
              <w:t>为动物医院</w:t>
            </w:r>
            <w:r>
              <w:rPr>
                <w:rFonts w:hint="eastAsia"/>
                <w:vertAlign w:val="baseline"/>
              </w:rPr>
              <w:t>，属于</w:t>
            </w:r>
            <w:r>
              <w:rPr>
                <w:rFonts w:hint="eastAsia"/>
                <w:vertAlign w:val="baseline"/>
                <w:lang w:val="en-US" w:eastAsia="zh-CN"/>
              </w:rPr>
              <w:t>社区事业与服务业</w:t>
            </w:r>
            <w:r>
              <w:rPr>
                <w:rFonts w:hint="eastAsia"/>
                <w:vertAlign w:val="baseline"/>
              </w:rPr>
              <w:t>，根据国民经济行业分类（GB/T4754-2017），本项目行业类别代码为“</w:t>
            </w:r>
            <w:r>
              <w:rPr>
                <w:rFonts w:hint="eastAsia"/>
                <w:vertAlign w:val="baseline"/>
                <w:lang w:val="en-US" w:eastAsia="zh-CN"/>
              </w:rPr>
              <w:t>O8222宠物医院服务</w:t>
            </w:r>
            <w:r>
              <w:rPr>
                <w:rFonts w:hint="eastAsia"/>
                <w:vertAlign w:val="baseline"/>
              </w:rPr>
              <w:t>”。</w:t>
            </w:r>
          </w:p>
          <w:p w14:paraId="638989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vertAlign w:val="baseline"/>
                <w:lang w:eastAsia="zh-CN"/>
              </w:rPr>
            </w:pPr>
            <w:r>
              <w:rPr>
                <w:rFonts w:hint="eastAsia"/>
                <w:vertAlign w:val="baseline"/>
                <w:lang w:eastAsia="zh-CN"/>
              </w:rPr>
              <w:t>（</w:t>
            </w:r>
            <w:r>
              <w:rPr>
                <w:rFonts w:hint="eastAsia"/>
                <w:vertAlign w:val="baseline"/>
                <w:lang w:val="en-US" w:eastAsia="zh-CN"/>
              </w:rPr>
              <w:t>1</w:t>
            </w:r>
            <w:r>
              <w:rPr>
                <w:rFonts w:hint="eastAsia"/>
                <w:vertAlign w:val="baseline"/>
                <w:lang w:eastAsia="zh-CN"/>
              </w:rPr>
              <w:t>）与国家产业政策符合性分析</w:t>
            </w:r>
          </w:p>
          <w:p w14:paraId="558B09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r>
              <w:rPr>
                <w:rFonts w:hint="eastAsia"/>
                <w:vertAlign w:val="baseline"/>
              </w:rPr>
              <w:t>本项目为动物医院，属于社区事业与服务业，</w:t>
            </w:r>
            <w:r>
              <w:rPr>
                <w:rFonts w:hint="eastAsia"/>
                <w:vertAlign w:val="baseline"/>
                <w:lang w:val="en-US" w:eastAsia="zh-CN"/>
              </w:rPr>
              <w:t>对照《产业结构调整指导目录（2024年本）》，本项目为“允许类”项目。</w:t>
            </w:r>
          </w:p>
          <w:p w14:paraId="2D4935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r>
              <w:rPr>
                <w:rFonts w:hint="eastAsia"/>
                <w:vertAlign w:val="baseline"/>
                <w:lang w:val="en-US" w:eastAsia="zh-CN"/>
              </w:rPr>
              <w:t>（2）与北京市相关产业政策性符合性分析</w:t>
            </w:r>
          </w:p>
          <w:p w14:paraId="6899DB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r>
              <w:rPr>
                <w:rFonts w:hint="eastAsia"/>
                <w:vertAlign w:val="baseline"/>
              </w:rPr>
              <w:t>本项目为动物医院，属于社区事业与服务业，</w:t>
            </w:r>
            <w:r>
              <w:rPr>
                <w:rFonts w:hint="eastAsia"/>
                <w:vertAlign w:val="baseline"/>
                <w:lang w:val="en-US" w:eastAsia="zh-CN"/>
              </w:rPr>
              <w:t>对照《北京市新增产业的禁止和限制目录（2022年版）》，本项目不属于北京市禁止和限制项目。</w:t>
            </w:r>
          </w:p>
          <w:p w14:paraId="7DCFC11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r>
              <w:rPr>
                <w:rFonts w:hint="eastAsia"/>
                <w:vertAlign w:val="baseline"/>
                <w:lang w:val="en-US" w:eastAsia="zh-CN"/>
              </w:rPr>
              <w:t>根据国家发展改革委、商务部关于印发《市场准入负面清单（2022版）》的通知（发改体改规[2022]397号），动物诊疗类项目属于许可准入类。本项目场所内不存在动物交易、寄养活动，不属于与市场准入相关的禁止性规定范畴之内。</w:t>
            </w:r>
          </w:p>
          <w:p w14:paraId="587927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vertAlign w:val="baseline"/>
                <w:lang w:val="en-US" w:eastAsia="zh-CN"/>
              </w:rPr>
            </w:pPr>
            <w:r>
              <w:rPr>
                <w:rFonts w:hint="eastAsia"/>
                <w:vertAlign w:val="baseline"/>
                <w:lang w:val="en-US" w:eastAsia="zh-CN"/>
              </w:rPr>
              <w:t>综上所述，本项目的建设符合国家、北京市的相关产业政策。</w:t>
            </w:r>
          </w:p>
          <w:p w14:paraId="3772FF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vertAlign w:val="baseline"/>
                <w:lang w:val="en-US" w:eastAsia="zh-CN"/>
              </w:rPr>
            </w:pPr>
            <w:r>
              <w:rPr>
                <w:rFonts w:hint="eastAsia"/>
                <w:vertAlign w:val="baseline"/>
                <w:lang w:val="en-US" w:eastAsia="zh-CN"/>
              </w:rPr>
              <w:t>2、“三线一单”符合性分析</w:t>
            </w:r>
          </w:p>
          <w:p w14:paraId="0B5DA3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r>
              <w:rPr>
                <w:rFonts w:hint="eastAsia"/>
                <w:vertAlign w:val="baseline"/>
              </w:rPr>
              <w:t>2020年12月24日中共北京市委生态文明建设委员会办公室发布了《关于北京市生态环境分区管控（“三线一单”）的实施意见》的通知，为贯彻落实《中共中央、国务院关于全面加强生态环境保护坚决打好污染防治攻坚战的意见》，推动生态环境高水平保护和经济高质量发展协同并进，持续优化营商环境，就本市“三线一单”（生态保护红线、环境质量底线、资源利用上线和生态环境准入清单）生态环境分区管控工作，提出了实施意见。现就本项目“三线一单”符合性进行分析。</w:t>
            </w:r>
          </w:p>
          <w:p w14:paraId="351245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vertAlign w:val="baseline"/>
                <w:lang w:eastAsia="zh-CN"/>
              </w:rPr>
            </w:pPr>
            <w:r>
              <w:rPr>
                <w:rFonts w:hint="eastAsia"/>
                <w:vertAlign w:val="baseline"/>
                <w:lang w:eastAsia="zh-CN"/>
              </w:rPr>
              <w:t>（</w:t>
            </w:r>
            <w:r>
              <w:rPr>
                <w:rFonts w:hint="eastAsia"/>
                <w:vertAlign w:val="baseline"/>
                <w:lang w:val="en-US" w:eastAsia="zh-CN"/>
              </w:rPr>
              <w:t>1</w:t>
            </w:r>
            <w:r>
              <w:rPr>
                <w:rFonts w:hint="eastAsia"/>
                <w:vertAlign w:val="baseline"/>
                <w:lang w:eastAsia="zh-CN"/>
              </w:rPr>
              <w:t>）生态保护红线符合性分析</w:t>
            </w:r>
          </w:p>
          <w:p w14:paraId="52F824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r>
              <w:rPr>
                <w:rFonts w:hint="eastAsia"/>
                <w:vertAlign w:val="baseline"/>
              </w:rPr>
              <w:t>根据《北京市人民政府关于发布北京生态保护红线的通知》（京政发[2018]18号），北京市生态保护红线主要分布在西部、北部山区，包括以下区域：水源涵养、水土保持和生物多样性维护的生态功能重要区、水土流失生态敏感区；市级以上禁止开发区域和有必要严格保护的其他各类保护地，包括：自然保护区（核心区和缓冲区）、风景名胜区（一级区）、市级饮用水源地（一级保护区）、森林公园（核心景区）、国家级重点生态公益林（水源涵养重点地区）、重要湿地（永定河、潮白河、北运河、大清河、蓟运河等五条重要河流）、其他生物多样性重点区域。</w:t>
            </w:r>
          </w:p>
          <w:p w14:paraId="78E391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r>
              <w:rPr>
                <w:rFonts w:hint="eastAsia"/>
                <w:vertAlign w:val="baseline"/>
              </w:rPr>
              <w:t>本项目位于</w:t>
            </w:r>
            <w:r>
              <w:rPr>
                <w:rFonts w:hint="eastAsia"/>
                <w:vertAlign w:val="baseline"/>
                <w:lang w:eastAsia="zh-CN"/>
              </w:rPr>
              <w:t>北京市房山区良乡拱辰星园4号楼1层0102底商</w:t>
            </w:r>
            <w:r>
              <w:rPr>
                <w:rFonts w:hint="eastAsia"/>
                <w:vertAlign w:val="baseline"/>
              </w:rPr>
              <w:t>，所在周边无重点生态功能区、生态敏感区、生态脆弱区、生物多样性保护优先区，本项目</w:t>
            </w:r>
            <w:r>
              <w:rPr>
                <w:rFonts w:hint="eastAsia"/>
                <w:vertAlign w:val="baseline"/>
                <w:lang w:val="en-US" w:eastAsia="zh-CN"/>
              </w:rPr>
              <w:t>的</w:t>
            </w:r>
            <w:r>
              <w:rPr>
                <w:rFonts w:hint="eastAsia"/>
                <w:vertAlign w:val="baseline"/>
              </w:rPr>
              <w:t>建设</w:t>
            </w:r>
            <w:r>
              <w:rPr>
                <w:rFonts w:hint="eastAsia"/>
                <w:vertAlign w:val="baseline"/>
                <w:lang w:val="en-US" w:eastAsia="zh-CN"/>
              </w:rPr>
              <w:t>不会突破</w:t>
            </w:r>
            <w:r>
              <w:rPr>
                <w:rFonts w:hint="eastAsia"/>
                <w:vertAlign w:val="baseline"/>
              </w:rPr>
              <w:t>生态保护红线。</w:t>
            </w:r>
            <w:r>
              <w:rPr>
                <w:rFonts w:hint="eastAsia"/>
                <w:vertAlign w:val="baseline"/>
                <w:lang w:val="en-US" w:eastAsia="zh-CN"/>
              </w:rPr>
              <w:t>本项目与北京市生态保护红线位置关系见下图。</w:t>
            </w:r>
          </w:p>
          <w:p w14:paraId="6BB6FF9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vertAlign w:val="baseline"/>
                <w:lang w:val="en-US" w:eastAsia="zh-CN"/>
              </w:rPr>
            </w:pPr>
            <w:r>
              <w:rPr>
                <w:sz w:val="24"/>
              </w:rPr>
              <mc:AlternateContent>
                <mc:Choice Requires="wps">
                  <w:drawing>
                    <wp:anchor distT="0" distB="0" distL="114300" distR="114300" simplePos="0" relativeHeight="251663360" behindDoc="0" locked="0" layoutInCell="1" allowOverlap="1">
                      <wp:simplePos x="0" y="0"/>
                      <wp:positionH relativeFrom="column">
                        <wp:posOffset>1486535</wp:posOffset>
                      </wp:positionH>
                      <wp:positionV relativeFrom="paragraph">
                        <wp:posOffset>2834640</wp:posOffset>
                      </wp:positionV>
                      <wp:extent cx="808990" cy="313690"/>
                      <wp:effectExtent l="6350" t="6350" r="22860" b="365760"/>
                      <wp:wrapNone/>
                      <wp:docPr id="9" name="圆角矩形标注 9"/>
                      <wp:cNvGraphicFramePr/>
                      <a:graphic xmlns:a="http://schemas.openxmlformats.org/drawingml/2006/main">
                        <a:graphicData uri="http://schemas.microsoft.com/office/word/2010/wordprocessingShape">
                          <wps:wsp>
                            <wps:cNvSpPr/>
                            <wps:spPr>
                              <a:xfrm>
                                <a:off x="3475990" y="4338320"/>
                                <a:ext cx="808990" cy="313690"/>
                              </a:xfrm>
                              <a:prstGeom prst="wedgeRoundRectCallout">
                                <a:avLst>
                                  <a:gd name="adj1" fmla="val -11381"/>
                                  <a:gd name="adj2" fmla="val 155517"/>
                                  <a:gd name="adj3" fmla="val 1666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D4CCF1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eastAsia="宋体"/>
                                      <w:sz w:val="21"/>
                                      <w:szCs w:val="21"/>
                                      <w:lang w:val="en-US" w:eastAsia="zh-CN"/>
                                    </w:rPr>
                                  </w:pPr>
                                  <w:r>
                                    <w:rPr>
                                      <w:rFonts w:hint="eastAsia"/>
                                      <w:b/>
                                      <w:bCs/>
                                      <w:color w:val="FF0000"/>
                                      <w:sz w:val="21"/>
                                      <w:szCs w:val="21"/>
                                      <w:lang w:val="en-US"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17.05pt;margin-top:223.2pt;height:24.7pt;width:63.7pt;z-index:251663360;v-text-anchor:middle;mso-width-relative:page;mso-height-relative:page;" filled="f" stroked="t" coordsize="21600,21600" o:gfxdata="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JR+Ns3Y&#10;AAAACwEAAA8AAAAAAAAAAQAgAAAAIgAAAGRycy9kb3ducmV2LnhtbFBLAQIUABQAAAAIAIdO4kBF&#10;d+0vywIAAHUFAAAOAAAAAAAAAAEAIAAAACcBAABkcnMvZTJvRG9jLnhtbFBLBQYAAAAABgAGAFkB&#10;AABkBgAAAAA=&#10;" adj="8342,44392,14400">
                      <v:fill on="f" focussize="0,0"/>
                      <v:stroke weight="1pt" color="#FF0000 [2404]" miterlimit="8" joinstyle="miter"/>
                      <v:imagedata o:title=""/>
                      <o:lock v:ext="edit" aspectratio="f"/>
                      <v:textbox>
                        <w:txbxContent>
                          <w:p w14:paraId="6D4CCF1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eastAsia="宋体"/>
                                <w:sz w:val="21"/>
                                <w:szCs w:val="21"/>
                                <w:lang w:val="en-US" w:eastAsia="zh-CN"/>
                              </w:rPr>
                            </w:pPr>
                            <w:r>
                              <w:rPr>
                                <w:rFonts w:hint="eastAsia"/>
                                <w:b/>
                                <w:bCs/>
                                <w:color w:val="FF0000"/>
                                <w:sz w:val="21"/>
                                <w:szCs w:val="21"/>
                                <w:lang w:val="en-US" w:eastAsia="zh-CN"/>
                              </w:rPr>
                              <w:t>项目位置</w:t>
                            </w:r>
                          </w:p>
                        </w:txbxContent>
                      </v:textbox>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1754505</wp:posOffset>
                      </wp:positionH>
                      <wp:positionV relativeFrom="paragraph">
                        <wp:posOffset>3413760</wp:posOffset>
                      </wp:positionV>
                      <wp:extent cx="90170" cy="90170"/>
                      <wp:effectExtent l="6350" t="6350" r="17780" b="17780"/>
                      <wp:wrapNone/>
                      <wp:docPr id="7" name="椭圆 7"/>
                      <wp:cNvGraphicFramePr/>
                      <a:graphic xmlns:a="http://schemas.openxmlformats.org/drawingml/2006/main">
                        <a:graphicData uri="http://schemas.microsoft.com/office/word/2010/wordprocessingShape">
                          <wps:wsp>
                            <wps:cNvSpPr/>
                            <wps:spPr>
                              <a:xfrm>
                                <a:off x="4389755" y="4242435"/>
                                <a:ext cx="90170" cy="90170"/>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38.15pt;margin-top:268.8pt;height:7.1pt;width:7.1pt;z-index:251662336;v-text-anchor:middle;mso-width-relative:page;mso-height-relative:page;" fillcolor="#FF0000" filled="t" stroked="t" coordsize="21600,21600" o:gfxdata="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LDcE/XAAAACwEAAA8AAAAAAAAAAQAgAAAAIgAAAGRycy9k&#10;b3ducmV2LnhtbFBLAQIUABQAAAAIAIdO4kCVdhcjdQIAAAAFAAAOAAAAAAAAAAEAIAAAACYBAABk&#10;cnMvZTJvRG9jLnhtbFBLBQYAAAAABgAGAFkBAAANBgAAAAA=&#10;">
                      <v:fill on="t" focussize="0,0"/>
                      <v:stroke weight="1pt" color="#FF0000 [2404]" miterlimit="8" joinstyle="miter"/>
                      <v:imagedata o:title=""/>
                      <o:lock v:ext="edit" aspectratio="f"/>
                    </v:shape>
                  </w:pict>
                </mc:Fallback>
              </mc:AlternateContent>
            </w:r>
            <w:r>
              <w:rPr>
                <w:rFonts w:hint="eastAsia" w:cs="Times New Roman"/>
                <w:kern w:val="0"/>
                <w:sz w:val="24"/>
                <w:highlight w:val="none"/>
                <w:lang w:val="en-US" w:eastAsia="zh-CN"/>
              </w:rPr>
              <w:drawing>
                <wp:inline distT="0" distB="0" distL="114300" distR="114300">
                  <wp:extent cx="4319905" cy="4484370"/>
                  <wp:effectExtent l="0" t="0" r="4445" b="11430"/>
                  <wp:docPr id="8" name="图片 8" descr="201807121344211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18071213442119750"/>
                          <pic:cNvPicPr>
                            <a:picLocks noChangeAspect="1"/>
                          </pic:cNvPicPr>
                        </pic:nvPicPr>
                        <pic:blipFill>
                          <a:blip r:embed="rId9"/>
                          <a:stretch>
                            <a:fillRect/>
                          </a:stretch>
                        </pic:blipFill>
                        <pic:spPr>
                          <a:xfrm>
                            <a:off x="0" y="0"/>
                            <a:ext cx="4319905" cy="4484370"/>
                          </a:xfrm>
                          <a:prstGeom prst="rect">
                            <a:avLst/>
                          </a:prstGeom>
                        </pic:spPr>
                      </pic:pic>
                    </a:graphicData>
                  </a:graphic>
                </wp:inline>
              </w:drawing>
            </w:r>
          </w:p>
          <w:p w14:paraId="171398F3">
            <w:pPr>
              <w:pStyle w:val="11"/>
              <w:bidi w:val="0"/>
              <w:rPr>
                <w:rFonts w:hint="default"/>
                <w:lang w:val="en-US" w:eastAsia="zh-CN"/>
              </w:rPr>
            </w:pPr>
            <w:r>
              <w:rPr>
                <w:rFonts w:hint="eastAsia"/>
                <w:lang w:val="en-US" w:eastAsia="zh-CN"/>
              </w:rPr>
              <w:t>图1-3 本项目与北京市生态保护红线位置关系图</w:t>
            </w:r>
          </w:p>
          <w:p w14:paraId="682049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vertAlign w:val="baseline"/>
                <w:lang w:eastAsia="zh-CN"/>
              </w:rPr>
            </w:pPr>
            <w:r>
              <w:rPr>
                <w:rFonts w:hint="eastAsia"/>
                <w:vertAlign w:val="baseline"/>
                <w:lang w:eastAsia="zh-CN"/>
              </w:rPr>
              <w:t>（</w:t>
            </w:r>
            <w:r>
              <w:rPr>
                <w:rFonts w:hint="eastAsia"/>
                <w:vertAlign w:val="baseline"/>
                <w:lang w:val="en-US" w:eastAsia="zh-CN"/>
              </w:rPr>
              <w:t>2</w:t>
            </w:r>
            <w:r>
              <w:rPr>
                <w:rFonts w:hint="eastAsia"/>
                <w:vertAlign w:val="baseline"/>
                <w:lang w:eastAsia="zh-CN"/>
              </w:rPr>
              <w:t>）环境质量底线符合性分析</w:t>
            </w:r>
          </w:p>
          <w:p w14:paraId="78CC62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vertAlign w:val="baseline"/>
                <w:lang w:val="en-US" w:eastAsia="zh-CN"/>
              </w:rPr>
            </w:pPr>
            <w:r>
              <w:rPr>
                <w:rFonts w:hint="eastAsia"/>
                <w:vertAlign w:val="baseline"/>
              </w:rPr>
              <w:t>本项目</w:t>
            </w:r>
            <w:r>
              <w:rPr>
                <w:rFonts w:hint="eastAsia"/>
                <w:vertAlign w:val="baseline"/>
                <w:lang w:val="en-US" w:eastAsia="zh-CN"/>
              </w:rPr>
              <w:t>所排废水为动物诊疗废水及生活废水。其中诊疗废水经消毒处理后与生活废水排入所在建筑化粪池预处理，然后经市政污水管网汇入</w:t>
            </w:r>
            <w:r>
              <w:rPr>
                <w:rFonts w:hint="eastAsia"/>
                <w:highlight w:val="none"/>
                <w:vertAlign w:val="baseline"/>
                <w:lang w:val="en-US" w:eastAsia="zh-CN"/>
              </w:rPr>
              <w:t>北京中设水处理有限公司良乡污水处理厂，废</w:t>
            </w:r>
            <w:r>
              <w:rPr>
                <w:rFonts w:hint="eastAsia"/>
                <w:vertAlign w:val="baseline"/>
                <w:lang w:val="en-US" w:eastAsia="zh-CN"/>
              </w:rPr>
              <w:t>水不直接排入地表水体，不会突破水环境质量底线。动物医院经营过程中产生的异味在采取有效的污染防治措施后，能达标排放，不会突破大气环境质量底线。项目运营期产生的生活垃圾分类收集，妥善处置；包装物等一般工业固体废物交由废品回收站再利用；诊疗及手术等环节产生的医疗废物在医疗废物暂存间暂存，定期委托有处置资质的单位回收处置，不会污染土壤和地下水环境，不会突破土壤环境底线。项目噪声经治理后，能够达标排放。</w:t>
            </w:r>
          </w:p>
          <w:p w14:paraId="2DC2A0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rPr>
            </w:pPr>
            <w:r>
              <w:rPr>
                <w:rFonts w:hint="eastAsia"/>
                <w:vertAlign w:val="baseline"/>
              </w:rPr>
              <w:t>项目区域环境质量可以保持现有水平，符合环境质量底线要求。</w:t>
            </w:r>
          </w:p>
          <w:p w14:paraId="46596F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vertAlign w:val="baseline"/>
                <w:lang w:val="en-US" w:eastAsia="zh-CN"/>
              </w:rPr>
            </w:pPr>
            <w:r>
              <w:rPr>
                <w:rFonts w:hint="eastAsia"/>
                <w:vertAlign w:val="baseline"/>
                <w:lang w:eastAsia="zh-CN"/>
              </w:rPr>
              <w:t>（</w:t>
            </w:r>
            <w:r>
              <w:rPr>
                <w:rFonts w:hint="eastAsia"/>
                <w:vertAlign w:val="baseline"/>
                <w:lang w:val="en-US" w:eastAsia="zh-CN"/>
              </w:rPr>
              <w:t>3</w:t>
            </w:r>
            <w:r>
              <w:rPr>
                <w:rFonts w:hint="eastAsia"/>
                <w:vertAlign w:val="baseline"/>
                <w:lang w:eastAsia="zh-CN"/>
              </w:rPr>
              <w:t>）</w:t>
            </w:r>
            <w:r>
              <w:rPr>
                <w:rFonts w:hint="eastAsia"/>
                <w:vertAlign w:val="baseline"/>
                <w:lang w:val="en-US" w:eastAsia="zh-CN"/>
              </w:rPr>
              <w:t>资源利用上线符合性分析</w:t>
            </w:r>
          </w:p>
          <w:p w14:paraId="3501E3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vertAlign w:val="baseline"/>
                <w:lang w:val="en-US" w:eastAsia="zh-CN"/>
              </w:rPr>
            </w:pPr>
            <w:r>
              <w:rPr>
                <w:rFonts w:hint="eastAsia"/>
                <w:vertAlign w:val="baseline"/>
              </w:rPr>
              <w:t>本项目</w:t>
            </w:r>
            <w:r>
              <w:rPr>
                <w:rFonts w:hint="eastAsia"/>
                <w:vertAlign w:val="baseline"/>
                <w:lang w:val="en-US" w:eastAsia="zh-CN"/>
              </w:rPr>
              <w:t>为动物医院，属于社区事业与服务业，从事动物疫病诊疗及相关手术。本项目不属于高能耗行业，不会超出区域资源利用上线。</w:t>
            </w:r>
          </w:p>
          <w:p w14:paraId="7C7377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vertAlign w:val="baseline"/>
                <w:lang w:eastAsia="zh-CN"/>
              </w:rPr>
            </w:pPr>
            <w:r>
              <w:rPr>
                <w:rFonts w:hint="eastAsia"/>
                <w:vertAlign w:val="baseline"/>
                <w:lang w:eastAsia="zh-CN"/>
              </w:rPr>
              <w:t>（</w:t>
            </w:r>
            <w:r>
              <w:rPr>
                <w:rFonts w:hint="eastAsia"/>
                <w:vertAlign w:val="baseline"/>
                <w:lang w:val="en-US" w:eastAsia="zh-CN"/>
              </w:rPr>
              <w:t>4</w:t>
            </w:r>
            <w:r>
              <w:rPr>
                <w:rFonts w:hint="eastAsia"/>
                <w:vertAlign w:val="baseline"/>
                <w:lang w:eastAsia="zh-CN"/>
              </w:rPr>
              <w:t>）生态准入清单符合性分析</w:t>
            </w:r>
          </w:p>
          <w:p w14:paraId="70AE39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r>
              <w:rPr>
                <w:rFonts w:hint="eastAsia"/>
                <w:vertAlign w:val="baseline"/>
              </w:rPr>
              <w:t>根据《中共北京市委生态文明建设委员会办公室关于印发〈关于北京市生态环境分区管控（“三线一单”）的实施意见〉的通知》，生态环境管控分为优先保护单元、重点管控单元和一般管控单元三类区域。重点管控单元指涉及水、大气、土壤、水资源、土地资源、能源等资源环境要素重点管控的区域，主要包括具有工业排放性质的国家级、市级产业园区，以及污染物排放量较大的街道（乡镇）。对重点管控单元，以环境污染</w:t>
            </w:r>
            <w:r>
              <w:rPr>
                <w:rFonts w:hint="eastAsia"/>
                <w:vertAlign w:val="baseline"/>
                <w:lang w:eastAsia="zh-CN"/>
              </w:rPr>
              <w:t>；</w:t>
            </w:r>
            <w:r>
              <w:rPr>
                <w:rFonts w:hint="eastAsia"/>
                <w:vertAlign w:val="baseline"/>
              </w:rPr>
              <w:t>治理和风险防范为主，要优化空间布局，促进产业转型升级，加强污染排放控制和环境风险防控，不断提升资源利用效率。</w:t>
            </w:r>
          </w:p>
          <w:p w14:paraId="2B27E2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r>
              <w:rPr>
                <w:rFonts w:hint="eastAsia"/>
                <w:vertAlign w:val="baseline"/>
              </w:rPr>
              <w:t>本项目位于</w:t>
            </w:r>
            <w:r>
              <w:rPr>
                <w:rFonts w:hint="eastAsia"/>
                <w:vertAlign w:val="baseline"/>
                <w:lang w:eastAsia="zh-CN"/>
              </w:rPr>
              <w:t>北京市房山区良乡拱辰星园4号楼1层0102底商</w:t>
            </w:r>
            <w:r>
              <w:rPr>
                <w:rFonts w:hint="eastAsia"/>
                <w:highlight w:val="none"/>
                <w:vertAlign w:val="baseline"/>
              </w:rPr>
              <w:t>，</w:t>
            </w:r>
            <w:r>
              <w:rPr>
                <w:rFonts w:hint="eastAsia"/>
                <w:highlight w:val="none"/>
                <w:vertAlign w:val="baseline"/>
                <w:lang w:val="en-US" w:eastAsia="zh-CN"/>
              </w:rPr>
              <w:t>属于街道（乡镇）重点管控单元，管控单元编码：ZH11011120013。在</w:t>
            </w:r>
            <w:r>
              <w:rPr>
                <w:rFonts w:hint="eastAsia"/>
                <w:vertAlign w:val="baseline"/>
                <w:lang w:val="en-US" w:eastAsia="zh-CN"/>
              </w:rPr>
              <w:t>北京市生态环境管控单元图中的位置见下图。</w:t>
            </w:r>
          </w:p>
          <w:p w14:paraId="08B288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p>
          <w:p w14:paraId="5DD77F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p>
          <w:p w14:paraId="4DDDF9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p>
          <w:p w14:paraId="6EF80A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p>
          <w:p w14:paraId="168CF6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p>
          <w:p w14:paraId="5AAB60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p>
          <w:p w14:paraId="42F138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p>
          <w:p w14:paraId="7F8AD5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p>
          <w:p w14:paraId="17269C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p>
          <w:p w14:paraId="6C40CF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p>
          <w:p w14:paraId="3983FB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p>
          <w:p w14:paraId="5CCE772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rPr>
            </w:pPr>
            <w:r>
              <w:rPr>
                <w:sz w:val="24"/>
              </w:rPr>
              <mc:AlternateContent>
                <mc:Choice Requires="wps">
                  <w:drawing>
                    <wp:anchor distT="0" distB="0" distL="114300" distR="114300" simplePos="0" relativeHeight="251664384" behindDoc="0" locked="0" layoutInCell="1" allowOverlap="1">
                      <wp:simplePos x="0" y="0"/>
                      <wp:positionH relativeFrom="column">
                        <wp:posOffset>1828800</wp:posOffset>
                      </wp:positionH>
                      <wp:positionV relativeFrom="paragraph">
                        <wp:posOffset>3340100</wp:posOffset>
                      </wp:positionV>
                      <wp:extent cx="90170" cy="90170"/>
                      <wp:effectExtent l="6350" t="6350" r="17780" b="17780"/>
                      <wp:wrapNone/>
                      <wp:docPr id="10" name="椭圆 10"/>
                      <wp:cNvGraphicFramePr/>
                      <a:graphic xmlns:a="http://schemas.openxmlformats.org/drawingml/2006/main">
                        <a:graphicData uri="http://schemas.microsoft.com/office/word/2010/wordprocessingShape">
                          <wps:wsp>
                            <wps:cNvSpPr/>
                            <wps:spPr>
                              <a:xfrm>
                                <a:off x="3975735" y="3148330"/>
                                <a:ext cx="90170" cy="90170"/>
                              </a:xfrm>
                              <a:prstGeom prst="ellips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4pt;margin-top:263pt;height:7.1pt;width:7.1pt;z-index:251664384;v-text-anchor:middle;mso-width-relative:page;mso-height-relative:page;" fillcolor="#000000 [3213]" filled="t" stroked="t" coordsize="21600,21600" o:gfxdata="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Gcyqw3aAAAACwEAAA8AAAAAAAAAAQAgAAAAIgAAAGRycy9k&#10;b3ducmV2LnhtbFBLAQIUABQAAAAIAIdO4kDhgLdHcgIAAAIFAAAOAAAAAAAAAAEAIAAAACkBAABk&#10;cnMvZTJvRG9jLnhtbFBLBQYAAAAABgAGAFkBAAANBgAAAAA=&#10;">
                      <v:fill on="t" focussize="0,0"/>
                      <v:stroke weight="1pt" color="#000000 [3213]" miterlimit="8" joinstyle="miter"/>
                      <v:imagedata o:title=""/>
                      <o:lock v:ext="edit" aspectratio="f"/>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1333500</wp:posOffset>
                      </wp:positionH>
                      <wp:positionV relativeFrom="paragraph">
                        <wp:posOffset>3663315</wp:posOffset>
                      </wp:positionV>
                      <wp:extent cx="780415" cy="304800"/>
                      <wp:effectExtent l="6350" t="295275" r="13335" b="9525"/>
                      <wp:wrapNone/>
                      <wp:docPr id="11" name="圆角矩形标注 11"/>
                      <wp:cNvGraphicFramePr/>
                      <a:graphic xmlns:a="http://schemas.openxmlformats.org/drawingml/2006/main">
                        <a:graphicData uri="http://schemas.microsoft.com/office/word/2010/wordprocessingShape">
                          <wps:wsp>
                            <wps:cNvSpPr/>
                            <wps:spPr>
                              <a:xfrm>
                                <a:off x="3862070" y="3308350"/>
                                <a:ext cx="780415" cy="304800"/>
                              </a:xfrm>
                              <a:prstGeom prst="wedgeRoundRectCallout">
                                <a:avLst>
                                  <a:gd name="adj1" fmla="val 18185"/>
                                  <a:gd name="adj2" fmla="val -140625"/>
                                  <a:gd name="adj3" fmla="val 16667"/>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0F92BC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b/>
                                      <w:bCs/>
                                      <w:color w:val="FF0000"/>
                                      <w:sz w:val="21"/>
                                      <w:szCs w:val="21"/>
                                      <w:lang w:val="en-US" w:eastAsia="zh-CN"/>
                                    </w:rPr>
                                  </w:pPr>
                                  <w:r>
                                    <w:rPr>
                                      <w:rFonts w:hint="eastAsia"/>
                                      <w:b/>
                                      <w:bCs/>
                                      <w:color w:val="FF0000"/>
                                      <w:sz w:val="21"/>
                                      <w:szCs w:val="21"/>
                                      <w:lang w:val="en-US"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05pt;margin-top:288.45pt;height:24pt;width:61.45pt;z-index:251665408;v-text-anchor:middle;mso-width-relative:page;mso-height-relative:page;" filled="f" stroked="t" coordsize="21600,21600" o:gfxdata="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Fhj3&#10;ytsAAAALAQAADwAAAAAAAAABACAAAAAiAAAAZHJzL2Rvd25yZXYueG1sUEsBAhQAFAAAAAgAh07i&#10;QJ2G9QPKAgAAdwUAAA4AAAAAAAAAAQAgAAAAKgEAAGRycy9lMm9Eb2MueG1sUEsFBgAAAAAGAAYA&#10;WQEAAGYGAAAAAA==&#10;" adj="14728,-19575,14400">
                      <v:fill on="f" focussize="0,0"/>
                      <v:stroke weight="1pt" color="#000000 [3213]" miterlimit="8" joinstyle="miter"/>
                      <v:imagedata o:title=""/>
                      <o:lock v:ext="edit" aspectratio="f"/>
                      <v:textbox>
                        <w:txbxContent>
                          <w:p w14:paraId="20F92BC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b/>
                                <w:bCs/>
                                <w:color w:val="FF0000"/>
                                <w:sz w:val="21"/>
                                <w:szCs w:val="21"/>
                                <w:lang w:val="en-US" w:eastAsia="zh-CN"/>
                              </w:rPr>
                            </w:pPr>
                            <w:r>
                              <w:rPr>
                                <w:rFonts w:hint="eastAsia"/>
                                <w:b/>
                                <w:bCs/>
                                <w:color w:val="FF0000"/>
                                <w:sz w:val="21"/>
                                <w:szCs w:val="21"/>
                                <w:lang w:val="en-US" w:eastAsia="zh-CN"/>
                              </w:rPr>
                              <w:t>项目位置</w:t>
                            </w:r>
                          </w:p>
                        </w:txbxContent>
                      </v:textbox>
                    </v:shape>
                  </w:pict>
                </mc:Fallback>
              </mc:AlternateContent>
            </w:r>
            <w:r>
              <w:rPr>
                <w:rFonts w:hint="default"/>
              </w:rPr>
              <w:drawing>
                <wp:inline distT="0" distB="0" distL="114300" distR="114300">
                  <wp:extent cx="4679950" cy="4184650"/>
                  <wp:effectExtent l="0" t="0" r="6350" b="635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0"/>
                          <a:srcRect l="1995" t="8968" r="3826" b="881"/>
                          <a:stretch>
                            <a:fillRect/>
                          </a:stretch>
                        </pic:blipFill>
                        <pic:spPr>
                          <a:xfrm>
                            <a:off x="0" y="0"/>
                            <a:ext cx="4679950" cy="4184650"/>
                          </a:xfrm>
                          <a:prstGeom prst="rect">
                            <a:avLst/>
                          </a:prstGeom>
                          <a:noFill/>
                          <a:ln>
                            <a:noFill/>
                          </a:ln>
                        </pic:spPr>
                      </pic:pic>
                    </a:graphicData>
                  </a:graphic>
                </wp:inline>
              </w:drawing>
            </w:r>
          </w:p>
          <w:p w14:paraId="7F3727A0">
            <w:pPr>
              <w:pStyle w:val="11"/>
              <w:bidi w:val="0"/>
              <w:rPr>
                <w:rFonts w:hint="default"/>
                <w:lang w:val="en-US" w:eastAsia="zh-CN"/>
              </w:rPr>
            </w:pPr>
            <w:r>
              <w:rPr>
                <w:rFonts w:hint="eastAsia"/>
                <w:lang w:val="en-US" w:eastAsia="zh-CN"/>
              </w:rPr>
              <w:t>图1-4 北京市生态环境管控单元图</w:t>
            </w:r>
          </w:p>
          <w:p w14:paraId="7DD50E7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rPr>
            </w:pPr>
          </w:p>
          <w:p w14:paraId="0C0BB89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rPr>
            </w:pPr>
          </w:p>
          <w:p w14:paraId="2CF7E2C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rPr>
            </w:pPr>
          </w:p>
          <w:p w14:paraId="19F2167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rPr>
            </w:pPr>
          </w:p>
          <w:p w14:paraId="3FCCFC5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rPr>
            </w:pPr>
          </w:p>
          <w:p w14:paraId="0169CBB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rPr>
            </w:pPr>
          </w:p>
          <w:p w14:paraId="526045A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rPr>
            </w:pPr>
          </w:p>
          <w:p w14:paraId="3F67762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rPr>
            </w:pPr>
          </w:p>
          <w:p w14:paraId="6AA07BF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rPr>
            </w:pPr>
          </w:p>
          <w:p w14:paraId="1B9525D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rPr>
            </w:pPr>
          </w:p>
          <w:p w14:paraId="19F06D6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rPr>
            </w:pPr>
          </w:p>
          <w:p w14:paraId="0F9C5BD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rPr>
            </w:pPr>
          </w:p>
          <w:p w14:paraId="2FF53F5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rPr>
            </w:pPr>
          </w:p>
          <w:p w14:paraId="6DCDF13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rPr>
            </w:pPr>
          </w:p>
          <w:p w14:paraId="661B238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宋体"/>
                <w:vertAlign w:val="baseline"/>
                <w:lang w:eastAsia="zh-CN"/>
              </w:rPr>
            </w:pPr>
            <w:r>
              <w:rPr>
                <w:sz w:val="24"/>
              </w:rPr>
              <w:drawing>
                <wp:inline distT="0" distB="0" distL="114300" distR="114300">
                  <wp:extent cx="4679950" cy="6613525"/>
                  <wp:effectExtent l="0" t="0" r="6350" b="15875"/>
                  <wp:docPr id="16" name="图片 16" descr="拱辰街道重点管控单元（乡镇街道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拱辰街道重点管控单元（乡镇街道类）"/>
                          <pic:cNvPicPr>
                            <a:picLocks noChangeAspect="1"/>
                          </pic:cNvPicPr>
                        </pic:nvPicPr>
                        <pic:blipFill>
                          <a:blip r:embed="rId11"/>
                          <a:stretch>
                            <a:fillRect/>
                          </a:stretch>
                        </pic:blipFill>
                        <pic:spPr>
                          <a:xfrm>
                            <a:off x="0" y="0"/>
                            <a:ext cx="4679950" cy="6613525"/>
                          </a:xfrm>
                          <a:prstGeom prst="rect">
                            <a:avLst/>
                          </a:prstGeom>
                        </pic:spPr>
                      </pic:pic>
                    </a:graphicData>
                  </a:graphic>
                </wp:inline>
              </w:drawing>
            </w:r>
            <w:r>
              <w:rPr>
                <w:sz w:val="24"/>
              </w:rPr>
              <mc:AlternateContent>
                <mc:Choice Requires="wps">
                  <w:drawing>
                    <wp:anchor distT="0" distB="0" distL="114300" distR="114300" simplePos="0" relativeHeight="251666432" behindDoc="0" locked="0" layoutInCell="1" allowOverlap="1">
                      <wp:simplePos x="0" y="0"/>
                      <wp:positionH relativeFrom="column">
                        <wp:posOffset>1539875</wp:posOffset>
                      </wp:positionH>
                      <wp:positionV relativeFrom="paragraph">
                        <wp:posOffset>2268855</wp:posOffset>
                      </wp:positionV>
                      <wp:extent cx="90170" cy="90170"/>
                      <wp:effectExtent l="6350" t="6350" r="17780" b="17780"/>
                      <wp:wrapNone/>
                      <wp:docPr id="19" name="椭圆 19"/>
                      <wp:cNvGraphicFramePr/>
                      <a:graphic xmlns:a="http://schemas.openxmlformats.org/drawingml/2006/main">
                        <a:graphicData uri="http://schemas.microsoft.com/office/word/2010/wordprocessingShape">
                          <wps:wsp>
                            <wps:cNvSpPr/>
                            <wps:spPr>
                              <a:xfrm>
                                <a:off x="0" y="0"/>
                                <a:ext cx="90170" cy="90170"/>
                              </a:xfrm>
                              <a:prstGeom prst="ellips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21.25pt;margin-top:178.65pt;height:7.1pt;width:7.1pt;z-index:251666432;v-text-anchor:middle;mso-width-relative:page;mso-height-relative:page;" fillcolor="#000000 [3213]" filled="t" stroked="t" coordsize="21600,21600" o:gfxdata="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rQDS82wAAAAsBAAAPAAAAAAAAAAEAIAAAACIAAABkcnMvZG93bnJldi54bWxQ&#10;SwECFAAUAAAACACHTuJAnlUBUWYCAAD2BAAADgAAAAAAAAABACAAAAAqAQAAZHJzL2Uyb0RvYy54&#10;bWxQSwUGAAAAAAYABgBZAQAAAgYAAAAA&#10;">
                      <v:fill on="t" focussize="0,0"/>
                      <v:stroke weight="1pt" color="#000000 [3213]" miterlimit="8" joinstyle="miter"/>
                      <v:imagedata o:title=""/>
                      <o:lock v:ext="edit" aspectratio="f"/>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1044575</wp:posOffset>
                      </wp:positionH>
                      <wp:positionV relativeFrom="paragraph">
                        <wp:posOffset>2592070</wp:posOffset>
                      </wp:positionV>
                      <wp:extent cx="780415" cy="304800"/>
                      <wp:effectExtent l="6350" t="295275" r="13335" b="9525"/>
                      <wp:wrapNone/>
                      <wp:docPr id="18" name="圆角矩形标注 18"/>
                      <wp:cNvGraphicFramePr/>
                      <a:graphic xmlns:a="http://schemas.openxmlformats.org/drawingml/2006/main">
                        <a:graphicData uri="http://schemas.microsoft.com/office/word/2010/wordprocessingShape">
                          <wps:wsp>
                            <wps:cNvSpPr/>
                            <wps:spPr>
                              <a:xfrm>
                                <a:off x="0" y="0"/>
                                <a:ext cx="780415" cy="304800"/>
                              </a:xfrm>
                              <a:prstGeom prst="wedgeRoundRectCallout">
                                <a:avLst>
                                  <a:gd name="adj1" fmla="val 18185"/>
                                  <a:gd name="adj2" fmla="val -140625"/>
                                  <a:gd name="adj3" fmla="val 16667"/>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4D780F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b/>
                                      <w:bCs/>
                                      <w:color w:val="FF0000"/>
                                      <w:sz w:val="21"/>
                                      <w:szCs w:val="21"/>
                                      <w:lang w:val="en-US" w:eastAsia="zh-CN"/>
                                    </w:rPr>
                                  </w:pPr>
                                  <w:r>
                                    <w:rPr>
                                      <w:rFonts w:hint="eastAsia"/>
                                      <w:b/>
                                      <w:bCs/>
                                      <w:color w:val="000000" w:themeColor="text1"/>
                                      <w:sz w:val="21"/>
                                      <w:szCs w:val="21"/>
                                      <w:lang w:val="en-US" w:eastAsia="zh-CN"/>
                                      <w14:textFill>
                                        <w14:solidFill>
                                          <w14:schemeClr w14:val="tx1"/>
                                        </w14:solidFill>
                                      </w14:textFill>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82.25pt;margin-top:204.1pt;height:24pt;width:61.45pt;z-index:251667456;v-text-anchor:middle;mso-width-relative:page;mso-height-relative:page;" filled="f" stroked="t" coordsize="21600,21600" o:gfxdata="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5tSWSdkAAAALAQAADwAA&#10;AAAAAAABACAAAAAiAAAAZHJzL2Rvd25yZXYueG1sUEsBAhQAFAAAAAgAh07iQDgkQbnAAgAAawUA&#10;AA4AAAAAAAAAAQAgAAAAKAEAAGRycy9lMm9Eb2MueG1sUEsFBgAAAAAGAAYAWQEAAFoGAAAAAA==&#10;" adj="14728,-19575,14400">
                      <v:fill on="f" focussize="0,0"/>
                      <v:stroke weight="1pt" color="#000000 [3213]" miterlimit="8" joinstyle="miter"/>
                      <v:imagedata o:title=""/>
                      <o:lock v:ext="edit" aspectratio="f"/>
                      <v:textbox>
                        <w:txbxContent>
                          <w:p w14:paraId="74D780F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b/>
                                <w:bCs/>
                                <w:color w:val="FF0000"/>
                                <w:sz w:val="21"/>
                                <w:szCs w:val="21"/>
                                <w:lang w:val="en-US" w:eastAsia="zh-CN"/>
                              </w:rPr>
                            </w:pPr>
                            <w:r>
                              <w:rPr>
                                <w:rFonts w:hint="eastAsia"/>
                                <w:b/>
                                <w:bCs/>
                                <w:color w:val="000000" w:themeColor="text1"/>
                                <w:sz w:val="21"/>
                                <w:szCs w:val="21"/>
                                <w:lang w:val="en-US" w:eastAsia="zh-CN"/>
                                <w14:textFill>
                                  <w14:solidFill>
                                    <w14:schemeClr w14:val="tx1"/>
                                  </w14:solidFill>
                                </w14:textFill>
                              </w:rPr>
                              <w:t>项目位置</w:t>
                            </w:r>
                          </w:p>
                        </w:txbxContent>
                      </v:textbox>
                    </v:shape>
                  </w:pict>
                </mc:Fallback>
              </mc:AlternateContent>
            </w:r>
          </w:p>
          <w:p w14:paraId="6AD2712F">
            <w:pPr>
              <w:pStyle w:val="11"/>
              <w:bidi w:val="0"/>
              <w:rPr>
                <w:rFonts w:hint="default"/>
                <w:highlight w:val="none"/>
                <w:lang w:val="en-US" w:eastAsia="zh-CN"/>
              </w:rPr>
            </w:pPr>
            <w:r>
              <w:rPr>
                <w:rFonts w:hint="eastAsia"/>
                <w:highlight w:val="none"/>
                <w:lang w:val="en-US" w:eastAsia="zh-CN"/>
              </w:rPr>
              <w:t>图1-5 重点管控类街道（乡镇）管控单元图</w:t>
            </w:r>
          </w:p>
          <w:p w14:paraId="789F5F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rPr>
            </w:pPr>
            <w:r>
              <w:rPr>
                <w:rFonts w:hint="eastAsia"/>
                <w:vertAlign w:val="baseline"/>
              </w:rPr>
              <w:t>本项目从全市总体、五大功能区及环境管控单元三个等级逐级分析准入要求符合性。</w:t>
            </w:r>
          </w:p>
          <w:p w14:paraId="2EA22D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rPr>
            </w:pPr>
            <w:r>
              <w:rPr>
                <w:rFonts w:hint="eastAsia"/>
                <w:vertAlign w:val="baseline"/>
              </w:rPr>
              <w:t>1）全市总体生态环境准入清单符合性分析</w:t>
            </w:r>
          </w:p>
          <w:p w14:paraId="0D325B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rPr>
            </w:pPr>
            <w:r>
              <w:rPr>
                <w:rFonts w:hint="eastAsia"/>
                <w:vertAlign w:val="baseline"/>
              </w:rPr>
              <w:t>项目所在位置不涉及永久基本农田、具有重要生态价值的山地、森林、河流湖泊等现状生态用地，和饮用水水源保护区及准保护区、自然保护区、风景名胜区、森林公园、地质公园、湿地公园等法定保护空间，以及对生态安全格局具有重要作用的部分大型公园和结构性绿地。项目所在地属于涉及水、大气、土壤、水资源、土地资源、能源等资源环境要素重点管控的区域。且不在39个具有工业污染排放性质的国家级和市级开发区、新型工业化产业示范基地内，应属于重点管控类街道（乡镇）类管控单元。</w:t>
            </w:r>
          </w:p>
          <w:p w14:paraId="01419A88">
            <w:pPr>
              <w:pStyle w:val="11"/>
              <w:bidi w:val="0"/>
              <w:rPr>
                <w:rFonts w:hint="default"/>
                <w:lang w:val="en-US" w:eastAsia="zh-CN"/>
              </w:rPr>
            </w:pPr>
            <w:r>
              <w:rPr>
                <w:rFonts w:hint="eastAsia"/>
                <w:lang w:val="en-US" w:eastAsia="zh-CN"/>
              </w:rPr>
              <w:t>表1-1 与重点管控类[街道（乡镇）]生态环境准入清单管控要求符合性分析</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3174"/>
              <w:gridCol w:w="3175"/>
              <w:gridCol w:w="534"/>
            </w:tblGrid>
            <w:tr w14:paraId="6E301A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48CA85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bCs/>
                      <w:sz w:val="21"/>
                      <w:szCs w:val="21"/>
                      <w:vertAlign w:val="baseline"/>
                      <w:lang w:val="en-US" w:eastAsia="zh-CN"/>
                    </w:rPr>
                  </w:pPr>
                  <w:r>
                    <w:rPr>
                      <w:rFonts w:hint="eastAsia"/>
                      <w:b/>
                      <w:bCs/>
                      <w:sz w:val="21"/>
                      <w:szCs w:val="21"/>
                      <w:vertAlign w:val="baseline"/>
                      <w:lang w:val="en-US" w:eastAsia="zh-CN"/>
                    </w:rPr>
                    <w:t>管控类别</w:t>
                  </w:r>
                </w:p>
              </w:tc>
              <w:tc>
                <w:tcPr>
                  <w:tcW w:w="3037" w:type="dxa"/>
                  <w:tcBorders>
                    <w:tl2br w:val="nil"/>
                    <w:tr2bl w:val="nil"/>
                  </w:tcBorders>
                  <w:vAlign w:val="center"/>
                </w:tcPr>
                <w:p w14:paraId="41C114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sz w:val="21"/>
                      <w:szCs w:val="21"/>
                      <w:vertAlign w:val="baseline"/>
                      <w:lang w:val="en-US" w:eastAsia="zh-CN"/>
                    </w:rPr>
                  </w:pPr>
                  <w:r>
                    <w:rPr>
                      <w:rFonts w:hint="eastAsia" w:cs="Times New Roman"/>
                      <w:b/>
                      <w:bCs/>
                      <w:kern w:val="0"/>
                      <w:sz w:val="21"/>
                      <w:szCs w:val="21"/>
                      <w:highlight w:val="none"/>
                      <w:vertAlign w:val="baseline"/>
                      <w:lang w:val="en-US" w:eastAsia="zh-CN"/>
                    </w:rPr>
                    <w:t>重点管控要求</w:t>
                  </w:r>
                </w:p>
              </w:tc>
              <w:tc>
                <w:tcPr>
                  <w:tcW w:w="3038" w:type="dxa"/>
                  <w:tcBorders>
                    <w:tl2br w:val="nil"/>
                    <w:tr2bl w:val="nil"/>
                  </w:tcBorders>
                  <w:vAlign w:val="center"/>
                </w:tcPr>
                <w:p w14:paraId="5A6394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sz w:val="21"/>
                      <w:szCs w:val="21"/>
                      <w:vertAlign w:val="baseline"/>
                      <w:lang w:val="en-US" w:eastAsia="zh-CN"/>
                    </w:rPr>
                  </w:pPr>
                  <w:r>
                    <w:rPr>
                      <w:rFonts w:hint="eastAsia"/>
                      <w:b/>
                      <w:bCs/>
                      <w:sz w:val="21"/>
                      <w:szCs w:val="21"/>
                      <w:vertAlign w:val="baseline"/>
                      <w:lang w:val="en-US" w:eastAsia="zh-CN"/>
                    </w:rPr>
                    <w:t>本项目情况</w:t>
                  </w:r>
                </w:p>
              </w:tc>
              <w:tc>
                <w:tcPr>
                  <w:tcW w:w="510" w:type="dxa"/>
                  <w:tcBorders>
                    <w:tl2br w:val="nil"/>
                    <w:tr2bl w:val="nil"/>
                  </w:tcBorders>
                  <w:vAlign w:val="center"/>
                </w:tcPr>
                <w:p w14:paraId="0F46B7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sz w:val="21"/>
                      <w:szCs w:val="21"/>
                      <w:vertAlign w:val="baseline"/>
                      <w:lang w:val="en-US" w:eastAsia="zh-CN"/>
                    </w:rPr>
                  </w:pPr>
                  <w:r>
                    <w:rPr>
                      <w:rFonts w:hint="eastAsia"/>
                      <w:b/>
                      <w:bCs/>
                      <w:sz w:val="21"/>
                      <w:szCs w:val="21"/>
                      <w:vertAlign w:val="baseline"/>
                      <w:lang w:val="en-US" w:eastAsia="zh-CN"/>
                    </w:rPr>
                    <w:t>符合情况</w:t>
                  </w:r>
                </w:p>
              </w:tc>
            </w:tr>
            <w:tr w14:paraId="61CFC9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337CA5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21"/>
                      <w:szCs w:val="21"/>
                      <w:vertAlign w:val="baseline"/>
                      <w:lang w:val="en-US" w:eastAsia="zh-CN"/>
                    </w:rPr>
                  </w:pPr>
                  <w:r>
                    <w:rPr>
                      <w:rFonts w:hint="eastAsia" w:cs="Times New Roman"/>
                      <w:kern w:val="0"/>
                      <w:sz w:val="21"/>
                      <w:szCs w:val="21"/>
                      <w:highlight w:val="none"/>
                      <w:vertAlign w:val="baseline"/>
                      <w:lang w:val="en-US" w:eastAsia="zh-CN"/>
                    </w:rPr>
                    <w:t>空间布局约束</w:t>
                  </w:r>
                </w:p>
              </w:tc>
              <w:tc>
                <w:tcPr>
                  <w:tcW w:w="3037" w:type="dxa"/>
                  <w:tcBorders>
                    <w:tl2br w:val="nil"/>
                    <w:tr2bl w:val="nil"/>
                  </w:tcBorders>
                  <w:vAlign w:val="center"/>
                </w:tcPr>
                <w:p w14:paraId="39C7B6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kern w:val="0"/>
                      <w:sz w:val="21"/>
                      <w:szCs w:val="21"/>
                      <w:highlight w:val="none"/>
                      <w:vertAlign w:val="baseline"/>
                      <w:lang w:val="en-US" w:eastAsia="zh-CN"/>
                    </w:rPr>
                  </w:pPr>
                  <w:r>
                    <w:rPr>
                      <w:rFonts w:hint="eastAsia" w:cs="Times New Roman"/>
                      <w:kern w:val="0"/>
                      <w:sz w:val="21"/>
                      <w:szCs w:val="21"/>
                      <w:highlight w:val="none"/>
                      <w:vertAlign w:val="baseline"/>
                      <w:lang w:val="en-US" w:eastAsia="zh-CN"/>
                    </w:rPr>
                    <w:t>1.严格执行《北京市新增产业的禁止和限制目录（2022年版）》、北京市《建设项目规划使用性质正面和负面清单》、《外商投资准入特别管理措施(负面清单)（2021年版）》《自由贸易试验区外商投资准入特别管理措施（负面清单）（2021年版）》《北京市“十四五”时期高精尖产业发展规划》《北京市“十四五”时期生态环境保护规划》。</w:t>
                  </w:r>
                </w:p>
                <w:p w14:paraId="3BEE12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kern w:val="0"/>
                      <w:sz w:val="21"/>
                      <w:szCs w:val="21"/>
                      <w:highlight w:val="none"/>
                      <w:vertAlign w:val="baseline"/>
                      <w:lang w:val="en-US" w:eastAsia="zh-CN"/>
                    </w:rPr>
                  </w:pPr>
                  <w:r>
                    <w:rPr>
                      <w:rFonts w:hint="eastAsia" w:cs="Times New Roman"/>
                      <w:kern w:val="0"/>
                      <w:sz w:val="21"/>
                      <w:szCs w:val="21"/>
                      <w:highlight w:val="none"/>
                      <w:vertAlign w:val="baseline"/>
                      <w:lang w:val="en-US" w:eastAsia="zh-CN"/>
                    </w:rPr>
                    <w:t>2.严格执行《北京市工业污染行业生产工艺调整退出及设备淘汰目录（2022年版）》。</w:t>
                  </w:r>
                </w:p>
                <w:p w14:paraId="4A31ED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kern w:val="0"/>
                      <w:sz w:val="21"/>
                      <w:szCs w:val="21"/>
                      <w:highlight w:val="none"/>
                      <w:vertAlign w:val="baseline"/>
                      <w:lang w:val="en-US" w:eastAsia="zh-CN"/>
                    </w:rPr>
                  </w:pPr>
                  <w:r>
                    <w:rPr>
                      <w:rFonts w:hint="eastAsia" w:cs="Times New Roman"/>
                      <w:kern w:val="0"/>
                      <w:sz w:val="21"/>
                      <w:szCs w:val="21"/>
                      <w:highlight w:val="none"/>
                      <w:vertAlign w:val="baseline"/>
                      <w:lang w:val="en-US" w:eastAsia="zh-CN"/>
                    </w:rPr>
                    <w:t>3.严格执行《北京城市总体规划(2016年-2035年)》《北京市国土空间近期规划(2021年—2025年)》及分区规划中的空间布局约束管控要求。</w:t>
                  </w:r>
                </w:p>
                <w:p w14:paraId="65E19D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kern w:val="0"/>
                      <w:sz w:val="21"/>
                      <w:szCs w:val="21"/>
                      <w:highlight w:val="none"/>
                      <w:vertAlign w:val="baseline"/>
                      <w:lang w:val="en-US" w:eastAsia="zh-CN"/>
                    </w:rPr>
                  </w:pPr>
                  <w:r>
                    <w:rPr>
                      <w:rFonts w:hint="eastAsia" w:cs="Times New Roman"/>
                      <w:kern w:val="0"/>
                      <w:sz w:val="21"/>
                      <w:szCs w:val="21"/>
                      <w:highlight w:val="none"/>
                      <w:vertAlign w:val="baseline"/>
                      <w:lang w:val="en-US" w:eastAsia="zh-CN"/>
                    </w:rPr>
                    <w:t>4.严格执行《北京市高污染燃料禁燃区划定方案（试行）》，高污染燃料禁燃区内任何单位不得新建、扩建高污染燃料燃用设施，不得将其他燃料燃用设施改造为高污染燃料燃用设施。</w:t>
                  </w:r>
                </w:p>
                <w:p w14:paraId="16B252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kern w:val="0"/>
                      <w:sz w:val="21"/>
                      <w:szCs w:val="21"/>
                      <w:highlight w:val="none"/>
                      <w:vertAlign w:val="baseline"/>
                      <w:lang w:val="en-US" w:eastAsia="zh-CN"/>
                    </w:rPr>
                  </w:pPr>
                  <w:r>
                    <w:rPr>
                      <w:rFonts w:hint="eastAsia" w:cs="Times New Roman"/>
                      <w:kern w:val="0"/>
                      <w:sz w:val="21"/>
                      <w:szCs w:val="21"/>
                      <w:highlight w:val="none"/>
                      <w:vertAlign w:val="baseline"/>
                      <w:lang w:val="en-US" w:eastAsia="zh-CN"/>
                    </w:rPr>
                    <w:t>5.严格执行《北京市水污染防治条例》，通过合理规划工业布局，引导工业企业入驻工业园区；规划禁养区内已有的畜禽养殖场、养殖小区项目，由所在地区人民政府限期拆除。</w:t>
                  </w:r>
                </w:p>
                <w:p w14:paraId="6E33FE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kern w:val="0"/>
                      <w:sz w:val="21"/>
                      <w:szCs w:val="21"/>
                      <w:highlight w:val="none"/>
                      <w:vertAlign w:val="baseline"/>
                      <w:lang w:val="en-US" w:eastAsia="zh-CN"/>
                    </w:rPr>
                  </w:pPr>
                  <w:r>
                    <w:rPr>
                      <w:rFonts w:hint="eastAsia" w:cs="Times New Roman"/>
                      <w:kern w:val="0"/>
                      <w:sz w:val="21"/>
                      <w:szCs w:val="21"/>
                      <w:highlight w:val="none"/>
                      <w:vertAlign w:val="baseline"/>
                      <w:lang w:val="en-US" w:eastAsia="zh-CN"/>
                    </w:rPr>
                    <w:t>6.严格执行《北京市大气污染防治条例》，禁止销售不符合标准的散煤及制品；在居民住宅楼、未配套设立专用烟道的商住综合楼、商住综合楼内与居住层相邻的商业楼层内，禁止新建、改建、扩建产生油烟、异味、废气的饮食服务、服装干洗和机动车维修等项目。</w:t>
                  </w:r>
                </w:p>
                <w:p w14:paraId="096115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eastAsia="宋体"/>
                      <w:sz w:val="21"/>
                      <w:szCs w:val="21"/>
                      <w:vertAlign w:val="baseline"/>
                      <w:lang w:val="en-US" w:eastAsia="zh-CN"/>
                    </w:rPr>
                  </w:pPr>
                  <w:r>
                    <w:rPr>
                      <w:rFonts w:hint="eastAsia" w:cs="Times New Roman"/>
                      <w:kern w:val="0"/>
                      <w:sz w:val="21"/>
                      <w:szCs w:val="21"/>
                      <w:highlight w:val="none"/>
                      <w:vertAlign w:val="baseline"/>
                      <w:lang w:val="en-US" w:eastAsia="zh-CN"/>
                    </w:rPr>
                    <w:t>7.严格执行《北京历史文化名城保护条例》，严格控制建设规模和建筑高度，保护景观视廊和空间格局；逐步开展环境整治、生态修复，恢复大尺度绿色空间。</w:t>
                  </w:r>
                </w:p>
              </w:tc>
              <w:tc>
                <w:tcPr>
                  <w:tcW w:w="3038" w:type="dxa"/>
                  <w:tcBorders>
                    <w:tl2br w:val="nil"/>
                    <w:tr2bl w:val="nil"/>
                  </w:tcBorders>
                  <w:vAlign w:val="center"/>
                </w:tcPr>
                <w:p w14:paraId="372A51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cs="Times New Roman"/>
                      <w:kern w:val="0"/>
                      <w:sz w:val="21"/>
                      <w:szCs w:val="21"/>
                      <w:highlight w:val="none"/>
                      <w:vertAlign w:val="baseline"/>
                      <w:lang w:val="en-US" w:eastAsia="zh-CN"/>
                    </w:rPr>
                  </w:pPr>
                  <w:r>
                    <w:rPr>
                      <w:rFonts w:hint="eastAsia" w:cs="Times New Roman"/>
                      <w:kern w:val="0"/>
                      <w:sz w:val="21"/>
                      <w:szCs w:val="21"/>
                      <w:highlight w:val="none"/>
                      <w:vertAlign w:val="baseline"/>
                      <w:lang w:val="en-US" w:eastAsia="zh-CN"/>
                    </w:rPr>
                    <w:t>1.项目不属于《北京市新增产业的禁止和限制目录（2022年版）》中禁止和限制类项目，未列入北京市《建设项目规划使用性质正面和负面清单》、《外商投资准入特别管理措施（负面清单）（2021年版）》《自由贸易试验区外商投资准入特别管理措施（负面清单）（2021年版）》中负面清单，本项目严格执行《北京市“十四五”时期高精尖产业发展规划》《北京市“十四五”时期生态环境保护规划》中相关要求。</w:t>
                  </w:r>
                </w:p>
                <w:p w14:paraId="1CCAE7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cs="Times New Roman"/>
                      <w:kern w:val="0"/>
                      <w:sz w:val="21"/>
                      <w:szCs w:val="21"/>
                      <w:highlight w:val="none"/>
                      <w:vertAlign w:val="baseline"/>
                      <w:lang w:val="en-US" w:eastAsia="zh-CN"/>
                    </w:rPr>
                  </w:pPr>
                  <w:r>
                    <w:rPr>
                      <w:rFonts w:hint="eastAsia" w:cs="Times New Roman"/>
                      <w:kern w:val="0"/>
                      <w:sz w:val="21"/>
                      <w:szCs w:val="21"/>
                      <w:highlight w:val="none"/>
                      <w:vertAlign w:val="baseline"/>
                      <w:lang w:val="en-US" w:eastAsia="zh-CN"/>
                    </w:rPr>
                    <w:t>2.项目为动物医院，属于社区事业与服务业，项目工艺和设备不属于《北京市工业污染行业生产工艺调整退出及设备淘汰目录（2022年版）》中工艺及设备。</w:t>
                  </w:r>
                </w:p>
                <w:p w14:paraId="75518F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cs="Times New Roman"/>
                      <w:kern w:val="0"/>
                      <w:sz w:val="21"/>
                      <w:szCs w:val="21"/>
                      <w:highlight w:val="none"/>
                      <w:vertAlign w:val="baseline"/>
                      <w:lang w:val="en-US" w:eastAsia="zh-CN"/>
                    </w:rPr>
                  </w:pPr>
                  <w:r>
                    <w:rPr>
                      <w:rFonts w:hint="eastAsia" w:cs="Times New Roman"/>
                      <w:kern w:val="0"/>
                      <w:sz w:val="21"/>
                      <w:szCs w:val="21"/>
                      <w:highlight w:val="none"/>
                      <w:vertAlign w:val="baseline"/>
                      <w:lang w:val="en-US" w:eastAsia="zh-CN"/>
                    </w:rPr>
                    <w:t>3.项目符合《北京城市总体规划（2016年-2035年）》及分区规划中的空间布局约束管控要求。</w:t>
                  </w:r>
                </w:p>
                <w:p w14:paraId="5D6FC9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cs="Times New Roman"/>
                      <w:kern w:val="0"/>
                      <w:sz w:val="21"/>
                      <w:szCs w:val="21"/>
                      <w:highlight w:val="none"/>
                      <w:vertAlign w:val="baseline"/>
                      <w:lang w:val="en-US" w:eastAsia="zh-CN"/>
                    </w:rPr>
                  </w:pPr>
                  <w:r>
                    <w:rPr>
                      <w:rFonts w:hint="eastAsia" w:cs="Times New Roman"/>
                      <w:kern w:val="0"/>
                      <w:sz w:val="21"/>
                      <w:szCs w:val="21"/>
                      <w:highlight w:val="none"/>
                      <w:vertAlign w:val="baseline"/>
                      <w:lang w:val="en-US" w:eastAsia="zh-CN"/>
                    </w:rPr>
                    <w:t>4.项目不涉及高污染燃料燃用设施使用。</w:t>
                  </w:r>
                </w:p>
                <w:p w14:paraId="3878C5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s="Times New Roman"/>
                      <w:kern w:val="0"/>
                      <w:sz w:val="21"/>
                      <w:szCs w:val="21"/>
                      <w:highlight w:val="none"/>
                      <w:vertAlign w:val="baseline"/>
                      <w:lang w:val="en-US" w:eastAsia="zh-CN"/>
                    </w:rPr>
                  </w:pPr>
                  <w:r>
                    <w:rPr>
                      <w:rFonts w:hint="eastAsia" w:cs="Times New Roman"/>
                      <w:kern w:val="0"/>
                      <w:sz w:val="21"/>
                      <w:szCs w:val="21"/>
                      <w:highlight w:val="none"/>
                      <w:vertAlign w:val="baseline"/>
                      <w:lang w:val="en-US" w:eastAsia="zh-CN"/>
                    </w:rPr>
                    <w:t>5.项目严格执行《北京市水污染防治条例》；不涉及工业园区和畜禽养殖场等。</w:t>
                  </w:r>
                </w:p>
                <w:p w14:paraId="04E688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kern w:val="0"/>
                      <w:sz w:val="21"/>
                      <w:szCs w:val="21"/>
                      <w:highlight w:val="none"/>
                      <w:vertAlign w:val="baseline"/>
                      <w:lang w:val="en-US" w:eastAsia="zh-CN"/>
                    </w:rPr>
                  </w:pPr>
                  <w:r>
                    <w:rPr>
                      <w:rFonts w:hint="eastAsia" w:cs="Times New Roman"/>
                      <w:kern w:val="0"/>
                      <w:sz w:val="21"/>
                      <w:szCs w:val="21"/>
                      <w:highlight w:val="none"/>
                      <w:vertAlign w:val="baseline"/>
                      <w:lang w:val="en-US" w:eastAsia="zh-CN"/>
                    </w:rPr>
                    <w:t>6.项目严格执行《北京市大气污染防治条例》，不涉及销售散煤及制品；项目为动物医院，属于社区事业与服务业，不涉及饮食服务、服装干洗和机动车维修等。</w:t>
                  </w:r>
                </w:p>
                <w:p w14:paraId="35ABC4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eastAsia" w:cs="Times New Roman"/>
                      <w:kern w:val="0"/>
                      <w:sz w:val="21"/>
                      <w:szCs w:val="21"/>
                      <w:highlight w:val="none"/>
                      <w:vertAlign w:val="baseline"/>
                      <w:lang w:val="en-US" w:eastAsia="zh-CN"/>
                    </w:rPr>
                    <w:t>7.项目不涉及。</w:t>
                  </w:r>
                </w:p>
              </w:tc>
              <w:tc>
                <w:tcPr>
                  <w:tcW w:w="510" w:type="dxa"/>
                  <w:tcBorders>
                    <w:tl2br w:val="nil"/>
                    <w:tr2bl w:val="nil"/>
                  </w:tcBorders>
                  <w:vAlign w:val="center"/>
                </w:tcPr>
                <w:p w14:paraId="6EAD8B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符合</w:t>
                  </w:r>
                </w:p>
              </w:tc>
            </w:tr>
            <w:tr w14:paraId="59E78A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68E691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21"/>
                      <w:szCs w:val="21"/>
                      <w:vertAlign w:val="baseline"/>
                      <w:lang w:val="en-US" w:eastAsia="zh-CN"/>
                    </w:rPr>
                  </w:pPr>
                  <w:r>
                    <w:rPr>
                      <w:rFonts w:hint="eastAsia" w:cs="Times New Roman"/>
                      <w:kern w:val="0"/>
                      <w:sz w:val="21"/>
                      <w:szCs w:val="21"/>
                      <w:highlight w:val="none"/>
                      <w:vertAlign w:val="baseline"/>
                      <w:lang w:val="en-US" w:eastAsia="zh-CN"/>
                    </w:rPr>
                    <w:t>污染物排放管控</w:t>
                  </w:r>
                </w:p>
              </w:tc>
              <w:tc>
                <w:tcPr>
                  <w:tcW w:w="3037" w:type="dxa"/>
                  <w:tcBorders>
                    <w:tl2br w:val="nil"/>
                    <w:tr2bl w:val="nil"/>
                  </w:tcBorders>
                  <w:vAlign w:val="center"/>
                </w:tcPr>
                <w:p w14:paraId="7C26BD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1.严格执行《中华人民共和国环境保护法》《中华人民共和国大气污染防治法》《中华人民共和国水污染防治法》《中华人民共和国土壤污染防治法》《中华人民共和国固体废物污染环境防治法》《北京市大气污染防治条例》《北京市水污染防治条例》《北京市土壤污染防治条例》《排污许可管理条例》等法律法规以及国家、地方环境质量标准和污染物排放标准。</w:t>
                  </w:r>
                </w:p>
                <w:p w14:paraId="1D845C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2.严格执行《北京市机动车和非道路移动机械排放污染防治条例》，优化道路设置和运输结构，推广新能源的机动车和非道路移动机械应用，加强机动车和非道路移动机械排放污染防治。</w:t>
                  </w:r>
                </w:p>
                <w:p w14:paraId="7E523A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3.严格执行《绿色施工管理规程》。</w:t>
                  </w:r>
                </w:p>
                <w:p w14:paraId="290BFE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4.严格执行《北京市水污染防治条例》，城镇污水应当集中处理，统筹安排建设污水集中处理设施及配套污水管网，提高城镇污水的收集率和处理率；建设规模化畜禽养殖场、养殖小区，配套建设集中式畜禽粪污综合利用设施或者无害化处理设施。规模化畜禽养殖企业应当采取防渗漏、防流失、防遗撒措施，防止畜禽养殖废水、粪污渗漏、溢流、散落对环境造成污染。</w:t>
                  </w:r>
                </w:p>
                <w:p w14:paraId="12D688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5.严格执行《中华人民共和国清洁生产促进法》《中华人民共和国循环经济促进法》。</w:t>
                  </w:r>
                </w:p>
                <w:p w14:paraId="3D958D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6.严格执行《建设项目主要污染物排放总量指标审核及管理暂行办法》《原北京市环境保护局关于建设项目主要污染物排放总量指标审核及管理的补充通知》。</w:t>
                  </w:r>
                </w:p>
                <w:p w14:paraId="7C56ED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7.严格执行废气、废水、噪声、固体废物等国家、地方污染物排放标准；严格执行锅炉、餐饮、加油站、储油库、印刷业等地方大气污染物排放标准，强化重点领域大气污染管控。</w:t>
                  </w:r>
                </w:p>
                <w:p w14:paraId="3F55D9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8.严格执行《污染地块土壤环境管理办法（试行）》，在土地开发过程中，属于《污染地块土壤环境管理办法（试行）》规定的疑似污染地块，土壤污染状况普查、详查和监测、现场检查表明有土壤污染风险的建设用地地块，用途变更为住宅、公共管理与公共服务用地的，重度污染农用地转为城镇建设用地的要按照有关规定开展土壤污染状况调查等。</w:t>
                  </w:r>
                </w:p>
                <w:p w14:paraId="6D4B48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9.严格执行《北京市烟花爆竹安全管理规定》，五环路以内（含五环路）及各区人民政府划定的禁放区域禁止燃放烟花爆竹。</w:t>
                  </w:r>
                </w:p>
                <w:p w14:paraId="3029C2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10.严格执行《中共中央国务院关于深入打好污染防治攻坚战的意见》《中共北京市委北京市人民政府关于深入打好北京市污染防治攻坚战的实施意见》，开展大气面源治理；推动规模化畜禽养殖场全部配备粪污处理设施，畜禽粪污综合利用率达到95%以上。</w:t>
                  </w:r>
                </w:p>
                <w:p w14:paraId="68FB33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11.严格执行《北京市“十四五”时期生态环境保护规划》《北京市“十四五”时期土壤污染防治规划》。</w:t>
                  </w:r>
                </w:p>
                <w:p w14:paraId="3E65D4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12.严格执行《北京市“十四五”时期应对气候变化和节能规划》《北京市“十四五”时期能源发展规划》《北京市碳达峰实施方案》《北京市“十四五”时期制造业绿色低碳发展行动方案》，大力推广超低能耗建筑，推进既有建筑节能改造；积极引导绿色出行，加快优化车辆结构，加强航空和货运领域节能降碳；加强对本市甲烷、六氟化硫、氧化亚氮、全氟化碳等非二氧化碳温室气体的监测统计和科学管理。</w:t>
                  </w:r>
                </w:p>
                <w:p w14:paraId="051C60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sz w:val="21"/>
                      <w:szCs w:val="21"/>
                      <w:vertAlign w:val="baseline"/>
                    </w:rPr>
                  </w:pPr>
                  <w:r>
                    <w:rPr>
                      <w:rFonts w:hint="eastAsia"/>
                      <w:sz w:val="21"/>
                      <w:szCs w:val="21"/>
                      <w:vertAlign w:val="baseline"/>
                    </w:rPr>
                    <w:t>13.严格执行《北京市建设工程扬尘治理综合监管实施方案(试行)》《北京市预拌混凝土行业减量集约高质量发展指导意见（2019—2026年）》，坚持施工扬尘和站点扬尘高效精准治理，。</w:t>
                  </w:r>
                </w:p>
              </w:tc>
              <w:tc>
                <w:tcPr>
                  <w:tcW w:w="3038" w:type="dxa"/>
                  <w:tcBorders>
                    <w:tl2br w:val="nil"/>
                    <w:tr2bl w:val="nil"/>
                  </w:tcBorders>
                  <w:vAlign w:val="center"/>
                </w:tcPr>
                <w:p w14:paraId="2E1DFB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1.项目废气、废水、噪声均达标排放，固体废物合理处置，满足国家、地方相关法律法规、环境质量标准和污染物排放标准要求。</w:t>
                  </w:r>
                </w:p>
                <w:p w14:paraId="00A73E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2.项目</w:t>
                  </w:r>
                  <w:r>
                    <w:rPr>
                      <w:rFonts w:hint="eastAsia"/>
                      <w:sz w:val="21"/>
                      <w:szCs w:val="21"/>
                      <w:vertAlign w:val="baseline"/>
                      <w:lang w:val="en-US" w:eastAsia="zh-CN"/>
                    </w:rPr>
                    <w:t>不涉及</w:t>
                  </w:r>
                  <w:r>
                    <w:rPr>
                      <w:rFonts w:hint="eastAsia"/>
                      <w:sz w:val="21"/>
                      <w:szCs w:val="21"/>
                      <w:vertAlign w:val="baseline"/>
                    </w:rPr>
                    <w:t>新能源的机动车和非道路移动机械应用。</w:t>
                  </w:r>
                </w:p>
                <w:p w14:paraId="360D69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3.项目严格执行《绿色施工管理规程》</w:t>
                  </w:r>
                </w:p>
                <w:p w14:paraId="7F410A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eastAsia="宋体"/>
                      <w:sz w:val="21"/>
                      <w:szCs w:val="21"/>
                      <w:vertAlign w:val="baseline"/>
                      <w:lang w:val="en-US" w:eastAsia="zh-CN"/>
                    </w:rPr>
                  </w:pPr>
                  <w:r>
                    <w:rPr>
                      <w:rFonts w:hint="eastAsia"/>
                      <w:sz w:val="21"/>
                      <w:szCs w:val="21"/>
                      <w:vertAlign w:val="baseline"/>
                    </w:rPr>
                    <w:t>4.项目</w:t>
                  </w:r>
                  <w:r>
                    <w:rPr>
                      <w:rFonts w:hint="eastAsia"/>
                      <w:sz w:val="21"/>
                      <w:szCs w:val="21"/>
                      <w:vertAlign w:val="baseline"/>
                      <w:lang w:val="en-US" w:eastAsia="zh-CN"/>
                    </w:rPr>
                    <w:t>废水合理处置，不涉及</w:t>
                  </w:r>
                  <w:r>
                    <w:rPr>
                      <w:rFonts w:hint="eastAsia"/>
                      <w:sz w:val="21"/>
                      <w:szCs w:val="21"/>
                      <w:vertAlign w:val="baseline"/>
                    </w:rPr>
                    <w:t>规模化畜禽养殖场</w:t>
                  </w:r>
                  <w:r>
                    <w:rPr>
                      <w:rFonts w:hint="eastAsia"/>
                      <w:sz w:val="21"/>
                      <w:szCs w:val="21"/>
                      <w:vertAlign w:val="baseline"/>
                      <w:lang w:val="en-US" w:eastAsia="zh-CN"/>
                    </w:rPr>
                    <w:t>等。</w:t>
                  </w:r>
                </w:p>
                <w:p w14:paraId="46FD6E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5.项目严格执行《中华人民共和国清洁生产促进法》《中华人民共和国循环经济促进法》。</w:t>
                  </w:r>
                </w:p>
                <w:p w14:paraId="14AAA1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6.项目严格执行《建设项目主要污染物排放总量指标审核及管理暂行办法》《原北京市环境保护局关于建设项目主要污染物排放总量指标审核及管理的补充通知》。</w:t>
                  </w:r>
                </w:p>
                <w:p w14:paraId="63CFE7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7.项目严格执行废气、废水、噪声、固体废物等国家、地方污染物排放标准；项目不涉及锅炉、餐饮、加油站、储油库、印刷业等。</w:t>
                  </w:r>
                </w:p>
                <w:p w14:paraId="6B50C8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8.项目不涉及污染地块。</w:t>
                  </w:r>
                </w:p>
                <w:p w14:paraId="5734C5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9.项目不涉及烟花爆竹燃放。</w:t>
                  </w:r>
                </w:p>
                <w:p w14:paraId="3BCA0C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10.项目不涉及规模化畜禽养殖。</w:t>
                  </w:r>
                </w:p>
                <w:p w14:paraId="0844F6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11.项目严格执行《北京市“十四五”时期生态环境保护规划》《北京市“十四五”时期土壤污染防治规划》。</w:t>
                  </w:r>
                </w:p>
                <w:p w14:paraId="0E427B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12.项目严格执行《北京市“十四五”时期应对气候变化和节能规划》《北京市“十四五”时期能源发展规划》《北京市碳达峰实施方案》《北京市“十四五”时期制造业绿色低碳发展行动方案》。</w:t>
                  </w:r>
                </w:p>
                <w:p w14:paraId="14C17D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sz w:val="21"/>
                      <w:szCs w:val="21"/>
                      <w:vertAlign w:val="baseline"/>
                    </w:rPr>
                  </w:pPr>
                  <w:r>
                    <w:rPr>
                      <w:rFonts w:hint="eastAsia"/>
                      <w:sz w:val="21"/>
                      <w:szCs w:val="21"/>
                      <w:vertAlign w:val="baseline"/>
                    </w:rPr>
                    <w:t>13.项目严格执行《北京市建设工程扬尘治理综合监管实施方案(试行)》《北京市预拌混凝土行业减量集约高质量发展指导意见（2019—2026年）》，坚持施工扬尘和站点扬尘高效精准治理。</w:t>
                  </w:r>
                </w:p>
              </w:tc>
              <w:tc>
                <w:tcPr>
                  <w:tcW w:w="510" w:type="dxa"/>
                  <w:tcBorders>
                    <w:tl2br w:val="nil"/>
                    <w:tr2bl w:val="nil"/>
                  </w:tcBorders>
                  <w:vAlign w:val="center"/>
                </w:tcPr>
                <w:p w14:paraId="0ED90B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符合</w:t>
                  </w:r>
                </w:p>
              </w:tc>
            </w:tr>
            <w:tr w14:paraId="236F28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112915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21"/>
                      <w:szCs w:val="21"/>
                      <w:vertAlign w:val="baseline"/>
                      <w:lang w:val="en-US" w:eastAsia="zh-CN"/>
                    </w:rPr>
                  </w:pPr>
                  <w:r>
                    <w:rPr>
                      <w:rFonts w:hint="eastAsia" w:cs="Times New Roman"/>
                      <w:kern w:val="0"/>
                      <w:sz w:val="21"/>
                      <w:szCs w:val="21"/>
                      <w:highlight w:val="none"/>
                      <w:vertAlign w:val="baseline"/>
                      <w:lang w:val="en-US" w:eastAsia="zh-CN"/>
                    </w:rPr>
                    <w:t>环境风险防控</w:t>
                  </w:r>
                </w:p>
              </w:tc>
              <w:tc>
                <w:tcPr>
                  <w:tcW w:w="3037" w:type="dxa"/>
                  <w:tcBorders>
                    <w:tl2br w:val="nil"/>
                    <w:tr2bl w:val="nil"/>
                  </w:tcBorders>
                  <w:vAlign w:val="center"/>
                </w:tcPr>
                <w:p w14:paraId="3FC2AC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lang w:val="en-US" w:eastAsia="zh-CN"/>
                    </w:rPr>
                  </w:pPr>
                  <w:r>
                    <w:rPr>
                      <w:rFonts w:hint="eastAsia"/>
                      <w:sz w:val="21"/>
                      <w:szCs w:val="21"/>
                      <w:vertAlign w:val="baseline"/>
                      <w:lang w:val="en-US" w:eastAsia="zh-CN"/>
                    </w:rPr>
                    <w:t>1.严格执行《中华人民共和国环境保护法》《中华人民共和国大气污染防治法》《中华人民共和国水污染防治法》《中华人民共和国土壤污染防治法》《中华人民共和国固体废物污染环境防治法》《北京市大气污染防治条例》《北京市水污染防治条例》《中华人民共和国水土保持法》《国家突发环境事件应急预案》《企业事业单位突发环境事件应急预案备案管理办法（试行）》《北京市突发环境事件应急预案》《北京市空气重污染应急预案（2023年修订）》等法律法规文件要求，完善环境风险防控体系，提高区域环境风险防范能力。</w:t>
                  </w:r>
                </w:p>
                <w:p w14:paraId="246287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eastAsia="宋体"/>
                      <w:sz w:val="21"/>
                      <w:szCs w:val="21"/>
                      <w:vertAlign w:val="baseline"/>
                      <w:lang w:val="en-US" w:eastAsia="zh-CN"/>
                    </w:rPr>
                  </w:pPr>
                  <w:r>
                    <w:rPr>
                      <w:rFonts w:hint="eastAsia"/>
                      <w:sz w:val="21"/>
                      <w:szCs w:val="21"/>
                      <w:vertAlign w:val="baseline"/>
                      <w:lang w:val="en-US" w:eastAsia="zh-CN"/>
                    </w:rPr>
                    <w:t>2.落实《北京城市总体规划(2016年-2035年)》要求，强化土壤污染源头管控，加强污染地块再开发利用的联动监管。</w:t>
                  </w:r>
                </w:p>
              </w:tc>
              <w:tc>
                <w:tcPr>
                  <w:tcW w:w="3038" w:type="dxa"/>
                  <w:tcBorders>
                    <w:tl2br w:val="nil"/>
                    <w:tr2bl w:val="nil"/>
                  </w:tcBorders>
                  <w:vAlign w:val="center"/>
                </w:tcPr>
                <w:p w14:paraId="11D526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lang w:val="en-US" w:eastAsia="zh-CN"/>
                    </w:rPr>
                  </w:pPr>
                  <w:r>
                    <w:rPr>
                      <w:rFonts w:hint="eastAsia"/>
                      <w:sz w:val="21"/>
                      <w:szCs w:val="21"/>
                      <w:vertAlign w:val="baseline"/>
                      <w:lang w:val="en-US" w:eastAsia="zh-CN"/>
                    </w:rPr>
                    <w:t>1.项目废气、废水、噪声均达标排放，固体废物合理处置，满足国家、地方相关法律法规、环境质量标准和污染物排放标准要求。</w:t>
                  </w:r>
                </w:p>
                <w:p w14:paraId="72E887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eastAsia="宋体"/>
                      <w:sz w:val="21"/>
                      <w:szCs w:val="21"/>
                      <w:vertAlign w:val="baseline"/>
                      <w:lang w:val="en-US" w:eastAsia="zh-CN"/>
                    </w:rPr>
                  </w:pPr>
                  <w:r>
                    <w:rPr>
                      <w:rFonts w:hint="eastAsia"/>
                      <w:sz w:val="21"/>
                      <w:szCs w:val="21"/>
                      <w:vertAlign w:val="baseline"/>
                      <w:lang w:val="en-US" w:eastAsia="zh-CN"/>
                    </w:rPr>
                    <w:t>2.项目落实《北京城市总体规划(2016年-2035年)》要求。</w:t>
                  </w:r>
                </w:p>
              </w:tc>
              <w:tc>
                <w:tcPr>
                  <w:tcW w:w="510" w:type="dxa"/>
                  <w:tcBorders>
                    <w:tl2br w:val="nil"/>
                    <w:tr2bl w:val="nil"/>
                  </w:tcBorders>
                  <w:vAlign w:val="center"/>
                </w:tcPr>
                <w:p w14:paraId="7E7156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符合</w:t>
                  </w:r>
                </w:p>
              </w:tc>
            </w:tr>
            <w:tr w14:paraId="3E8DAC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1F5043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21"/>
                      <w:szCs w:val="21"/>
                      <w:vertAlign w:val="baseline"/>
                      <w:lang w:val="en-US" w:eastAsia="zh-CN"/>
                    </w:rPr>
                  </w:pPr>
                  <w:r>
                    <w:rPr>
                      <w:rFonts w:hint="eastAsia" w:cs="Times New Roman"/>
                      <w:kern w:val="0"/>
                      <w:sz w:val="21"/>
                      <w:szCs w:val="21"/>
                      <w:highlight w:val="none"/>
                      <w:vertAlign w:val="baseline"/>
                      <w:lang w:val="en-US" w:eastAsia="zh-CN"/>
                    </w:rPr>
                    <w:t>资源利用效率要求</w:t>
                  </w:r>
                </w:p>
              </w:tc>
              <w:tc>
                <w:tcPr>
                  <w:tcW w:w="3037" w:type="dxa"/>
                  <w:tcBorders>
                    <w:tl2br w:val="nil"/>
                    <w:tr2bl w:val="nil"/>
                  </w:tcBorders>
                  <w:vAlign w:val="center"/>
                </w:tcPr>
                <w:p w14:paraId="0DBAF8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1.严格执行《中华人民共和国水法》《北京市节水条例》《北京市人民政府关于实行最严格水资源管理制度的意见》《北京市“十四五”时期污水处理及资源化利用发展规划》《北京市“十四五”节水型社会建设规划》《关于北京市加强水生态空间管控工作的意见》，加强用水管控。</w:t>
                  </w:r>
                </w:p>
                <w:p w14:paraId="3A3035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2.落实《北京城市总体规划</w:t>
                  </w:r>
                  <w:r>
                    <w:rPr>
                      <w:rFonts w:hint="eastAsia"/>
                      <w:sz w:val="21"/>
                      <w:szCs w:val="21"/>
                      <w:vertAlign w:val="baseline"/>
                      <w:lang w:eastAsia="zh-CN"/>
                    </w:rPr>
                    <w:t>（</w:t>
                  </w:r>
                  <w:r>
                    <w:rPr>
                      <w:rFonts w:hint="eastAsia"/>
                      <w:sz w:val="21"/>
                      <w:szCs w:val="21"/>
                      <w:vertAlign w:val="baseline"/>
                    </w:rPr>
                    <w:t>2016年</w:t>
                  </w:r>
                  <w:r>
                    <w:rPr>
                      <w:rFonts w:hint="eastAsia"/>
                      <w:sz w:val="21"/>
                      <w:szCs w:val="21"/>
                      <w:vertAlign w:val="baseline"/>
                      <w:lang w:eastAsia="zh-CN"/>
                    </w:rPr>
                    <w:t>—</w:t>
                  </w:r>
                  <w:r>
                    <w:rPr>
                      <w:rFonts w:hint="eastAsia"/>
                      <w:sz w:val="21"/>
                      <w:szCs w:val="21"/>
                      <w:vertAlign w:val="baseline"/>
                    </w:rPr>
                    <w:t>2035年</w:t>
                  </w:r>
                  <w:r>
                    <w:rPr>
                      <w:rFonts w:hint="eastAsia"/>
                      <w:sz w:val="21"/>
                      <w:szCs w:val="21"/>
                      <w:vertAlign w:val="baseline"/>
                      <w:lang w:eastAsia="zh-CN"/>
                    </w:rPr>
                    <w:t>）</w:t>
                  </w:r>
                  <w:r>
                    <w:rPr>
                      <w:rFonts w:hint="eastAsia"/>
                      <w:sz w:val="21"/>
                      <w:szCs w:val="21"/>
                      <w:vertAlign w:val="baseline"/>
                    </w:rPr>
                    <w:t>》要求，坚守建设用地规模底线，严格落实土地用途管制制度，腾退低效集体产业用地，实现城乡建设用地规模减量。</w:t>
                  </w:r>
                </w:p>
                <w:p w14:paraId="36EAF2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sz w:val="21"/>
                      <w:szCs w:val="21"/>
                      <w:vertAlign w:val="baseline"/>
                    </w:rPr>
                  </w:pPr>
                  <w:r>
                    <w:rPr>
                      <w:rFonts w:hint="eastAsia"/>
                      <w:sz w:val="21"/>
                      <w:szCs w:val="21"/>
                      <w:vertAlign w:val="baseline"/>
                    </w:rPr>
                    <w:t>3.执行《中华人民共和国节约能源法》《大型公共建筑制冷能耗限额》《供热锅炉综合能源消耗限额》《供暖系统运行能源消耗限额》《民用建筑能耗指标》《商场、超市能源消耗限额》《北京市碳达峰碳中和工作领导小组办公室关于印发北京市民用建筑节能降碳工作方案暨“十四五”时期民用建筑绿色发展规划的通知》《北京市发展和改革委员会 北京市住房和城乡建设委员会关于印发建立健全北京市公共建筑能效评估方法和制度的工作方案的通知》以及北京市单位产品能源消耗限额系列标准，强化建筑、交通、工业等领域的节能减排和需求管理。</w:t>
                  </w:r>
                </w:p>
              </w:tc>
              <w:tc>
                <w:tcPr>
                  <w:tcW w:w="3038" w:type="dxa"/>
                  <w:tcBorders>
                    <w:tl2br w:val="nil"/>
                    <w:tr2bl w:val="nil"/>
                  </w:tcBorders>
                  <w:vAlign w:val="center"/>
                </w:tcPr>
                <w:p w14:paraId="59EB5B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1.</w:t>
                  </w:r>
                  <w:r>
                    <w:rPr>
                      <w:rFonts w:hint="eastAsia"/>
                      <w:sz w:val="21"/>
                      <w:szCs w:val="21"/>
                      <w:vertAlign w:val="baseline"/>
                      <w:lang w:val="en-US" w:eastAsia="zh-CN"/>
                    </w:rPr>
                    <w:t>项目</w:t>
                  </w:r>
                  <w:r>
                    <w:rPr>
                      <w:rFonts w:hint="eastAsia"/>
                      <w:sz w:val="21"/>
                      <w:szCs w:val="21"/>
                      <w:vertAlign w:val="baseline"/>
                    </w:rPr>
                    <w:t>严格执行《中华人民共和国水法》《北京市节水条例》《北京市人民政府关于实行最严格水资源管理制度的意见》《北京市“十四五”时期污水处理及资源化利用发展规划》《北京市“十四五”节水型社会建设规划》《关于北京市加强水生态空间管控工作的意见》，加强用水管控。</w:t>
                  </w:r>
                </w:p>
                <w:p w14:paraId="4A05F9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2.</w:t>
                  </w:r>
                  <w:r>
                    <w:rPr>
                      <w:rFonts w:hint="eastAsia"/>
                      <w:sz w:val="21"/>
                      <w:szCs w:val="21"/>
                      <w:vertAlign w:val="baseline"/>
                      <w:lang w:val="en-US" w:eastAsia="zh-CN"/>
                    </w:rPr>
                    <w:t>项目</w:t>
                  </w:r>
                  <w:r>
                    <w:rPr>
                      <w:rFonts w:hint="eastAsia"/>
                      <w:sz w:val="21"/>
                      <w:szCs w:val="21"/>
                      <w:vertAlign w:val="baseline"/>
                    </w:rPr>
                    <w:t>落实《北京城市总体规划</w:t>
                  </w:r>
                  <w:r>
                    <w:rPr>
                      <w:rFonts w:hint="eastAsia"/>
                      <w:sz w:val="21"/>
                      <w:szCs w:val="21"/>
                      <w:vertAlign w:val="baseline"/>
                      <w:lang w:eastAsia="zh-CN"/>
                    </w:rPr>
                    <w:t>（</w:t>
                  </w:r>
                  <w:r>
                    <w:rPr>
                      <w:rFonts w:hint="eastAsia"/>
                      <w:sz w:val="21"/>
                      <w:szCs w:val="21"/>
                      <w:vertAlign w:val="baseline"/>
                    </w:rPr>
                    <w:t>2016年</w:t>
                  </w:r>
                  <w:r>
                    <w:rPr>
                      <w:rFonts w:hint="eastAsia"/>
                      <w:sz w:val="21"/>
                      <w:szCs w:val="21"/>
                      <w:vertAlign w:val="baseline"/>
                      <w:lang w:eastAsia="zh-CN"/>
                    </w:rPr>
                    <w:t>—</w:t>
                  </w:r>
                  <w:r>
                    <w:rPr>
                      <w:rFonts w:hint="eastAsia"/>
                      <w:sz w:val="21"/>
                      <w:szCs w:val="21"/>
                      <w:vertAlign w:val="baseline"/>
                    </w:rPr>
                    <w:t>2035年</w:t>
                  </w:r>
                  <w:r>
                    <w:rPr>
                      <w:rFonts w:hint="eastAsia"/>
                      <w:sz w:val="21"/>
                      <w:szCs w:val="21"/>
                      <w:vertAlign w:val="baseline"/>
                      <w:lang w:eastAsia="zh-CN"/>
                    </w:rPr>
                    <w:t>）</w:t>
                  </w:r>
                  <w:r>
                    <w:rPr>
                      <w:rFonts w:hint="eastAsia"/>
                      <w:sz w:val="21"/>
                      <w:szCs w:val="21"/>
                      <w:vertAlign w:val="baseline"/>
                    </w:rPr>
                    <w:t>》要求。</w:t>
                  </w:r>
                </w:p>
                <w:p w14:paraId="73FCB7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eastAsia="宋体"/>
                      <w:sz w:val="21"/>
                      <w:szCs w:val="21"/>
                      <w:vertAlign w:val="baseline"/>
                      <w:lang w:val="en-US" w:eastAsia="zh-CN"/>
                    </w:rPr>
                  </w:pPr>
                  <w:r>
                    <w:rPr>
                      <w:rFonts w:hint="eastAsia"/>
                      <w:sz w:val="21"/>
                      <w:szCs w:val="21"/>
                      <w:vertAlign w:val="baseline"/>
                    </w:rPr>
                    <w:t>3.</w:t>
                  </w:r>
                  <w:r>
                    <w:rPr>
                      <w:rFonts w:hint="eastAsia"/>
                      <w:sz w:val="21"/>
                      <w:szCs w:val="21"/>
                      <w:vertAlign w:val="baseline"/>
                      <w:lang w:val="en-US" w:eastAsia="zh-CN"/>
                    </w:rPr>
                    <w:t>项目</w:t>
                  </w:r>
                  <w:r>
                    <w:rPr>
                      <w:rFonts w:hint="eastAsia"/>
                      <w:sz w:val="21"/>
                      <w:szCs w:val="21"/>
                      <w:vertAlign w:val="baseline"/>
                    </w:rPr>
                    <w:t>执行《中华人民共和国节约能源法》《大型公共建筑制冷能耗限额》《供热锅炉综合能源消耗限额》《供暖系统运行能源消耗限额》《民用建筑能耗指标》《商场、超市能源消耗限额》《北京市碳达峰碳中和工作领导小组办公室关于印发北京市民用建筑节能降碳工作方案暨“十四五”时期民用建筑绿色发展规划的通知》《北京市发展和改革委员会北京市住房和城乡建设委员会关于印发建立健全北京市公共建筑能效评估方法和制度的工作方案的通知》以及北京市单位产品能源消耗限额系列标准，强化建筑、交通、工业等领域的节能减排和需求管理。</w:t>
                  </w:r>
                </w:p>
              </w:tc>
              <w:tc>
                <w:tcPr>
                  <w:tcW w:w="510" w:type="dxa"/>
                  <w:tcBorders>
                    <w:tl2br w:val="nil"/>
                    <w:tr2bl w:val="nil"/>
                  </w:tcBorders>
                  <w:vAlign w:val="center"/>
                </w:tcPr>
                <w:p w14:paraId="7BBD56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符合</w:t>
                  </w:r>
                </w:p>
              </w:tc>
            </w:tr>
          </w:tbl>
          <w:p w14:paraId="12C735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vertAlign w:val="baseline"/>
                <w:lang w:eastAsia="zh-CN"/>
              </w:rPr>
            </w:pPr>
            <w:r>
              <w:rPr>
                <w:rFonts w:hint="eastAsia"/>
                <w:vertAlign w:val="baseline"/>
                <w:lang w:eastAsia="zh-CN"/>
              </w:rPr>
              <w:t>（</w:t>
            </w:r>
            <w:r>
              <w:rPr>
                <w:rFonts w:hint="eastAsia"/>
                <w:vertAlign w:val="baseline"/>
                <w:lang w:val="en-US" w:eastAsia="zh-CN"/>
              </w:rPr>
              <w:t>2</w:t>
            </w:r>
            <w:r>
              <w:rPr>
                <w:rFonts w:hint="eastAsia"/>
                <w:vertAlign w:val="baseline"/>
                <w:lang w:eastAsia="zh-CN"/>
              </w:rPr>
              <w:t>）五大功能区清单符合性分析</w:t>
            </w:r>
          </w:p>
          <w:p w14:paraId="0C8ACE2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r>
              <w:rPr>
                <w:rFonts w:hint="eastAsia"/>
                <w:vertAlign w:val="baseline"/>
              </w:rPr>
              <w:t>本项目</w:t>
            </w:r>
            <w:r>
              <w:rPr>
                <w:rFonts w:hint="eastAsia"/>
                <w:vertAlign w:val="baseline"/>
                <w:lang w:val="en-US" w:eastAsia="zh-CN"/>
              </w:rPr>
              <w:t>属于平原新城，项目与平原新城生态环境准入清单</w:t>
            </w:r>
            <w:r>
              <w:rPr>
                <w:rFonts w:hint="eastAsia"/>
                <w:vertAlign w:val="baseline"/>
              </w:rPr>
              <w:t>符合性分析</w:t>
            </w:r>
            <w:r>
              <w:rPr>
                <w:rFonts w:hint="eastAsia"/>
                <w:vertAlign w:val="baseline"/>
                <w:lang w:val="en-US" w:eastAsia="zh-CN"/>
              </w:rPr>
              <w:t>详</w:t>
            </w:r>
            <w:r>
              <w:rPr>
                <w:rFonts w:hint="eastAsia"/>
                <w:vertAlign w:val="baseline"/>
              </w:rPr>
              <w:t>见</w:t>
            </w:r>
            <w:r>
              <w:rPr>
                <w:rFonts w:hint="eastAsia"/>
                <w:vertAlign w:val="baseline"/>
                <w:lang w:val="en-US" w:eastAsia="zh-CN"/>
              </w:rPr>
              <w:t>下表。</w:t>
            </w:r>
          </w:p>
          <w:p w14:paraId="44F31F06">
            <w:pPr>
              <w:pStyle w:val="11"/>
              <w:bidi w:val="0"/>
              <w:rPr>
                <w:rFonts w:hint="default"/>
                <w:lang w:val="en-US" w:eastAsia="zh-CN"/>
              </w:rPr>
            </w:pPr>
            <w:r>
              <w:rPr>
                <w:rFonts w:hint="eastAsia"/>
                <w:lang w:val="en-US" w:eastAsia="zh-CN"/>
              </w:rPr>
              <w:t>表1-2 与平原新城生态环境准入清单的符合性分析</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3174"/>
              <w:gridCol w:w="3175"/>
              <w:gridCol w:w="534"/>
            </w:tblGrid>
            <w:tr w14:paraId="59A177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38148B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bCs/>
                      <w:sz w:val="21"/>
                      <w:szCs w:val="21"/>
                      <w:vertAlign w:val="baseline"/>
                      <w:lang w:val="en-US" w:eastAsia="zh-CN"/>
                    </w:rPr>
                  </w:pPr>
                  <w:r>
                    <w:rPr>
                      <w:rFonts w:hint="eastAsia"/>
                      <w:b/>
                      <w:bCs/>
                      <w:sz w:val="21"/>
                      <w:szCs w:val="21"/>
                      <w:vertAlign w:val="baseline"/>
                      <w:lang w:val="en-US" w:eastAsia="zh-CN"/>
                    </w:rPr>
                    <w:t>管控类别</w:t>
                  </w:r>
                </w:p>
              </w:tc>
              <w:tc>
                <w:tcPr>
                  <w:tcW w:w="3037" w:type="dxa"/>
                  <w:tcBorders>
                    <w:tl2br w:val="nil"/>
                    <w:tr2bl w:val="nil"/>
                  </w:tcBorders>
                  <w:vAlign w:val="center"/>
                </w:tcPr>
                <w:p w14:paraId="63159D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sz w:val="21"/>
                      <w:szCs w:val="21"/>
                      <w:vertAlign w:val="baseline"/>
                      <w:lang w:val="en-US" w:eastAsia="zh-CN"/>
                    </w:rPr>
                  </w:pPr>
                  <w:r>
                    <w:rPr>
                      <w:rFonts w:hint="eastAsia" w:cs="Times New Roman"/>
                      <w:b/>
                      <w:bCs/>
                      <w:kern w:val="0"/>
                      <w:sz w:val="21"/>
                      <w:szCs w:val="21"/>
                      <w:highlight w:val="none"/>
                      <w:vertAlign w:val="baseline"/>
                      <w:lang w:val="en-US" w:eastAsia="zh-CN"/>
                    </w:rPr>
                    <w:t>重点管控要求</w:t>
                  </w:r>
                </w:p>
              </w:tc>
              <w:tc>
                <w:tcPr>
                  <w:tcW w:w="3038" w:type="dxa"/>
                  <w:tcBorders>
                    <w:tl2br w:val="nil"/>
                    <w:tr2bl w:val="nil"/>
                  </w:tcBorders>
                  <w:vAlign w:val="center"/>
                </w:tcPr>
                <w:p w14:paraId="3F0384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sz w:val="21"/>
                      <w:szCs w:val="21"/>
                      <w:vertAlign w:val="baseline"/>
                      <w:lang w:val="en-US" w:eastAsia="zh-CN"/>
                    </w:rPr>
                  </w:pPr>
                  <w:r>
                    <w:rPr>
                      <w:rFonts w:hint="eastAsia"/>
                      <w:b/>
                      <w:bCs/>
                      <w:sz w:val="21"/>
                      <w:szCs w:val="21"/>
                      <w:vertAlign w:val="baseline"/>
                      <w:lang w:val="en-US" w:eastAsia="zh-CN"/>
                    </w:rPr>
                    <w:t>本项目情况</w:t>
                  </w:r>
                </w:p>
              </w:tc>
              <w:tc>
                <w:tcPr>
                  <w:tcW w:w="510" w:type="dxa"/>
                  <w:tcBorders>
                    <w:tl2br w:val="nil"/>
                    <w:tr2bl w:val="nil"/>
                  </w:tcBorders>
                  <w:vAlign w:val="center"/>
                </w:tcPr>
                <w:p w14:paraId="3B1748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sz w:val="21"/>
                      <w:szCs w:val="21"/>
                      <w:vertAlign w:val="baseline"/>
                      <w:lang w:val="en-US" w:eastAsia="zh-CN"/>
                    </w:rPr>
                  </w:pPr>
                  <w:r>
                    <w:rPr>
                      <w:rFonts w:hint="eastAsia"/>
                      <w:b/>
                      <w:bCs/>
                      <w:sz w:val="21"/>
                      <w:szCs w:val="21"/>
                      <w:vertAlign w:val="baseline"/>
                      <w:lang w:val="en-US" w:eastAsia="zh-CN"/>
                    </w:rPr>
                    <w:t>符合情况</w:t>
                  </w:r>
                </w:p>
              </w:tc>
            </w:tr>
            <w:tr w14:paraId="0B41CD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528F0F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21"/>
                      <w:szCs w:val="21"/>
                      <w:vertAlign w:val="baseline"/>
                      <w:lang w:val="en-US" w:eastAsia="zh-CN"/>
                    </w:rPr>
                  </w:pPr>
                  <w:r>
                    <w:rPr>
                      <w:rFonts w:hint="eastAsia" w:cs="Times New Roman"/>
                      <w:kern w:val="0"/>
                      <w:sz w:val="21"/>
                      <w:szCs w:val="21"/>
                      <w:highlight w:val="none"/>
                      <w:vertAlign w:val="baseline"/>
                      <w:lang w:val="en-US" w:eastAsia="zh-CN"/>
                    </w:rPr>
                    <w:t>空间布局约束</w:t>
                  </w:r>
                </w:p>
              </w:tc>
              <w:tc>
                <w:tcPr>
                  <w:tcW w:w="3037" w:type="dxa"/>
                  <w:tcBorders>
                    <w:tl2br w:val="nil"/>
                    <w:tr2bl w:val="nil"/>
                  </w:tcBorders>
                  <w:vAlign w:val="center"/>
                </w:tcPr>
                <w:p w14:paraId="00A5709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cs="Times New Roman"/>
                      <w:kern w:val="0"/>
                      <w:sz w:val="21"/>
                      <w:szCs w:val="21"/>
                      <w:highlight w:val="none"/>
                      <w:vertAlign w:val="baseline"/>
                      <w:lang w:val="en-US" w:eastAsia="zh-CN"/>
                    </w:rPr>
                  </w:pPr>
                  <w:r>
                    <w:rPr>
                      <w:rFonts w:hint="eastAsia" w:cs="Times New Roman"/>
                      <w:kern w:val="0"/>
                      <w:sz w:val="21"/>
                      <w:szCs w:val="21"/>
                      <w:highlight w:val="none"/>
                      <w:vertAlign w:val="baseline"/>
                      <w:lang w:val="en-US" w:eastAsia="zh-CN"/>
                    </w:rPr>
                    <w:t>1.执行《北京市新增产业的禁止和限制目录（2022年版）》适用于中心城区、北京城市副中心以外的平原地区的管控要求。</w:t>
                  </w:r>
                </w:p>
                <w:p w14:paraId="569A9FC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eastAsia="宋体"/>
                      <w:sz w:val="21"/>
                      <w:szCs w:val="21"/>
                      <w:vertAlign w:val="baseline"/>
                      <w:lang w:val="en-US" w:eastAsia="zh-CN"/>
                    </w:rPr>
                  </w:pPr>
                  <w:r>
                    <w:rPr>
                      <w:rFonts w:hint="eastAsia" w:cs="Times New Roman"/>
                      <w:kern w:val="0"/>
                      <w:sz w:val="21"/>
                      <w:szCs w:val="21"/>
                      <w:highlight w:val="none"/>
                      <w:vertAlign w:val="baseline"/>
                      <w:lang w:val="en-US" w:eastAsia="zh-CN"/>
                    </w:rPr>
                    <w:t>2.执行《建设项目规划使用性质正面和负面清单》适用于顺义、大兴、亦庄、昌平、房山等新城的管控要求。</w:t>
                  </w:r>
                </w:p>
                <w:p w14:paraId="7A934B9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eastAsia="宋体"/>
                      <w:sz w:val="21"/>
                      <w:szCs w:val="21"/>
                      <w:vertAlign w:val="baseline"/>
                      <w:lang w:val="en-US" w:eastAsia="zh-CN"/>
                    </w:rPr>
                  </w:pPr>
                  <w:r>
                    <w:rPr>
                      <w:rFonts w:hint="eastAsia" w:cs="Times New Roman"/>
                      <w:kern w:val="0"/>
                      <w:sz w:val="21"/>
                      <w:szCs w:val="21"/>
                      <w:highlight w:val="none"/>
                      <w:vertAlign w:val="baseline"/>
                      <w:lang w:val="en-US" w:eastAsia="zh-CN"/>
                    </w:rPr>
                    <w:t>3.涉及生态保护红线及相关法定保护空间的应执行优先保护类总体准入清单。</w:t>
                  </w:r>
                </w:p>
              </w:tc>
              <w:tc>
                <w:tcPr>
                  <w:tcW w:w="3038" w:type="dxa"/>
                  <w:tcBorders>
                    <w:tl2br w:val="nil"/>
                    <w:tr2bl w:val="nil"/>
                  </w:tcBorders>
                  <w:vAlign w:val="center"/>
                </w:tcPr>
                <w:p w14:paraId="3A7B76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cs="Times New Roman"/>
                      <w:kern w:val="0"/>
                      <w:sz w:val="21"/>
                      <w:szCs w:val="21"/>
                      <w:highlight w:val="none"/>
                      <w:vertAlign w:val="baseline"/>
                      <w:lang w:val="en-US" w:eastAsia="zh-CN"/>
                    </w:rPr>
                  </w:pPr>
                  <w:r>
                    <w:rPr>
                      <w:rFonts w:hint="eastAsia" w:cs="Times New Roman"/>
                      <w:kern w:val="0"/>
                      <w:sz w:val="21"/>
                      <w:szCs w:val="21"/>
                      <w:highlight w:val="none"/>
                      <w:vertAlign w:val="baseline"/>
                      <w:lang w:val="en-US" w:eastAsia="zh-CN"/>
                    </w:rPr>
                    <w:t>1.项目执行《北京市新增产业的禁止和限制目录（2022年版）》适用于中心城区、北京城市副中心以外的平原地区的管控要求。</w:t>
                  </w:r>
                </w:p>
                <w:p w14:paraId="4ABF6F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kern w:val="0"/>
                      <w:sz w:val="21"/>
                      <w:szCs w:val="21"/>
                      <w:highlight w:val="none"/>
                      <w:vertAlign w:val="baseline"/>
                      <w:lang w:val="en-US" w:eastAsia="zh-CN"/>
                    </w:rPr>
                  </w:pPr>
                  <w:r>
                    <w:rPr>
                      <w:rFonts w:hint="eastAsia" w:cs="Times New Roman"/>
                      <w:kern w:val="0"/>
                      <w:sz w:val="21"/>
                      <w:szCs w:val="21"/>
                      <w:highlight w:val="none"/>
                      <w:vertAlign w:val="baseline"/>
                      <w:lang w:val="en-US" w:eastAsia="zh-CN"/>
                    </w:rPr>
                    <w:t>2.项目执行《建设项目规划使用性质正面和负面清单》适用于顺义、大兴、亦庄、昌平、房山等新城的管控要求。</w:t>
                  </w:r>
                </w:p>
                <w:p w14:paraId="255D25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eastAsia" w:cs="Times New Roman"/>
                      <w:kern w:val="0"/>
                      <w:sz w:val="21"/>
                      <w:szCs w:val="21"/>
                      <w:highlight w:val="none"/>
                      <w:vertAlign w:val="baseline"/>
                      <w:lang w:val="en-US" w:eastAsia="zh-CN"/>
                    </w:rPr>
                    <w:t>3.项目不涉及生态保护红线及相关法定保护空间。</w:t>
                  </w:r>
                </w:p>
              </w:tc>
              <w:tc>
                <w:tcPr>
                  <w:tcW w:w="510" w:type="dxa"/>
                  <w:tcBorders>
                    <w:tl2br w:val="nil"/>
                    <w:tr2bl w:val="nil"/>
                  </w:tcBorders>
                  <w:vAlign w:val="center"/>
                </w:tcPr>
                <w:p w14:paraId="5C1B18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符合</w:t>
                  </w:r>
                </w:p>
              </w:tc>
            </w:tr>
            <w:tr w14:paraId="669611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186F79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21"/>
                      <w:szCs w:val="21"/>
                      <w:vertAlign w:val="baseline"/>
                      <w:lang w:val="en-US" w:eastAsia="zh-CN"/>
                    </w:rPr>
                  </w:pPr>
                  <w:r>
                    <w:rPr>
                      <w:rFonts w:hint="eastAsia" w:cs="Times New Roman"/>
                      <w:kern w:val="0"/>
                      <w:sz w:val="21"/>
                      <w:szCs w:val="21"/>
                      <w:highlight w:val="none"/>
                      <w:vertAlign w:val="baseline"/>
                      <w:lang w:val="en-US" w:eastAsia="zh-CN"/>
                    </w:rPr>
                    <w:t>污染物排放管控</w:t>
                  </w:r>
                </w:p>
              </w:tc>
              <w:tc>
                <w:tcPr>
                  <w:tcW w:w="3037" w:type="dxa"/>
                  <w:tcBorders>
                    <w:tl2br w:val="nil"/>
                    <w:tr2bl w:val="nil"/>
                  </w:tcBorders>
                  <w:vAlign w:val="center"/>
                </w:tcPr>
                <w:p w14:paraId="01F11B3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sz w:val="21"/>
                      <w:szCs w:val="21"/>
                      <w:vertAlign w:val="baseline"/>
                    </w:rPr>
                  </w:pPr>
                  <w:r>
                    <w:rPr>
                      <w:rFonts w:hint="eastAsia"/>
                      <w:sz w:val="21"/>
                      <w:szCs w:val="21"/>
                      <w:vertAlign w:val="baseline"/>
                      <w:lang w:val="en-US" w:eastAsia="zh-CN"/>
                    </w:rPr>
                    <w:t>1.</w:t>
                  </w:r>
                  <w:r>
                    <w:rPr>
                      <w:rFonts w:hint="eastAsia"/>
                      <w:sz w:val="21"/>
                      <w:szCs w:val="21"/>
                      <w:vertAlign w:val="baseline"/>
                    </w:rPr>
                    <w:t>全域禁止使用高排放非道路移动机械。</w:t>
                  </w:r>
                </w:p>
                <w:p w14:paraId="21D5484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sz w:val="21"/>
                      <w:szCs w:val="21"/>
                      <w:vertAlign w:val="baseline"/>
                    </w:rPr>
                  </w:pPr>
                  <w:r>
                    <w:rPr>
                      <w:rFonts w:hint="eastAsia"/>
                      <w:sz w:val="21"/>
                      <w:szCs w:val="21"/>
                      <w:vertAlign w:val="baseline"/>
                    </w:rPr>
                    <w:t>2.新增和更新的机场大巴</w:t>
                  </w:r>
                  <w:r>
                    <w:rPr>
                      <w:rFonts w:hint="eastAsia"/>
                      <w:sz w:val="21"/>
                      <w:szCs w:val="21"/>
                      <w:vertAlign w:val="baseline"/>
                      <w:lang w:eastAsia="zh-CN"/>
                    </w:rPr>
                    <w:t>（</w:t>
                  </w:r>
                  <w:r>
                    <w:rPr>
                      <w:rFonts w:hint="eastAsia"/>
                      <w:sz w:val="21"/>
                      <w:szCs w:val="21"/>
                      <w:vertAlign w:val="baseline"/>
                    </w:rPr>
                    <w:t>不含省际机场巴士业务</w:t>
                  </w:r>
                  <w:r>
                    <w:rPr>
                      <w:rFonts w:hint="eastAsia"/>
                      <w:sz w:val="21"/>
                      <w:szCs w:val="21"/>
                      <w:vertAlign w:val="baseline"/>
                      <w:lang w:eastAsia="zh-CN"/>
                    </w:rPr>
                    <w:t>）</w:t>
                  </w:r>
                  <w:r>
                    <w:rPr>
                      <w:rFonts w:hint="eastAsia"/>
                      <w:sz w:val="21"/>
                      <w:szCs w:val="21"/>
                      <w:vertAlign w:val="baseline"/>
                    </w:rPr>
                    <w:t>为纯电动或氢燃料电池车；大兴区落实氢能产业发展行动计划</w:t>
                  </w:r>
                  <w:r>
                    <w:rPr>
                      <w:rFonts w:hint="eastAsia"/>
                      <w:sz w:val="21"/>
                      <w:szCs w:val="21"/>
                      <w:vertAlign w:val="baseline"/>
                      <w:lang w:eastAsia="zh-CN"/>
                    </w:rPr>
                    <w:t>，</w:t>
                  </w:r>
                  <w:r>
                    <w:rPr>
                      <w:rFonts w:hint="eastAsia"/>
                      <w:sz w:val="21"/>
                      <w:szCs w:val="21"/>
                      <w:vertAlign w:val="baseline"/>
                    </w:rPr>
                    <w:t>在机场服务、物流配送等领域</w:t>
                  </w:r>
                  <w:r>
                    <w:rPr>
                      <w:rFonts w:hint="eastAsia"/>
                      <w:sz w:val="21"/>
                      <w:szCs w:val="21"/>
                      <w:vertAlign w:val="baseline"/>
                      <w:lang w:eastAsia="zh-CN"/>
                    </w:rPr>
                    <w:t>，</w:t>
                  </w:r>
                  <w:r>
                    <w:rPr>
                      <w:rFonts w:hint="eastAsia"/>
                      <w:sz w:val="21"/>
                      <w:szCs w:val="21"/>
                      <w:vertAlign w:val="baseline"/>
                    </w:rPr>
                    <w:t>实现100辆氢燃料电池车示范应用</w:t>
                  </w:r>
                  <w:r>
                    <w:rPr>
                      <w:rFonts w:hint="eastAsia"/>
                      <w:sz w:val="21"/>
                      <w:szCs w:val="21"/>
                      <w:vertAlign w:val="baseline"/>
                      <w:lang w:eastAsia="zh-CN"/>
                    </w:rPr>
                    <w:t>，</w:t>
                  </w:r>
                  <w:r>
                    <w:rPr>
                      <w:rFonts w:hint="eastAsia"/>
                      <w:sz w:val="21"/>
                      <w:szCs w:val="21"/>
                      <w:vertAlign w:val="baseline"/>
                    </w:rPr>
                    <w:t>推动“零排放”物流示范区建设。</w:t>
                  </w:r>
                </w:p>
                <w:p w14:paraId="253805F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sz w:val="21"/>
                      <w:szCs w:val="21"/>
                      <w:vertAlign w:val="baseline"/>
                    </w:rPr>
                  </w:pPr>
                  <w:r>
                    <w:rPr>
                      <w:rFonts w:hint="eastAsia"/>
                      <w:sz w:val="21"/>
                      <w:szCs w:val="21"/>
                      <w:vertAlign w:val="baseline"/>
                    </w:rPr>
                    <w:t>3.房山区制定石化新材料基地VOCs精细化管控工作方案</w:t>
                  </w:r>
                  <w:r>
                    <w:rPr>
                      <w:rFonts w:hint="eastAsia"/>
                      <w:sz w:val="21"/>
                      <w:szCs w:val="21"/>
                      <w:vertAlign w:val="baseline"/>
                      <w:lang w:eastAsia="zh-CN"/>
                    </w:rPr>
                    <w:t>，</w:t>
                  </w:r>
                  <w:r>
                    <w:rPr>
                      <w:rFonts w:hint="eastAsia"/>
                      <w:sz w:val="21"/>
                      <w:szCs w:val="21"/>
                      <w:vertAlign w:val="baseline"/>
                    </w:rPr>
                    <w:t>并组织实施；顺义区、大兴区分别组织中关村顺义园、黄村印刷包装产业基地开展VOCs排放溯源分析及减排措施跟踪评估,推进精细化管理；顺义区开展汽车制造行业整体清洁生产审核试点。</w:t>
                  </w:r>
                </w:p>
                <w:p w14:paraId="06E6B61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sz w:val="21"/>
                      <w:szCs w:val="21"/>
                      <w:vertAlign w:val="baseline"/>
                    </w:rPr>
                  </w:pPr>
                  <w:r>
                    <w:rPr>
                      <w:rFonts w:hint="eastAsia"/>
                      <w:sz w:val="21"/>
                      <w:szCs w:val="21"/>
                      <w:vertAlign w:val="baseline"/>
                    </w:rPr>
                    <w:t>4.必须遵守污染物排放的国家标准和地方标准；在实施重点污染物排放总量控制的区域内，还必须符合重点污染物排放总量控制的要求。</w:t>
                  </w:r>
                </w:p>
                <w:p w14:paraId="54A11D2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sz w:val="21"/>
                      <w:szCs w:val="21"/>
                      <w:vertAlign w:val="baseline"/>
                    </w:rPr>
                  </w:pPr>
                  <w:r>
                    <w:rPr>
                      <w:rFonts w:hint="eastAsia"/>
                      <w:sz w:val="21"/>
                      <w:szCs w:val="21"/>
                      <w:vertAlign w:val="baseline"/>
                    </w:rPr>
                    <w:t>5.工业园区配套建设废水集中处理设施。</w:t>
                  </w:r>
                </w:p>
                <w:p w14:paraId="0422EEF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sz w:val="21"/>
                      <w:szCs w:val="21"/>
                      <w:vertAlign w:val="baseline"/>
                    </w:rPr>
                  </w:pPr>
                  <w:r>
                    <w:rPr>
                      <w:rFonts w:hint="eastAsia"/>
                      <w:sz w:val="21"/>
                      <w:szCs w:val="21"/>
                      <w:vertAlign w:val="baseline"/>
                    </w:rPr>
                    <w:t>6.按照循环经济和清洁生产的要求推动生态工业园区建设，通过合理规划工业布局，引导工业企业入驻工业园区。</w:t>
                  </w:r>
                </w:p>
                <w:p w14:paraId="41C5316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sz w:val="21"/>
                      <w:szCs w:val="21"/>
                      <w:vertAlign w:val="baseline"/>
                    </w:rPr>
                  </w:pPr>
                  <w:r>
                    <w:rPr>
                      <w:rFonts w:hint="eastAsia"/>
                      <w:sz w:val="21"/>
                      <w:szCs w:val="21"/>
                      <w:vertAlign w:val="baseline"/>
                    </w:rPr>
                    <w:t>7.依法关闭或搬迁禁养区内的畜禽养殖场（小区）和养殖专业户。新建、改建、扩建规模化畜禽养殖场（小区）要实施雨污分流、粪便污水资源化利用。</w:t>
                  </w:r>
                </w:p>
                <w:p w14:paraId="585DF55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eastAsia="宋体"/>
                      <w:sz w:val="21"/>
                      <w:szCs w:val="21"/>
                      <w:vertAlign w:val="baseline"/>
                      <w:lang w:val="en-US" w:eastAsia="zh-CN"/>
                    </w:rPr>
                  </w:pPr>
                  <w:r>
                    <w:rPr>
                      <w:rFonts w:hint="eastAsia"/>
                      <w:sz w:val="21"/>
                      <w:szCs w:val="21"/>
                      <w:vertAlign w:val="baseline"/>
                      <w:lang w:val="en-US" w:eastAsia="zh-CN"/>
                    </w:rPr>
                    <w:t>8.推进石化行业重点企业开展VOCs治理提升行动，强化炼油总量控制，实现VOCs年减排10%以上。</w:t>
                  </w:r>
                </w:p>
              </w:tc>
              <w:tc>
                <w:tcPr>
                  <w:tcW w:w="3038" w:type="dxa"/>
                  <w:tcBorders>
                    <w:tl2br w:val="nil"/>
                    <w:tr2bl w:val="nil"/>
                  </w:tcBorders>
                  <w:vAlign w:val="center"/>
                </w:tcPr>
                <w:p w14:paraId="533C5F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1.项目不使用高排放非道路移动机械。</w:t>
                  </w:r>
                </w:p>
                <w:p w14:paraId="615A51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2.项目</w:t>
                  </w:r>
                  <w:r>
                    <w:rPr>
                      <w:rFonts w:hint="eastAsia"/>
                      <w:sz w:val="21"/>
                      <w:szCs w:val="21"/>
                      <w:vertAlign w:val="baseline"/>
                      <w:lang w:val="en-US" w:eastAsia="zh-CN"/>
                    </w:rPr>
                    <w:t>不涉及</w:t>
                  </w:r>
                  <w:r>
                    <w:rPr>
                      <w:rFonts w:hint="eastAsia"/>
                      <w:sz w:val="21"/>
                      <w:szCs w:val="21"/>
                      <w:vertAlign w:val="baseline"/>
                    </w:rPr>
                    <w:t>。</w:t>
                  </w:r>
                </w:p>
                <w:p w14:paraId="7E645F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3.项目</w:t>
                  </w:r>
                  <w:r>
                    <w:rPr>
                      <w:rFonts w:hint="eastAsia"/>
                      <w:sz w:val="21"/>
                      <w:szCs w:val="21"/>
                      <w:vertAlign w:val="baseline"/>
                      <w:lang w:val="en-US" w:eastAsia="zh-CN"/>
                    </w:rPr>
                    <w:t>不涉及</w:t>
                  </w:r>
                  <w:r>
                    <w:rPr>
                      <w:rFonts w:hint="eastAsia"/>
                      <w:sz w:val="21"/>
                      <w:szCs w:val="21"/>
                      <w:vertAlign w:val="baseline"/>
                    </w:rPr>
                    <w:t>。</w:t>
                  </w:r>
                </w:p>
                <w:p w14:paraId="628628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4.项目</w:t>
                  </w:r>
                  <w:r>
                    <w:rPr>
                      <w:rFonts w:hint="eastAsia"/>
                      <w:sz w:val="21"/>
                      <w:szCs w:val="21"/>
                      <w:vertAlign w:val="baseline"/>
                      <w:lang w:val="en-US" w:eastAsia="zh-CN"/>
                    </w:rPr>
                    <w:t>严格遵守</w:t>
                  </w:r>
                  <w:r>
                    <w:rPr>
                      <w:rFonts w:hint="eastAsia"/>
                      <w:sz w:val="21"/>
                      <w:szCs w:val="21"/>
                      <w:vertAlign w:val="baseline"/>
                    </w:rPr>
                    <w:t>污染物排放的国家标准和地方标准。</w:t>
                  </w:r>
                </w:p>
                <w:p w14:paraId="66D343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5.项目不涉及。</w:t>
                  </w:r>
                </w:p>
                <w:p w14:paraId="3CC81A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6.项目</w:t>
                  </w:r>
                  <w:r>
                    <w:rPr>
                      <w:rFonts w:hint="eastAsia"/>
                      <w:sz w:val="21"/>
                      <w:szCs w:val="21"/>
                      <w:vertAlign w:val="baseline"/>
                      <w:lang w:val="en-US" w:eastAsia="zh-CN"/>
                    </w:rPr>
                    <w:t>不涉及</w:t>
                  </w:r>
                  <w:r>
                    <w:rPr>
                      <w:rFonts w:hint="eastAsia"/>
                      <w:sz w:val="21"/>
                      <w:szCs w:val="21"/>
                      <w:vertAlign w:val="baseline"/>
                    </w:rPr>
                    <w:t>。</w:t>
                  </w:r>
                </w:p>
                <w:p w14:paraId="1B43CE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7.项目不涉及。</w:t>
                  </w:r>
                </w:p>
                <w:p w14:paraId="2F4368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eastAsia="宋体"/>
                      <w:sz w:val="21"/>
                      <w:szCs w:val="21"/>
                      <w:vertAlign w:val="baseline"/>
                      <w:lang w:val="en-US" w:eastAsia="zh-CN"/>
                    </w:rPr>
                  </w:pPr>
                  <w:r>
                    <w:rPr>
                      <w:rFonts w:hint="eastAsia"/>
                      <w:sz w:val="21"/>
                      <w:szCs w:val="21"/>
                      <w:vertAlign w:val="baseline"/>
                      <w:lang w:val="en-US" w:eastAsia="zh-CN"/>
                    </w:rPr>
                    <w:t>8.项目不涉及。</w:t>
                  </w:r>
                </w:p>
              </w:tc>
              <w:tc>
                <w:tcPr>
                  <w:tcW w:w="510" w:type="dxa"/>
                  <w:tcBorders>
                    <w:tl2br w:val="nil"/>
                    <w:tr2bl w:val="nil"/>
                  </w:tcBorders>
                  <w:vAlign w:val="center"/>
                </w:tcPr>
                <w:p w14:paraId="7F4950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符合</w:t>
                  </w:r>
                </w:p>
              </w:tc>
            </w:tr>
            <w:tr w14:paraId="750272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17D56D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21"/>
                      <w:szCs w:val="21"/>
                      <w:vertAlign w:val="baseline"/>
                      <w:lang w:val="en-US" w:eastAsia="zh-CN"/>
                    </w:rPr>
                  </w:pPr>
                  <w:r>
                    <w:rPr>
                      <w:rFonts w:hint="eastAsia" w:cs="Times New Roman"/>
                      <w:kern w:val="0"/>
                      <w:sz w:val="21"/>
                      <w:szCs w:val="21"/>
                      <w:highlight w:val="none"/>
                      <w:vertAlign w:val="baseline"/>
                      <w:lang w:val="en-US" w:eastAsia="zh-CN"/>
                    </w:rPr>
                    <w:t>环境风险防控</w:t>
                  </w:r>
                </w:p>
              </w:tc>
              <w:tc>
                <w:tcPr>
                  <w:tcW w:w="3037" w:type="dxa"/>
                  <w:tcBorders>
                    <w:tl2br w:val="nil"/>
                    <w:tr2bl w:val="nil"/>
                  </w:tcBorders>
                  <w:vAlign w:val="center"/>
                </w:tcPr>
                <w:p w14:paraId="5FEE227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1.做好突发环境事件的风险控制、应急准备、应急处置和事后恢复等工作。</w:t>
                  </w:r>
                </w:p>
                <w:p w14:paraId="7220DC2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2.应充分考虑污染地块的环境风险，合理确定土地用途。</w:t>
                  </w:r>
                </w:p>
                <w:p w14:paraId="15781D6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3.有效落实空气重污染各项应急减排措施，引导提高施工工地和应急减排清单企业的绩效等级，引导使用纯电动、氢燃料电池的车辆和非道路移动机械。</w:t>
                  </w:r>
                </w:p>
              </w:tc>
              <w:tc>
                <w:tcPr>
                  <w:tcW w:w="3038" w:type="dxa"/>
                  <w:tcBorders>
                    <w:tl2br w:val="nil"/>
                    <w:tr2bl w:val="nil"/>
                  </w:tcBorders>
                  <w:vAlign w:val="center"/>
                </w:tcPr>
                <w:p w14:paraId="39D46A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eastAsia="宋体"/>
                      <w:sz w:val="21"/>
                      <w:szCs w:val="21"/>
                      <w:highlight w:val="none"/>
                      <w:vertAlign w:val="baseline"/>
                      <w:lang w:val="en-US" w:eastAsia="zh-CN"/>
                    </w:rPr>
                  </w:pPr>
                  <w:r>
                    <w:rPr>
                      <w:rFonts w:hint="default" w:eastAsia="宋体"/>
                      <w:sz w:val="21"/>
                      <w:szCs w:val="21"/>
                      <w:highlight w:val="none"/>
                      <w:vertAlign w:val="baseline"/>
                      <w:lang w:val="en-US" w:eastAsia="zh-CN"/>
                    </w:rPr>
                    <w:t>1.项目</w:t>
                  </w:r>
                  <w:r>
                    <w:rPr>
                      <w:rFonts w:hint="eastAsia"/>
                      <w:sz w:val="21"/>
                      <w:szCs w:val="21"/>
                      <w:highlight w:val="none"/>
                      <w:vertAlign w:val="baseline"/>
                      <w:lang w:val="en-US" w:eastAsia="zh-CN"/>
                    </w:rPr>
                    <w:t>建设完成后按照相关规定做好突发环境事件的风险控制、应急准备、应急处置和事后恢复等工作。</w:t>
                  </w:r>
                </w:p>
                <w:p w14:paraId="0CDE00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highlight w:val="none"/>
                      <w:vertAlign w:val="baseline"/>
                      <w:lang w:val="en-US" w:eastAsia="zh-CN"/>
                    </w:rPr>
                  </w:pPr>
                  <w:r>
                    <w:rPr>
                      <w:rFonts w:hint="default" w:eastAsia="宋体"/>
                      <w:sz w:val="21"/>
                      <w:szCs w:val="21"/>
                      <w:highlight w:val="none"/>
                      <w:vertAlign w:val="baseline"/>
                      <w:lang w:val="en-US" w:eastAsia="zh-CN"/>
                    </w:rPr>
                    <w:t>2.项目</w:t>
                  </w:r>
                  <w:r>
                    <w:rPr>
                      <w:rFonts w:hint="eastAsia"/>
                      <w:sz w:val="21"/>
                      <w:szCs w:val="21"/>
                      <w:highlight w:val="none"/>
                      <w:vertAlign w:val="baseline"/>
                      <w:lang w:val="en-US" w:eastAsia="zh-CN"/>
                    </w:rPr>
                    <w:t>不涉及。</w:t>
                  </w:r>
                </w:p>
                <w:p w14:paraId="3F4FA5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3.项目不涉及。</w:t>
                  </w:r>
                </w:p>
              </w:tc>
              <w:tc>
                <w:tcPr>
                  <w:tcW w:w="510" w:type="dxa"/>
                  <w:tcBorders>
                    <w:tl2br w:val="nil"/>
                    <w:tr2bl w:val="nil"/>
                  </w:tcBorders>
                  <w:vAlign w:val="center"/>
                </w:tcPr>
                <w:p w14:paraId="40266C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符合</w:t>
                  </w:r>
                </w:p>
              </w:tc>
            </w:tr>
            <w:tr w14:paraId="0EAF3C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404E5A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21"/>
                      <w:szCs w:val="21"/>
                      <w:vertAlign w:val="baseline"/>
                      <w:lang w:val="en-US" w:eastAsia="zh-CN"/>
                    </w:rPr>
                  </w:pPr>
                  <w:r>
                    <w:rPr>
                      <w:rFonts w:hint="eastAsia" w:cs="Times New Roman"/>
                      <w:kern w:val="0"/>
                      <w:sz w:val="21"/>
                      <w:szCs w:val="21"/>
                      <w:highlight w:val="none"/>
                      <w:vertAlign w:val="baseline"/>
                      <w:lang w:val="en-US" w:eastAsia="zh-CN"/>
                    </w:rPr>
                    <w:t>资源利用效率要求</w:t>
                  </w:r>
                </w:p>
              </w:tc>
              <w:tc>
                <w:tcPr>
                  <w:tcW w:w="3037" w:type="dxa"/>
                  <w:tcBorders>
                    <w:tl2br w:val="nil"/>
                    <w:tr2bl w:val="nil"/>
                  </w:tcBorders>
                  <w:vAlign w:val="center"/>
                </w:tcPr>
                <w:p w14:paraId="0900602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sz w:val="21"/>
                      <w:szCs w:val="21"/>
                      <w:vertAlign w:val="baseline"/>
                    </w:rPr>
                  </w:pPr>
                  <w:r>
                    <w:rPr>
                      <w:rFonts w:hint="eastAsia"/>
                      <w:sz w:val="21"/>
                      <w:szCs w:val="21"/>
                      <w:vertAlign w:val="baseline"/>
                      <w:lang w:val="en-US" w:eastAsia="zh-CN"/>
                    </w:rPr>
                    <w:t>1.</w:t>
                  </w:r>
                  <w:r>
                    <w:rPr>
                      <w:rFonts w:hint="eastAsia"/>
                      <w:sz w:val="21"/>
                      <w:szCs w:val="21"/>
                      <w:vertAlign w:val="baseline"/>
                    </w:rPr>
                    <w:t>坚持集约高效发展，控制建设规模。</w:t>
                  </w:r>
                </w:p>
                <w:p w14:paraId="71BBD59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eastAsia="宋体"/>
                      <w:sz w:val="21"/>
                      <w:szCs w:val="21"/>
                      <w:vertAlign w:val="baseline"/>
                      <w:lang w:val="en-US" w:eastAsia="zh-CN"/>
                    </w:rPr>
                  </w:pPr>
                  <w:r>
                    <w:rPr>
                      <w:rFonts w:hint="eastAsia"/>
                      <w:sz w:val="21"/>
                      <w:szCs w:val="21"/>
                      <w:vertAlign w:val="baseline"/>
                      <w:lang w:val="en-US" w:eastAsia="zh-CN"/>
                    </w:rPr>
                    <w:t>2.实施最严格的水资源管理制度，到2035年亦庄新城单位地区生产总值水耗达到国际先进水平。</w:t>
                  </w:r>
                </w:p>
              </w:tc>
              <w:tc>
                <w:tcPr>
                  <w:tcW w:w="3038" w:type="dxa"/>
                  <w:tcBorders>
                    <w:tl2br w:val="nil"/>
                    <w:tr2bl w:val="nil"/>
                  </w:tcBorders>
                  <w:vAlign w:val="center"/>
                </w:tcPr>
                <w:p w14:paraId="4042AD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eastAsia="宋体"/>
                      <w:sz w:val="21"/>
                      <w:szCs w:val="21"/>
                      <w:vertAlign w:val="baseline"/>
                      <w:lang w:val="en-US" w:eastAsia="zh-CN"/>
                    </w:rPr>
                  </w:pPr>
                  <w:r>
                    <w:rPr>
                      <w:rFonts w:hint="default" w:eastAsia="宋体"/>
                      <w:sz w:val="21"/>
                      <w:szCs w:val="21"/>
                      <w:vertAlign w:val="baseline"/>
                      <w:lang w:val="en-US" w:eastAsia="zh-CN"/>
                    </w:rPr>
                    <w:t>1.项目</w:t>
                  </w:r>
                  <w:r>
                    <w:rPr>
                      <w:rFonts w:hint="eastAsia"/>
                      <w:sz w:val="21"/>
                      <w:szCs w:val="21"/>
                      <w:vertAlign w:val="baseline"/>
                    </w:rPr>
                    <w:t>坚持集约高效发展，控制建设规模。</w:t>
                  </w:r>
                </w:p>
                <w:p w14:paraId="647BD2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eastAsia="宋体"/>
                      <w:sz w:val="21"/>
                      <w:szCs w:val="21"/>
                      <w:vertAlign w:val="baseline"/>
                      <w:lang w:val="en-US" w:eastAsia="zh-CN"/>
                    </w:rPr>
                  </w:pPr>
                  <w:r>
                    <w:rPr>
                      <w:rFonts w:hint="eastAsia"/>
                      <w:sz w:val="21"/>
                      <w:szCs w:val="21"/>
                      <w:vertAlign w:val="baseline"/>
                      <w:lang w:val="en-US" w:eastAsia="zh-CN"/>
                    </w:rPr>
                    <w:t>2.项目严格实施水资源管理制度。</w:t>
                  </w:r>
                </w:p>
              </w:tc>
              <w:tc>
                <w:tcPr>
                  <w:tcW w:w="510" w:type="dxa"/>
                  <w:tcBorders>
                    <w:tl2br w:val="nil"/>
                    <w:tr2bl w:val="nil"/>
                  </w:tcBorders>
                  <w:vAlign w:val="center"/>
                </w:tcPr>
                <w:p w14:paraId="1BFA48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符合</w:t>
                  </w:r>
                </w:p>
              </w:tc>
            </w:tr>
          </w:tbl>
          <w:p w14:paraId="156EA4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r>
              <w:rPr>
                <w:rFonts w:hint="eastAsia"/>
                <w:vertAlign w:val="baseline"/>
                <w:lang w:val="en-US" w:eastAsia="zh-CN"/>
              </w:rPr>
              <w:t>（3）环境管控单元符合性分析</w:t>
            </w:r>
          </w:p>
          <w:p w14:paraId="1310EC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r>
              <w:rPr>
                <w:rFonts w:hint="eastAsia"/>
                <w:vertAlign w:val="baseline"/>
                <w:lang w:val="en-US" w:eastAsia="zh-CN"/>
              </w:rPr>
              <w:t>本项目属于重点管控单元[街道（乡镇）]，与重点管控单元[街道（乡镇）]准入清单的符合性分析见下表。</w:t>
            </w:r>
          </w:p>
          <w:p w14:paraId="610C2A33">
            <w:pPr>
              <w:pStyle w:val="11"/>
              <w:bidi w:val="0"/>
              <w:rPr>
                <w:rFonts w:hint="default"/>
                <w:lang w:val="en-US" w:eastAsia="zh-CN"/>
              </w:rPr>
            </w:pPr>
            <w:r>
              <w:rPr>
                <w:rFonts w:hint="eastAsia"/>
                <w:lang w:val="en-US" w:eastAsia="zh-CN"/>
              </w:rPr>
              <w:t>表1-3 与</w:t>
            </w:r>
            <w:r>
              <w:rPr>
                <w:rFonts w:hint="eastAsia"/>
                <w:vertAlign w:val="baseline"/>
                <w:lang w:val="en-US" w:eastAsia="zh-CN"/>
              </w:rPr>
              <w:t>重点管控单元[街道（乡镇）]</w:t>
            </w:r>
            <w:r>
              <w:rPr>
                <w:rFonts w:hint="eastAsia"/>
                <w:lang w:val="en-US" w:eastAsia="zh-CN"/>
              </w:rPr>
              <w:t>准入清单的符合性分析</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3174"/>
              <w:gridCol w:w="3175"/>
              <w:gridCol w:w="534"/>
            </w:tblGrid>
            <w:tr w14:paraId="3A5F21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0AA54A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bCs/>
                      <w:sz w:val="21"/>
                      <w:szCs w:val="21"/>
                      <w:vertAlign w:val="baseline"/>
                      <w:lang w:val="en-US" w:eastAsia="zh-CN"/>
                    </w:rPr>
                  </w:pPr>
                  <w:r>
                    <w:rPr>
                      <w:rFonts w:hint="eastAsia"/>
                      <w:b/>
                      <w:bCs/>
                      <w:sz w:val="21"/>
                      <w:szCs w:val="21"/>
                      <w:vertAlign w:val="baseline"/>
                      <w:lang w:val="en-US" w:eastAsia="zh-CN"/>
                    </w:rPr>
                    <w:t>管控类别</w:t>
                  </w:r>
                </w:p>
              </w:tc>
              <w:tc>
                <w:tcPr>
                  <w:tcW w:w="3037" w:type="dxa"/>
                  <w:tcBorders>
                    <w:tl2br w:val="nil"/>
                    <w:tr2bl w:val="nil"/>
                  </w:tcBorders>
                  <w:vAlign w:val="center"/>
                </w:tcPr>
                <w:p w14:paraId="07FB4E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sz w:val="21"/>
                      <w:szCs w:val="21"/>
                      <w:vertAlign w:val="baseline"/>
                      <w:lang w:val="en-US" w:eastAsia="zh-CN"/>
                    </w:rPr>
                  </w:pPr>
                  <w:r>
                    <w:rPr>
                      <w:rFonts w:hint="eastAsia" w:cs="Times New Roman"/>
                      <w:b/>
                      <w:bCs/>
                      <w:kern w:val="0"/>
                      <w:sz w:val="21"/>
                      <w:szCs w:val="21"/>
                      <w:highlight w:val="none"/>
                      <w:vertAlign w:val="baseline"/>
                      <w:lang w:val="en-US" w:eastAsia="zh-CN"/>
                    </w:rPr>
                    <w:t>重点管控要求</w:t>
                  </w:r>
                </w:p>
              </w:tc>
              <w:tc>
                <w:tcPr>
                  <w:tcW w:w="3038" w:type="dxa"/>
                  <w:tcBorders>
                    <w:tl2br w:val="nil"/>
                    <w:tr2bl w:val="nil"/>
                  </w:tcBorders>
                  <w:vAlign w:val="center"/>
                </w:tcPr>
                <w:p w14:paraId="035FA1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sz w:val="21"/>
                      <w:szCs w:val="21"/>
                      <w:vertAlign w:val="baseline"/>
                      <w:lang w:val="en-US" w:eastAsia="zh-CN"/>
                    </w:rPr>
                  </w:pPr>
                  <w:r>
                    <w:rPr>
                      <w:rFonts w:hint="eastAsia"/>
                      <w:b/>
                      <w:bCs/>
                      <w:sz w:val="21"/>
                      <w:szCs w:val="21"/>
                      <w:vertAlign w:val="baseline"/>
                      <w:lang w:val="en-US" w:eastAsia="zh-CN"/>
                    </w:rPr>
                    <w:t>本项目情况</w:t>
                  </w:r>
                </w:p>
              </w:tc>
              <w:tc>
                <w:tcPr>
                  <w:tcW w:w="510" w:type="dxa"/>
                  <w:tcBorders>
                    <w:tl2br w:val="nil"/>
                    <w:tr2bl w:val="nil"/>
                  </w:tcBorders>
                  <w:vAlign w:val="center"/>
                </w:tcPr>
                <w:p w14:paraId="2E03CA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sz w:val="21"/>
                      <w:szCs w:val="21"/>
                      <w:vertAlign w:val="baseline"/>
                      <w:lang w:val="en-US" w:eastAsia="zh-CN"/>
                    </w:rPr>
                  </w:pPr>
                  <w:r>
                    <w:rPr>
                      <w:rFonts w:hint="eastAsia"/>
                      <w:b/>
                      <w:bCs/>
                      <w:sz w:val="21"/>
                      <w:szCs w:val="21"/>
                      <w:vertAlign w:val="baseline"/>
                      <w:lang w:val="en-US" w:eastAsia="zh-CN"/>
                    </w:rPr>
                    <w:t>符合情况</w:t>
                  </w:r>
                </w:p>
              </w:tc>
            </w:tr>
            <w:tr w14:paraId="07B1B4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4B4B78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21"/>
                      <w:szCs w:val="21"/>
                      <w:vertAlign w:val="baseline"/>
                      <w:lang w:val="en-US" w:eastAsia="zh-CN"/>
                    </w:rPr>
                  </w:pPr>
                  <w:r>
                    <w:rPr>
                      <w:rFonts w:hint="eastAsia" w:cs="Times New Roman"/>
                      <w:kern w:val="0"/>
                      <w:sz w:val="21"/>
                      <w:szCs w:val="21"/>
                      <w:highlight w:val="none"/>
                      <w:vertAlign w:val="baseline"/>
                      <w:lang w:val="en-US" w:eastAsia="zh-CN"/>
                    </w:rPr>
                    <w:t>空间布局约束</w:t>
                  </w:r>
                </w:p>
              </w:tc>
              <w:tc>
                <w:tcPr>
                  <w:tcW w:w="3037" w:type="dxa"/>
                  <w:tcBorders>
                    <w:tl2br w:val="nil"/>
                    <w:tr2bl w:val="nil"/>
                  </w:tcBorders>
                  <w:vAlign w:val="center"/>
                </w:tcPr>
                <w:p w14:paraId="682FFE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eastAsia="宋体"/>
                      <w:sz w:val="21"/>
                      <w:szCs w:val="21"/>
                      <w:vertAlign w:val="baseline"/>
                      <w:lang w:val="en-US" w:eastAsia="zh-CN"/>
                    </w:rPr>
                  </w:pPr>
                  <w:r>
                    <w:rPr>
                      <w:rFonts w:hint="eastAsia" w:cs="Times New Roman"/>
                      <w:kern w:val="0"/>
                      <w:sz w:val="21"/>
                      <w:szCs w:val="21"/>
                      <w:highlight w:val="none"/>
                      <w:vertAlign w:val="baseline"/>
                      <w:lang w:val="en-US" w:eastAsia="zh-CN"/>
                    </w:rPr>
                    <w:t>执行重点管控类[街道（乡镇）]生态环境总体准入清单和平原新城生态环境准入清单的空间布局约束准入要求。</w:t>
                  </w:r>
                </w:p>
              </w:tc>
              <w:tc>
                <w:tcPr>
                  <w:tcW w:w="3038" w:type="dxa"/>
                  <w:tcBorders>
                    <w:tl2br w:val="nil"/>
                    <w:tr2bl w:val="nil"/>
                  </w:tcBorders>
                  <w:vAlign w:val="center"/>
                </w:tcPr>
                <w:p w14:paraId="3CA148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eastAsia" w:cs="Times New Roman"/>
                      <w:kern w:val="0"/>
                      <w:sz w:val="21"/>
                      <w:szCs w:val="21"/>
                      <w:highlight w:val="none"/>
                      <w:vertAlign w:val="baseline"/>
                      <w:lang w:val="en-US" w:eastAsia="zh-CN"/>
                    </w:rPr>
                    <w:t>项目严格执行重点管控类[街道（乡镇）]生态环境总体准入清单和平原新城生态环境准入清单的空间布局约束准入要求。</w:t>
                  </w:r>
                </w:p>
              </w:tc>
              <w:tc>
                <w:tcPr>
                  <w:tcW w:w="510" w:type="dxa"/>
                  <w:tcBorders>
                    <w:tl2br w:val="nil"/>
                    <w:tr2bl w:val="nil"/>
                  </w:tcBorders>
                  <w:vAlign w:val="center"/>
                </w:tcPr>
                <w:p w14:paraId="7C0E3B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符合</w:t>
                  </w:r>
                </w:p>
              </w:tc>
            </w:tr>
            <w:tr w14:paraId="2BD3A7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753488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21"/>
                      <w:szCs w:val="21"/>
                      <w:vertAlign w:val="baseline"/>
                      <w:lang w:val="en-US" w:eastAsia="zh-CN"/>
                    </w:rPr>
                  </w:pPr>
                  <w:r>
                    <w:rPr>
                      <w:rFonts w:hint="eastAsia" w:cs="Times New Roman"/>
                      <w:kern w:val="0"/>
                      <w:sz w:val="21"/>
                      <w:szCs w:val="21"/>
                      <w:highlight w:val="none"/>
                      <w:vertAlign w:val="baseline"/>
                      <w:lang w:val="en-US" w:eastAsia="zh-CN"/>
                    </w:rPr>
                    <w:t>污染物排放管控</w:t>
                  </w:r>
                </w:p>
              </w:tc>
              <w:tc>
                <w:tcPr>
                  <w:tcW w:w="3037" w:type="dxa"/>
                  <w:tcBorders>
                    <w:tl2br w:val="nil"/>
                    <w:tr2bl w:val="nil"/>
                  </w:tcBorders>
                  <w:vAlign w:val="center"/>
                </w:tcPr>
                <w:p w14:paraId="4F932A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1.执行重点管控类[街道（乡镇）]生态环境总体准入清单和平原新城生态环境准入清单的资源利用效率准入要求。</w:t>
                  </w:r>
                </w:p>
                <w:p w14:paraId="062427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sz w:val="21"/>
                      <w:szCs w:val="21"/>
                      <w:vertAlign w:val="baseline"/>
                    </w:rPr>
                  </w:pPr>
                  <w:r>
                    <w:rPr>
                      <w:rFonts w:hint="eastAsia"/>
                      <w:sz w:val="21"/>
                      <w:szCs w:val="21"/>
                      <w:vertAlign w:val="baseline"/>
                    </w:rPr>
                    <w:t>2.严格高污染燃料禁燃区管控，禁燃区内任何单位不得新建、扩建高污染燃料燃用设施，不得将其他燃料燃用设施改造为高污染燃料燃用设施。</w:t>
                  </w:r>
                </w:p>
              </w:tc>
              <w:tc>
                <w:tcPr>
                  <w:tcW w:w="3038" w:type="dxa"/>
                  <w:tcBorders>
                    <w:tl2br w:val="nil"/>
                    <w:tr2bl w:val="nil"/>
                  </w:tcBorders>
                  <w:vAlign w:val="center"/>
                </w:tcPr>
                <w:p w14:paraId="52B048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eastAsia="宋体"/>
                      <w:sz w:val="21"/>
                      <w:szCs w:val="21"/>
                      <w:vertAlign w:val="baseline"/>
                      <w:lang w:val="en-US" w:eastAsia="zh-CN"/>
                    </w:rPr>
                  </w:pPr>
                  <w:r>
                    <w:rPr>
                      <w:rFonts w:hint="eastAsia"/>
                      <w:sz w:val="21"/>
                      <w:szCs w:val="21"/>
                      <w:vertAlign w:val="baseline"/>
                    </w:rPr>
                    <w:t>1.项目</w:t>
                  </w:r>
                  <w:r>
                    <w:rPr>
                      <w:rFonts w:hint="eastAsia"/>
                      <w:sz w:val="21"/>
                      <w:szCs w:val="21"/>
                      <w:vertAlign w:val="baseline"/>
                      <w:lang w:val="en-US" w:eastAsia="zh-CN"/>
                    </w:rPr>
                    <w:t>严格执行</w:t>
                  </w:r>
                  <w:r>
                    <w:rPr>
                      <w:rFonts w:hint="eastAsia"/>
                      <w:sz w:val="21"/>
                      <w:szCs w:val="21"/>
                      <w:vertAlign w:val="baseline"/>
                    </w:rPr>
                    <w:t>重点管控类[街道（乡镇）]生态环境总体准入清单和</w:t>
                  </w:r>
                  <w:r>
                    <w:rPr>
                      <w:rFonts w:hint="eastAsia"/>
                      <w:sz w:val="21"/>
                      <w:szCs w:val="21"/>
                      <w:vertAlign w:val="baseline"/>
                      <w:lang w:val="en-US" w:eastAsia="zh-CN"/>
                    </w:rPr>
                    <w:t>平原新城</w:t>
                  </w:r>
                  <w:r>
                    <w:rPr>
                      <w:rFonts w:hint="eastAsia"/>
                      <w:sz w:val="21"/>
                      <w:szCs w:val="21"/>
                      <w:vertAlign w:val="baseline"/>
                    </w:rPr>
                    <w:t>生态环境准入清单的污染物排放管控准入要求。</w:t>
                  </w:r>
                </w:p>
                <w:p w14:paraId="1D6810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sz w:val="21"/>
                      <w:szCs w:val="21"/>
                      <w:vertAlign w:val="baseline"/>
                    </w:rPr>
                  </w:pPr>
                  <w:r>
                    <w:rPr>
                      <w:rFonts w:hint="eastAsia"/>
                      <w:sz w:val="21"/>
                      <w:szCs w:val="21"/>
                      <w:vertAlign w:val="baseline"/>
                    </w:rPr>
                    <w:t>2.项目</w:t>
                  </w:r>
                  <w:r>
                    <w:rPr>
                      <w:rFonts w:hint="eastAsia"/>
                      <w:sz w:val="21"/>
                      <w:szCs w:val="21"/>
                      <w:vertAlign w:val="baseline"/>
                      <w:lang w:val="en-US" w:eastAsia="zh-CN"/>
                    </w:rPr>
                    <w:t>不涉及燃料燃用</w:t>
                  </w:r>
                  <w:r>
                    <w:rPr>
                      <w:rFonts w:hint="eastAsia"/>
                      <w:sz w:val="21"/>
                      <w:szCs w:val="21"/>
                      <w:vertAlign w:val="baseline"/>
                    </w:rPr>
                    <w:t>。</w:t>
                  </w:r>
                </w:p>
              </w:tc>
              <w:tc>
                <w:tcPr>
                  <w:tcW w:w="510" w:type="dxa"/>
                  <w:tcBorders>
                    <w:tl2br w:val="nil"/>
                    <w:tr2bl w:val="nil"/>
                  </w:tcBorders>
                  <w:vAlign w:val="center"/>
                </w:tcPr>
                <w:p w14:paraId="26B31F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符合</w:t>
                  </w:r>
                </w:p>
              </w:tc>
            </w:tr>
            <w:tr w14:paraId="7C3BE1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09687C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21"/>
                      <w:szCs w:val="21"/>
                      <w:vertAlign w:val="baseline"/>
                      <w:lang w:val="en-US" w:eastAsia="zh-CN"/>
                    </w:rPr>
                  </w:pPr>
                  <w:r>
                    <w:rPr>
                      <w:rFonts w:hint="eastAsia" w:cs="Times New Roman"/>
                      <w:kern w:val="0"/>
                      <w:sz w:val="21"/>
                      <w:szCs w:val="21"/>
                      <w:highlight w:val="none"/>
                      <w:vertAlign w:val="baseline"/>
                      <w:lang w:val="en-US" w:eastAsia="zh-CN"/>
                    </w:rPr>
                    <w:t>环境风险防控</w:t>
                  </w:r>
                </w:p>
              </w:tc>
              <w:tc>
                <w:tcPr>
                  <w:tcW w:w="3037" w:type="dxa"/>
                  <w:tcBorders>
                    <w:tl2br w:val="nil"/>
                    <w:tr2bl w:val="nil"/>
                  </w:tcBorders>
                  <w:vAlign w:val="center"/>
                </w:tcPr>
                <w:p w14:paraId="7C8A60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eastAsia="宋体"/>
                      <w:sz w:val="21"/>
                      <w:szCs w:val="21"/>
                      <w:vertAlign w:val="baseline"/>
                      <w:lang w:val="en-US" w:eastAsia="zh-CN"/>
                    </w:rPr>
                  </w:pPr>
                  <w:r>
                    <w:rPr>
                      <w:rFonts w:hint="eastAsia"/>
                      <w:sz w:val="21"/>
                      <w:szCs w:val="21"/>
                      <w:vertAlign w:val="baseline"/>
                      <w:lang w:val="en-US" w:eastAsia="zh-CN"/>
                    </w:rPr>
                    <w:t>执行重点管控类[街道（乡镇）]生态环境总体准入清单和平原新城生态环境准入清单的环境风险防范准入要求。</w:t>
                  </w:r>
                </w:p>
              </w:tc>
              <w:tc>
                <w:tcPr>
                  <w:tcW w:w="3038" w:type="dxa"/>
                  <w:tcBorders>
                    <w:tl2br w:val="nil"/>
                    <w:tr2bl w:val="nil"/>
                  </w:tcBorders>
                  <w:vAlign w:val="center"/>
                </w:tcPr>
                <w:p w14:paraId="0FD9D1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eastAsia="宋体"/>
                      <w:sz w:val="21"/>
                      <w:szCs w:val="21"/>
                      <w:vertAlign w:val="baseline"/>
                      <w:lang w:val="en-US" w:eastAsia="zh-CN"/>
                    </w:rPr>
                  </w:pPr>
                  <w:r>
                    <w:rPr>
                      <w:rFonts w:hint="eastAsia"/>
                      <w:sz w:val="21"/>
                      <w:szCs w:val="21"/>
                      <w:vertAlign w:val="baseline"/>
                      <w:lang w:val="en-US" w:eastAsia="zh-CN"/>
                    </w:rPr>
                    <w:t>项目严格执行重点管控类[街道（乡镇）]生态环境总体准入清单和平原新城生态环境准入清单的环境风险防范准入要求。</w:t>
                  </w:r>
                </w:p>
              </w:tc>
              <w:tc>
                <w:tcPr>
                  <w:tcW w:w="510" w:type="dxa"/>
                  <w:tcBorders>
                    <w:tl2br w:val="nil"/>
                    <w:tr2bl w:val="nil"/>
                  </w:tcBorders>
                  <w:vAlign w:val="center"/>
                </w:tcPr>
                <w:p w14:paraId="62A8FA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符合</w:t>
                  </w:r>
                </w:p>
              </w:tc>
            </w:tr>
            <w:tr w14:paraId="053F8E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3B37C2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21"/>
                      <w:szCs w:val="21"/>
                      <w:vertAlign w:val="baseline"/>
                      <w:lang w:val="en-US" w:eastAsia="zh-CN"/>
                    </w:rPr>
                  </w:pPr>
                  <w:r>
                    <w:rPr>
                      <w:rFonts w:hint="eastAsia" w:cs="Times New Roman"/>
                      <w:kern w:val="0"/>
                      <w:sz w:val="21"/>
                      <w:szCs w:val="21"/>
                      <w:highlight w:val="none"/>
                      <w:vertAlign w:val="baseline"/>
                      <w:lang w:val="en-US" w:eastAsia="zh-CN"/>
                    </w:rPr>
                    <w:t>资源利用效率要求</w:t>
                  </w:r>
                </w:p>
              </w:tc>
              <w:tc>
                <w:tcPr>
                  <w:tcW w:w="3037" w:type="dxa"/>
                  <w:tcBorders>
                    <w:tl2br w:val="nil"/>
                    <w:tr2bl w:val="nil"/>
                  </w:tcBorders>
                  <w:vAlign w:val="center"/>
                </w:tcPr>
                <w:p w14:paraId="64F310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eastAsia="宋体"/>
                      <w:sz w:val="21"/>
                      <w:szCs w:val="21"/>
                      <w:vertAlign w:val="baseline"/>
                      <w:lang w:val="en-US" w:eastAsia="zh-CN"/>
                    </w:rPr>
                  </w:pPr>
                  <w:r>
                    <w:rPr>
                      <w:rFonts w:hint="eastAsia"/>
                      <w:sz w:val="21"/>
                      <w:szCs w:val="21"/>
                      <w:vertAlign w:val="baseline"/>
                    </w:rPr>
                    <w:t>执行重点管控类[街道（乡镇）]生态环境总体准入清单和平原新城生态环境准入清单的资源利用效率准入要求。</w:t>
                  </w:r>
                </w:p>
              </w:tc>
              <w:tc>
                <w:tcPr>
                  <w:tcW w:w="3038" w:type="dxa"/>
                  <w:tcBorders>
                    <w:tl2br w:val="nil"/>
                    <w:tr2bl w:val="nil"/>
                  </w:tcBorders>
                  <w:vAlign w:val="center"/>
                </w:tcPr>
                <w:p w14:paraId="032390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eastAsia="宋体"/>
                      <w:sz w:val="21"/>
                      <w:szCs w:val="21"/>
                      <w:vertAlign w:val="baseline"/>
                      <w:lang w:val="en-US" w:eastAsia="zh-CN"/>
                    </w:rPr>
                  </w:pPr>
                  <w:r>
                    <w:rPr>
                      <w:rFonts w:hint="eastAsia"/>
                      <w:sz w:val="21"/>
                      <w:szCs w:val="21"/>
                      <w:vertAlign w:val="baseline"/>
                      <w:lang w:val="en-US" w:eastAsia="zh-CN"/>
                    </w:rPr>
                    <w:t>项目严格执行重点管控类[街道（乡镇）]生态环境总体准入清单和平原新城生态环境准入清单的资源利用效率准入要求。</w:t>
                  </w:r>
                </w:p>
              </w:tc>
              <w:tc>
                <w:tcPr>
                  <w:tcW w:w="510" w:type="dxa"/>
                  <w:tcBorders>
                    <w:tl2br w:val="nil"/>
                    <w:tr2bl w:val="nil"/>
                  </w:tcBorders>
                  <w:vAlign w:val="center"/>
                </w:tcPr>
                <w:p w14:paraId="358397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符合</w:t>
                  </w:r>
                </w:p>
              </w:tc>
            </w:tr>
          </w:tbl>
          <w:p w14:paraId="55399E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r>
              <w:rPr>
                <w:rFonts w:hint="eastAsia"/>
                <w:vertAlign w:val="baseline"/>
                <w:lang w:val="en-US" w:eastAsia="zh-CN"/>
              </w:rPr>
              <w:t>综上所述，本项目符合北京市生态环境分区管控（“三线一单”）的要求。</w:t>
            </w:r>
          </w:p>
          <w:p w14:paraId="35628D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vertAlign w:val="baseline"/>
                <w:lang w:val="en-US" w:eastAsia="zh-CN"/>
              </w:rPr>
            </w:pPr>
            <w:r>
              <w:rPr>
                <w:rFonts w:hint="eastAsia"/>
                <w:vertAlign w:val="baseline"/>
                <w:lang w:val="en-US" w:eastAsia="zh-CN"/>
              </w:rPr>
              <w:t>3、选址合理性分析</w:t>
            </w:r>
          </w:p>
          <w:p w14:paraId="319AA9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vertAlign w:val="baseline"/>
                <w:lang w:val="en-US" w:eastAsia="zh-CN"/>
              </w:rPr>
            </w:pPr>
            <w:r>
              <w:rPr>
                <w:rFonts w:hint="eastAsia"/>
                <w:vertAlign w:val="baseline"/>
              </w:rPr>
              <w:t>本项目位于</w:t>
            </w:r>
            <w:r>
              <w:rPr>
                <w:rFonts w:hint="eastAsia"/>
                <w:vertAlign w:val="baseline"/>
                <w:lang w:eastAsia="zh-CN"/>
              </w:rPr>
              <w:t>北京市房山区良乡拱辰星园4号楼1层0102底商</w:t>
            </w:r>
            <w:r>
              <w:rPr>
                <w:rFonts w:hint="eastAsia"/>
                <w:vertAlign w:val="baseline"/>
              </w:rPr>
              <w:t>，根据建设单位提供的房权证（</w:t>
            </w:r>
            <w:r>
              <w:rPr>
                <w:rFonts w:hint="eastAsia"/>
                <w:vertAlign w:val="baseline"/>
                <w:lang w:val="en-US" w:eastAsia="zh-CN"/>
              </w:rPr>
              <w:t>X</w:t>
            </w:r>
            <w:r>
              <w:rPr>
                <w:rFonts w:hint="eastAsia"/>
                <w:highlight w:val="none"/>
                <w:vertAlign w:val="baseline"/>
              </w:rPr>
              <w:t>京房权证</w:t>
            </w:r>
            <w:r>
              <w:rPr>
                <w:rFonts w:hint="eastAsia"/>
                <w:highlight w:val="none"/>
                <w:vertAlign w:val="baseline"/>
                <w:lang w:val="en-US" w:eastAsia="zh-CN"/>
              </w:rPr>
              <w:t>房</w:t>
            </w:r>
            <w:r>
              <w:rPr>
                <w:rFonts w:hint="eastAsia"/>
                <w:highlight w:val="none"/>
                <w:vertAlign w:val="baseline"/>
              </w:rPr>
              <w:t>字</w:t>
            </w:r>
            <w:r>
              <w:rPr>
                <w:rFonts w:hint="eastAsia"/>
                <w:highlight w:val="none"/>
                <w:vertAlign w:val="baseline"/>
                <w:lang w:val="en-US" w:eastAsia="zh-CN"/>
              </w:rPr>
              <w:t>第029960号</w:t>
            </w:r>
            <w:r>
              <w:rPr>
                <w:rFonts w:hint="eastAsia"/>
                <w:vertAlign w:val="baseline"/>
              </w:rPr>
              <w:t>），</w:t>
            </w:r>
            <w:r>
              <w:rPr>
                <w:rFonts w:hint="eastAsia"/>
                <w:vertAlign w:val="baseline"/>
                <w:lang w:val="en-US" w:eastAsia="zh-CN"/>
              </w:rPr>
              <w:t>房屋规划性质为商业用房，用于从事动物医院经营，符合房屋规划性质要求。</w:t>
            </w:r>
          </w:p>
          <w:p w14:paraId="04B6DA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vertAlign w:val="baseline"/>
                <w:lang w:val="en-US" w:eastAsia="zh-CN"/>
              </w:rPr>
            </w:pPr>
            <w:r>
              <w:rPr>
                <w:rFonts w:hint="eastAsia"/>
                <w:vertAlign w:val="baseline"/>
                <w:lang w:val="en-US" w:eastAsia="zh-CN"/>
              </w:rPr>
              <w:t>4、碳排放</w:t>
            </w:r>
          </w:p>
          <w:p w14:paraId="2B2FC9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vertAlign w:val="baseline"/>
                <w:lang w:val="en-US" w:eastAsia="zh-CN"/>
              </w:rPr>
            </w:pPr>
            <w:r>
              <w:rPr>
                <w:rFonts w:hint="eastAsia"/>
                <w:vertAlign w:val="baseline"/>
                <w:lang w:val="en-US" w:eastAsia="zh-CN"/>
              </w:rPr>
              <w:t>本项目为动物医院项目，属于《国民经济行业分类》（GB/T4754-2017）中“O8222宠物医院服务”，二氧化碳排放应按照《二氧化碳排放核算和报告要求 服务业》（DB11/T 1785-2020）的相关要求进行核算。本项目不使用化石燃料，无化石燃料消耗。项目主要使用外购电力和热力（冬季采暖），其二氧化碳排放核算如下：</w:t>
            </w:r>
          </w:p>
          <w:p w14:paraId="700181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vertAlign w:val="baseline"/>
                <w:lang w:val="en-US" w:eastAsia="zh-CN"/>
              </w:rPr>
            </w:pPr>
            <w:r>
              <w:rPr>
                <w:rFonts w:hint="eastAsia"/>
                <w:vertAlign w:val="baseline"/>
                <w:lang w:val="en-US" w:eastAsia="zh-CN"/>
              </w:rPr>
              <w:t>（1）碳排放量</w:t>
            </w:r>
          </w:p>
          <w:p w14:paraId="6ED8E7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r>
              <w:rPr>
                <w:rFonts w:hint="eastAsia"/>
                <w:vertAlign w:val="baseline"/>
                <w:lang w:val="en-US" w:eastAsia="zh-CN"/>
              </w:rPr>
              <w:t>①消耗外购电力产生的排放</w:t>
            </w:r>
          </w:p>
          <w:p w14:paraId="7CE818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vertAlign w:val="baseline"/>
                <w:lang w:val="en-US" w:eastAsia="zh-CN"/>
              </w:rPr>
            </w:pPr>
            <w:r>
              <w:rPr>
                <w:rFonts w:hint="eastAsia"/>
                <w:vertAlign w:val="baseline"/>
                <w:lang w:val="en-US" w:eastAsia="zh-CN"/>
              </w:rPr>
              <w:t>报告主体消耗外购电力产生的二氧化碳排放量E外购电按下式计算：</w:t>
            </w:r>
          </w:p>
          <w:p w14:paraId="72BD54E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vertAlign w:val="baseline"/>
              </w:rPr>
            </w:pPr>
            <w:r>
              <w:rPr>
                <w:rFonts w:hint="eastAsia" w:eastAsia="楷体"/>
                <w:color w:val="auto"/>
                <w:position w:val="-14"/>
                <w:highlight w:val="none"/>
                <w:lang w:eastAsia="zh-CN"/>
              </w:rPr>
              <w:object>
                <v:shape id="_x0000_i1025" o:spt="75" type="#_x0000_t75" style="height:19pt;width:114pt;" o:ole="t" filled="f" o:preferrelative="t" stroked="f" coordsize="21600,21600">
                  <v:path/>
                  <v:fill on="f" focussize="0,0"/>
                  <v:stroke on="f"/>
                  <v:imagedata r:id="rId13" o:title=""/>
                  <o:lock v:ext="edit" aspectratio="t"/>
                  <w10:wrap type="none"/>
                  <w10:anchorlock/>
                </v:shape>
                <o:OLEObject Type="Embed" ProgID="Equation.KSEE3" ShapeID="_x0000_i1025" DrawAspect="Content" ObjectID="_1468075725" r:id="rId12">
                  <o:LockedField>false</o:LockedField>
                </o:OLEObject>
              </w:object>
            </w:r>
          </w:p>
          <w:p w14:paraId="4AC4CC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rPr>
            </w:pPr>
            <w:r>
              <w:rPr>
                <w:rFonts w:hint="eastAsia"/>
                <w:vertAlign w:val="baseline"/>
              </w:rPr>
              <w:t>式中：</w:t>
            </w:r>
          </w:p>
          <w:p w14:paraId="2B9D95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vertAlign w:val="baseline"/>
                <w:lang w:val="en-US" w:eastAsia="zh-CN"/>
              </w:rPr>
            </w:pPr>
            <w:r>
              <w:rPr>
                <w:rFonts w:hint="eastAsia"/>
                <w:vertAlign w:val="baseline"/>
                <w:lang w:val="en-US" w:eastAsia="zh-CN"/>
              </w:rPr>
              <w:t>E</w:t>
            </w:r>
            <w:r>
              <w:rPr>
                <w:rFonts w:hint="eastAsia"/>
                <w:vertAlign w:val="subscript"/>
                <w:lang w:val="en-US" w:eastAsia="zh-CN"/>
              </w:rPr>
              <w:t>外购电</w:t>
            </w:r>
            <w:r>
              <w:rPr>
                <w:rFonts w:hint="eastAsia"/>
                <w:vertAlign w:val="baseline"/>
                <w:lang w:val="en-US" w:eastAsia="zh-CN"/>
              </w:rPr>
              <w:t>—消耗外购电力产生的二氧化碳排放量，单位为（tCO</w:t>
            </w:r>
            <w:r>
              <w:rPr>
                <w:rFonts w:hint="eastAsia"/>
                <w:vertAlign w:val="subscript"/>
                <w:lang w:val="en-US" w:eastAsia="zh-CN"/>
              </w:rPr>
              <w:t>2</w:t>
            </w:r>
            <w:r>
              <w:rPr>
                <w:rFonts w:hint="eastAsia"/>
                <w:vertAlign w:val="baseline"/>
                <w:lang w:val="en-US" w:eastAsia="zh-CN"/>
              </w:rPr>
              <w:t>/a）；</w:t>
            </w:r>
          </w:p>
          <w:p w14:paraId="47B183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rPr>
            </w:pPr>
            <w:r>
              <w:rPr>
                <w:rFonts w:hint="eastAsia"/>
                <w:vertAlign w:val="baseline"/>
              </w:rPr>
              <w:t>AD</w:t>
            </w:r>
            <w:r>
              <w:rPr>
                <w:rFonts w:hint="eastAsia"/>
                <w:vertAlign w:val="subscript"/>
              </w:rPr>
              <w:t>外购电</w:t>
            </w:r>
            <w:r>
              <w:rPr>
                <w:rFonts w:hint="eastAsia"/>
                <w:vertAlign w:val="baseline"/>
              </w:rPr>
              <w:t>—报告主体核算和报告年度内消耗外购电力电量，单位为兆瓦时（MWh）；</w:t>
            </w:r>
          </w:p>
          <w:p w14:paraId="22873C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r>
              <w:rPr>
                <w:rFonts w:hint="eastAsia"/>
                <w:vertAlign w:val="baseline"/>
              </w:rPr>
              <w:t>EF</w:t>
            </w:r>
            <w:r>
              <w:rPr>
                <w:rFonts w:hint="eastAsia"/>
                <w:vertAlign w:val="subscript"/>
              </w:rPr>
              <w:t>电</w:t>
            </w:r>
            <w:r>
              <w:rPr>
                <w:rFonts w:hint="eastAsia"/>
                <w:vertAlign w:val="baseline"/>
              </w:rPr>
              <w:t>—电网年平均供电排放因子，单位为吨二氧化碳每兆瓦时（tCO</w:t>
            </w:r>
            <w:r>
              <w:rPr>
                <w:rFonts w:hint="eastAsia"/>
                <w:vertAlign w:val="subscript"/>
              </w:rPr>
              <w:t>2</w:t>
            </w:r>
            <w:r>
              <w:rPr>
                <w:rFonts w:hint="eastAsia"/>
                <w:vertAlign w:val="baseline"/>
              </w:rPr>
              <w:t>/MWh）。</w:t>
            </w:r>
          </w:p>
          <w:p w14:paraId="6E1EEF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r>
              <w:rPr>
                <w:rFonts w:hint="eastAsia"/>
                <w:vertAlign w:val="baseline"/>
              </w:rPr>
              <w:t>本项目年耗电量为</w:t>
            </w:r>
            <w:r>
              <w:rPr>
                <w:rFonts w:hint="eastAsia"/>
                <w:vertAlign w:val="baseline"/>
                <w:lang w:val="en-US" w:eastAsia="zh-CN"/>
              </w:rPr>
              <w:t>1.5</w:t>
            </w:r>
            <w:r>
              <w:rPr>
                <w:rFonts w:hint="eastAsia"/>
                <w:vertAlign w:val="baseline"/>
              </w:rPr>
              <w:t>万度，即</w:t>
            </w:r>
            <w:r>
              <w:rPr>
                <w:rFonts w:hint="eastAsia"/>
                <w:vertAlign w:val="baseline"/>
                <w:lang w:val="en-US" w:eastAsia="zh-CN"/>
              </w:rPr>
              <w:t>15</w:t>
            </w:r>
            <w:r>
              <w:rPr>
                <w:rFonts w:hint="eastAsia"/>
                <w:vertAlign w:val="baseline"/>
              </w:rPr>
              <w:t>兆瓦时。根据《二氧化碳排放核算和报告要求 服务业》（DB11/T 1785-2020）中附录A中表A.2推荐的供电排放因子数据，EF</w:t>
            </w:r>
            <w:r>
              <w:rPr>
                <w:rFonts w:hint="eastAsia"/>
                <w:vertAlign w:val="subscript"/>
              </w:rPr>
              <w:t>电</w:t>
            </w:r>
            <w:r>
              <w:rPr>
                <w:rFonts w:hint="eastAsia"/>
                <w:vertAlign w:val="baseline"/>
              </w:rPr>
              <w:t>取值为0.604。通过计算可知，项目外购电力产生的二氧化碳排放量为</w:t>
            </w:r>
            <w:r>
              <w:rPr>
                <w:rFonts w:hint="eastAsia"/>
                <w:vertAlign w:val="baseline"/>
                <w:lang w:val="en-US" w:eastAsia="zh-CN"/>
              </w:rPr>
              <w:t>9.06</w:t>
            </w:r>
            <w:r>
              <w:rPr>
                <w:rFonts w:hint="eastAsia"/>
                <w:vertAlign w:val="baseline"/>
              </w:rPr>
              <w:t>tCO</w:t>
            </w:r>
            <w:r>
              <w:rPr>
                <w:rFonts w:hint="eastAsia"/>
                <w:vertAlign w:val="subscript"/>
              </w:rPr>
              <w:t>2</w:t>
            </w:r>
            <w:r>
              <w:rPr>
                <w:rFonts w:hint="eastAsia"/>
                <w:vertAlign w:val="baseline"/>
              </w:rPr>
              <w:t>/a。</w:t>
            </w:r>
          </w:p>
          <w:p w14:paraId="62FA98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vertAlign w:val="baseline"/>
                <w:lang w:eastAsia="zh-CN"/>
              </w:rPr>
            </w:pPr>
            <w:r>
              <w:rPr>
                <w:rFonts w:hint="eastAsia"/>
                <w:vertAlign w:val="baseline"/>
                <w:lang w:val="en-US" w:eastAsia="zh-CN"/>
              </w:rPr>
              <w:t>②</w:t>
            </w:r>
            <w:r>
              <w:rPr>
                <w:rFonts w:hint="eastAsia"/>
                <w:vertAlign w:val="baseline"/>
                <w:lang w:eastAsia="zh-CN"/>
              </w:rPr>
              <w:t>消耗外购热力产生的排放</w:t>
            </w:r>
          </w:p>
          <w:p w14:paraId="4AE0AE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r>
              <w:rPr>
                <w:rFonts w:hint="eastAsia"/>
                <w:vertAlign w:val="baseline"/>
              </w:rPr>
              <w:t>报告主体消耗外购热力产生的二氧化碳排放量E外购电按下式计算：</w:t>
            </w:r>
          </w:p>
          <w:p w14:paraId="45828BB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vertAlign w:val="baseline"/>
              </w:rPr>
            </w:pPr>
            <w:r>
              <w:rPr>
                <w:rFonts w:hint="eastAsia" w:eastAsia="楷体"/>
                <w:color w:val="auto"/>
                <w:position w:val="-14"/>
                <w:highlight w:val="none"/>
                <w:lang w:eastAsia="zh-CN"/>
              </w:rPr>
              <w:object>
                <v:shape id="_x0000_i1026" o:spt="75" type="#_x0000_t75" style="height:19pt;width:163pt;" o:ole="t" filled="f" o:preferrelative="t" stroked="f" coordsize="21600,21600">
                  <v:path/>
                  <v:fill on="f" focussize="0,0"/>
                  <v:stroke on="f"/>
                  <v:imagedata r:id="rId15" o:title=""/>
                  <o:lock v:ext="edit" aspectratio="t"/>
                  <w10:wrap type="none"/>
                  <w10:anchorlock/>
                </v:shape>
                <o:OLEObject Type="Embed" ProgID="Equation.KSEE3" ShapeID="_x0000_i1026" DrawAspect="Content" ObjectID="_1468075726" r:id="rId14">
                  <o:LockedField>false</o:LockedField>
                </o:OLEObject>
              </w:object>
            </w:r>
          </w:p>
          <w:p w14:paraId="6285B2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rPr>
            </w:pPr>
            <w:r>
              <w:rPr>
                <w:rFonts w:hint="eastAsia"/>
                <w:vertAlign w:val="baseline"/>
              </w:rPr>
              <w:t>式中：</w:t>
            </w:r>
          </w:p>
          <w:p w14:paraId="4E1527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vertAlign w:val="baseline"/>
                <w:lang w:val="en-US" w:eastAsia="zh-CN"/>
              </w:rPr>
            </w:pPr>
            <w:r>
              <w:rPr>
                <w:rFonts w:hint="eastAsia"/>
                <w:vertAlign w:val="baseline"/>
                <w:lang w:val="en-US" w:eastAsia="zh-CN"/>
              </w:rPr>
              <w:t>E</w:t>
            </w:r>
            <w:r>
              <w:rPr>
                <w:rFonts w:hint="eastAsia"/>
                <w:vertAlign w:val="subscript"/>
                <w:lang w:val="en-US" w:eastAsia="zh-CN"/>
              </w:rPr>
              <w:t>外购热（热水）</w:t>
            </w:r>
            <w:r>
              <w:rPr>
                <w:rFonts w:hint="eastAsia"/>
                <w:vertAlign w:val="baseline"/>
                <w:lang w:val="en-US" w:eastAsia="zh-CN"/>
              </w:rPr>
              <w:t>—消耗外购热力产生的二氧化碳排放量，单位为（tCO</w:t>
            </w:r>
            <w:r>
              <w:rPr>
                <w:rFonts w:hint="eastAsia"/>
                <w:vertAlign w:val="subscript"/>
                <w:lang w:val="en-US" w:eastAsia="zh-CN"/>
              </w:rPr>
              <w:t>2</w:t>
            </w:r>
            <w:r>
              <w:rPr>
                <w:rFonts w:hint="eastAsia"/>
                <w:vertAlign w:val="baseline"/>
                <w:lang w:val="en-US" w:eastAsia="zh-CN"/>
              </w:rPr>
              <w:t>/a）；</w:t>
            </w:r>
          </w:p>
          <w:p w14:paraId="56F8A3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rPr>
            </w:pPr>
            <w:r>
              <w:rPr>
                <w:rFonts w:hint="eastAsia"/>
                <w:vertAlign w:val="baseline"/>
              </w:rPr>
              <w:t>AD</w:t>
            </w:r>
            <w:r>
              <w:rPr>
                <w:rFonts w:hint="eastAsia"/>
                <w:vertAlign w:val="subscript"/>
              </w:rPr>
              <w:t>外购</w:t>
            </w:r>
            <w:r>
              <w:rPr>
                <w:rFonts w:hint="eastAsia"/>
                <w:vertAlign w:val="subscript"/>
                <w:lang w:val="en-US" w:eastAsia="zh-CN"/>
              </w:rPr>
              <w:t>热（热水）</w:t>
            </w:r>
            <w:r>
              <w:rPr>
                <w:rFonts w:hint="eastAsia"/>
                <w:vertAlign w:val="baseline"/>
              </w:rPr>
              <w:t>—报告主体核算和报告年度内消耗外购</w:t>
            </w:r>
            <w:r>
              <w:rPr>
                <w:rFonts w:hint="eastAsia"/>
                <w:vertAlign w:val="baseline"/>
                <w:lang w:val="en-US" w:eastAsia="zh-CN"/>
              </w:rPr>
              <w:t>热力热量</w:t>
            </w:r>
            <w:r>
              <w:rPr>
                <w:rFonts w:hint="eastAsia"/>
                <w:vertAlign w:val="baseline"/>
              </w:rPr>
              <w:t>，单位为</w:t>
            </w:r>
            <w:r>
              <w:rPr>
                <w:rFonts w:hint="eastAsia"/>
                <w:vertAlign w:val="baseline"/>
                <w:lang w:val="en-US" w:eastAsia="zh-CN"/>
              </w:rPr>
              <w:t>吉焦</w:t>
            </w:r>
            <w:r>
              <w:rPr>
                <w:rFonts w:hint="eastAsia"/>
                <w:vertAlign w:val="baseline"/>
              </w:rPr>
              <w:t>（</w:t>
            </w:r>
            <w:r>
              <w:rPr>
                <w:rFonts w:hint="eastAsia"/>
                <w:vertAlign w:val="baseline"/>
                <w:lang w:val="en-US" w:eastAsia="zh-CN"/>
              </w:rPr>
              <w:t>GJ</w:t>
            </w:r>
            <w:r>
              <w:rPr>
                <w:rFonts w:hint="eastAsia"/>
                <w:vertAlign w:val="baseline"/>
              </w:rPr>
              <w:t>）；</w:t>
            </w:r>
          </w:p>
          <w:p w14:paraId="15C1D0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r>
              <w:rPr>
                <w:rFonts w:hint="eastAsia"/>
                <w:vertAlign w:val="baseline"/>
              </w:rPr>
              <w:t>EF</w:t>
            </w:r>
            <w:r>
              <w:rPr>
                <w:rFonts w:hint="eastAsia"/>
                <w:vertAlign w:val="subscript"/>
                <w:lang w:val="en-US" w:eastAsia="zh-CN"/>
              </w:rPr>
              <w:t>热</w:t>
            </w:r>
            <w:r>
              <w:rPr>
                <w:rFonts w:hint="eastAsia"/>
                <w:vertAlign w:val="baseline"/>
              </w:rPr>
              <w:t>—</w:t>
            </w:r>
            <w:r>
              <w:rPr>
                <w:rFonts w:hint="eastAsia"/>
                <w:vertAlign w:val="baseline"/>
                <w:lang w:val="en-US" w:eastAsia="zh-CN"/>
              </w:rPr>
              <w:t>热力供应</w:t>
            </w:r>
            <w:r>
              <w:rPr>
                <w:rFonts w:hint="eastAsia"/>
                <w:vertAlign w:val="baseline"/>
              </w:rPr>
              <w:t>排放因子，单位为吨二氧化碳每</w:t>
            </w:r>
            <w:r>
              <w:rPr>
                <w:rFonts w:hint="eastAsia"/>
                <w:vertAlign w:val="baseline"/>
                <w:lang w:val="en-US" w:eastAsia="zh-CN"/>
              </w:rPr>
              <w:t>吉焦</w:t>
            </w:r>
            <w:r>
              <w:rPr>
                <w:rFonts w:hint="eastAsia"/>
                <w:vertAlign w:val="baseline"/>
              </w:rPr>
              <w:t>（tCO</w:t>
            </w:r>
            <w:r>
              <w:rPr>
                <w:rFonts w:hint="eastAsia"/>
                <w:vertAlign w:val="subscript"/>
              </w:rPr>
              <w:t>2</w:t>
            </w:r>
            <w:r>
              <w:rPr>
                <w:rFonts w:hint="eastAsia"/>
                <w:vertAlign w:val="baseline"/>
              </w:rPr>
              <w:t>/</w:t>
            </w:r>
            <w:r>
              <w:rPr>
                <w:rFonts w:hint="eastAsia"/>
                <w:vertAlign w:val="baseline"/>
                <w:lang w:val="en-US" w:eastAsia="zh-CN"/>
              </w:rPr>
              <w:t>GJ</w:t>
            </w:r>
            <w:r>
              <w:rPr>
                <w:rFonts w:hint="eastAsia"/>
                <w:vertAlign w:val="baseline"/>
              </w:rPr>
              <w:t>）。</w:t>
            </w:r>
          </w:p>
          <w:p w14:paraId="73BD23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rPr>
            </w:pPr>
            <w:r>
              <w:rPr>
                <w:rFonts w:hint="eastAsia"/>
                <w:vertAlign w:val="baseline"/>
              </w:rPr>
              <w:t>其中AD</w:t>
            </w:r>
            <w:r>
              <w:rPr>
                <w:rFonts w:hint="eastAsia"/>
                <w:vertAlign w:val="subscript"/>
              </w:rPr>
              <w:t>外购热（热水）</w:t>
            </w:r>
            <w:r>
              <w:rPr>
                <w:rFonts w:hint="eastAsia"/>
                <w:vertAlign w:val="baseline"/>
              </w:rPr>
              <w:t>取值按照供暖季1个吉焦可供热1.5</w:t>
            </w:r>
            <w:r>
              <w:rPr>
                <w:rFonts w:hint="eastAsia"/>
                <w:vertAlign w:val="baseline"/>
                <w:lang w:val="en-US" w:eastAsia="zh-CN"/>
              </w:rPr>
              <w:t>~</w:t>
            </w:r>
            <w:r>
              <w:rPr>
                <w:rFonts w:hint="eastAsia"/>
                <w:vertAlign w:val="baseline"/>
              </w:rPr>
              <w:t>3m</w:t>
            </w:r>
            <w:r>
              <w:rPr>
                <w:rFonts w:hint="eastAsia"/>
                <w:vertAlign w:val="superscript"/>
              </w:rPr>
              <w:t>2</w:t>
            </w:r>
            <w:r>
              <w:rPr>
                <w:rFonts w:hint="eastAsia"/>
                <w:vertAlign w:val="baseline"/>
              </w:rPr>
              <w:t>面积，取2m</w:t>
            </w:r>
            <w:r>
              <w:rPr>
                <w:rFonts w:hint="eastAsia"/>
                <w:vertAlign w:val="superscript"/>
              </w:rPr>
              <w:t>2</w:t>
            </w:r>
            <w:r>
              <w:rPr>
                <w:rFonts w:hint="eastAsia"/>
                <w:vertAlign w:val="baseline"/>
              </w:rPr>
              <w:t>数值。项目建筑面积</w:t>
            </w:r>
            <w:r>
              <w:rPr>
                <w:rFonts w:hint="eastAsia"/>
                <w:vertAlign w:val="baseline"/>
                <w:lang w:val="en-US" w:eastAsia="zh-CN"/>
              </w:rPr>
              <w:t>125.98</w:t>
            </w:r>
            <w:r>
              <w:rPr>
                <w:rFonts w:hint="eastAsia"/>
                <w:vertAlign w:val="baseline"/>
              </w:rPr>
              <w:t>m</w:t>
            </w:r>
            <w:r>
              <w:rPr>
                <w:rFonts w:hint="eastAsia"/>
                <w:vertAlign w:val="superscript"/>
              </w:rPr>
              <w:t>2</w:t>
            </w:r>
            <w:r>
              <w:rPr>
                <w:rFonts w:hint="eastAsia"/>
                <w:vertAlign w:val="baseline"/>
              </w:rPr>
              <w:t>，计算后为每年消耗热量</w:t>
            </w:r>
            <w:r>
              <w:rPr>
                <w:rFonts w:hint="eastAsia"/>
                <w:vertAlign w:val="baseline"/>
                <w:lang w:val="en-US" w:eastAsia="zh-CN"/>
              </w:rPr>
              <w:t>62.99</w:t>
            </w:r>
            <w:r>
              <w:rPr>
                <w:rFonts w:hint="eastAsia"/>
                <w:vertAlign w:val="baseline"/>
              </w:rPr>
              <w:t>GJ。根据《二氧化碳排放核算和报告要求 服务业》（DB11/T 1785-2020）中附录A中表A.2推荐的热力供应排放因子数据，EF</w:t>
            </w:r>
            <w:r>
              <w:rPr>
                <w:rFonts w:hint="eastAsia"/>
                <w:vertAlign w:val="subscript"/>
              </w:rPr>
              <w:t>热</w:t>
            </w:r>
            <w:r>
              <w:rPr>
                <w:rFonts w:hint="eastAsia"/>
                <w:vertAlign w:val="baseline"/>
              </w:rPr>
              <w:t>取值为0.11。通过计算可知，项目外购</w:t>
            </w:r>
            <w:r>
              <w:rPr>
                <w:rFonts w:hint="eastAsia"/>
                <w:vertAlign w:val="baseline"/>
                <w:lang w:val="en-US" w:eastAsia="zh-CN"/>
              </w:rPr>
              <w:t>热力</w:t>
            </w:r>
            <w:r>
              <w:rPr>
                <w:rFonts w:hint="eastAsia"/>
                <w:vertAlign w:val="baseline"/>
              </w:rPr>
              <w:t>产生的二氧化碳排放量为</w:t>
            </w:r>
            <w:r>
              <w:rPr>
                <w:rFonts w:hint="eastAsia"/>
                <w:vertAlign w:val="baseline"/>
                <w:lang w:val="en-US" w:eastAsia="zh-CN"/>
              </w:rPr>
              <w:t>6.93</w:t>
            </w:r>
            <w:r>
              <w:rPr>
                <w:rFonts w:hint="eastAsia"/>
                <w:vertAlign w:val="baseline"/>
              </w:rPr>
              <w:t>tCO</w:t>
            </w:r>
            <w:r>
              <w:rPr>
                <w:rFonts w:hint="eastAsia"/>
                <w:vertAlign w:val="subscript"/>
              </w:rPr>
              <w:t>2</w:t>
            </w:r>
            <w:r>
              <w:rPr>
                <w:rFonts w:hint="eastAsia"/>
                <w:vertAlign w:val="baseline"/>
              </w:rPr>
              <w:t>/a。</w:t>
            </w:r>
          </w:p>
          <w:p w14:paraId="735E5F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r>
              <w:rPr>
                <w:rFonts w:hint="eastAsia"/>
                <w:vertAlign w:val="baseline"/>
              </w:rPr>
              <w:t>③二氧化碳排放</w:t>
            </w:r>
          </w:p>
          <w:p w14:paraId="108334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vertAlign w:val="baseline"/>
                <w:lang w:val="en-US" w:eastAsia="zh-CN"/>
              </w:rPr>
            </w:pPr>
            <w:r>
              <w:rPr>
                <w:rFonts w:hint="eastAsia"/>
                <w:vertAlign w:val="baseline"/>
                <w:lang w:val="en-US" w:eastAsia="zh-CN"/>
              </w:rPr>
              <w:t>综上，本项目外购电力和热力</w:t>
            </w:r>
            <w:r>
              <w:rPr>
                <w:rFonts w:hint="eastAsia"/>
                <w:vertAlign w:val="baseline"/>
              </w:rPr>
              <w:t>产生的二氧化碳排放</w:t>
            </w:r>
            <w:r>
              <w:rPr>
                <w:rFonts w:hint="eastAsia"/>
                <w:vertAlign w:val="baseline"/>
                <w:lang w:val="en-US" w:eastAsia="zh-CN"/>
              </w:rPr>
              <w:t>总</w:t>
            </w:r>
            <w:r>
              <w:rPr>
                <w:rFonts w:hint="eastAsia"/>
                <w:vertAlign w:val="baseline"/>
              </w:rPr>
              <w:t>量</w:t>
            </w:r>
            <w:r>
              <w:rPr>
                <w:rFonts w:hint="eastAsia"/>
                <w:vertAlign w:val="baseline"/>
                <w:lang w:val="en-US" w:eastAsia="zh-CN"/>
              </w:rPr>
              <w:t>为：9.06tCO</w:t>
            </w:r>
            <w:r>
              <w:rPr>
                <w:rFonts w:hint="eastAsia"/>
                <w:vertAlign w:val="subscript"/>
                <w:lang w:val="en-US" w:eastAsia="zh-CN"/>
              </w:rPr>
              <w:t>2</w:t>
            </w:r>
            <w:r>
              <w:rPr>
                <w:rFonts w:hint="eastAsia"/>
                <w:vertAlign w:val="baseline"/>
                <w:lang w:val="en-US" w:eastAsia="zh-CN"/>
              </w:rPr>
              <w:t>/a+6.93tCO</w:t>
            </w:r>
            <w:r>
              <w:rPr>
                <w:rFonts w:hint="eastAsia"/>
                <w:vertAlign w:val="subscript"/>
                <w:lang w:val="en-US" w:eastAsia="zh-CN"/>
              </w:rPr>
              <w:t>2</w:t>
            </w:r>
            <w:r>
              <w:rPr>
                <w:rFonts w:hint="eastAsia"/>
                <w:vertAlign w:val="baseline"/>
                <w:lang w:val="en-US" w:eastAsia="zh-CN"/>
              </w:rPr>
              <w:t>/a=15.99tCO</w:t>
            </w:r>
            <w:r>
              <w:rPr>
                <w:rFonts w:hint="eastAsia"/>
                <w:vertAlign w:val="subscript"/>
                <w:lang w:val="en-US" w:eastAsia="zh-CN"/>
              </w:rPr>
              <w:t>2</w:t>
            </w:r>
            <w:r>
              <w:rPr>
                <w:rFonts w:hint="eastAsia"/>
                <w:vertAlign w:val="baseline"/>
                <w:lang w:val="en-US" w:eastAsia="zh-CN"/>
              </w:rPr>
              <w:t>/a</w:t>
            </w:r>
          </w:p>
          <w:p w14:paraId="0A4BEC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r>
              <w:rPr>
                <w:rFonts w:hint="eastAsia"/>
                <w:vertAlign w:val="baseline"/>
                <w:lang w:val="en-US" w:eastAsia="zh-CN"/>
              </w:rPr>
              <w:t>本项目</w:t>
            </w:r>
            <w:r>
              <w:rPr>
                <w:rFonts w:hint="eastAsia"/>
                <w:vertAlign w:val="baseline"/>
              </w:rPr>
              <w:t>产生的二氧化碳排放</w:t>
            </w:r>
            <w:r>
              <w:rPr>
                <w:rFonts w:hint="eastAsia"/>
                <w:vertAlign w:val="baseline"/>
                <w:lang w:val="en-US" w:eastAsia="zh-CN"/>
              </w:rPr>
              <w:t>总</w:t>
            </w:r>
            <w:r>
              <w:rPr>
                <w:rFonts w:hint="eastAsia"/>
                <w:vertAlign w:val="baseline"/>
              </w:rPr>
              <w:t>量</w:t>
            </w:r>
            <w:r>
              <w:rPr>
                <w:rFonts w:hint="eastAsia"/>
                <w:vertAlign w:val="baseline"/>
                <w:lang w:val="en-US" w:eastAsia="zh-CN"/>
              </w:rPr>
              <w:t>15.99tCO</w:t>
            </w:r>
            <w:r>
              <w:rPr>
                <w:rFonts w:hint="eastAsia"/>
                <w:vertAlign w:val="subscript"/>
                <w:lang w:val="en-US" w:eastAsia="zh-CN"/>
              </w:rPr>
              <w:t>2</w:t>
            </w:r>
            <w:r>
              <w:rPr>
                <w:rFonts w:hint="eastAsia"/>
                <w:vertAlign w:val="baseline"/>
                <w:lang w:val="en-US" w:eastAsia="zh-CN"/>
              </w:rPr>
              <w:t>/a＜5000tCO</w:t>
            </w:r>
            <w:r>
              <w:rPr>
                <w:rFonts w:hint="eastAsia"/>
                <w:vertAlign w:val="subscript"/>
                <w:lang w:val="en-US" w:eastAsia="zh-CN"/>
              </w:rPr>
              <w:t>2</w:t>
            </w:r>
            <w:r>
              <w:rPr>
                <w:rFonts w:hint="eastAsia"/>
                <w:vertAlign w:val="baseline"/>
                <w:lang w:val="en-US" w:eastAsia="zh-CN"/>
              </w:rPr>
              <w:t>/a，不属于重点排放单位。</w:t>
            </w:r>
          </w:p>
          <w:p w14:paraId="4F78E4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vertAlign w:val="baseline"/>
                <w:lang w:val="en-US" w:eastAsia="zh-CN"/>
              </w:rPr>
            </w:pPr>
            <w:r>
              <w:rPr>
                <w:rFonts w:hint="eastAsia"/>
                <w:vertAlign w:val="baseline"/>
                <w:lang w:val="en-US" w:eastAsia="zh-CN"/>
              </w:rPr>
              <w:t>（2）碳排放强度先进值</w:t>
            </w:r>
          </w:p>
          <w:p w14:paraId="1C0F3E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rPr>
            </w:pPr>
            <w:r>
              <w:rPr>
                <w:rFonts w:hint="eastAsia"/>
                <w:vertAlign w:val="baseline"/>
              </w:rPr>
              <w:t>本项目所在行业不属于北京市发展和改革委员会《关于发布行业碳排放强度先进值的通知》（京发改[2014]905号），及该部门分别于2015年4月13日和2016年8月26日发布的《关于发布本市第二批行业碳排放强度先进值的通知》和《关于发布本市第三批行业碳排放强度先进值的通知》中所列行业。现阶段尚未有与本项目相应行业的碳排放强度先进值参考数据，故本报告不对该项内容进行计算和对照。</w:t>
            </w:r>
          </w:p>
          <w:p w14:paraId="3ED2DF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r>
              <w:rPr>
                <w:rFonts w:hint="eastAsia"/>
                <w:vertAlign w:val="baseline"/>
              </w:rPr>
              <w:t>本项目优先选用节能低耗的设备，符合碳排放的相关政策</w:t>
            </w:r>
          </w:p>
          <w:p w14:paraId="28F73E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vertAlign w:val="baseline"/>
                <w:lang w:val="en-US" w:eastAsia="zh-CN"/>
              </w:rPr>
            </w:pPr>
            <w:r>
              <w:rPr>
                <w:rFonts w:hint="eastAsia"/>
                <w:vertAlign w:val="baseline"/>
                <w:lang w:val="en-US" w:eastAsia="zh-CN"/>
              </w:rPr>
              <w:t>5、环境影响评价依据</w:t>
            </w:r>
          </w:p>
          <w:p w14:paraId="5F8624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r>
              <w:rPr>
                <w:rFonts w:hint="eastAsia"/>
                <w:vertAlign w:val="baseline"/>
              </w:rPr>
              <w:t>根据《中华人民共和国环境保护法》（2015年1月1日施行）、《中华人民共和国环境影响评价法》（2018年12月29日修订）和《国务院关于修改&lt;建设项目环境保护管理条例&gt;的决定》（国务院令第682号）中的有关规定，本项目需进行环境影响评价。根据《建设项目环境影响评价分类管理名录》（2021年版），以及《建设项目环境影响评价分类管理名录》北京市实施细化规定（2022年本）中的分类要求。本项目属于“五十、社会事业与服务业，123、动物医院。项目设有动物颅腔、胸腔及腹腔手术设施，具有开展相关手术的能力，故应编制环境影响报告表。</w:t>
            </w:r>
          </w:p>
          <w:p w14:paraId="1AF355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p>
          <w:p w14:paraId="70DAE5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p>
          <w:p w14:paraId="4A94C1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p>
          <w:p w14:paraId="41640E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p>
          <w:p w14:paraId="4A2109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p>
          <w:p w14:paraId="2ED971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p>
          <w:p w14:paraId="0834E3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p>
          <w:p w14:paraId="45485A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p>
          <w:p w14:paraId="0725BF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p>
          <w:p w14:paraId="6BB77C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p>
          <w:p w14:paraId="0196F8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p>
        </w:tc>
      </w:tr>
    </w:tbl>
    <w:p w14:paraId="3BD8A1B5">
      <w:pPr>
        <w:sectPr>
          <w:footerReference r:id="rId5" w:type="default"/>
          <w:pgSz w:w="11906" w:h="16838"/>
          <w:pgMar w:top="1440" w:right="1587" w:bottom="1440" w:left="1587" w:header="964" w:footer="964" w:gutter="0"/>
          <w:pgBorders>
            <w:top w:val="none" w:sz="0" w:space="0"/>
            <w:left w:val="none" w:sz="0" w:space="0"/>
            <w:bottom w:val="none" w:sz="0" w:space="0"/>
            <w:right w:val="none" w:sz="0" w:space="0"/>
          </w:pgBorders>
          <w:pgNumType w:fmt="decimal" w:start="1"/>
          <w:cols w:space="425" w:num="1"/>
          <w:docGrid w:type="lines" w:linePitch="312" w:charSpace="0"/>
        </w:sectPr>
      </w:pPr>
    </w:p>
    <w:p w14:paraId="575229FB">
      <w:pPr>
        <w:pStyle w:val="2"/>
        <w:bidi w:val="0"/>
        <w:rPr>
          <w:rFonts w:hint="default"/>
          <w:lang w:val="en-US" w:eastAsia="zh-CN"/>
        </w:rPr>
      </w:pPr>
      <w:r>
        <w:rPr>
          <w:rFonts w:hint="eastAsia"/>
          <w:lang w:val="en-US" w:eastAsia="zh-CN"/>
        </w:rPr>
        <w:t>二、建设项目工程分析</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239"/>
      </w:tblGrid>
      <w:tr w14:paraId="373E8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9" w:type="dxa"/>
            <w:vAlign w:val="center"/>
          </w:tcPr>
          <w:p w14:paraId="7F6CB6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vertAlign w:val="baseline"/>
                <w:lang w:val="en-US" w:eastAsia="zh-CN"/>
              </w:rPr>
            </w:pPr>
            <w:r>
              <w:rPr>
                <w:rFonts w:hint="eastAsia"/>
                <w:vertAlign w:val="baseline"/>
                <w:lang w:val="en-US" w:eastAsia="zh-CN"/>
              </w:rPr>
              <w:t>建设内容</w:t>
            </w:r>
          </w:p>
        </w:tc>
        <w:tc>
          <w:tcPr>
            <w:tcW w:w="8239" w:type="dxa"/>
            <w:vAlign w:val="center"/>
          </w:tcPr>
          <w:p w14:paraId="7638889D">
            <w:pPr>
              <w:rPr>
                <w:rFonts w:hint="default" w:eastAsia="宋体"/>
                <w:vertAlign w:val="baseline"/>
                <w:lang w:val="en-US" w:eastAsia="zh-CN"/>
              </w:rPr>
            </w:pPr>
            <w:r>
              <w:rPr>
                <w:rFonts w:hint="eastAsia"/>
                <w:vertAlign w:val="baseline"/>
                <w:lang w:val="en-US" w:eastAsia="zh-CN"/>
              </w:rPr>
              <w:t>1、项目建设内容及规模</w:t>
            </w:r>
          </w:p>
          <w:p w14:paraId="45B602CB">
            <w:pPr>
              <w:rPr>
                <w:rFonts w:hint="eastAsia"/>
                <w:vertAlign w:val="baseline"/>
                <w:lang w:val="en-US" w:eastAsia="zh-CN"/>
              </w:rPr>
            </w:pPr>
            <w:r>
              <w:rPr>
                <w:rFonts w:hint="eastAsia"/>
                <w:vertAlign w:val="baseline"/>
                <w:lang w:val="en-US" w:eastAsia="zh-CN"/>
              </w:rPr>
              <w:t>建设内容：本项目租用北京市房山区良乡拱辰星园4号楼1层0102底商，建筑面积125.98m</w:t>
            </w:r>
            <w:r>
              <w:rPr>
                <w:rFonts w:hint="eastAsia"/>
                <w:vertAlign w:val="superscript"/>
                <w:lang w:val="en-US" w:eastAsia="zh-CN"/>
              </w:rPr>
              <w:t>2</w:t>
            </w:r>
            <w:r>
              <w:rPr>
                <w:rFonts w:hint="eastAsia"/>
                <w:vertAlign w:val="baseline"/>
                <w:lang w:val="en-US" w:eastAsia="zh-CN"/>
              </w:rPr>
              <w:t>，建设动物医院，从事开展动物诊疗服务，主要诊疗科目为：动物疫病预防、诊疗、治疗、绝育手术服务。该动物医院具备从事动物颅腔、胸腔和腹腔手术的设施和运营能力。项目接待的动物全部为猫科、犬科类家庭宠物。</w:t>
            </w:r>
          </w:p>
          <w:p w14:paraId="3E454F68">
            <w:pPr>
              <w:rPr>
                <w:rFonts w:hint="default"/>
                <w:vertAlign w:val="baseline"/>
                <w:lang w:val="en-US" w:eastAsia="zh-CN"/>
              </w:rPr>
            </w:pPr>
            <w:r>
              <w:rPr>
                <w:rFonts w:hint="eastAsia"/>
                <w:vertAlign w:val="baseline"/>
                <w:lang w:val="en-US" w:eastAsia="zh-CN"/>
              </w:rPr>
              <w:t>规模：预计本项目年接待就诊动物约1460例（其中普通病例约1095例，手术病例约365例），即日均接待约6例；年接待宠物美容洗浴1460例，即日均接待约6例。</w:t>
            </w:r>
          </w:p>
          <w:p w14:paraId="3717FFB7">
            <w:pPr>
              <w:rPr>
                <w:rFonts w:hint="default"/>
                <w:vertAlign w:val="baseline"/>
                <w:lang w:val="en-US" w:eastAsia="zh-CN"/>
              </w:rPr>
            </w:pPr>
            <w:r>
              <w:rPr>
                <w:rFonts w:hint="eastAsia"/>
                <w:vertAlign w:val="baseline"/>
                <w:lang w:val="en-US" w:eastAsia="zh-CN"/>
              </w:rPr>
              <w:t>投资金额：总投资120万元，其中环保投资3.0万元。</w:t>
            </w:r>
          </w:p>
          <w:p w14:paraId="3647F926">
            <w:pPr>
              <w:rPr>
                <w:rFonts w:hint="eastAsia"/>
                <w:vertAlign w:val="baseline"/>
                <w:lang w:val="en-US" w:eastAsia="zh-CN"/>
              </w:rPr>
            </w:pPr>
            <w:r>
              <w:rPr>
                <w:rFonts w:hint="eastAsia"/>
                <w:vertAlign w:val="baseline"/>
                <w:lang w:val="en-US" w:eastAsia="zh-CN"/>
              </w:rPr>
              <w:t>工作时间：年工作日264天，门诊营运时间为9:00~21:00，夜间不接诊，不寄养动物。医院不设动物住院观察服务，故项目无夜间运行。</w:t>
            </w:r>
          </w:p>
          <w:p w14:paraId="007AFC52">
            <w:pPr>
              <w:rPr>
                <w:rFonts w:hint="eastAsia"/>
                <w:vertAlign w:val="baseline"/>
                <w:lang w:val="en-US" w:eastAsia="zh-CN"/>
              </w:rPr>
            </w:pPr>
            <w:r>
              <w:rPr>
                <w:rFonts w:hint="eastAsia"/>
                <w:vertAlign w:val="baseline"/>
                <w:lang w:val="en-US" w:eastAsia="zh-CN"/>
              </w:rPr>
              <w:t>员工人数：拟定4人。</w:t>
            </w:r>
          </w:p>
          <w:p w14:paraId="2CC11395">
            <w:pPr>
              <w:rPr>
                <w:rFonts w:hint="eastAsia"/>
                <w:vertAlign w:val="baseline"/>
                <w:lang w:val="en-US" w:eastAsia="zh-CN"/>
              </w:rPr>
            </w:pPr>
            <w:r>
              <w:rPr>
                <w:rFonts w:hint="eastAsia"/>
                <w:vertAlign w:val="baseline"/>
                <w:lang w:val="en-US" w:eastAsia="zh-CN"/>
              </w:rPr>
              <w:t>项目涉及射线装置使用的，须另行向生态环境部门申报相关手续，该部分内容不在本次评价范围之内。</w:t>
            </w:r>
          </w:p>
          <w:p w14:paraId="740804A0">
            <w:pPr>
              <w:pStyle w:val="11"/>
              <w:bidi w:val="0"/>
              <w:rPr>
                <w:rFonts w:hint="default"/>
                <w:lang w:val="en-US" w:eastAsia="zh-CN"/>
              </w:rPr>
            </w:pPr>
            <w:r>
              <w:rPr>
                <w:rFonts w:hint="eastAsia"/>
                <w:lang w:val="en-US" w:eastAsia="zh-CN"/>
              </w:rPr>
              <w:t>表2-1 项目建设规模及内容一览表</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185"/>
              <w:gridCol w:w="6098"/>
            </w:tblGrid>
            <w:tr w14:paraId="702A3D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tcBorders>
                    <w:tl2br w:val="nil"/>
                    <w:tr2bl w:val="nil"/>
                  </w:tcBorders>
                  <w:vAlign w:val="center"/>
                </w:tcPr>
                <w:p w14:paraId="764478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类别</w:t>
                  </w:r>
                </w:p>
              </w:tc>
              <w:tc>
                <w:tcPr>
                  <w:tcW w:w="1185" w:type="dxa"/>
                  <w:tcBorders>
                    <w:tl2br w:val="nil"/>
                    <w:tr2bl w:val="nil"/>
                  </w:tcBorders>
                  <w:vAlign w:val="center"/>
                </w:tcPr>
                <w:p w14:paraId="2EB5E7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工程名称</w:t>
                  </w:r>
                </w:p>
              </w:tc>
              <w:tc>
                <w:tcPr>
                  <w:tcW w:w="6098" w:type="dxa"/>
                  <w:tcBorders>
                    <w:tl2br w:val="nil"/>
                    <w:tr2bl w:val="nil"/>
                  </w:tcBorders>
                  <w:vAlign w:val="center"/>
                </w:tcPr>
                <w:p w14:paraId="556AE3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项目建设内容</w:t>
                  </w:r>
                </w:p>
              </w:tc>
            </w:tr>
            <w:tr w14:paraId="4EA552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tcBorders>
                    <w:tl2br w:val="nil"/>
                    <w:tr2bl w:val="nil"/>
                  </w:tcBorders>
                  <w:vAlign w:val="center"/>
                </w:tcPr>
                <w:p w14:paraId="5D76E8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主体工程</w:t>
                  </w:r>
                </w:p>
              </w:tc>
              <w:tc>
                <w:tcPr>
                  <w:tcW w:w="1185" w:type="dxa"/>
                  <w:tcBorders>
                    <w:tl2br w:val="nil"/>
                    <w:tr2bl w:val="nil"/>
                  </w:tcBorders>
                  <w:vAlign w:val="center"/>
                </w:tcPr>
                <w:p w14:paraId="66FDEE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6098" w:type="dxa"/>
                  <w:tcBorders>
                    <w:tl2br w:val="nil"/>
                    <w:tr2bl w:val="nil"/>
                  </w:tcBorders>
                  <w:vAlign w:val="center"/>
                </w:tcPr>
                <w:p w14:paraId="2F16B6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eastAsia"/>
                      <w:sz w:val="21"/>
                      <w:szCs w:val="21"/>
                      <w:vertAlign w:val="baseline"/>
                      <w:lang w:val="en-US" w:eastAsia="zh-CN"/>
                    </w:rPr>
                    <w:t>建设动物医院，从事开展动物美容洗浴、动物诊疗服务，主要诊疗科目为：动物疫病预防、诊疗、治疗、绝育手术服务。预计项目年接待就诊动物约1460例（其中普通病例约1095例，手术病例约365例），即日均接待约6例；年接待宠物美容洗浴1460例，即日均接待约6例。项目接待的动物全部为猫科、犬科类家庭宠物。</w:t>
                  </w:r>
                </w:p>
              </w:tc>
            </w:tr>
            <w:tr w14:paraId="22A16D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tcBorders>
                    <w:bottom w:val="single" w:color="000000" w:sz="4" w:space="0"/>
                    <w:tl2br w:val="nil"/>
                    <w:tr2bl w:val="nil"/>
                  </w:tcBorders>
                  <w:vAlign w:val="center"/>
                </w:tcPr>
                <w:p w14:paraId="3AB339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辅助工程</w:t>
                  </w:r>
                </w:p>
              </w:tc>
              <w:tc>
                <w:tcPr>
                  <w:tcW w:w="1185" w:type="dxa"/>
                  <w:tcBorders>
                    <w:bottom w:val="single" w:color="000000" w:sz="4" w:space="0"/>
                    <w:tl2br w:val="nil"/>
                    <w:tr2bl w:val="nil"/>
                  </w:tcBorders>
                  <w:vAlign w:val="center"/>
                </w:tcPr>
                <w:p w14:paraId="79DDA2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w:t>
                  </w:r>
                </w:p>
              </w:tc>
              <w:tc>
                <w:tcPr>
                  <w:tcW w:w="6098" w:type="dxa"/>
                  <w:tcBorders>
                    <w:tl2br w:val="nil"/>
                    <w:tr2bl w:val="nil"/>
                  </w:tcBorders>
                  <w:vAlign w:val="center"/>
                </w:tcPr>
                <w:p w14:paraId="2B6475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项目无自暖设备，不设食堂及员工宿舍</w:t>
                  </w:r>
                </w:p>
              </w:tc>
            </w:tr>
            <w:tr w14:paraId="72E40F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restart"/>
                  <w:tcBorders>
                    <w:tl2br w:val="nil"/>
                    <w:tr2bl w:val="nil"/>
                  </w:tcBorders>
                  <w:vAlign w:val="center"/>
                </w:tcPr>
                <w:p w14:paraId="4102E8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公用工程</w:t>
                  </w:r>
                </w:p>
              </w:tc>
              <w:tc>
                <w:tcPr>
                  <w:tcW w:w="1185" w:type="dxa"/>
                  <w:tcBorders>
                    <w:tl2br w:val="nil"/>
                    <w:tr2bl w:val="nil"/>
                  </w:tcBorders>
                  <w:vAlign w:val="center"/>
                </w:tcPr>
                <w:p w14:paraId="713CA8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供水</w:t>
                  </w:r>
                </w:p>
              </w:tc>
              <w:tc>
                <w:tcPr>
                  <w:tcW w:w="6098" w:type="dxa"/>
                  <w:tcBorders>
                    <w:tl2br w:val="nil"/>
                    <w:tr2bl w:val="nil"/>
                  </w:tcBorders>
                  <w:vAlign w:val="center"/>
                </w:tcPr>
                <w:p w14:paraId="2FCE60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eastAsia"/>
                      <w:sz w:val="21"/>
                      <w:szCs w:val="21"/>
                      <w:vertAlign w:val="baseline"/>
                      <w:lang w:val="en-US" w:eastAsia="zh-CN"/>
                    </w:rPr>
                    <w:t>本项目用水由所在地市政自来水管网提供</w:t>
                  </w:r>
                </w:p>
              </w:tc>
            </w:tr>
            <w:tr w14:paraId="1F9BB6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continue"/>
                  <w:tcBorders>
                    <w:tl2br w:val="nil"/>
                    <w:tr2bl w:val="nil"/>
                  </w:tcBorders>
                  <w:vAlign w:val="center"/>
                </w:tcPr>
                <w:p w14:paraId="0D626B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185" w:type="dxa"/>
                  <w:tcBorders>
                    <w:tl2br w:val="nil"/>
                    <w:tr2bl w:val="nil"/>
                  </w:tcBorders>
                  <w:vAlign w:val="center"/>
                </w:tcPr>
                <w:p w14:paraId="138E4A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供电</w:t>
                  </w:r>
                </w:p>
              </w:tc>
              <w:tc>
                <w:tcPr>
                  <w:tcW w:w="6098" w:type="dxa"/>
                  <w:tcBorders>
                    <w:tl2br w:val="nil"/>
                    <w:tr2bl w:val="nil"/>
                  </w:tcBorders>
                  <w:vAlign w:val="center"/>
                </w:tcPr>
                <w:p w14:paraId="253594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default"/>
                      <w:sz w:val="21"/>
                      <w:szCs w:val="21"/>
                      <w:vertAlign w:val="baseline"/>
                      <w:lang w:val="en-US" w:eastAsia="zh-CN"/>
                    </w:rPr>
                    <w:t>本项目用电由北京市</w:t>
                  </w:r>
                  <w:r>
                    <w:rPr>
                      <w:rFonts w:hint="eastAsia"/>
                      <w:sz w:val="21"/>
                      <w:szCs w:val="21"/>
                      <w:vertAlign w:val="baseline"/>
                      <w:lang w:val="en-US" w:eastAsia="zh-CN"/>
                    </w:rPr>
                    <w:t>房山</w:t>
                  </w:r>
                  <w:r>
                    <w:rPr>
                      <w:rFonts w:hint="default"/>
                      <w:sz w:val="21"/>
                      <w:szCs w:val="21"/>
                      <w:vertAlign w:val="baseline"/>
                      <w:lang w:val="en-US" w:eastAsia="zh-CN"/>
                    </w:rPr>
                    <w:t>区供电部门提供</w:t>
                  </w:r>
                </w:p>
              </w:tc>
            </w:tr>
            <w:tr w14:paraId="080DF7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continue"/>
                  <w:tcBorders>
                    <w:tl2br w:val="nil"/>
                    <w:tr2bl w:val="nil"/>
                  </w:tcBorders>
                  <w:vAlign w:val="center"/>
                </w:tcPr>
                <w:p w14:paraId="7ED780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185" w:type="dxa"/>
                  <w:tcBorders>
                    <w:tl2br w:val="nil"/>
                    <w:tr2bl w:val="nil"/>
                  </w:tcBorders>
                  <w:vAlign w:val="center"/>
                </w:tcPr>
                <w:p w14:paraId="1A3F27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排水</w:t>
                  </w:r>
                </w:p>
              </w:tc>
              <w:tc>
                <w:tcPr>
                  <w:tcW w:w="6098" w:type="dxa"/>
                  <w:tcBorders>
                    <w:tl2br w:val="nil"/>
                    <w:tr2bl w:val="nil"/>
                  </w:tcBorders>
                  <w:vAlign w:val="center"/>
                </w:tcPr>
                <w:p w14:paraId="057014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default"/>
                      <w:sz w:val="21"/>
                      <w:szCs w:val="21"/>
                      <w:vertAlign w:val="baseline"/>
                      <w:lang w:val="en-US" w:eastAsia="zh-CN"/>
                    </w:rPr>
                    <w:t>所在地具备市政排水条件，项目排水管道接入市政污水管网，最终汇入</w:t>
                  </w:r>
                  <w:r>
                    <w:rPr>
                      <w:rFonts w:hint="eastAsia"/>
                      <w:sz w:val="21"/>
                      <w:szCs w:val="21"/>
                      <w:highlight w:val="none"/>
                      <w:vertAlign w:val="baseline"/>
                      <w:lang w:val="en-US" w:eastAsia="zh-CN"/>
                    </w:rPr>
                    <w:t>北京中设水处理有限公司良乡污水处理厂</w:t>
                  </w:r>
                </w:p>
              </w:tc>
            </w:tr>
            <w:tr w14:paraId="0BDC0B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continue"/>
                  <w:tcBorders>
                    <w:tl2br w:val="nil"/>
                    <w:tr2bl w:val="nil"/>
                  </w:tcBorders>
                  <w:vAlign w:val="center"/>
                </w:tcPr>
                <w:p w14:paraId="6BE8D5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185" w:type="dxa"/>
                  <w:tcBorders>
                    <w:tl2br w:val="nil"/>
                    <w:tr2bl w:val="nil"/>
                  </w:tcBorders>
                  <w:vAlign w:val="center"/>
                </w:tcPr>
                <w:p w14:paraId="592FDB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采暖制冷</w:t>
                  </w:r>
                </w:p>
              </w:tc>
              <w:tc>
                <w:tcPr>
                  <w:tcW w:w="6098" w:type="dxa"/>
                  <w:tcBorders>
                    <w:tl2br w:val="nil"/>
                    <w:tr2bl w:val="nil"/>
                  </w:tcBorders>
                  <w:vAlign w:val="center"/>
                </w:tcPr>
                <w:p w14:paraId="74D417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eastAsia"/>
                      <w:sz w:val="21"/>
                      <w:szCs w:val="21"/>
                      <w:vertAlign w:val="baseline"/>
                      <w:lang w:val="en-US" w:eastAsia="zh-CN"/>
                    </w:rPr>
                    <w:t>冬季供暖由市政集中供暖提供，夏季制冷由中央空调提供</w:t>
                  </w:r>
                </w:p>
              </w:tc>
            </w:tr>
            <w:tr w14:paraId="2C2FD9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restart"/>
                  <w:tcBorders>
                    <w:tl2br w:val="nil"/>
                    <w:tr2bl w:val="nil"/>
                  </w:tcBorders>
                  <w:vAlign w:val="center"/>
                </w:tcPr>
                <w:p w14:paraId="514886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环保工程</w:t>
                  </w:r>
                </w:p>
              </w:tc>
              <w:tc>
                <w:tcPr>
                  <w:tcW w:w="1185" w:type="dxa"/>
                  <w:tcBorders>
                    <w:tl2br w:val="nil"/>
                    <w:tr2bl w:val="nil"/>
                  </w:tcBorders>
                  <w:vAlign w:val="center"/>
                </w:tcPr>
                <w:p w14:paraId="49CC49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废气</w:t>
                  </w:r>
                </w:p>
              </w:tc>
              <w:tc>
                <w:tcPr>
                  <w:tcW w:w="6098" w:type="dxa"/>
                  <w:tcBorders>
                    <w:tl2br w:val="nil"/>
                    <w:tr2bl w:val="nil"/>
                  </w:tcBorders>
                  <w:vAlign w:val="center"/>
                </w:tcPr>
                <w:p w14:paraId="4E7154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eastAsia"/>
                      <w:sz w:val="21"/>
                      <w:szCs w:val="21"/>
                      <w:vertAlign w:val="baseline"/>
                      <w:lang w:val="en-US" w:eastAsia="zh-CN"/>
                    </w:rPr>
                    <w:t>对异味采取室内、动物笼及时清理清洁，喷洒除臭剂、空气清新剂等。项目设有排风系统，各房间吊顶上方的排风管道设置吸风口，主管道内安装活性炭净化装置及</w:t>
                  </w:r>
                  <w:r>
                    <w:rPr>
                      <w:rFonts w:hint="eastAsia"/>
                      <w:sz w:val="21"/>
                      <w:szCs w:val="21"/>
                      <w:highlight w:val="none"/>
                      <w:vertAlign w:val="baseline"/>
                      <w:lang w:val="en-US" w:eastAsia="zh-CN"/>
                    </w:rPr>
                    <w:t>排风机（位于医院洗美间上方的吊顶内），异味经吸附净</w:t>
                  </w:r>
                  <w:r>
                    <w:rPr>
                      <w:rFonts w:hint="eastAsia"/>
                      <w:sz w:val="21"/>
                      <w:szCs w:val="21"/>
                      <w:vertAlign w:val="baseline"/>
                      <w:lang w:val="en-US" w:eastAsia="zh-CN"/>
                    </w:rPr>
                    <w:t>化后通过位于医院东侧外墙的排风口排放。</w:t>
                  </w:r>
                </w:p>
              </w:tc>
            </w:tr>
            <w:tr w14:paraId="1D45FB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continue"/>
                  <w:tcBorders>
                    <w:tl2br w:val="nil"/>
                    <w:tr2bl w:val="nil"/>
                  </w:tcBorders>
                  <w:vAlign w:val="center"/>
                </w:tcPr>
                <w:p w14:paraId="19641E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185" w:type="dxa"/>
                  <w:tcBorders>
                    <w:tl2br w:val="nil"/>
                    <w:tr2bl w:val="nil"/>
                  </w:tcBorders>
                  <w:vAlign w:val="center"/>
                </w:tcPr>
                <w:p w14:paraId="555DA7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废水</w:t>
                  </w:r>
                </w:p>
              </w:tc>
              <w:tc>
                <w:tcPr>
                  <w:tcW w:w="6098" w:type="dxa"/>
                  <w:tcBorders>
                    <w:tl2br w:val="nil"/>
                    <w:tr2bl w:val="nil"/>
                  </w:tcBorders>
                  <w:vAlign w:val="center"/>
                </w:tcPr>
                <w:p w14:paraId="7D830A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eastAsia"/>
                      <w:sz w:val="21"/>
                      <w:szCs w:val="21"/>
                      <w:vertAlign w:val="baseline"/>
                      <w:lang w:val="en-US" w:eastAsia="zh-CN"/>
                    </w:rPr>
                    <w:t>进行内部排水管道等的设计与铺设，采取防渗措施。并针对诊疗及美容洗浴废水购买安装1台采用次氯酸钠消毒工艺的污水处理设备，位于医院化验室。</w:t>
                  </w:r>
                </w:p>
              </w:tc>
            </w:tr>
            <w:tr w14:paraId="767215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continue"/>
                  <w:tcBorders>
                    <w:tl2br w:val="nil"/>
                    <w:tr2bl w:val="nil"/>
                  </w:tcBorders>
                  <w:vAlign w:val="center"/>
                </w:tcPr>
                <w:p w14:paraId="3A354A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185" w:type="dxa"/>
                  <w:tcBorders>
                    <w:tl2br w:val="nil"/>
                    <w:tr2bl w:val="nil"/>
                  </w:tcBorders>
                  <w:vAlign w:val="center"/>
                </w:tcPr>
                <w:p w14:paraId="6FB99D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噪声</w:t>
                  </w:r>
                </w:p>
              </w:tc>
              <w:tc>
                <w:tcPr>
                  <w:tcW w:w="6098" w:type="dxa"/>
                  <w:tcBorders>
                    <w:tl2br w:val="nil"/>
                    <w:tr2bl w:val="nil"/>
                  </w:tcBorders>
                  <w:vAlign w:val="center"/>
                </w:tcPr>
                <w:p w14:paraId="6E847E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eastAsia"/>
                      <w:sz w:val="21"/>
                      <w:szCs w:val="21"/>
                      <w:vertAlign w:val="baseline"/>
                      <w:lang w:val="en-US" w:eastAsia="zh-CN"/>
                    </w:rPr>
                    <w:t>项目选用低噪声设备，合理布局，主要产噪设备安装减振基础；建筑墙体隔声。</w:t>
                  </w:r>
                </w:p>
              </w:tc>
            </w:tr>
            <w:tr w14:paraId="7FD702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continue"/>
                  <w:tcBorders>
                    <w:tl2br w:val="nil"/>
                    <w:tr2bl w:val="nil"/>
                  </w:tcBorders>
                  <w:vAlign w:val="center"/>
                </w:tcPr>
                <w:p w14:paraId="3B2901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185" w:type="dxa"/>
                  <w:tcBorders>
                    <w:tl2br w:val="nil"/>
                    <w:tr2bl w:val="nil"/>
                  </w:tcBorders>
                  <w:vAlign w:val="center"/>
                </w:tcPr>
                <w:p w14:paraId="20016F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固体废物</w:t>
                  </w:r>
                </w:p>
              </w:tc>
              <w:tc>
                <w:tcPr>
                  <w:tcW w:w="6098" w:type="dxa"/>
                  <w:tcBorders>
                    <w:tl2br w:val="nil"/>
                    <w:tr2bl w:val="nil"/>
                  </w:tcBorders>
                  <w:vAlign w:val="center"/>
                </w:tcPr>
                <w:p w14:paraId="425496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eastAsia"/>
                      <w:sz w:val="21"/>
                      <w:szCs w:val="21"/>
                      <w:vertAlign w:val="baseline"/>
                      <w:lang w:val="en-US" w:eastAsia="zh-CN"/>
                    </w:rPr>
                    <w:t>项目产生固体废物为生活垃圾、一般工业固体废物和医疗废物。生活垃圾集中收集，由环卫部门统一清运；一般工业固体废物为物品包装物、异味净化产生的废活性炭，交由废品回收站或材料生产厂家回收再利用；诊疗、手术产生的动物器官、组织、血液、组织液等；废手术刀、注射器和输液器针头；以及一次性医疗器械、废试纸、废试剂盒、废纱布、废口罩、废棉球、沾染了动物粪尿的尿垫和猫砂、污水处理设备（水池篦子）拦截物；过期药品等，均属于医疗废物。建设单位设置医疗废物暂存间对该类废物分类暂存，位于医院室内南部，医疗废物定期交由具有相关资质的</w:t>
                  </w:r>
                  <w:r>
                    <w:rPr>
                      <w:rFonts w:hint="eastAsia"/>
                      <w:sz w:val="21"/>
                      <w:szCs w:val="21"/>
                      <w:highlight w:val="none"/>
                      <w:vertAlign w:val="baseline"/>
                      <w:lang w:val="en-US" w:eastAsia="zh-CN"/>
                    </w:rPr>
                    <w:t>北京光凯祥瑞环保科技有限公司</w:t>
                  </w:r>
                  <w:r>
                    <w:rPr>
                      <w:rFonts w:hint="eastAsia"/>
                      <w:sz w:val="21"/>
                      <w:szCs w:val="21"/>
                      <w:vertAlign w:val="baseline"/>
                      <w:lang w:val="en-US" w:eastAsia="zh-CN"/>
                    </w:rPr>
                    <w:t>清运处置。</w:t>
                  </w:r>
                </w:p>
              </w:tc>
            </w:tr>
            <w:tr w14:paraId="34351B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tcBorders>
                    <w:tl2br w:val="nil"/>
                    <w:tr2bl w:val="nil"/>
                  </w:tcBorders>
                  <w:vAlign w:val="center"/>
                </w:tcPr>
                <w:p w14:paraId="7A56DA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依托工程</w:t>
                  </w:r>
                </w:p>
              </w:tc>
              <w:tc>
                <w:tcPr>
                  <w:tcW w:w="1185" w:type="dxa"/>
                  <w:tcBorders>
                    <w:tl2br w:val="nil"/>
                    <w:tr2bl w:val="nil"/>
                  </w:tcBorders>
                  <w:vAlign w:val="center"/>
                </w:tcPr>
                <w:p w14:paraId="73F21B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6098" w:type="dxa"/>
                  <w:tcBorders>
                    <w:tl2br w:val="nil"/>
                    <w:tr2bl w:val="nil"/>
                  </w:tcBorders>
                  <w:vAlign w:val="center"/>
                </w:tcPr>
                <w:p w14:paraId="3D79CD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lang w:val="en-US" w:eastAsia="zh-CN"/>
                    </w:rPr>
                  </w:pPr>
                  <w:r>
                    <w:rPr>
                      <w:rFonts w:hint="eastAsia"/>
                      <w:sz w:val="21"/>
                      <w:szCs w:val="21"/>
                      <w:vertAlign w:val="baseline"/>
                      <w:lang w:val="en-US" w:eastAsia="zh-CN"/>
                    </w:rPr>
                    <w:t>项目依托所在地区的市政供水、排水、供电、供暖等工程。</w:t>
                  </w:r>
                </w:p>
              </w:tc>
            </w:tr>
            <w:tr w14:paraId="27FCCC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tcBorders>
                    <w:tl2br w:val="nil"/>
                    <w:tr2bl w:val="nil"/>
                  </w:tcBorders>
                  <w:vAlign w:val="center"/>
                </w:tcPr>
                <w:p w14:paraId="3D77C4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储运工程</w:t>
                  </w:r>
                </w:p>
              </w:tc>
              <w:tc>
                <w:tcPr>
                  <w:tcW w:w="1185" w:type="dxa"/>
                  <w:tcBorders>
                    <w:tl2br w:val="nil"/>
                    <w:tr2bl w:val="nil"/>
                  </w:tcBorders>
                  <w:vAlign w:val="center"/>
                </w:tcPr>
                <w:p w14:paraId="24B8D1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6098" w:type="dxa"/>
                  <w:tcBorders>
                    <w:tl2br w:val="nil"/>
                    <w:tr2bl w:val="nil"/>
                  </w:tcBorders>
                  <w:vAlign w:val="center"/>
                </w:tcPr>
                <w:p w14:paraId="707AD2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lang w:val="en-US" w:eastAsia="zh-CN"/>
                    </w:rPr>
                  </w:pPr>
                  <w:r>
                    <w:rPr>
                      <w:rFonts w:hint="eastAsia"/>
                      <w:sz w:val="21"/>
                      <w:szCs w:val="21"/>
                      <w:vertAlign w:val="baseline"/>
                      <w:lang w:val="en-US" w:eastAsia="zh-CN"/>
                    </w:rPr>
                    <w:t>项目设置1间医疗废物暂存间，位于医院室内西北部。</w:t>
                  </w:r>
                </w:p>
              </w:tc>
            </w:tr>
          </w:tbl>
          <w:p w14:paraId="4A27CED8">
            <w:pPr>
              <w:rPr>
                <w:rFonts w:hint="default"/>
                <w:vertAlign w:val="baseline"/>
                <w:lang w:val="en-US" w:eastAsia="zh-CN"/>
              </w:rPr>
            </w:pPr>
            <w:r>
              <w:rPr>
                <w:rFonts w:hint="eastAsia"/>
                <w:vertAlign w:val="baseline"/>
                <w:lang w:val="en-US" w:eastAsia="zh-CN"/>
              </w:rPr>
              <w:t>2、主要设备清单</w:t>
            </w:r>
          </w:p>
          <w:p w14:paraId="2FD00A9D">
            <w:pPr>
              <w:rPr>
                <w:rFonts w:hint="default"/>
                <w:vertAlign w:val="baseline"/>
                <w:lang w:val="en-US" w:eastAsia="zh-CN"/>
              </w:rPr>
            </w:pPr>
            <w:r>
              <w:rPr>
                <w:rFonts w:hint="eastAsia"/>
                <w:vertAlign w:val="baseline"/>
                <w:lang w:val="en-US" w:eastAsia="zh-CN"/>
              </w:rPr>
              <w:t>本项目主要设备情况见下表。</w:t>
            </w:r>
          </w:p>
          <w:p w14:paraId="4239A0FA">
            <w:pPr>
              <w:pStyle w:val="11"/>
              <w:bidi w:val="0"/>
              <w:rPr>
                <w:rFonts w:hint="default"/>
                <w:lang w:val="en-US" w:eastAsia="zh-CN"/>
              </w:rPr>
            </w:pPr>
            <w:r>
              <w:rPr>
                <w:rFonts w:hint="eastAsia"/>
                <w:lang w:val="en-US" w:eastAsia="zh-CN"/>
              </w:rPr>
              <w:t>表2-2 主要设备一览表</w:t>
            </w:r>
          </w:p>
          <w:tbl>
            <w:tblPr>
              <w:tblStyle w:val="9"/>
              <w:tblW w:w="802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2655"/>
              <w:gridCol w:w="1785"/>
              <w:gridCol w:w="2505"/>
            </w:tblGrid>
            <w:tr w14:paraId="7D8B15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vAlign w:val="center"/>
                </w:tcPr>
                <w:p w14:paraId="6D300E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序号</w:t>
                  </w:r>
                </w:p>
              </w:tc>
              <w:tc>
                <w:tcPr>
                  <w:tcW w:w="2655" w:type="dxa"/>
                  <w:tcBorders>
                    <w:tl2br w:val="nil"/>
                    <w:tr2bl w:val="nil"/>
                  </w:tcBorders>
                  <w:vAlign w:val="center"/>
                </w:tcPr>
                <w:p w14:paraId="190207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设备名称</w:t>
                  </w:r>
                </w:p>
              </w:tc>
              <w:tc>
                <w:tcPr>
                  <w:tcW w:w="1785" w:type="dxa"/>
                  <w:tcBorders>
                    <w:tl2br w:val="nil"/>
                    <w:tr2bl w:val="nil"/>
                  </w:tcBorders>
                  <w:vAlign w:val="center"/>
                </w:tcPr>
                <w:p w14:paraId="4C0ED6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数量（台）</w:t>
                  </w:r>
                </w:p>
              </w:tc>
              <w:tc>
                <w:tcPr>
                  <w:tcW w:w="2505" w:type="dxa"/>
                  <w:tcBorders>
                    <w:tl2br w:val="nil"/>
                    <w:tr2bl w:val="nil"/>
                  </w:tcBorders>
                  <w:vAlign w:val="center"/>
                </w:tcPr>
                <w:p w14:paraId="30C4D1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安装位置</w:t>
                  </w:r>
                </w:p>
              </w:tc>
            </w:tr>
            <w:tr w14:paraId="042A4B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vAlign w:val="center"/>
                </w:tcPr>
                <w:p w14:paraId="4B19A8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2655" w:type="dxa"/>
                  <w:tcBorders>
                    <w:tl2br w:val="nil"/>
                    <w:tr2bl w:val="nil"/>
                  </w:tcBorders>
                  <w:vAlign w:val="center"/>
                </w:tcPr>
                <w:p w14:paraId="21515E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听诊器、体温计等医疗器械</w:t>
                  </w:r>
                </w:p>
              </w:tc>
              <w:tc>
                <w:tcPr>
                  <w:tcW w:w="1785" w:type="dxa"/>
                  <w:tcBorders>
                    <w:tl2br w:val="nil"/>
                    <w:tr2bl w:val="nil"/>
                  </w:tcBorders>
                  <w:vAlign w:val="center"/>
                </w:tcPr>
                <w:p w14:paraId="3C9543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w:t>
                  </w:r>
                </w:p>
              </w:tc>
              <w:tc>
                <w:tcPr>
                  <w:tcW w:w="2505" w:type="dxa"/>
                  <w:tcBorders>
                    <w:tl2br w:val="nil"/>
                    <w:tr2bl w:val="nil"/>
                  </w:tcBorders>
                  <w:vAlign w:val="center"/>
                </w:tcPr>
                <w:p w14:paraId="3D836A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接诊室</w:t>
                  </w:r>
                </w:p>
              </w:tc>
            </w:tr>
            <w:tr w14:paraId="63E7F5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vAlign w:val="center"/>
                </w:tcPr>
                <w:p w14:paraId="2CF2D8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w:t>
                  </w:r>
                </w:p>
              </w:tc>
              <w:tc>
                <w:tcPr>
                  <w:tcW w:w="2655" w:type="dxa"/>
                  <w:tcBorders>
                    <w:tl2br w:val="nil"/>
                    <w:tr2bl w:val="nil"/>
                  </w:tcBorders>
                  <w:vAlign w:val="center"/>
                </w:tcPr>
                <w:p w14:paraId="6D20CA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双目显微镜</w:t>
                  </w:r>
                </w:p>
              </w:tc>
              <w:tc>
                <w:tcPr>
                  <w:tcW w:w="1785" w:type="dxa"/>
                  <w:tcBorders>
                    <w:tl2br w:val="nil"/>
                    <w:tr2bl w:val="nil"/>
                  </w:tcBorders>
                  <w:vAlign w:val="center"/>
                </w:tcPr>
                <w:p w14:paraId="7B0B8D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2505" w:type="dxa"/>
                  <w:tcBorders>
                    <w:tl2br w:val="nil"/>
                    <w:tr2bl w:val="nil"/>
                  </w:tcBorders>
                  <w:vAlign w:val="center"/>
                </w:tcPr>
                <w:p w14:paraId="78E37E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化验室</w:t>
                  </w:r>
                </w:p>
              </w:tc>
            </w:tr>
            <w:tr w14:paraId="348420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vAlign w:val="center"/>
                </w:tcPr>
                <w:p w14:paraId="2859B8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w:t>
                  </w:r>
                </w:p>
              </w:tc>
              <w:tc>
                <w:tcPr>
                  <w:tcW w:w="2655" w:type="dxa"/>
                  <w:tcBorders>
                    <w:tl2br w:val="nil"/>
                    <w:tr2bl w:val="nil"/>
                  </w:tcBorders>
                  <w:vAlign w:val="center"/>
                </w:tcPr>
                <w:p w14:paraId="318DE2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生化分析仪</w:t>
                  </w:r>
                </w:p>
              </w:tc>
              <w:tc>
                <w:tcPr>
                  <w:tcW w:w="1785" w:type="dxa"/>
                  <w:tcBorders>
                    <w:tl2br w:val="nil"/>
                    <w:tr2bl w:val="nil"/>
                  </w:tcBorders>
                  <w:vAlign w:val="center"/>
                </w:tcPr>
                <w:p w14:paraId="775030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2505" w:type="dxa"/>
                  <w:tcBorders>
                    <w:tl2br w:val="nil"/>
                    <w:tr2bl w:val="nil"/>
                  </w:tcBorders>
                  <w:vAlign w:val="center"/>
                </w:tcPr>
                <w:p w14:paraId="165510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化验室</w:t>
                  </w:r>
                </w:p>
              </w:tc>
            </w:tr>
            <w:tr w14:paraId="5D5A08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vAlign w:val="center"/>
                </w:tcPr>
                <w:p w14:paraId="342696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w:t>
                  </w:r>
                </w:p>
              </w:tc>
              <w:tc>
                <w:tcPr>
                  <w:tcW w:w="2655" w:type="dxa"/>
                  <w:tcBorders>
                    <w:tl2br w:val="nil"/>
                    <w:tr2bl w:val="nil"/>
                  </w:tcBorders>
                  <w:vAlign w:val="center"/>
                </w:tcPr>
                <w:p w14:paraId="42D4F1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血常规</w:t>
                  </w:r>
                </w:p>
              </w:tc>
              <w:tc>
                <w:tcPr>
                  <w:tcW w:w="1785" w:type="dxa"/>
                  <w:tcBorders>
                    <w:tl2br w:val="nil"/>
                    <w:tr2bl w:val="nil"/>
                  </w:tcBorders>
                  <w:vAlign w:val="center"/>
                </w:tcPr>
                <w:p w14:paraId="4B86C7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2505" w:type="dxa"/>
                  <w:tcBorders>
                    <w:tl2br w:val="nil"/>
                    <w:tr2bl w:val="nil"/>
                  </w:tcBorders>
                  <w:vAlign w:val="center"/>
                </w:tcPr>
                <w:p w14:paraId="72DE1B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化验室</w:t>
                  </w:r>
                </w:p>
              </w:tc>
            </w:tr>
            <w:tr w14:paraId="2A7A53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shd w:val="clear" w:color="auto" w:fill="auto"/>
                  <w:vAlign w:val="center"/>
                </w:tcPr>
                <w:p w14:paraId="79CCF1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5</w:t>
                  </w:r>
                </w:p>
              </w:tc>
              <w:tc>
                <w:tcPr>
                  <w:tcW w:w="2655" w:type="dxa"/>
                  <w:tcBorders>
                    <w:tl2br w:val="nil"/>
                    <w:tr2bl w:val="nil"/>
                  </w:tcBorders>
                  <w:vAlign w:val="center"/>
                </w:tcPr>
                <w:p w14:paraId="0EE0B1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麻醉机</w:t>
                  </w:r>
                </w:p>
              </w:tc>
              <w:tc>
                <w:tcPr>
                  <w:tcW w:w="1785" w:type="dxa"/>
                  <w:tcBorders>
                    <w:tl2br w:val="nil"/>
                    <w:tr2bl w:val="nil"/>
                  </w:tcBorders>
                  <w:vAlign w:val="center"/>
                </w:tcPr>
                <w:p w14:paraId="7A8472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2505" w:type="dxa"/>
                  <w:tcBorders>
                    <w:tl2br w:val="nil"/>
                    <w:tr2bl w:val="nil"/>
                  </w:tcBorders>
                  <w:vAlign w:val="center"/>
                </w:tcPr>
                <w:p w14:paraId="3F9946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手术室</w:t>
                  </w:r>
                </w:p>
              </w:tc>
            </w:tr>
            <w:tr w14:paraId="600F35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shd w:val="clear" w:color="auto" w:fill="auto"/>
                  <w:vAlign w:val="center"/>
                </w:tcPr>
                <w:p w14:paraId="1466A5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6</w:t>
                  </w:r>
                </w:p>
              </w:tc>
              <w:tc>
                <w:tcPr>
                  <w:tcW w:w="2655" w:type="dxa"/>
                  <w:tcBorders>
                    <w:tl2br w:val="nil"/>
                    <w:tr2bl w:val="nil"/>
                  </w:tcBorders>
                  <w:vAlign w:val="center"/>
                </w:tcPr>
                <w:p w14:paraId="43DBDA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手术无影灯</w:t>
                  </w:r>
                </w:p>
              </w:tc>
              <w:tc>
                <w:tcPr>
                  <w:tcW w:w="1785" w:type="dxa"/>
                  <w:tcBorders>
                    <w:tl2br w:val="nil"/>
                    <w:tr2bl w:val="nil"/>
                  </w:tcBorders>
                  <w:vAlign w:val="center"/>
                </w:tcPr>
                <w:p w14:paraId="4335AE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2505" w:type="dxa"/>
                  <w:tcBorders>
                    <w:tl2br w:val="nil"/>
                    <w:tr2bl w:val="nil"/>
                  </w:tcBorders>
                  <w:vAlign w:val="center"/>
                </w:tcPr>
                <w:p w14:paraId="04F6DC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手术室</w:t>
                  </w:r>
                </w:p>
              </w:tc>
            </w:tr>
            <w:tr w14:paraId="46272D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shd w:val="clear" w:color="auto" w:fill="auto"/>
                  <w:vAlign w:val="center"/>
                </w:tcPr>
                <w:p w14:paraId="0CDF49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7</w:t>
                  </w:r>
                </w:p>
              </w:tc>
              <w:tc>
                <w:tcPr>
                  <w:tcW w:w="2655" w:type="dxa"/>
                  <w:tcBorders>
                    <w:tl2br w:val="nil"/>
                    <w:tr2bl w:val="nil"/>
                  </w:tcBorders>
                  <w:vAlign w:val="center"/>
                </w:tcPr>
                <w:p w14:paraId="4AE4B3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心电监护仪</w:t>
                  </w:r>
                </w:p>
              </w:tc>
              <w:tc>
                <w:tcPr>
                  <w:tcW w:w="1785" w:type="dxa"/>
                  <w:tcBorders>
                    <w:tl2br w:val="nil"/>
                    <w:tr2bl w:val="nil"/>
                  </w:tcBorders>
                  <w:vAlign w:val="center"/>
                </w:tcPr>
                <w:p w14:paraId="044AF7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2505" w:type="dxa"/>
                  <w:tcBorders>
                    <w:tl2br w:val="nil"/>
                    <w:tr2bl w:val="nil"/>
                  </w:tcBorders>
                  <w:vAlign w:val="center"/>
                </w:tcPr>
                <w:p w14:paraId="391C76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手术室</w:t>
                  </w:r>
                </w:p>
              </w:tc>
            </w:tr>
            <w:tr w14:paraId="5BA89A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shd w:val="clear" w:color="auto" w:fill="auto"/>
                  <w:vAlign w:val="center"/>
                </w:tcPr>
                <w:p w14:paraId="23E6BA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8</w:t>
                  </w:r>
                </w:p>
              </w:tc>
              <w:tc>
                <w:tcPr>
                  <w:tcW w:w="2655" w:type="dxa"/>
                  <w:tcBorders>
                    <w:tl2br w:val="nil"/>
                    <w:tr2bl w:val="nil"/>
                  </w:tcBorders>
                  <w:vAlign w:val="center"/>
                </w:tcPr>
                <w:p w14:paraId="7BB9CD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手术台</w:t>
                  </w:r>
                </w:p>
              </w:tc>
              <w:tc>
                <w:tcPr>
                  <w:tcW w:w="1785" w:type="dxa"/>
                  <w:tcBorders>
                    <w:tl2br w:val="nil"/>
                    <w:tr2bl w:val="nil"/>
                  </w:tcBorders>
                  <w:vAlign w:val="center"/>
                </w:tcPr>
                <w:p w14:paraId="08DC5E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2505" w:type="dxa"/>
                  <w:tcBorders>
                    <w:tl2br w:val="nil"/>
                    <w:tr2bl w:val="nil"/>
                  </w:tcBorders>
                  <w:vAlign w:val="center"/>
                </w:tcPr>
                <w:p w14:paraId="48AC1D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手术室</w:t>
                  </w:r>
                </w:p>
              </w:tc>
            </w:tr>
            <w:tr w14:paraId="199788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shd w:val="clear" w:color="auto" w:fill="auto"/>
                  <w:vAlign w:val="center"/>
                </w:tcPr>
                <w:p w14:paraId="22C4AA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9</w:t>
                  </w:r>
                </w:p>
              </w:tc>
              <w:tc>
                <w:tcPr>
                  <w:tcW w:w="2655" w:type="dxa"/>
                  <w:tcBorders>
                    <w:tl2br w:val="nil"/>
                    <w:tr2bl w:val="nil"/>
                  </w:tcBorders>
                  <w:vAlign w:val="center"/>
                </w:tcPr>
                <w:p w14:paraId="75CE7B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高压蒸汽灭菌锅</w:t>
                  </w:r>
                </w:p>
              </w:tc>
              <w:tc>
                <w:tcPr>
                  <w:tcW w:w="1785" w:type="dxa"/>
                  <w:tcBorders>
                    <w:tl2br w:val="nil"/>
                    <w:tr2bl w:val="nil"/>
                  </w:tcBorders>
                  <w:vAlign w:val="center"/>
                </w:tcPr>
                <w:p w14:paraId="065899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2505" w:type="dxa"/>
                  <w:tcBorders>
                    <w:tl2br w:val="nil"/>
                    <w:tr2bl w:val="nil"/>
                  </w:tcBorders>
                  <w:vAlign w:val="center"/>
                </w:tcPr>
                <w:p w14:paraId="12EE9B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化验室</w:t>
                  </w:r>
                </w:p>
              </w:tc>
            </w:tr>
            <w:tr w14:paraId="1FE5AD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shd w:val="clear" w:color="auto" w:fill="auto"/>
                  <w:vAlign w:val="center"/>
                </w:tcPr>
                <w:p w14:paraId="2410A2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10</w:t>
                  </w:r>
                </w:p>
              </w:tc>
              <w:tc>
                <w:tcPr>
                  <w:tcW w:w="2655" w:type="dxa"/>
                  <w:tcBorders>
                    <w:tl2br w:val="nil"/>
                    <w:tr2bl w:val="nil"/>
                  </w:tcBorders>
                  <w:vAlign w:val="center"/>
                </w:tcPr>
                <w:p w14:paraId="187ADA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血压监测仪</w:t>
                  </w:r>
                </w:p>
              </w:tc>
              <w:tc>
                <w:tcPr>
                  <w:tcW w:w="1785" w:type="dxa"/>
                  <w:tcBorders>
                    <w:tl2br w:val="nil"/>
                    <w:tr2bl w:val="nil"/>
                  </w:tcBorders>
                  <w:vAlign w:val="center"/>
                </w:tcPr>
                <w:p w14:paraId="4CFB98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2505" w:type="dxa"/>
                  <w:tcBorders>
                    <w:tl2br w:val="nil"/>
                    <w:tr2bl w:val="nil"/>
                  </w:tcBorders>
                  <w:vAlign w:val="center"/>
                </w:tcPr>
                <w:p w14:paraId="542435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手术室</w:t>
                  </w:r>
                </w:p>
              </w:tc>
            </w:tr>
            <w:tr w14:paraId="7BC5E2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shd w:val="clear" w:color="auto" w:fill="auto"/>
                  <w:vAlign w:val="center"/>
                </w:tcPr>
                <w:p w14:paraId="3758B9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11</w:t>
                  </w:r>
                </w:p>
              </w:tc>
              <w:tc>
                <w:tcPr>
                  <w:tcW w:w="2655" w:type="dxa"/>
                  <w:tcBorders>
                    <w:tl2br w:val="nil"/>
                    <w:tr2bl w:val="nil"/>
                  </w:tcBorders>
                  <w:vAlign w:val="center"/>
                </w:tcPr>
                <w:p w14:paraId="4990F9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紫外线消毒灯</w:t>
                  </w:r>
                </w:p>
              </w:tc>
              <w:tc>
                <w:tcPr>
                  <w:tcW w:w="1785" w:type="dxa"/>
                  <w:tcBorders>
                    <w:tl2br w:val="nil"/>
                    <w:tr2bl w:val="nil"/>
                  </w:tcBorders>
                  <w:vAlign w:val="center"/>
                </w:tcPr>
                <w:p w14:paraId="224C60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2505" w:type="dxa"/>
                  <w:tcBorders>
                    <w:tl2br w:val="nil"/>
                    <w:tr2bl w:val="nil"/>
                  </w:tcBorders>
                  <w:vAlign w:val="center"/>
                </w:tcPr>
                <w:p w14:paraId="586D24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手术室</w:t>
                  </w:r>
                </w:p>
              </w:tc>
            </w:tr>
            <w:tr w14:paraId="070C74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shd w:val="clear" w:color="auto" w:fill="auto"/>
                  <w:vAlign w:val="center"/>
                </w:tcPr>
                <w:p w14:paraId="1B4E01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12</w:t>
                  </w:r>
                </w:p>
              </w:tc>
              <w:tc>
                <w:tcPr>
                  <w:tcW w:w="2655" w:type="dxa"/>
                  <w:tcBorders>
                    <w:tl2br w:val="nil"/>
                    <w:tr2bl w:val="nil"/>
                  </w:tcBorders>
                  <w:vAlign w:val="center"/>
                </w:tcPr>
                <w:p w14:paraId="33F04C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B超机</w:t>
                  </w:r>
                </w:p>
              </w:tc>
              <w:tc>
                <w:tcPr>
                  <w:tcW w:w="1785" w:type="dxa"/>
                  <w:tcBorders>
                    <w:tl2br w:val="nil"/>
                    <w:tr2bl w:val="nil"/>
                  </w:tcBorders>
                  <w:vAlign w:val="center"/>
                </w:tcPr>
                <w:p w14:paraId="7E6102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2505" w:type="dxa"/>
                  <w:tcBorders>
                    <w:tl2br w:val="nil"/>
                    <w:tr2bl w:val="nil"/>
                  </w:tcBorders>
                  <w:vAlign w:val="center"/>
                </w:tcPr>
                <w:p w14:paraId="70C818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DR室</w:t>
                  </w:r>
                </w:p>
              </w:tc>
            </w:tr>
            <w:tr w14:paraId="798C3E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shd w:val="clear" w:color="auto" w:fill="auto"/>
                  <w:vAlign w:val="center"/>
                </w:tcPr>
                <w:p w14:paraId="3F103C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13</w:t>
                  </w:r>
                </w:p>
              </w:tc>
              <w:tc>
                <w:tcPr>
                  <w:tcW w:w="2655" w:type="dxa"/>
                  <w:tcBorders>
                    <w:tl2br w:val="nil"/>
                    <w:tr2bl w:val="nil"/>
                  </w:tcBorders>
                  <w:vAlign w:val="center"/>
                </w:tcPr>
                <w:p w14:paraId="4B10EE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冰箱</w:t>
                  </w:r>
                </w:p>
              </w:tc>
              <w:tc>
                <w:tcPr>
                  <w:tcW w:w="1785" w:type="dxa"/>
                  <w:tcBorders>
                    <w:tl2br w:val="nil"/>
                    <w:tr2bl w:val="nil"/>
                  </w:tcBorders>
                  <w:vAlign w:val="center"/>
                </w:tcPr>
                <w:p w14:paraId="5BBF07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2505" w:type="dxa"/>
                  <w:tcBorders>
                    <w:tl2br w:val="nil"/>
                    <w:tr2bl w:val="nil"/>
                  </w:tcBorders>
                  <w:vAlign w:val="center"/>
                </w:tcPr>
                <w:p w14:paraId="343B8F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化验室</w:t>
                  </w:r>
                </w:p>
              </w:tc>
            </w:tr>
            <w:tr w14:paraId="1FA61F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shd w:val="clear" w:color="auto" w:fill="auto"/>
                  <w:vAlign w:val="center"/>
                </w:tcPr>
                <w:p w14:paraId="7A01E5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14</w:t>
                  </w:r>
                </w:p>
              </w:tc>
              <w:tc>
                <w:tcPr>
                  <w:tcW w:w="2655" w:type="dxa"/>
                  <w:tcBorders>
                    <w:tl2br w:val="nil"/>
                    <w:tr2bl w:val="nil"/>
                  </w:tcBorders>
                  <w:vAlign w:val="center"/>
                </w:tcPr>
                <w:p w14:paraId="78DCBE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药品柜</w:t>
                  </w:r>
                </w:p>
              </w:tc>
              <w:tc>
                <w:tcPr>
                  <w:tcW w:w="1785" w:type="dxa"/>
                  <w:tcBorders>
                    <w:tl2br w:val="nil"/>
                    <w:tr2bl w:val="nil"/>
                  </w:tcBorders>
                  <w:vAlign w:val="center"/>
                </w:tcPr>
                <w:p w14:paraId="5682D9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2505" w:type="dxa"/>
                  <w:tcBorders>
                    <w:tl2br w:val="nil"/>
                    <w:tr2bl w:val="nil"/>
                  </w:tcBorders>
                  <w:vAlign w:val="center"/>
                </w:tcPr>
                <w:p w14:paraId="6E933B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药房</w:t>
                  </w:r>
                </w:p>
              </w:tc>
            </w:tr>
            <w:tr w14:paraId="178A17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shd w:val="clear" w:color="auto" w:fill="auto"/>
                  <w:vAlign w:val="center"/>
                </w:tcPr>
                <w:p w14:paraId="62B0B1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15</w:t>
                  </w:r>
                </w:p>
              </w:tc>
              <w:tc>
                <w:tcPr>
                  <w:tcW w:w="2655" w:type="dxa"/>
                  <w:tcBorders>
                    <w:tl2br w:val="nil"/>
                    <w:tr2bl w:val="nil"/>
                  </w:tcBorders>
                  <w:vAlign w:val="center"/>
                </w:tcPr>
                <w:p w14:paraId="46A077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输液泵</w:t>
                  </w:r>
                </w:p>
              </w:tc>
              <w:tc>
                <w:tcPr>
                  <w:tcW w:w="1785" w:type="dxa"/>
                  <w:tcBorders>
                    <w:tl2br w:val="nil"/>
                    <w:tr2bl w:val="nil"/>
                  </w:tcBorders>
                  <w:vAlign w:val="center"/>
                </w:tcPr>
                <w:p w14:paraId="37E634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w:t>
                  </w:r>
                </w:p>
              </w:tc>
              <w:tc>
                <w:tcPr>
                  <w:tcW w:w="2505" w:type="dxa"/>
                  <w:tcBorders>
                    <w:tl2br w:val="nil"/>
                    <w:tr2bl w:val="nil"/>
                  </w:tcBorders>
                  <w:vAlign w:val="center"/>
                </w:tcPr>
                <w:p w14:paraId="4D8148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药房</w:t>
                  </w:r>
                </w:p>
              </w:tc>
            </w:tr>
            <w:tr w14:paraId="2FBFF3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shd w:val="clear" w:color="auto" w:fill="auto"/>
                  <w:vAlign w:val="center"/>
                </w:tcPr>
                <w:p w14:paraId="4567A5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16</w:t>
                  </w:r>
                </w:p>
              </w:tc>
              <w:tc>
                <w:tcPr>
                  <w:tcW w:w="2655" w:type="dxa"/>
                  <w:tcBorders>
                    <w:tl2br w:val="nil"/>
                    <w:tr2bl w:val="nil"/>
                  </w:tcBorders>
                  <w:vAlign w:val="center"/>
                </w:tcPr>
                <w:p w14:paraId="2BA2DC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利器盒</w:t>
                  </w:r>
                </w:p>
              </w:tc>
              <w:tc>
                <w:tcPr>
                  <w:tcW w:w="1785" w:type="dxa"/>
                  <w:tcBorders>
                    <w:tl2br w:val="nil"/>
                    <w:tr2bl w:val="nil"/>
                  </w:tcBorders>
                  <w:vAlign w:val="center"/>
                </w:tcPr>
                <w:p w14:paraId="078C70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w:t>
                  </w:r>
                </w:p>
              </w:tc>
              <w:tc>
                <w:tcPr>
                  <w:tcW w:w="2505" w:type="dxa"/>
                  <w:tcBorders>
                    <w:tl2br w:val="nil"/>
                    <w:tr2bl w:val="nil"/>
                  </w:tcBorders>
                  <w:vAlign w:val="center"/>
                </w:tcPr>
                <w:p w14:paraId="050074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药房</w:t>
                  </w:r>
                </w:p>
              </w:tc>
            </w:tr>
            <w:tr w14:paraId="10E361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shd w:val="clear" w:color="auto" w:fill="auto"/>
                  <w:vAlign w:val="center"/>
                </w:tcPr>
                <w:p w14:paraId="5F7FD4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17</w:t>
                  </w:r>
                </w:p>
              </w:tc>
              <w:tc>
                <w:tcPr>
                  <w:tcW w:w="2655" w:type="dxa"/>
                  <w:tcBorders>
                    <w:tl2br w:val="nil"/>
                    <w:tr2bl w:val="nil"/>
                  </w:tcBorders>
                  <w:vAlign w:val="center"/>
                </w:tcPr>
                <w:p w14:paraId="4C609D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处置台</w:t>
                  </w:r>
                </w:p>
              </w:tc>
              <w:tc>
                <w:tcPr>
                  <w:tcW w:w="1785" w:type="dxa"/>
                  <w:tcBorders>
                    <w:tl2br w:val="nil"/>
                    <w:tr2bl w:val="nil"/>
                  </w:tcBorders>
                  <w:vAlign w:val="center"/>
                </w:tcPr>
                <w:p w14:paraId="6F2761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2505" w:type="dxa"/>
                  <w:tcBorders>
                    <w:tl2br w:val="nil"/>
                    <w:tr2bl w:val="nil"/>
                  </w:tcBorders>
                  <w:vAlign w:val="center"/>
                </w:tcPr>
                <w:p w14:paraId="0E56BD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化验室</w:t>
                  </w:r>
                </w:p>
              </w:tc>
            </w:tr>
            <w:tr w14:paraId="772189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shd w:val="clear" w:color="auto" w:fill="auto"/>
                  <w:vAlign w:val="center"/>
                </w:tcPr>
                <w:p w14:paraId="100EF0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18</w:t>
                  </w:r>
                </w:p>
              </w:tc>
              <w:tc>
                <w:tcPr>
                  <w:tcW w:w="2655" w:type="dxa"/>
                  <w:tcBorders>
                    <w:tl2br w:val="nil"/>
                    <w:tr2bl w:val="nil"/>
                  </w:tcBorders>
                  <w:vAlign w:val="center"/>
                </w:tcPr>
                <w:p w14:paraId="562C14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医疗废物箱</w:t>
                  </w:r>
                </w:p>
              </w:tc>
              <w:tc>
                <w:tcPr>
                  <w:tcW w:w="1785" w:type="dxa"/>
                  <w:tcBorders>
                    <w:tl2br w:val="nil"/>
                    <w:tr2bl w:val="nil"/>
                  </w:tcBorders>
                  <w:vAlign w:val="center"/>
                </w:tcPr>
                <w:p w14:paraId="30A38C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2505" w:type="dxa"/>
                  <w:tcBorders>
                    <w:tl2br w:val="nil"/>
                    <w:tr2bl w:val="nil"/>
                  </w:tcBorders>
                  <w:vAlign w:val="center"/>
                </w:tcPr>
                <w:p w14:paraId="2898F4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医疗废物暂存间</w:t>
                  </w:r>
                </w:p>
              </w:tc>
            </w:tr>
            <w:tr w14:paraId="3303ED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shd w:val="clear" w:color="auto" w:fill="auto"/>
                  <w:vAlign w:val="center"/>
                </w:tcPr>
                <w:p w14:paraId="235087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19</w:t>
                  </w:r>
                </w:p>
              </w:tc>
              <w:tc>
                <w:tcPr>
                  <w:tcW w:w="2655" w:type="dxa"/>
                  <w:tcBorders>
                    <w:tl2br w:val="nil"/>
                    <w:tr2bl w:val="nil"/>
                  </w:tcBorders>
                  <w:vAlign w:val="center"/>
                </w:tcPr>
                <w:p w14:paraId="0D229C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污水处理设备</w:t>
                  </w:r>
                </w:p>
              </w:tc>
              <w:tc>
                <w:tcPr>
                  <w:tcW w:w="1785" w:type="dxa"/>
                  <w:tcBorders>
                    <w:tl2br w:val="nil"/>
                    <w:tr2bl w:val="nil"/>
                  </w:tcBorders>
                  <w:vAlign w:val="center"/>
                </w:tcPr>
                <w:p w14:paraId="059C3D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2505" w:type="dxa"/>
                  <w:tcBorders>
                    <w:tl2br w:val="nil"/>
                    <w:tr2bl w:val="nil"/>
                  </w:tcBorders>
                  <w:vAlign w:val="center"/>
                </w:tcPr>
                <w:p w14:paraId="0577A8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化验室</w:t>
                  </w:r>
                </w:p>
              </w:tc>
            </w:tr>
            <w:tr w14:paraId="445583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shd w:val="clear" w:color="auto" w:fill="auto"/>
                  <w:vAlign w:val="center"/>
                </w:tcPr>
                <w:p w14:paraId="35E4DD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20</w:t>
                  </w:r>
                </w:p>
              </w:tc>
              <w:tc>
                <w:tcPr>
                  <w:tcW w:w="2655" w:type="dxa"/>
                  <w:tcBorders>
                    <w:tl2br w:val="nil"/>
                    <w:tr2bl w:val="nil"/>
                  </w:tcBorders>
                  <w:vAlign w:val="center"/>
                </w:tcPr>
                <w:p w14:paraId="096620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离心机</w:t>
                  </w:r>
                </w:p>
              </w:tc>
              <w:tc>
                <w:tcPr>
                  <w:tcW w:w="1785" w:type="dxa"/>
                  <w:tcBorders>
                    <w:tl2br w:val="nil"/>
                    <w:tr2bl w:val="nil"/>
                  </w:tcBorders>
                  <w:vAlign w:val="center"/>
                </w:tcPr>
                <w:p w14:paraId="7FAFD7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2505" w:type="dxa"/>
                  <w:tcBorders>
                    <w:tl2br w:val="nil"/>
                    <w:tr2bl w:val="nil"/>
                  </w:tcBorders>
                  <w:vAlign w:val="center"/>
                </w:tcPr>
                <w:p w14:paraId="37D71A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化验室</w:t>
                  </w:r>
                </w:p>
              </w:tc>
            </w:tr>
          </w:tbl>
          <w:p w14:paraId="49DB0F4D">
            <w:pPr>
              <w:rPr>
                <w:rFonts w:hint="default"/>
                <w:vertAlign w:val="baseline"/>
                <w:lang w:val="en-US" w:eastAsia="zh-CN"/>
              </w:rPr>
            </w:pPr>
            <w:r>
              <w:rPr>
                <w:rFonts w:hint="eastAsia"/>
                <w:vertAlign w:val="baseline"/>
                <w:lang w:val="en-US" w:eastAsia="zh-CN"/>
              </w:rPr>
              <w:t>3、原辅材料清单</w:t>
            </w:r>
          </w:p>
          <w:p w14:paraId="2F99A269">
            <w:pPr>
              <w:rPr>
                <w:rFonts w:hint="eastAsia"/>
                <w:vertAlign w:val="baseline"/>
                <w:lang w:val="en-US" w:eastAsia="zh-CN"/>
              </w:rPr>
            </w:pPr>
            <w:r>
              <w:rPr>
                <w:rFonts w:hint="eastAsia"/>
                <w:vertAlign w:val="baseline"/>
                <w:lang w:val="en-US" w:eastAsia="zh-CN"/>
              </w:rPr>
              <w:t>本项目主要原辅材料及消耗情况详见下表。</w:t>
            </w:r>
          </w:p>
          <w:p w14:paraId="4E76E297">
            <w:pPr>
              <w:pStyle w:val="11"/>
              <w:bidi w:val="0"/>
              <w:rPr>
                <w:rFonts w:hint="eastAsia"/>
                <w:lang w:val="en-US" w:eastAsia="zh-CN"/>
              </w:rPr>
            </w:pPr>
            <w:r>
              <w:rPr>
                <w:rFonts w:hint="eastAsia"/>
                <w:lang w:val="en-US" w:eastAsia="zh-CN"/>
              </w:rPr>
              <w:t>表2-2 主要原辅材料消耗情况一览表</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2"/>
              <w:gridCol w:w="3040"/>
              <w:gridCol w:w="997"/>
              <w:gridCol w:w="998"/>
              <w:gridCol w:w="1110"/>
              <w:gridCol w:w="1216"/>
            </w:tblGrid>
            <w:tr w14:paraId="7447DF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vAlign w:val="center"/>
                </w:tcPr>
                <w:p w14:paraId="5B83FB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序号</w:t>
                  </w:r>
                </w:p>
              </w:tc>
              <w:tc>
                <w:tcPr>
                  <w:tcW w:w="3040" w:type="dxa"/>
                  <w:tcBorders>
                    <w:tl2br w:val="nil"/>
                    <w:tr2bl w:val="nil"/>
                  </w:tcBorders>
                  <w:vAlign w:val="center"/>
                </w:tcPr>
                <w:p w14:paraId="44347B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名称</w:t>
                  </w:r>
                </w:p>
              </w:tc>
              <w:tc>
                <w:tcPr>
                  <w:tcW w:w="997" w:type="dxa"/>
                  <w:tcBorders>
                    <w:tl2br w:val="nil"/>
                    <w:tr2bl w:val="nil"/>
                  </w:tcBorders>
                  <w:vAlign w:val="center"/>
                </w:tcPr>
                <w:p w14:paraId="25F51C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年用量</w:t>
                  </w:r>
                </w:p>
              </w:tc>
              <w:tc>
                <w:tcPr>
                  <w:tcW w:w="998" w:type="dxa"/>
                  <w:tcBorders>
                    <w:tl2br w:val="nil"/>
                    <w:tr2bl w:val="nil"/>
                  </w:tcBorders>
                  <w:vAlign w:val="center"/>
                </w:tcPr>
                <w:p w14:paraId="462D87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auto"/>
                      <w:sz w:val="21"/>
                      <w:szCs w:val="21"/>
                      <w:vertAlign w:val="baseline"/>
                      <w:lang w:val="en-US" w:eastAsia="zh-CN"/>
                    </w:rPr>
                  </w:pPr>
                  <w:r>
                    <w:rPr>
                      <w:rFonts w:hint="eastAsia"/>
                      <w:b/>
                      <w:bCs/>
                      <w:color w:val="auto"/>
                      <w:sz w:val="21"/>
                      <w:szCs w:val="21"/>
                      <w:vertAlign w:val="baseline"/>
                      <w:lang w:val="en-US" w:eastAsia="zh-CN"/>
                    </w:rPr>
                    <w:t>最大</w:t>
                  </w:r>
                </w:p>
                <w:p w14:paraId="602D91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储存量</w:t>
                  </w:r>
                </w:p>
              </w:tc>
              <w:tc>
                <w:tcPr>
                  <w:tcW w:w="1110" w:type="dxa"/>
                  <w:tcBorders>
                    <w:tl2br w:val="nil"/>
                    <w:tr2bl w:val="nil"/>
                  </w:tcBorders>
                  <w:vAlign w:val="center"/>
                </w:tcPr>
                <w:p w14:paraId="158F82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储存位置</w:t>
                  </w:r>
                </w:p>
              </w:tc>
              <w:tc>
                <w:tcPr>
                  <w:tcW w:w="1216" w:type="dxa"/>
                  <w:tcBorders>
                    <w:tl2br w:val="nil"/>
                    <w:tr2bl w:val="nil"/>
                  </w:tcBorders>
                  <w:vAlign w:val="center"/>
                </w:tcPr>
                <w:p w14:paraId="0A699A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规格</w:t>
                  </w:r>
                </w:p>
              </w:tc>
            </w:tr>
            <w:tr w14:paraId="52E127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vAlign w:val="center"/>
                </w:tcPr>
                <w:p w14:paraId="39B774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w:t>
                  </w:r>
                </w:p>
              </w:tc>
              <w:tc>
                <w:tcPr>
                  <w:tcW w:w="3040" w:type="dxa"/>
                  <w:tcBorders>
                    <w:tl2br w:val="nil"/>
                    <w:tr2bl w:val="nil"/>
                  </w:tcBorders>
                  <w:shd w:val="clear" w:color="auto" w:fill="auto"/>
                  <w:vAlign w:val="center"/>
                </w:tcPr>
                <w:p w14:paraId="74A836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stheme="minorBidi"/>
                      <w:color w:val="auto"/>
                      <w:kern w:val="2"/>
                      <w:sz w:val="21"/>
                      <w:szCs w:val="21"/>
                      <w:vertAlign w:val="baseline"/>
                      <w:lang w:val="en-US" w:eastAsia="zh-CN" w:bidi="ar-SA"/>
                    </w:rPr>
                    <w:t>一次性医用装备（手套、帽子、口罩、手术衣等）</w:t>
                  </w:r>
                </w:p>
              </w:tc>
              <w:tc>
                <w:tcPr>
                  <w:tcW w:w="997" w:type="dxa"/>
                  <w:tcBorders>
                    <w:tl2br w:val="nil"/>
                    <w:tr2bl w:val="nil"/>
                  </w:tcBorders>
                  <w:shd w:val="clear" w:color="auto" w:fill="auto"/>
                  <w:vAlign w:val="center"/>
                </w:tcPr>
                <w:p w14:paraId="2BD7E2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20袋</w:t>
                  </w:r>
                </w:p>
              </w:tc>
              <w:tc>
                <w:tcPr>
                  <w:tcW w:w="998" w:type="dxa"/>
                  <w:tcBorders>
                    <w:tl2br w:val="nil"/>
                    <w:tr2bl w:val="nil"/>
                  </w:tcBorders>
                  <w:shd w:val="clear" w:color="auto" w:fill="auto"/>
                  <w:vAlign w:val="center"/>
                </w:tcPr>
                <w:p w14:paraId="75EF7E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20袋</w:t>
                  </w:r>
                </w:p>
              </w:tc>
              <w:tc>
                <w:tcPr>
                  <w:tcW w:w="1110" w:type="dxa"/>
                  <w:tcBorders>
                    <w:tl2br w:val="nil"/>
                    <w:tr2bl w:val="nil"/>
                  </w:tcBorders>
                  <w:shd w:val="clear" w:color="auto" w:fill="auto"/>
                  <w:vAlign w:val="center"/>
                </w:tcPr>
                <w:p w14:paraId="5EA1C0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药房</w:t>
                  </w:r>
                </w:p>
              </w:tc>
              <w:tc>
                <w:tcPr>
                  <w:tcW w:w="1216" w:type="dxa"/>
                  <w:tcBorders>
                    <w:tl2br w:val="nil"/>
                    <w:tr2bl w:val="nil"/>
                  </w:tcBorders>
                  <w:shd w:val="clear" w:color="auto" w:fill="auto"/>
                  <w:vAlign w:val="center"/>
                </w:tcPr>
                <w:p w14:paraId="3E9A3B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cstheme="minorBidi"/>
                      <w:color w:val="auto"/>
                      <w:kern w:val="2"/>
                      <w:sz w:val="21"/>
                      <w:szCs w:val="21"/>
                      <w:highlight w:val="none"/>
                      <w:vertAlign w:val="baseline"/>
                      <w:lang w:val="en-US" w:eastAsia="zh-CN" w:bidi="ar-SA"/>
                    </w:rPr>
                    <w:t>/</w:t>
                  </w:r>
                </w:p>
              </w:tc>
            </w:tr>
            <w:tr w14:paraId="3AFAF9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vAlign w:val="center"/>
                </w:tcPr>
                <w:p w14:paraId="1392BF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3040" w:type="dxa"/>
                  <w:tcBorders>
                    <w:tl2br w:val="nil"/>
                    <w:tr2bl w:val="nil"/>
                  </w:tcBorders>
                  <w:shd w:val="clear" w:color="auto" w:fill="auto"/>
                  <w:vAlign w:val="center"/>
                </w:tcPr>
                <w:p w14:paraId="6FAFB3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stheme="minorBidi"/>
                      <w:color w:val="auto"/>
                      <w:kern w:val="2"/>
                      <w:sz w:val="21"/>
                      <w:szCs w:val="21"/>
                      <w:vertAlign w:val="baseline"/>
                      <w:lang w:val="en-US" w:eastAsia="zh-CN" w:bidi="ar-SA"/>
                    </w:rPr>
                    <w:t>一次性医疗器械（注射器、冲洗器、输血器、输液器、输液壶、输液管）</w:t>
                  </w:r>
                </w:p>
              </w:tc>
              <w:tc>
                <w:tcPr>
                  <w:tcW w:w="997" w:type="dxa"/>
                  <w:tcBorders>
                    <w:tl2br w:val="nil"/>
                    <w:tr2bl w:val="nil"/>
                  </w:tcBorders>
                  <w:shd w:val="clear" w:color="auto" w:fill="auto"/>
                  <w:vAlign w:val="center"/>
                </w:tcPr>
                <w:p w14:paraId="3C4FA5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10盒</w:t>
                  </w:r>
                </w:p>
              </w:tc>
              <w:tc>
                <w:tcPr>
                  <w:tcW w:w="998" w:type="dxa"/>
                  <w:tcBorders>
                    <w:tl2br w:val="nil"/>
                    <w:tr2bl w:val="nil"/>
                  </w:tcBorders>
                  <w:shd w:val="clear" w:color="auto" w:fill="auto"/>
                  <w:vAlign w:val="center"/>
                </w:tcPr>
                <w:p w14:paraId="539ED2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10盒</w:t>
                  </w:r>
                </w:p>
              </w:tc>
              <w:tc>
                <w:tcPr>
                  <w:tcW w:w="1110" w:type="dxa"/>
                  <w:tcBorders>
                    <w:tl2br w:val="nil"/>
                    <w:tr2bl w:val="nil"/>
                  </w:tcBorders>
                  <w:shd w:val="clear" w:color="auto" w:fill="auto"/>
                  <w:vAlign w:val="center"/>
                </w:tcPr>
                <w:p w14:paraId="2186B4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药房</w:t>
                  </w:r>
                </w:p>
              </w:tc>
              <w:tc>
                <w:tcPr>
                  <w:tcW w:w="1216" w:type="dxa"/>
                  <w:tcBorders>
                    <w:tl2br w:val="nil"/>
                    <w:tr2bl w:val="nil"/>
                  </w:tcBorders>
                  <w:shd w:val="clear" w:color="auto" w:fill="auto"/>
                  <w:vAlign w:val="center"/>
                </w:tcPr>
                <w:p w14:paraId="1E839C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cstheme="minorBidi"/>
                      <w:color w:val="auto"/>
                      <w:kern w:val="2"/>
                      <w:sz w:val="21"/>
                      <w:szCs w:val="21"/>
                      <w:highlight w:val="none"/>
                      <w:vertAlign w:val="baseline"/>
                      <w:lang w:val="en-US" w:eastAsia="zh-CN" w:bidi="ar-SA"/>
                    </w:rPr>
                    <w:t>/</w:t>
                  </w:r>
                </w:p>
              </w:tc>
            </w:tr>
            <w:tr w14:paraId="5ABD08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vAlign w:val="center"/>
                </w:tcPr>
                <w:p w14:paraId="323962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w:t>
                  </w:r>
                </w:p>
              </w:tc>
              <w:tc>
                <w:tcPr>
                  <w:tcW w:w="3040" w:type="dxa"/>
                  <w:tcBorders>
                    <w:tl2br w:val="nil"/>
                    <w:tr2bl w:val="nil"/>
                  </w:tcBorders>
                  <w:shd w:val="clear" w:color="auto" w:fill="auto"/>
                  <w:vAlign w:val="center"/>
                </w:tcPr>
                <w:p w14:paraId="5C264A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stheme="minorBidi"/>
                      <w:color w:val="auto"/>
                      <w:kern w:val="2"/>
                      <w:sz w:val="21"/>
                      <w:szCs w:val="21"/>
                      <w:vertAlign w:val="baseline"/>
                      <w:lang w:val="en-US" w:eastAsia="zh-CN" w:bidi="ar-SA"/>
                    </w:rPr>
                    <w:t>一次性医疗用具（手术刀片等）</w:t>
                  </w:r>
                </w:p>
              </w:tc>
              <w:tc>
                <w:tcPr>
                  <w:tcW w:w="997" w:type="dxa"/>
                  <w:tcBorders>
                    <w:tl2br w:val="nil"/>
                    <w:tr2bl w:val="nil"/>
                  </w:tcBorders>
                  <w:shd w:val="clear" w:color="auto" w:fill="auto"/>
                  <w:vAlign w:val="center"/>
                </w:tcPr>
                <w:p w14:paraId="5B449F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2盒</w:t>
                  </w:r>
                </w:p>
              </w:tc>
              <w:tc>
                <w:tcPr>
                  <w:tcW w:w="998" w:type="dxa"/>
                  <w:tcBorders>
                    <w:tl2br w:val="nil"/>
                    <w:tr2bl w:val="nil"/>
                  </w:tcBorders>
                  <w:shd w:val="clear" w:color="auto" w:fill="auto"/>
                  <w:vAlign w:val="center"/>
                </w:tcPr>
                <w:p w14:paraId="6CB4A5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2盒</w:t>
                  </w:r>
                </w:p>
              </w:tc>
              <w:tc>
                <w:tcPr>
                  <w:tcW w:w="1110" w:type="dxa"/>
                  <w:tcBorders>
                    <w:tl2br w:val="nil"/>
                    <w:tr2bl w:val="nil"/>
                  </w:tcBorders>
                  <w:shd w:val="clear" w:color="auto" w:fill="auto"/>
                  <w:vAlign w:val="center"/>
                </w:tcPr>
                <w:p w14:paraId="3CB78F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手术室</w:t>
                  </w:r>
                </w:p>
              </w:tc>
              <w:tc>
                <w:tcPr>
                  <w:tcW w:w="1216" w:type="dxa"/>
                  <w:tcBorders>
                    <w:tl2br w:val="nil"/>
                    <w:tr2bl w:val="nil"/>
                  </w:tcBorders>
                  <w:shd w:val="clear" w:color="auto" w:fill="auto"/>
                  <w:vAlign w:val="center"/>
                </w:tcPr>
                <w:p w14:paraId="195279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cstheme="minorBidi"/>
                      <w:color w:val="auto"/>
                      <w:kern w:val="2"/>
                      <w:sz w:val="21"/>
                      <w:szCs w:val="21"/>
                      <w:highlight w:val="none"/>
                      <w:vertAlign w:val="baseline"/>
                      <w:lang w:val="en-US" w:eastAsia="zh-CN" w:bidi="ar-SA"/>
                    </w:rPr>
                    <w:t>/</w:t>
                  </w:r>
                </w:p>
              </w:tc>
            </w:tr>
            <w:tr w14:paraId="1895F7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vAlign w:val="center"/>
                </w:tcPr>
                <w:p w14:paraId="70F5BB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w:t>
                  </w:r>
                </w:p>
              </w:tc>
              <w:tc>
                <w:tcPr>
                  <w:tcW w:w="3040" w:type="dxa"/>
                  <w:tcBorders>
                    <w:tl2br w:val="nil"/>
                    <w:tr2bl w:val="nil"/>
                  </w:tcBorders>
                  <w:shd w:val="clear" w:color="auto" w:fill="auto"/>
                  <w:vAlign w:val="center"/>
                </w:tcPr>
                <w:p w14:paraId="478709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stheme="minorBidi"/>
                      <w:color w:val="auto"/>
                      <w:kern w:val="2"/>
                      <w:sz w:val="21"/>
                      <w:szCs w:val="21"/>
                      <w:vertAlign w:val="baseline"/>
                      <w:lang w:val="en-US" w:eastAsia="zh-CN" w:bidi="ar-SA"/>
                    </w:rPr>
                    <w:t>一次性尿片/尿垫</w:t>
                  </w:r>
                </w:p>
              </w:tc>
              <w:tc>
                <w:tcPr>
                  <w:tcW w:w="997" w:type="dxa"/>
                  <w:tcBorders>
                    <w:tl2br w:val="nil"/>
                    <w:tr2bl w:val="nil"/>
                  </w:tcBorders>
                  <w:shd w:val="clear" w:color="auto" w:fill="auto"/>
                  <w:vAlign w:val="center"/>
                </w:tcPr>
                <w:p w14:paraId="36CBC9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10包</w:t>
                  </w:r>
                </w:p>
              </w:tc>
              <w:tc>
                <w:tcPr>
                  <w:tcW w:w="998" w:type="dxa"/>
                  <w:tcBorders>
                    <w:tl2br w:val="nil"/>
                    <w:tr2bl w:val="nil"/>
                  </w:tcBorders>
                  <w:shd w:val="clear" w:color="auto" w:fill="auto"/>
                  <w:vAlign w:val="center"/>
                </w:tcPr>
                <w:p w14:paraId="2E1E4A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10包</w:t>
                  </w:r>
                </w:p>
              </w:tc>
              <w:tc>
                <w:tcPr>
                  <w:tcW w:w="1110" w:type="dxa"/>
                  <w:tcBorders>
                    <w:tl2br w:val="nil"/>
                    <w:tr2bl w:val="nil"/>
                  </w:tcBorders>
                  <w:vAlign w:val="center"/>
                </w:tcPr>
                <w:p w14:paraId="729A61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vertAlign w:val="baseline"/>
                      <w:lang w:val="en-US" w:eastAsia="zh-CN"/>
                    </w:rPr>
                  </w:pPr>
                  <w:r>
                    <w:rPr>
                      <w:rFonts w:hint="eastAsia" w:cstheme="minorBidi"/>
                      <w:color w:val="auto"/>
                      <w:kern w:val="2"/>
                      <w:sz w:val="21"/>
                      <w:szCs w:val="21"/>
                      <w:vertAlign w:val="baseline"/>
                      <w:lang w:val="en-US" w:eastAsia="zh-CN" w:bidi="ar-SA"/>
                    </w:rPr>
                    <w:t>药房</w:t>
                  </w:r>
                </w:p>
              </w:tc>
              <w:tc>
                <w:tcPr>
                  <w:tcW w:w="1216" w:type="dxa"/>
                  <w:tcBorders>
                    <w:tl2br w:val="nil"/>
                    <w:tr2bl w:val="nil"/>
                  </w:tcBorders>
                  <w:vAlign w:val="center"/>
                </w:tcPr>
                <w:p w14:paraId="02A1A7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highlight w:val="none"/>
                      <w:vertAlign w:val="baseline"/>
                      <w:lang w:val="en-US" w:eastAsia="zh-CN"/>
                    </w:rPr>
                  </w:pPr>
                  <w:r>
                    <w:rPr>
                      <w:rFonts w:hint="eastAsia" w:cstheme="minorBidi"/>
                      <w:color w:val="auto"/>
                      <w:kern w:val="2"/>
                      <w:sz w:val="21"/>
                      <w:szCs w:val="21"/>
                      <w:highlight w:val="none"/>
                      <w:vertAlign w:val="baseline"/>
                      <w:lang w:val="en-US" w:eastAsia="zh-CN" w:bidi="ar-SA"/>
                    </w:rPr>
                    <w:t>/</w:t>
                  </w:r>
                </w:p>
              </w:tc>
            </w:tr>
            <w:tr w14:paraId="52CC3B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shd w:val="clear"/>
                  <w:vAlign w:val="center"/>
                </w:tcPr>
                <w:p w14:paraId="583D5D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olor w:val="auto"/>
                      <w:sz w:val="21"/>
                      <w:szCs w:val="21"/>
                      <w:vertAlign w:val="baseline"/>
                      <w:lang w:val="en-US" w:eastAsia="zh-CN"/>
                    </w:rPr>
                    <w:t>5</w:t>
                  </w:r>
                </w:p>
              </w:tc>
              <w:tc>
                <w:tcPr>
                  <w:tcW w:w="3040" w:type="dxa"/>
                  <w:tcBorders>
                    <w:tl2br w:val="nil"/>
                    <w:tr2bl w:val="nil"/>
                  </w:tcBorders>
                  <w:shd w:val="clear" w:color="auto" w:fill="auto"/>
                  <w:vAlign w:val="center"/>
                </w:tcPr>
                <w:p w14:paraId="2F85EC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stheme="minorBidi"/>
                      <w:color w:val="auto"/>
                      <w:kern w:val="2"/>
                      <w:sz w:val="21"/>
                      <w:szCs w:val="21"/>
                      <w:vertAlign w:val="baseline"/>
                      <w:lang w:val="en-US" w:eastAsia="zh-CN" w:bidi="ar-SA"/>
                    </w:rPr>
                    <w:t>脱脂棉/棉块</w:t>
                  </w:r>
                </w:p>
              </w:tc>
              <w:tc>
                <w:tcPr>
                  <w:tcW w:w="997" w:type="dxa"/>
                  <w:tcBorders>
                    <w:tl2br w:val="nil"/>
                    <w:tr2bl w:val="nil"/>
                  </w:tcBorders>
                  <w:shd w:val="clear" w:color="auto" w:fill="auto"/>
                  <w:vAlign w:val="center"/>
                </w:tcPr>
                <w:p w14:paraId="302DF4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2包</w:t>
                  </w:r>
                </w:p>
              </w:tc>
              <w:tc>
                <w:tcPr>
                  <w:tcW w:w="998" w:type="dxa"/>
                  <w:tcBorders>
                    <w:tl2br w:val="nil"/>
                    <w:tr2bl w:val="nil"/>
                  </w:tcBorders>
                  <w:shd w:val="clear" w:color="auto" w:fill="auto"/>
                  <w:vAlign w:val="center"/>
                </w:tcPr>
                <w:p w14:paraId="575C90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2包</w:t>
                  </w:r>
                </w:p>
              </w:tc>
              <w:tc>
                <w:tcPr>
                  <w:tcW w:w="1110" w:type="dxa"/>
                  <w:tcBorders>
                    <w:tl2br w:val="nil"/>
                    <w:tr2bl w:val="nil"/>
                  </w:tcBorders>
                  <w:shd w:val="clear" w:color="auto" w:fill="auto"/>
                  <w:vAlign w:val="center"/>
                </w:tcPr>
                <w:p w14:paraId="2F0D77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药房</w:t>
                  </w:r>
                </w:p>
              </w:tc>
              <w:tc>
                <w:tcPr>
                  <w:tcW w:w="1216" w:type="dxa"/>
                  <w:tcBorders>
                    <w:tl2br w:val="nil"/>
                    <w:tr2bl w:val="nil"/>
                  </w:tcBorders>
                  <w:shd w:val="clear" w:color="auto" w:fill="auto"/>
                  <w:vAlign w:val="center"/>
                </w:tcPr>
                <w:p w14:paraId="4ABB90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cstheme="minorBidi"/>
                      <w:color w:val="auto"/>
                      <w:kern w:val="2"/>
                      <w:sz w:val="21"/>
                      <w:szCs w:val="21"/>
                      <w:highlight w:val="none"/>
                      <w:vertAlign w:val="baseline"/>
                      <w:lang w:val="en-US" w:eastAsia="zh-CN" w:bidi="ar-SA"/>
                    </w:rPr>
                    <w:t>/</w:t>
                  </w:r>
                </w:p>
              </w:tc>
            </w:tr>
            <w:tr w14:paraId="0B65AA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shd w:val="clear"/>
                  <w:vAlign w:val="center"/>
                </w:tcPr>
                <w:p w14:paraId="7D170B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olor w:val="auto"/>
                      <w:sz w:val="21"/>
                      <w:szCs w:val="21"/>
                      <w:vertAlign w:val="baseline"/>
                      <w:lang w:val="en-US" w:eastAsia="zh-CN"/>
                    </w:rPr>
                    <w:t>6</w:t>
                  </w:r>
                </w:p>
              </w:tc>
              <w:tc>
                <w:tcPr>
                  <w:tcW w:w="3040" w:type="dxa"/>
                  <w:tcBorders>
                    <w:tl2br w:val="nil"/>
                    <w:tr2bl w:val="nil"/>
                  </w:tcBorders>
                  <w:shd w:val="clear" w:color="auto" w:fill="auto"/>
                  <w:vAlign w:val="center"/>
                </w:tcPr>
                <w:p w14:paraId="65F69F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stheme="minorBidi"/>
                      <w:color w:val="auto"/>
                      <w:kern w:val="2"/>
                      <w:sz w:val="21"/>
                      <w:szCs w:val="21"/>
                      <w:vertAlign w:val="baseline"/>
                      <w:lang w:val="en-US" w:eastAsia="zh-CN" w:bidi="ar-SA"/>
                    </w:rPr>
                    <w:t>棉签</w:t>
                  </w:r>
                </w:p>
              </w:tc>
              <w:tc>
                <w:tcPr>
                  <w:tcW w:w="997" w:type="dxa"/>
                  <w:tcBorders>
                    <w:tl2br w:val="nil"/>
                    <w:tr2bl w:val="nil"/>
                  </w:tcBorders>
                  <w:shd w:val="clear" w:color="auto" w:fill="auto"/>
                  <w:vAlign w:val="center"/>
                </w:tcPr>
                <w:p w14:paraId="77B75C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5包</w:t>
                  </w:r>
                </w:p>
              </w:tc>
              <w:tc>
                <w:tcPr>
                  <w:tcW w:w="998" w:type="dxa"/>
                  <w:tcBorders>
                    <w:tl2br w:val="nil"/>
                    <w:tr2bl w:val="nil"/>
                  </w:tcBorders>
                  <w:shd w:val="clear" w:color="auto" w:fill="auto"/>
                  <w:vAlign w:val="center"/>
                </w:tcPr>
                <w:p w14:paraId="7FD872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5包</w:t>
                  </w:r>
                </w:p>
              </w:tc>
              <w:tc>
                <w:tcPr>
                  <w:tcW w:w="1110" w:type="dxa"/>
                  <w:tcBorders>
                    <w:tl2br w:val="nil"/>
                    <w:tr2bl w:val="nil"/>
                  </w:tcBorders>
                  <w:shd w:val="clear" w:color="auto" w:fill="auto"/>
                  <w:vAlign w:val="center"/>
                </w:tcPr>
                <w:p w14:paraId="1378FC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药房</w:t>
                  </w:r>
                </w:p>
              </w:tc>
              <w:tc>
                <w:tcPr>
                  <w:tcW w:w="1216" w:type="dxa"/>
                  <w:tcBorders>
                    <w:tl2br w:val="nil"/>
                    <w:tr2bl w:val="nil"/>
                  </w:tcBorders>
                  <w:shd w:val="clear" w:color="auto" w:fill="auto"/>
                  <w:vAlign w:val="center"/>
                </w:tcPr>
                <w:p w14:paraId="7391E4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cstheme="minorBidi"/>
                      <w:color w:val="auto"/>
                      <w:kern w:val="2"/>
                      <w:sz w:val="21"/>
                      <w:szCs w:val="21"/>
                      <w:highlight w:val="none"/>
                      <w:vertAlign w:val="baseline"/>
                      <w:lang w:val="en-US" w:eastAsia="zh-CN" w:bidi="ar-SA"/>
                    </w:rPr>
                    <w:t>/</w:t>
                  </w:r>
                </w:p>
              </w:tc>
            </w:tr>
            <w:tr w14:paraId="1DED8D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shd w:val="clear"/>
                  <w:vAlign w:val="center"/>
                </w:tcPr>
                <w:p w14:paraId="02E6D0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olor w:val="auto"/>
                      <w:sz w:val="21"/>
                      <w:szCs w:val="21"/>
                      <w:vertAlign w:val="baseline"/>
                      <w:lang w:val="en-US" w:eastAsia="zh-CN"/>
                    </w:rPr>
                    <w:t>7</w:t>
                  </w:r>
                </w:p>
              </w:tc>
              <w:tc>
                <w:tcPr>
                  <w:tcW w:w="3040" w:type="dxa"/>
                  <w:tcBorders>
                    <w:tl2br w:val="nil"/>
                    <w:tr2bl w:val="nil"/>
                  </w:tcBorders>
                  <w:shd w:val="clear" w:color="auto" w:fill="auto"/>
                  <w:vAlign w:val="center"/>
                </w:tcPr>
                <w:p w14:paraId="62B5C0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stheme="minorBidi"/>
                      <w:color w:val="auto"/>
                      <w:kern w:val="2"/>
                      <w:sz w:val="21"/>
                      <w:szCs w:val="21"/>
                      <w:vertAlign w:val="baseline"/>
                      <w:lang w:val="en-US" w:eastAsia="zh-CN" w:bidi="ar-SA"/>
                    </w:rPr>
                    <w:t>纱布</w:t>
                  </w:r>
                </w:p>
              </w:tc>
              <w:tc>
                <w:tcPr>
                  <w:tcW w:w="997" w:type="dxa"/>
                  <w:tcBorders>
                    <w:tl2br w:val="nil"/>
                    <w:tr2bl w:val="nil"/>
                  </w:tcBorders>
                  <w:shd w:val="clear" w:color="auto" w:fill="auto"/>
                  <w:vAlign w:val="center"/>
                </w:tcPr>
                <w:p w14:paraId="164415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2包</w:t>
                  </w:r>
                </w:p>
              </w:tc>
              <w:tc>
                <w:tcPr>
                  <w:tcW w:w="998" w:type="dxa"/>
                  <w:tcBorders>
                    <w:tl2br w:val="nil"/>
                    <w:tr2bl w:val="nil"/>
                  </w:tcBorders>
                  <w:shd w:val="clear" w:color="auto" w:fill="auto"/>
                  <w:vAlign w:val="center"/>
                </w:tcPr>
                <w:p w14:paraId="308929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2包</w:t>
                  </w:r>
                </w:p>
              </w:tc>
              <w:tc>
                <w:tcPr>
                  <w:tcW w:w="1110" w:type="dxa"/>
                  <w:tcBorders>
                    <w:tl2br w:val="nil"/>
                    <w:tr2bl w:val="nil"/>
                  </w:tcBorders>
                  <w:shd w:val="clear" w:color="auto" w:fill="auto"/>
                  <w:vAlign w:val="center"/>
                </w:tcPr>
                <w:p w14:paraId="10FCC0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药房</w:t>
                  </w:r>
                </w:p>
              </w:tc>
              <w:tc>
                <w:tcPr>
                  <w:tcW w:w="1216" w:type="dxa"/>
                  <w:tcBorders>
                    <w:tl2br w:val="nil"/>
                    <w:tr2bl w:val="nil"/>
                  </w:tcBorders>
                  <w:shd w:val="clear" w:color="auto" w:fill="auto"/>
                  <w:vAlign w:val="center"/>
                </w:tcPr>
                <w:p w14:paraId="262DDA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cstheme="minorBidi"/>
                      <w:color w:val="auto"/>
                      <w:kern w:val="2"/>
                      <w:sz w:val="21"/>
                      <w:szCs w:val="21"/>
                      <w:highlight w:val="none"/>
                      <w:vertAlign w:val="baseline"/>
                      <w:lang w:val="en-US" w:eastAsia="zh-CN" w:bidi="ar-SA"/>
                    </w:rPr>
                    <w:t>/</w:t>
                  </w:r>
                </w:p>
              </w:tc>
            </w:tr>
            <w:tr w14:paraId="20E0FA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shd w:val="clear"/>
                  <w:vAlign w:val="center"/>
                </w:tcPr>
                <w:p w14:paraId="5C393C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olor w:val="auto"/>
                      <w:sz w:val="21"/>
                      <w:szCs w:val="21"/>
                      <w:vertAlign w:val="baseline"/>
                      <w:lang w:val="en-US" w:eastAsia="zh-CN"/>
                    </w:rPr>
                    <w:t>8</w:t>
                  </w:r>
                </w:p>
              </w:tc>
              <w:tc>
                <w:tcPr>
                  <w:tcW w:w="3040" w:type="dxa"/>
                  <w:tcBorders>
                    <w:tl2br w:val="nil"/>
                    <w:tr2bl w:val="nil"/>
                  </w:tcBorders>
                  <w:shd w:val="clear" w:color="auto" w:fill="auto"/>
                  <w:vAlign w:val="center"/>
                </w:tcPr>
                <w:p w14:paraId="601255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stheme="minorBidi"/>
                      <w:color w:val="auto"/>
                      <w:kern w:val="2"/>
                      <w:sz w:val="21"/>
                      <w:szCs w:val="21"/>
                      <w:vertAlign w:val="baseline"/>
                      <w:lang w:val="en-US" w:eastAsia="zh-CN" w:bidi="ar-SA"/>
                    </w:rPr>
                    <w:t>碘伏</w:t>
                  </w:r>
                </w:p>
              </w:tc>
              <w:tc>
                <w:tcPr>
                  <w:tcW w:w="997" w:type="dxa"/>
                  <w:tcBorders>
                    <w:tl2br w:val="nil"/>
                    <w:tr2bl w:val="nil"/>
                  </w:tcBorders>
                  <w:shd w:val="clear" w:color="auto" w:fill="auto"/>
                  <w:vAlign w:val="center"/>
                </w:tcPr>
                <w:p w14:paraId="7A0DBD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10瓶</w:t>
                  </w:r>
                </w:p>
              </w:tc>
              <w:tc>
                <w:tcPr>
                  <w:tcW w:w="998" w:type="dxa"/>
                  <w:tcBorders>
                    <w:tl2br w:val="nil"/>
                    <w:tr2bl w:val="nil"/>
                  </w:tcBorders>
                  <w:shd w:val="clear" w:color="auto" w:fill="auto"/>
                  <w:vAlign w:val="center"/>
                </w:tcPr>
                <w:p w14:paraId="0D5C69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10瓶</w:t>
                  </w:r>
                </w:p>
              </w:tc>
              <w:tc>
                <w:tcPr>
                  <w:tcW w:w="1110" w:type="dxa"/>
                  <w:tcBorders>
                    <w:tl2br w:val="nil"/>
                    <w:tr2bl w:val="nil"/>
                  </w:tcBorders>
                  <w:shd w:val="clear" w:color="auto" w:fill="auto"/>
                  <w:vAlign w:val="center"/>
                </w:tcPr>
                <w:p w14:paraId="01E9C0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药房</w:t>
                  </w:r>
                </w:p>
              </w:tc>
              <w:tc>
                <w:tcPr>
                  <w:tcW w:w="1216" w:type="dxa"/>
                  <w:tcBorders>
                    <w:tl2br w:val="nil"/>
                    <w:tr2bl w:val="nil"/>
                  </w:tcBorders>
                  <w:shd w:val="clear" w:color="auto" w:fill="auto"/>
                  <w:vAlign w:val="center"/>
                </w:tcPr>
                <w:p w14:paraId="3584B8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cstheme="minorBidi"/>
                      <w:color w:val="auto"/>
                      <w:kern w:val="2"/>
                      <w:sz w:val="21"/>
                      <w:szCs w:val="21"/>
                      <w:highlight w:val="none"/>
                      <w:vertAlign w:val="baseline"/>
                      <w:lang w:val="en-US" w:eastAsia="zh-CN" w:bidi="ar-SA"/>
                    </w:rPr>
                    <w:t>500ml/瓶</w:t>
                  </w:r>
                </w:p>
              </w:tc>
            </w:tr>
            <w:tr w14:paraId="3DDFEB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shd w:val="clear"/>
                  <w:vAlign w:val="center"/>
                </w:tcPr>
                <w:p w14:paraId="6E6CB4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olor w:val="auto"/>
                      <w:sz w:val="21"/>
                      <w:szCs w:val="21"/>
                      <w:vertAlign w:val="baseline"/>
                      <w:lang w:val="en-US" w:eastAsia="zh-CN"/>
                    </w:rPr>
                    <w:t>9</w:t>
                  </w:r>
                </w:p>
              </w:tc>
              <w:tc>
                <w:tcPr>
                  <w:tcW w:w="3040" w:type="dxa"/>
                  <w:tcBorders>
                    <w:tl2br w:val="nil"/>
                    <w:tr2bl w:val="nil"/>
                  </w:tcBorders>
                  <w:shd w:val="clear" w:color="auto" w:fill="auto"/>
                  <w:vAlign w:val="center"/>
                </w:tcPr>
                <w:p w14:paraId="16B10E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stheme="minorBidi"/>
                      <w:color w:val="auto"/>
                      <w:kern w:val="2"/>
                      <w:sz w:val="21"/>
                      <w:szCs w:val="21"/>
                      <w:vertAlign w:val="baseline"/>
                      <w:lang w:val="en-US" w:eastAsia="zh-CN" w:bidi="ar-SA"/>
                    </w:rPr>
                    <w:t>医用酒精</w:t>
                  </w:r>
                  <w:r>
                    <w:rPr>
                      <w:rFonts w:hint="eastAsia" w:cstheme="minorBidi"/>
                      <w:color w:val="auto"/>
                      <w:kern w:val="2"/>
                      <w:sz w:val="21"/>
                      <w:szCs w:val="21"/>
                      <w:vertAlign w:val="baseline"/>
                      <w:lang w:val="en-US" w:eastAsia="zh-CN" w:bidi="ar-SA"/>
                    </w:rPr>
                    <w:t>（乙醇）</w:t>
                  </w:r>
                </w:p>
              </w:tc>
              <w:tc>
                <w:tcPr>
                  <w:tcW w:w="997" w:type="dxa"/>
                  <w:tcBorders>
                    <w:tl2br w:val="nil"/>
                    <w:tr2bl w:val="nil"/>
                  </w:tcBorders>
                  <w:shd w:val="clear" w:color="auto" w:fill="auto"/>
                  <w:vAlign w:val="center"/>
                </w:tcPr>
                <w:p w14:paraId="690987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10瓶</w:t>
                  </w:r>
                </w:p>
              </w:tc>
              <w:tc>
                <w:tcPr>
                  <w:tcW w:w="998" w:type="dxa"/>
                  <w:tcBorders>
                    <w:tl2br w:val="nil"/>
                    <w:tr2bl w:val="nil"/>
                  </w:tcBorders>
                  <w:shd w:val="clear" w:color="auto" w:fill="auto"/>
                  <w:vAlign w:val="center"/>
                </w:tcPr>
                <w:p w14:paraId="0272D0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10瓶</w:t>
                  </w:r>
                </w:p>
              </w:tc>
              <w:tc>
                <w:tcPr>
                  <w:tcW w:w="1110" w:type="dxa"/>
                  <w:tcBorders>
                    <w:tl2br w:val="nil"/>
                    <w:tr2bl w:val="nil"/>
                  </w:tcBorders>
                  <w:shd w:val="clear" w:color="auto" w:fill="auto"/>
                  <w:vAlign w:val="center"/>
                </w:tcPr>
                <w:p w14:paraId="12FFC3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药房</w:t>
                  </w:r>
                </w:p>
              </w:tc>
              <w:tc>
                <w:tcPr>
                  <w:tcW w:w="1216" w:type="dxa"/>
                  <w:tcBorders>
                    <w:tl2br w:val="nil"/>
                    <w:tr2bl w:val="nil"/>
                  </w:tcBorders>
                  <w:shd w:val="clear" w:color="auto" w:fill="auto"/>
                  <w:vAlign w:val="center"/>
                </w:tcPr>
                <w:p w14:paraId="1BCA88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cstheme="minorBidi"/>
                      <w:color w:val="auto"/>
                      <w:kern w:val="2"/>
                      <w:sz w:val="21"/>
                      <w:szCs w:val="21"/>
                      <w:highlight w:val="none"/>
                      <w:vertAlign w:val="baseline"/>
                      <w:lang w:val="en-US" w:eastAsia="zh-CN" w:bidi="ar-SA"/>
                    </w:rPr>
                    <w:t>500ml/瓶</w:t>
                  </w:r>
                </w:p>
              </w:tc>
            </w:tr>
            <w:tr w14:paraId="782A18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shd w:val="clear"/>
                  <w:vAlign w:val="center"/>
                </w:tcPr>
                <w:p w14:paraId="1579DE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olor w:val="auto"/>
                      <w:sz w:val="21"/>
                      <w:szCs w:val="21"/>
                      <w:vertAlign w:val="baseline"/>
                      <w:lang w:val="en-US" w:eastAsia="zh-CN"/>
                    </w:rPr>
                    <w:t>10</w:t>
                  </w:r>
                </w:p>
              </w:tc>
              <w:tc>
                <w:tcPr>
                  <w:tcW w:w="3040" w:type="dxa"/>
                  <w:tcBorders>
                    <w:tl2br w:val="nil"/>
                    <w:tr2bl w:val="nil"/>
                  </w:tcBorders>
                  <w:shd w:val="clear" w:color="auto" w:fill="auto"/>
                  <w:vAlign w:val="center"/>
                </w:tcPr>
                <w:p w14:paraId="62EFB7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stheme="minorBidi"/>
                      <w:color w:val="auto"/>
                      <w:kern w:val="2"/>
                      <w:sz w:val="21"/>
                      <w:szCs w:val="21"/>
                      <w:vertAlign w:val="baseline"/>
                      <w:lang w:val="en-US" w:eastAsia="zh-CN" w:bidi="ar-SA"/>
                    </w:rPr>
                    <w:t>注射剂</w:t>
                  </w:r>
                </w:p>
              </w:tc>
              <w:tc>
                <w:tcPr>
                  <w:tcW w:w="997" w:type="dxa"/>
                  <w:tcBorders>
                    <w:tl2br w:val="nil"/>
                    <w:tr2bl w:val="nil"/>
                  </w:tcBorders>
                  <w:shd w:val="clear" w:color="auto" w:fill="auto"/>
                  <w:vAlign w:val="center"/>
                </w:tcPr>
                <w:p w14:paraId="748C74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10瓶</w:t>
                  </w:r>
                </w:p>
              </w:tc>
              <w:tc>
                <w:tcPr>
                  <w:tcW w:w="998" w:type="dxa"/>
                  <w:tcBorders>
                    <w:tl2br w:val="nil"/>
                    <w:tr2bl w:val="nil"/>
                  </w:tcBorders>
                  <w:shd w:val="clear" w:color="auto" w:fill="auto"/>
                  <w:vAlign w:val="center"/>
                </w:tcPr>
                <w:p w14:paraId="2F0183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10瓶</w:t>
                  </w:r>
                </w:p>
              </w:tc>
              <w:tc>
                <w:tcPr>
                  <w:tcW w:w="1110" w:type="dxa"/>
                  <w:tcBorders>
                    <w:tl2br w:val="nil"/>
                    <w:tr2bl w:val="nil"/>
                  </w:tcBorders>
                  <w:shd w:val="clear" w:color="auto" w:fill="auto"/>
                  <w:vAlign w:val="center"/>
                </w:tcPr>
                <w:p w14:paraId="2C15A9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药房</w:t>
                  </w:r>
                </w:p>
              </w:tc>
              <w:tc>
                <w:tcPr>
                  <w:tcW w:w="1216" w:type="dxa"/>
                  <w:tcBorders>
                    <w:tl2br w:val="nil"/>
                    <w:tr2bl w:val="nil"/>
                  </w:tcBorders>
                  <w:shd w:val="clear" w:color="auto" w:fill="auto"/>
                  <w:vAlign w:val="center"/>
                </w:tcPr>
                <w:p w14:paraId="7B13B3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cstheme="minorBidi"/>
                      <w:color w:val="auto"/>
                      <w:kern w:val="2"/>
                      <w:sz w:val="21"/>
                      <w:szCs w:val="21"/>
                      <w:highlight w:val="none"/>
                      <w:vertAlign w:val="baseline"/>
                      <w:lang w:val="en-US" w:eastAsia="zh-CN" w:bidi="ar-SA"/>
                    </w:rPr>
                    <w:t>/</w:t>
                  </w:r>
                </w:p>
              </w:tc>
            </w:tr>
            <w:tr w14:paraId="233107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shd w:val="clear"/>
                  <w:vAlign w:val="center"/>
                </w:tcPr>
                <w:p w14:paraId="64B444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olor w:val="auto"/>
                      <w:sz w:val="21"/>
                      <w:szCs w:val="21"/>
                      <w:vertAlign w:val="baseline"/>
                      <w:lang w:val="en-US" w:eastAsia="zh-CN"/>
                    </w:rPr>
                    <w:t>11</w:t>
                  </w:r>
                </w:p>
              </w:tc>
              <w:tc>
                <w:tcPr>
                  <w:tcW w:w="3040" w:type="dxa"/>
                  <w:tcBorders>
                    <w:tl2br w:val="nil"/>
                    <w:tr2bl w:val="nil"/>
                  </w:tcBorders>
                  <w:shd w:val="clear" w:color="auto" w:fill="auto"/>
                  <w:vAlign w:val="center"/>
                </w:tcPr>
                <w:p w14:paraId="007636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stheme="minorBidi"/>
                      <w:color w:val="auto"/>
                      <w:kern w:val="2"/>
                      <w:sz w:val="21"/>
                      <w:szCs w:val="21"/>
                      <w:vertAlign w:val="baseline"/>
                      <w:lang w:val="en-US" w:eastAsia="zh-CN" w:bidi="ar-SA"/>
                    </w:rPr>
                    <w:t>检测试剂盘/试剂盒</w:t>
                  </w:r>
                </w:p>
              </w:tc>
              <w:tc>
                <w:tcPr>
                  <w:tcW w:w="997" w:type="dxa"/>
                  <w:tcBorders>
                    <w:tl2br w:val="nil"/>
                    <w:tr2bl w:val="nil"/>
                  </w:tcBorders>
                  <w:shd w:val="clear" w:color="auto" w:fill="auto"/>
                  <w:vAlign w:val="center"/>
                </w:tcPr>
                <w:p w14:paraId="7726E4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5盒</w:t>
                  </w:r>
                </w:p>
              </w:tc>
              <w:tc>
                <w:tcPr>
                  <w:tcW w:w="998" w:type="dxa"/>
                  <w:tcBorders>
                    <w:tl2br w:val="nil"/>
                    <w:tr2bl w:val="nil"/>
                  </w:tcBorders>
                  <w:shd w:val="clear" w:color="auto" w:fill="auto"/>
                  <w:vAlign w:val="center"/>
                </w:tcPr>
                <w:p w14:paraId="6DB3A2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5盒</w:t>
                  </w:r>
                </w:p>
              </w:tc>
              <w:tc>
                <w:tcPr>
                  <w:tcW w:w="1110" w:type="dxa"/>
                  <w:tcBorders>
                    <w:tl2br w:val="nil"/>
                    <w:tr2bl w:val="nil"/>
                  </w:tcBorders>
                  <w:shd w:val="clear" w:color="auto" w:fill="auto"/>
                  <w:vAlign w:val="center"/>
                </w:tcPr>
                <w:p w14:paraId="39597E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化验室</w:t>
                  </w:r>
                </w:p>
              </w:tc>
              <w:tc>
                <w:tcPr>
                  <w:tcW w:w="1216" w:type="dxa"/>
                  <w:tcBorders>
                    <w:tl2br w:val="nil"/>
                    <w:tr2bl w:val="nil"/>
                  </w:tcBorders>
                  <w:shd w:val="clear" w:color="auto" w:fill="auto"/>
                  <w:vAlign w:val="center"/>
                </w:tcPr>
                <w:p w14:paraId="479B11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cstheme="minorBidi"/>
                      <w:color w:val="auto"/>
                      <w:kern w:val="2"/>
                      <w:sz w:val="21"/>
                      <w:szCs w:val="21"/>
                      <w:highlight w:val="none"/>
                      <w:vertAlign w:val="baseline"/>
                      <w:lang w:val="en-US" w:eastAsia="zh-CN" w:bidi="ar-SA"/>
                    </w:rPr>
                    <w:t>/</w:t>
                  </w:r>
                </w:p>
              </w:tc>
            </w:tr>
            <w:tr w14:paraId="2E6F81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shd w:val="clear"/>
                  <w:vAlign w:val="center"/>
                </w:tcPr>
                <w:p w14:paraId="6D5817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olor w:val="auto"/>
                      <w:sz w:val="21"/>
                      <w:szCs w:val="21"/>
                      <w:vertAlign w:val="baseline"/>
                      <w:lang w:val="en-US" w:eastAsia="zh-CN"/>
                    </w:rPr>
                    <w:t>12</w:t>
                  </w:r>
                </w:p>
              </w:tc>
              <w:tc>
                <w:tcPr>
                  <w:tcW w:w="3040" w:type="dxa"/>
                  <w:tcBorders>
                    <w:tl2br w:val="nil"/>
                    <w:tr2bl w:val="nil"/>
                  </w:tcBorders>
                  <w:shd w:val="clear" w:color="auto" w:fill="auto"/>
                  <w:vAlign w:val="center"/>
                </w:tcPr>
                <w:p w14:paraId="3C91C0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stheme="minorBidi"/>
                      <w:color w:val="auto"/>
                      <w:kern w:val="2"/>
                      <w:sz w:val="21"/>
                      <w:szCs w:val="21"/>
                      <w:vertAlign w:val="baseline"/>
                      <w:lang w:val="en-US" w:eastAsia="zh-CN" w:bidi="ar-SA"/>
                    </w:rPr>
                    <w:t>检测卡</w:t>
                  </w:r>
                </w:p>
              </w:tc>
              <w:tc>
                <w:tcPr>
                  <w:tcW w:w="997" w:type="dxa"/>
                  <w:tcBorders>
                    <w:tl2br w:val="nil"/>
                    <w:tr2bl w:val="nil"/>
                  </w:tcBorders>
                  <w:shd w:val="clear" w:color="auto" w:fill="auto"/>
                  <w:vAlign w:val="center"/>
                </w:tcPr>
                <w:p w14:paraId="11E4E5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1盒</w:t>
                  </w:r>
                </w:p>
              </w:tc>
              <w:tc>
                <w:tcPr>
                  <w:tcW w:w="998" w:type="dxa"/>
                  <w:tcBorders>
                    <w:tl2br w:val="nil"/>
                    <w:tr2bl w:val="nil"/>
                  </w:tcBorders>
                  <w:shd w:val="clear" w:color="auto" w:fill="auto"/>
                  <w:vAlign w:val="center"/>
                </w:tcPr>
                <w:p w14:paraId="1FDFED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1盒</w:t>
                  </w:r>
                </w:p>
              </w:tc>
              <w:tc>
                <w:tcPr>
                  <w:tcW w:w="1110" w:type="dxa"/>
                  <w:tcBorders>
                    <w:tl2br w:val="nil"/>
                    <w:tr2bl w:val="nil"/>
                  </w:tcBorders>
                  <w:shd w:val="clear" w:color="auto" w:fill="auto"/>
                  <w:vAlign w:val="center"/>
                </w:tcPr>
                <w:p w14:paraId="6AD6E9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化验室</w:t>
                  </w:r>
                </w:p>
              </w:tc>
              <w:tc>
                <w:tcPr>
                  <w:tcW w:w="1216" w:type="dxa"/>
                  <w:tcBorders>
                    <w:tl2br w:val="nil"/>
                    <w:tr2bl w:val="nil"/>
                  </w:tcBorders>
                  <w:shd w:val="clear" w:color="auto" w:fill="auto"/>
                  <w:vAlign w:val="center"/>
                </w:tcPr>
                <w:p w14:paraId="49EB84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cstheme="minorBidi"/>
                      <w:color w:val="auto"/>
                      <w:kern w:val="2"/>
                      <w:sz w:val="21"/>
                      <w:szCs w:val="21"/>
                      <w:highlight w:val="none"/>
                      <w:vertAlign w:val="baseline"/>
                      <w:lang w:val="en-US" w:eastAsia="zh-CN" w:bidi="ar-SA"/>
                    </w:rPr>
                    <w:t>/</w:t>
                  </w:r>
                </w:p>
              </w:tc>
            </w:tr>
            <w:tr w14:paraId="105B9B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shd w:val="clear"/>
                  <w:vAlign w:val="center"/>
                </w:tcPr>
                <w:p w14:paraId="5CD28E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olor w:val="auto"/>
                      <w:sz w:val="21"/>
                      <w:szCs w:val="21"/>
                      <w:vertAlign w:val="baseline"/>
                      <w:lang w:val="en-US" w:eastAsia="zh-CN"/>
                    </w:rPr>
                    <w:t>13</w:t>
                  </w:r>
                </w:p>
              </w:tc>
              <w:tc>
                <w:tcPr>
                  <w:tcW w:w="3040" w:type="dxa"/>
                  <w:tcBorders>
                    <w:tl2br w:val="nil"/>
                    <w:tr2bl w:val="nil"/>
                  </w:tcBorders>
                  <w:shd w:val="clear" w:color="auto" w:fill="auto"/>
                  <w:vAlign w:val="center"/>
                </w:tcPr>
                <w:p w14:paraId="3229AC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stheme="minorBidi"/>
                      <w:color w:val="auto"/>
                      <w:kern w:val="2"/>
                      <w:sz w:val="21"/>
                      <w:szCs w:val="21"/>
                      <w:vertAlign w:val="baseline"/>
                      <w:lang w:val="en-US" w:eastAsia="zh-CN" w:bidi="ar-SA"/>
                    </w:rPr>
                    <w:t>检测试纸</w:t>
                  </w:r>
                </w:p>
              </w:tc>
              <w:tc>
                <w:tcPr>
                  <w:tcW w:w="997" w:type="dxa"/>
                  <w:tcBorders>
                    <w:tl2br w:val="nil"/>
                    <w:tr2bl w:val="nil"/>
                  </w:tcBorders>
                  <w:shd w:val="clear" w:color="auto" w:fill="auto"/>
                  <w:vAlign w:val="center"/>
                </w:tcPr>
                <w:p w14:paraId="2ACCC9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1盒</w:t>
                  </w:r>
                </w:p>
              </w:tc>
              <w:tc>
                <w:tcPr>
                  <w:tcW w:w="998" w:type="dxa"/>
                  <w:tcBorders>
                    <w:tl2br w:val="nil"/>
                    <w:tr2bl w:val="nil"/>
                  </w:tcBorders>
                  <w:shd w:val="clear" w:color="auto" w:fill="auto"/>
                  <w:vAlign w:val="center"/>
                </w:tcPr>
                <w:p w14:paraId="212835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1盒</w:t>
                  </w:r>
                </w:p>
              </w:tc>
              <w:tc>
                <w:tcPr>
                  <w:tcW w:w="1110" w:type="dxa"/>
                  <w:tcBorders>
                    <w:tl2br w:val="nil"/>
                    <w:tr2bl w:val="nil"/>
                  </w:tcBorders>
                  <w:shd w:val="clear" w:color="auto" w:fill="auto"/>
                  <w:vAlign w:val="center"/>
                </w:tcPr>
                <w:p w14:paraId="7553DC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化验室</w:t>
                  </w:r>
                </w:p>
              </w:tc>
              <w:tc>
                <w:tcPr>
                  <w:tcW w:w="1216" w:type="dxa"/>
                  <w:tcBorders>
                    <w:tl2br w:val="nil"/>
                    <w:tr2bl w:val="nil"/>
                  </w:tcBorders>
                  <w:shd w:val="clear" w:color="auto" w:fill="auto"/>
                  <w:vAlign w:val="center"/>
                </w:tcPr>
                <w:p w14:paraId="5FB619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cstheme="minorBidi"/>
                      <w:color w:val="auto"/>
                      <w:kern w:val="2"/>
                      <w:sz w:val="21"/>
                      <w:szCs w:val="21"/>
                      <w:highlight w:val="none"/>
                      <w:vertAlign w:val="baseline"/>
                      <w:lang w:val="en-US" w:eastAsia="zh-CN" w:bidi="ar-SA"/>
                    </w:rPr>
                    <w:t>/</w:t>
                  </w:r>
                </w:p>
              </w:tc>
            </w:tr>
            <w:tr w14:paraId="0ABEE2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shd w:val="clear"/>
                  <w:vAlign w:val="center"/>
                </w:tcPr>
                <w:p w14:paraId="3F8AD6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olor w:val="auto"/>
                      <w:sz w:val="21"/>
                      <w:szCs w:val="21"/>
                      <w:vertAlign w:val="baseline"/>
                      <w:lang w:val="en-US" w:eastAsia="zh-CN"/>
                    </w:rPr>
                    <w:t>14</w:t>
                  </w:r>
                </w:p>
              </w:tc>
              <w:tc>
                <w:tcPr>
                  <w:tcW w:w="3040" w:type="dxa"/>
                  <w:tcBorders>
                    <w:tl2br w:val="nil"/>
                    <w:tr2bl w:val="nil"/>
                  </w:tcBorders>
                  <w:shd w:val="clear" w:color="auto" w:fill="auto"/>
                  <w:vAlign w:val="center"/>
                </w:tcPr>
                <w:p w14:paraId="6A1E2F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stheme="minorBidi"/>
                      <w:color w:val="auto"/>
                      <w:kern w:val="2"/>
                      <w:sz w:val="21"/>
                      <w:szCs w:val="21"/>
                      <w:vertAlign w:val="baseline"/>
                      <w:lang w:val="en-US" w:eastAsia="zh-CN" w:bidi="ar-SA"/>
                    </w:rPr>
                    <w:t>兽用药品</w:t>
                  </w:r>
                </w:p>
              </w:tc>
              <w:tc>
                <w:tcPr>
                  <w:tcW w:w="997" w:type="dxa"/>
                  <w:tcBorders>
                    <w:tl2br w:val="nil"/>
                    <w:tr2bl w:val="nil"/>
                  </w:tcBorders>
                  <w:shd w:val="clear" w:color="auto" w:fill="auto"/>
                  <w:vAlign w:val="center"/>
                </w:tcPr>
                <w:p w14:paraId="03E7DB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2盒</w:t>
                  </w:r>
                </w:p>
              </w:tc>
              <w:tc>
                <w:tcPr>
                  <w:tcW w:w="998" w:type="dxa"/>
                  <w:tcBorders>
                    <w:tl2br w:val="nil"/>
                    <w:tr2bl w:val="nil"/>
                  </w:tcBorders>
                  <w:shd w:val="clear" w:color="auto" w:fill="auto"/>
                  <w:vAlign w:val="center"/>
                </w:tcPr>
                <w:p w14:paraId="7872B6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2盒</w:t>
                  </w:r>
                </w:p>
              </w:tc>
              <w:tc>
                <w:tcPr>
                  <w:tcW w:w="1110" w:type="dxa"/>
                  <w:tcBorders>
                    <w:tl2br w:val="nil"/>
                    <w:tr2bl w:val="nil"/>
                  </w:tcBorders>
                  <w:shd w:val="clear" w:color="auto" w:fill="auto"/>
                  <w:vAlign w:val="center"/>
                </w:tcPr>
                <w:p w14:paraId="688C2E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药房</w:t>
                  </w:r>
                </w:p>
              </w:tc>
              <w:tc>
                <w:tcPr>
                  <w:tcW w:w="1216" w:type="dxa"/>
                  <w:tcBorders>
                    <w:tl2br w:val="nil"/>
                    <w:tr2bl w:val="nil"/>
                  </w:tcBorders>
                  <w:shd w:val="clear" w:color="auto" w:fill="auto"/>
                  <w:vAlign w:val="center"/>
                </w:tcPr>
                <w:p w14:paraId="7A2EBC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cstheme="minorBidi"/>
                      <w:color w:val="auto"/>
                      <w:kern w:val="2"/>
                      <w:sz w:val="21"/>
                      <w:szCs w:val="21"/>
                      <w:highlight w:val="none"/>
                      <w:vertAlign w:val="baseline"/>
                      <w:lang w:val="en-US" w:eastAsia="zh-CN" w:bidi="ar-SA"/>
                    </w:rPr>
                    <w:t>/</w:t>
                  </w:r>
                </w:p>
              </w:tc>
            </w:tr>
            <w:tr w14:paraId="75859A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shd w:val="clear"/>
                  <w:vAlign w:val="center"/>
                </w:tcPr>
                <w:p w14:paraId="3EB0AB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olor w:val="auto"/>
                      <w:sz w:val="21"/>
                      <w:szCs w:val="21"/>
                      <w:vertAlign w:val="baseline"/>
                      <w:lang w:val="en-US" w:eastAsia="zh-CN"/>
                    </w:rPr>
                    <w:t>15</w:t>
                  </w:r>
                </w:p>
              </w:tc>
              <w:tc>
                <w:tcPr>
                  <w:tcW w:w="3040" w:type="dxa"/>
                  <w:tcBorders>
                    <w:tl2br w:val="nil"/>
                    <w:tr2bl w:val="nil"/>
                  </w:tcBorders>
                  <w:shd w:val="clear" w:color="auto" w:fill="auto"/>
                  <w:vAlign w:val="center"/>
                </w:tcPr>
                <w:p w14:paraId="5E9260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84消毒液（次氯酸钠）</w:t>
                  </w:r>
                </w:p>
              </w:tc>
              <w:tc>
                <w:tcPr>
                  <w:tcW w:w="997" w:type="dxa"/>
                  <w:tcBorders>
                    <w:tl2br w:val="nil"/>
                    <w:tr2bl w:val="nil"/>
                  </w:tcBorders>
                  <w:shd w:val="clear" w:color="auto" w:fill="auto"/>
                  <w:vAlign w:val="center"/>
                </w:tcPr>
                <w:p w14:paraId="715E1C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5瓶</w:t>
                  </w:r>
                </w:p>
              </w:tc>
              <w:tc>
                <w:tcPr>
                  <w:tcW w:w="998" w:type="dxa"/>
                  <w:tcBorders>
                    <w:tl2br w:val="nil"/>
                    <w:tr2bl w:val="nil"/>
                  </w:tcBorders>
                  <w:shd w:val="clear" w:color="auto" w:fill="auto"/>
                  <w:vAlign w:val="center"/>
                </w:tcPr>
                <w:p w14:paraId="2216A7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5瓶</w:t>
                  </w:r>
                </w:p>
              </w:tc>
              <w:tc>
                <w:tcPr>
                  <w:tcW w:w="1110" w:type="dxa"/>
                  <w:tcBorders>
                    <w:tl2br w:val="nil"/>
                    <w:tr2bl w:val="nil"/>
                  </w:tcBorders>
                  <w:shd w:val="clear" w:color="auto" w:fill="auto"/>
                  <w:vAlign w:val="center"/>
                </w:tcPr>
                <w:p w14:paraId="7C9416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药房</w:t>
                  </w:r>
                </w:p>
              </w:tc>
              <w:tc>
                <w:tcPr>
                  <w:tcW w:w="1216" w:type="dxa"/>
                  <w:tcBorders>
                    <w:tl2br w:val="nil"/>
                    <w:tr2bl w:val="nil"/>
                  </w:tcBorders>
                  <w:shd w:val="clear" w:color="auto" w:fill="auto"/>
                  <w:vAlign w:val="center"/>
                </w:tcPr>
                <w:p w14:paraId="6841D4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cstheme="minorBidi"/>
                      <w:color w:val="auto"/>
                      <w:kern w:val="2"/>
                      <w:sz w:val="21"/>
                      <w:szCs w:val="21"/>
                      <w:highlight w:val="none"/>
                      <w:vertAlign w:val="baseline"/>
                      <w:lang w:val="en-US" w:eastAsia="zh-CN" w:bidi="ar-SA"/>
                    </w:rPr>
                    <w:t>500ml/瓶</w:t>
                  </w:r>
                </w:p>
              </w:tc>
            </w:tr>
            <w:tr w14:paraId="4A0AE2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shd w:val="clear"/>
                  <w:vAlign w:val="center"/>
                </w:tcPr>
                <w:p w14:paraId="2037D3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olor w:val="auto"/>
                      <w:sz w:val="21"/>
                      <w:szCs w:val="21"/>
                      <w:vertAlign w:val="baseline"/>
                      <w:lang w:val="en-US" w:eastAsia="zh-CN"/>
                    </w:rPr>
                    <w:t>16</w:t>
                  </w:r>
                </w:p>
              </w:tc>
              <w:tc>
                <w:tcPr>
                  <w:tcW w:w="3040" w:type="dxa"/>
                  <w:tcBorders>
                    <w:tl2br w:val="nil"/>
                    <w:tr2bl w:val="nil"/>
                  </w:tcBorders>
                  <w:shd w:val="clear" w:color="auto" w:fill="auto"/>
                  <w:vAlign w:val="center"/>
                </w:tcPr>
                <w:p w14:paraId="128ECA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stheme="minorBidi"/>
                      <w:color w:val="auto"/>
                      <w:kern w:val="2"/>
                      <w:sz w:val="21"/>
                      <w:szCs w:val="21"/>
                      <w:vertAlign w:val="baseline"/>
                      <w:lang w:val="en-US" w:eastAsia="zh-CN" w:bidi="ar-SA"/>
                    </w:rPr>
                    <w:t>次氯酸钠</w:t>
                  </w:r>
                  <w:r>
                    <w:rPr>
                      <w:rFonts w:hint="eastAsia" w:cstheme="minorBidi"/>
                      <w:color w:val="auto"/>
                      <w:kern w:val="2"/>
                      <w:sz w:val="21"/>
                      <w:szCs w:val="21"/>
                      <w:vertAlign w:val="baseline"/>
                      <w:lang w:val="en-US" w:eastAsia="zh-CN" w:bidi="ar-SA"/>
                    </w:rPr>
                    <w:t>消毒剂</w:t>
                  </w:r>
                </w:p>
              </w:tc>
              <w:tc>
                <w:tcPr>
                  <w:tcW w:w="997" w:type="dxa"/>
                  <w:tcBorders>
                    <w:tl2br w:val="nil"/>
                    <w:tr2bl w:val="nil"/>
                  </w:tcBorders>
                  <w:shd w:val="clear" w:color="auto" w:fill="auto"/>
                  <w:vAlign w:val="center"/>
                </w:tcPr>
                <w:p w14:paraId="37BA76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50kg/a</w:t>
                  </w:r>
                </w:p>
              </w:tc>
              <w:tc>
                <w:tcPr>
                  <w:tcW w:w="998" w:type="dxa"/>
                  <w:tcBorders>
                    <w:tl2br w:val="nil"/>
                    <w:tr2bl w:val="nil"/>
                  </w:tcBorders>
                  <w:shd w:val="clear" w:color="auto" w:fill="auto"/>
                  <w:vAlign w:val="center"/>
                </w:tcPr>
                <w:p w14:paraId="76F3BB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10kg</w:t>
                  </w:r>
                </w:p>
              </w:tc>
              <w:tc>
                <w:tcPr>
                  <w:tcW w:w="1110" w:type="dxa"/>
                  <w:tcBorders>
                    <w:tl2br w:val="nil"/>
                    <w:tr2bl w:val="nil"/>
                  </w:tcBorders>
                  <w:shd w:val="clear" w:color="auto" w:fill="auto"/>
                  <w:vAlign w:val="center"/>
                </w:tcPr>
                <w:p w14:paraId="20A7C9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药房</w:t>
                  </w:r>
                </w:p>
              </w:tc>
              <w:tc>
                <w:tcPr>
                  <w:tcW w:w="1216" w:type="dxa"/>
                  <w:tcBorders>
                    <w:tl2br w:val="nil"/>
                    <w:tr2bl w:val="nil"/>
                  </w:tcBorders>
                  <w:shd w:val="clear" w:color="auto" w:fill="auto"/>
                  <w:vAlign w:val="center"/>
                </w:tcPr>
                <w:p w14:paraId="1C7F33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cstheme="minorBidi"/>
                      <w:color w:val="auto"/>
                      <w:kern w:val="2"/>
                      <w:sz w:val="21"/>
                      <w:szCs w:val="21"/>
                      <w:highlight w:val="none"/>
                      <w:vertAlign w:val="baseline"/>
                      <w:lang w:val="en-US" w:eastAsia="zh-CN" w:bidi="ar-SA"/>
                    </w:rPr>
                    <w:t>/</w:t>
                  </w:r>
                </w:p>
              </w:tc>
            </w:tr>
            <w:tr w14:paraId="5DA69E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shd w:val="clear"/>
                  <w:vAlign w:val="center"/>
                </w:tcPr>
                <w:p w14:paraId="005418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olor w:val="auto"/>
                      <w:sz w:val="21"/>
                      <w:szCs w:val="21"/>
                      <w:vertAlign w:val="baseline"/>
                      <w:lang w:val="en-US" w:eastAsia="zh-CN"/>
                    </w:rPr>
                    <w:t>17</w:t>
                  </w:r>
                </w:p>
              </w:tc>
              <w:tc>
                <w:tcPr>
                  <w:tcW w:w="3040" w:type="dxa"/>
                  <w:tcBorders>
                    <w:tl2br w:val="nil"/>
                    <w:tr2bl w:val="nil"/>
                  </w:tcBorders>
                  <w:shd w:val="clear" w:color="auto" w:fill="auto"/>
                  <w:vAlign w:val="center"/>
                </w:tcPr>
                <w:p w14:paraId="4B45F2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stheme="minorBidi"/>
                      <w:color w:val="auto"/>
                      <w:kern w:val="2"/>
                      <w:sz w:val="21"/>
                      <w:szCs w:val="21"/>
                      <w:vertAlign w:val="baseline"/>
                      <w:lang w:val="en-US" w:eastAsia="zh-CN" w:bidi="ar-SA"/>
                    </w:rPr>
                    <w:t>活性炭</w:t>
                  </w:r>
                </w:p>
              </w:tc>
              <w:tc>
                <w:tcPr>
                  <w:tcW w:w="997" w:type="dxa"/>
                  <w:tcBorders>
                    <w:tl2br w:val="nil"/>
                    <w:tr2bl w:val="nil"/>
                  </w:tcBorders>
                  <w:shd w:val="clear" w:color="auto" w:fill="auto"/>
                  <w:vAlign w:val="center"/>
                </w:tcPr>
                <w:p w14:paraId="18D613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2盒</w:t>
                  </w:r>
                </w:p>
              </w:tc>
              <w:tc>
                <w:tcPr>
                  <w:tcW w:w="998" w:type="dxa"/>
                  <w:tcBorders>
                    <w:tl2br w:val="nil"/>
                    <w:tr2bl w:val="nil"/>
                  </w:tcBorders>
                  <w:shd w:val="clear" w:color="auto" w:fill="auto"/>
                  <w:vAlign w:val="center"/>
                </w:tcPr>
                <w:p w14:paraId="6FDCC6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2盒</w:t>
                  </w:r>
                </w:p>
              </w:tc>
              <w:tc>
                <w:tcPr>
                  <w:tcW w:w="1110" w:type="dxa"/>
                  <w:tcBorders>
                    <w:tl2br w:val="nil"/>
                    <w:tr2bl w:val="nil"/>
                  </w:tcBorders>
                  <w:shd w:val="clear" w:color="auto" w:fill="auto"/>
                  <w:vAlign w:val="center"/>
                </w:tcPr>
                <w:p w14:paraId="61B189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药房</w:t>
                  </w:r>
                </w:p>
              </w:tc>
              <w:tc>
                <w:tcPr>
                  <w:tcW w:w="1216" w:type="dxa"/>
                  <w:tcBorders>
                    <w:tl2br w:val="nil"/>
                    <w:tr2bl w:val="nil"/>
                  </w:tcBorders>
                  <w:shd w:val="clear" w:color="auto" w:fill="auto"/>
                  <w:vAlign w:val="center"/>
                </w:tcPr>
                <w:p w14:paraId="5633FE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cstheme="minorBidi"/>
                      <w:color w:val="auto"/>
                      <w:kern w:val="2"/>
                      <w:sz w:val="21"/>
                      <w:szCs w:val="21"/>
                      <w:highlight w:val="none"/>
                      <w:vertAlign w:val="baseline"/>
                      <w:lang w:val="en-US" w:eastAsia="zh-CN" w:bidi="ar-SA"/>
                    </w:rPr>
                    <w:t>/</w:t>
                  </w:r>
                </w:p>
              </w:tc>
            </w:tr>
            <w:tr w14:paraId="7A9683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shd w:val="clear"/>
                  <w:vAlign w:val="center"/>
                </w:tcPr>
                <w:p w14:paraId="5E45FF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olor w:val="auto"/>
                      <w:sz w:val="21"/>
                      <w:szCs w:val="21"/>
                      <w:vertAlign w:val="baseline"/>
                      <w:lang w:val="en-US" w:eastAsia="zh-CN"/>
                    </w:rPr>
                    <w:t>18</w:t>
                  </w:r>
                </w:p>
              </w:tc>
              <w:tc>
                <w:tcPr>
                  <w:tcW w:w="3040" w:type="dxa"/>
                  <w:tcBorders>
                    <w:tl2br w:val="nil"/>
                    <w:tr2bl w:val="nil"/>
                  </w:tcBorders>
                  <w:shd w:val="clear" w:color="auto" w:fill="auto"/>
                  <w:vAlign w:val="center"/>
                </w:tcPr>
                <w:p w14:paraId="073AB6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stheme="minorBidi"/>
                      <w:color w:val="auto"/>
                      <w:kern w:val="2"/>
                      <w:sz w:val="21"/>
                      <w:szCs w:val="21"/>
                      <w:vertAlign w:val="baseline"/>
                      <w:lang w:val="en-US" w:eastAsia="zh-CN" w:bidi="ar-SA"/>
                    </w:rPr>
                    <w:t>猫砂</w:t>
                  </w:r>
                </w:p>
              </w:tc>
              <w:tc>
                <w:tcPr>
                  <w:tcW w:w="997" w:type="dxa"/>
                  <w:tcBorders>
                    <w:tl2br w:val="nil"/>
                    <w:tr2bl w:val="nil"/>
                  </w:tcBorders>
                  <w:shd w:val="clear" w:color="auto" w:fill="auto"/>
                  <w:vAlign w:val="center"/>
                </w:tcPr>
                <w:p w14:paraId="1502BE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5包</w:t>
                  </w:r>
                </w:p>
              </w:tc>
              <w:tc>
                <w:tcPr>
                  <w:tcW w:w="998" w:type="dxa"/>
                  <w:tcBorders>
                    <w:tl2br w:val="nil"/>
                    <w:tr2bl w:val="nil"/>
                  </w:tcBorders>
                  <w:shd w:val="clear" w:color="auto" w:fill="auto"/>
                  <w:vAlign w:val="center"/>
                </w:tcPr>
                <w:p w14:paraId="19AED6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5包</w:t>
                  </w:r>
                </w:p>
              </w:tc>
              <w:tc>
                <w:tcPr>
                  <w:tcW w:w="1110" w:type="dxa"/>
                  <w:tcBorders>
                    <w:tl2br w:val="nil"/>
                    <w:tr2bl w:val="nil"/>
                  </w:tcBorders>
                  <w:shd w:val="clear" w:color="auto" w:fill="auto"/>
                  <w:vAlign w:val="center"/>
                </w:tcPr>
                <w:p w14:paraId="3283C2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药房</w:t>
                  </w:r>
                </w:p>
              </w:tc>
              <w:tc>
                <w:tcPr>
                  <w:tcW w:w="1216" w:type="dxa"/>
                  <w:tcBorders>
                    <w:tl2br w:val="nil"/>
                    <w:tr2bl w:val="nil"/>
                  </w:tcBorders>
                  <w:shd w:val="clear" w:color="auto" w:fill="auto"/>
                  <w:vAlign w:val="center"/>
                </w:tcPr>
                <w:p w14:paraId="1FF16C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cstheme="minorBidi"/>
                      <w:color w:val="auto"/>
                      <w:kern w:val="2"/>
                      <w:sz w:val="21"/>
                      <w:szCs w:val="21"/>
                      <w:highlight w:val="none"/>
                      <w:vertAlign w:val="baseline"/>
                      <w:lang w:val="en-US" w:eastAsia="zh-CN" w:bidi="ar-SA"/>
                    </w:rPr>
                    <w:t>/</w:t>
                  </w:r>
                </w:p>
              </w:tc>
            </w:tr>
          </w:tbl>
          <w:p w14:paraId="04CFA181">
            <w:pPr>
              <w:pStyle w:val="11"/>
              <w:bidi w:val="0"/>
              <w:rPr>
                <w:rFonts w:hint="eastAsia"/>
                <w:lang w:val="en-US" w:eastAsia="zh-CN"/>
              </w:rPr>
            </w:pPr>
            <w:r>
              <w:rPr>
                <w:rFonts w:hint="eastAsia"/>
                <w:lang w:val="en-US" w:eastAsia="zh-CN"/>
              </w:rPr>
              <w:t>表2-3 主要原辅材料理化性质一览表</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294"/>
              <w:gridCol w:w="6066"/>
            </w:tblGrid>
            <w:tr w14:paraId="29B243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pct"/>
                  <w:tcBorders>
                    <w:tl2br w:val="nil"/>
                    <w:tr2bl w:val="nil"/>
                  </w:tcBorders>
                  <w:vAlign w:val="center"/>
                </w:tcPr>
                <w:p w14:paraId="681333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序号</w:t>
                  </w:r>
                </w:p>
              </w:tc>
              <w:tc>
                <w:tcPr>
                  <w:tcW w:w="806" w:type="pct"/>
                  <w:tcBorders>
                    <w:tl2br w:val="nil"/>
                    <w:tr2bl w:val="nil"/>
                  </w:tcBorders>
                  <w:vAlign w:val="center"/>
                </w:tcPr>
                <w:p w14:paraId="75A932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名称</w:t>
                  </w:r>
                </w:p>
              </w:tc>
              <w:tc>
                <w:tcPr>
                  <w:tcW w:w="3780" w:type="pct"/>
                  <w:tcBorders>
                    <w:tl2br w:val="nil"/>
                    <w:tr2bl w:val="nil"/>
                  </w:tcBorders>
                  <w:vAlign w:val="center"/>
                </w:tcPr>
                <w:p w14:paraId="3F663C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主要成分及理化性质</w:t>
                  </w:r>
                </w:p>
              </w:tc>
            </w:tr>
            <w:tr w14:paraId="177900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3" w:type="pct"/>
                  <w:tcBorders>
                    <w:tl2br w:val="nil"/>
                    <w:tr2bl w:val="nil"/>
                  </w:tcBorders>
                  <w:vAlign w:val="center"/>
                </w:tcPr>
                <w:p w14:paraId="02BAA0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1</w:t>
                  </w:r>
                </w:p>
              </w:tc>
              <w:tc>
                <w:tcPr>
                  <w:tcW w:w="806" w:type="pct"/>
                  <w:tcBorders>
                    <w:tl2br w:val="nil"/>
                    <w:tr2bl w:val="nil"/>
                  </w:tcBorders>
                  <w:shd w:val="clear" w:color="auto" w:fill="auto"/>
                  <w:vAlign w:val="center"/>
                </w:tcPr>
                <w:p w14:paraId="124869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olor w:val="auto"/>
                      <w:sz w:val="21"/>
                      <w:szCs w:val="21"/>
                      <w:vertAlign w:val="baseline"/>
                      <w:lang w:val="en-US" w:eastAsia="zh-CN"/>
                    </w:rPr>
                    <w:t>医用酒精（乙醇）</w:t>
                  </w:r>
                </w:p>
              </w:tc>
              <w:tc>
                <w:tcPr>
                  <w:tcW w:w="3780" w:type="pct"/>
                  <w:tcBorders>
                    <w:tl2br w:val="nil"/>
                    <w:tr2bl w:val="nil"/>
                  </w:tcBorders>
                  <w:vAlign w:val="center"/>
                </w:tcPr>
                <w:p w14:paraId="13EB40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次氯酸钠是一种无机物，化学式为NaClO，是最普通的家庭洗涤</w:t>
                  </w:r>
                  <w:r>
                    <w:rPr>
                      <w:rFonts w:hint="eastAsia"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氯</w:t>
                  </w:r>
                  <w:r>
                    <w:rPr>
                      <w:rFonts w:hint="eastAsia"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漂白剂。分子量74.44，熔点-6℃，沸点102.2℃，水溶性：可溶，密度：</w:t>
                  </w:r>
                  <w:r>
                    <w:rPr>
                      <w:rFonts w:hint="eastAsia" w:cs="Times New Roman"/>
                      <w:color w:val="auto"/>
                      <w:sz w:val="21"/>
                      <w:szCs w:val="21"/>
                      <w:vertAlign w:val="baseline"/>
                      <w:lang w:val="en-US" w:eastAsia="zh-CN"/>
                    </w:rPr>
                    <w:t>0.85</w:t>
                  </w:r>
                  <w:r>
                    <w:rPr>
                      <w:rFonts w:hint="default" w:ascii="Times New Roman" w:hAnsi="Times New Roman" w:cs="Times New Roman"/>
                      <w:color w:val="auto"/>
                      <w:sz w:val="21"/>
                      <w:szCs w:val="21"/>
                      <w:vertAlign w:val="baseline"/>
                      <w:lang w:val="en-US" w:eastAsia="zh-CN"/>
                    </w:rPr>
                    <w:t>g/cm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vertAlign w:val="baseline"/>
                      <w:lang w:val="en-US" w:eastAsia="zh-CN"/>
                    </w:rPr>
                    <w:t>，外观为微黄色溶液，有似氯气的气味。应用：水的净化，及作消毒剂、纸浆漂白，医药工业中用制氯胺。危险性类别：腐蚀品，侵入途径：吸入、食入、皮肤接触吸收。健康危害：经常用手接触本品的工人，手掌大量出汗，指甲变薄，毛发脱落。本品有致敏作用。本品与盐酸混合放出的氯气有可能引起中毒。环境危害：无明显污染。燃爆危险：本品不燃，具腐蚀性，可致人体灼伤，具有致敏性。</w:t>
                  </w:r>
                </w:p>
              </w:tc>
            </w:tr>
            <w:tr w14:paraId="33D6E0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pct"/>
                  <w:tcBorders>
                    <w:tl2br w:val="nil"/>
                    <w:tr2bl w:val="nil"/>
                  </w:tcBorders>
                  <w:shd w:val="clear" w:color="auto" w:fill="auto"/>
                  <w:vAlign w:val="center"/>
                </w:tcPr>
                <w:p w14:paraId="1E8635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2</w:t>
                  </w:r>
                </w:p>
              </w:tc>
              <w:tc>
                <w:tcPr>
                  <w:tcW w:w="806" w:type="pct"/>
                  <w:tcBorders>
                    <w:tl2br w:val="nil"/>
                    <w:tr2bl w:val="nil"/>
                  </w:tcBorders>
                  <w:shd w:val="clear" w:color="auto" w:fill="auto"/>
                  <w:vAlign w:val="center"/>
                </w:tcPr>
                <w:p w14:paraId="3E7FC1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olor w:val="auto"/>
                      <w:sz w:val="21"/>
                      <w:szCs w:val="21"/>
                      <w:vertAlign w:val="baseline"/>
                      <w:lang w:val="en-US" w:eastAsia="zh-CN"/>
                    </w:rPr>
                    <w:t>次氯酸钠</w:t>
                  </w:r>
                </w:p>
              </w:tc>
              <w:tc>
                <w:tcPr>
                  <w:tcW w:w="3780" w:type="pct"/>
                  <w:tcBorders>
                    <w:tl2br w:val="nil"/>
                    <w:tr2bl w:val="nil"/>
                  </w:tcBorders>
                  <w:vAlign w:val="center"/>
                </w:tcPr>
                <w:p w14:paraId="0491DC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分子式：C</w:t>
                  </w:r>
                  <w:r>
                    <w:rPr>
                      <w:rFonts w:hint="eastAsia" w:cs="Times New Roman"/>
                      <w:color w:val="auto"/>
                      <w:sz w:val="21"/>
                      <w:szCs w:val="21"/>
                      <w:vertAlign w:val="subscript"/>
                      <w:lang w:val="en-US" w:eastAsia="zh-CN"/>
                    </w:rPr>
                    <w:t>4</w:t>
                  </w:r>
                  <w:r>
                    <w:rPr>
                      <w:rFonts w:hint="eastAsia" w:cs="Times New Roman"/>
                      <w:color w:val="auto"/>
                      <w:sz w:val="21"/>
                      <w:szCs w:val="21"/>
                      <w:vertAlign w:val="baseline"/>
                      <w:lang w:val="en-US" w:eastAsia="zh-CN"/>
                    </w:rPr>
                    <w:t>H</w:t>
                  </w:r>
                  <w:r>
                    <w:rPr>
                      <w:rFonts w:hint="eastAsia" w:cs="Times New Roman"/>
                      <w:color w:val="auto"/>
                      <w:sz w:val="21"/>
                      <w:szCs w:val="21"/>
                      <w:vertAlign w:val="subscript"/>
                      <w:lang w:val="en-US" w:eastAsia="zh-CN"/>
                    </w:rPr>
                    <w:t>8</w:t>
                  </w:r>
                  <w:r>
                    <w:rPr>
                      <w:rFonts w:hint="eastAsia" w:cs="Times New Roman"/>
                      <w:color w:val="auto"/>
                      <w:sz w:val="21"/>
                      <w:szCs w:val="21"/>
                      <w:vertAlign w:val="baseline"/>
                      <w:lang w:val="en-US" w:eastAsia="zh-CN"/>
                    </w:rPr>
                    <w:t>O</w:t>
                  </w:r>
                  <w:r>
                    <w:rPr>
                      <w:rFonts w:hint="eastAsia" w:cs="Times New Roman"/>
                      <w:color w:val="auto"/>
                      <w:sz w:val="21"/>
                      <w:szCs w:val="21"/>
                      <w:vertAlign w:val="subscript"/>
                      <w:lang w:val="en-US" w:eastAsia="zh-CN"/>
                    </w:rPr>
                    <w:t>2</w:t>
                  </w:r>
                  <w:r>
                    <w:rPr>
                      <w:rFonts w:hint="eastAsia" w:cs="Times New Roman"/>
                      <w:color w:val="auto"/>
                      <w:sz w:val="21"/>
                      <w:szCs w:val="21"/>
                      <w:vertAlign w:val="baseline"/>
                      <w:lang w:val="en-US" w:eastAsia="zh-CN"/>
                    </w:rPr>
                    <w:t>；分子量：88.10；</w:t>
                  </w:r>
                  <w:r>
                    <w:rPr>
                      <w:rFonts w:hint="default" w:ascii="Times New Roman" w:hAnsi="Times New Roman" w:cs="Times New Roman"/>
                      <w:color w:val="auto"/>
                      <w:sz w:val="21"/>
                      <w:szCs w:val="21"/>
                      <w:vertAlign w:val="baseline"/>
                      <w:lang w:val="en-US" w:eastAsia="zh-CN"/>
                    </w:rPr>
                    <w:t>CAS号：</w:t>
                  </w:r>
                  <w:r>
                    <w:rPr>
                      <w:rFonts w:hint="eastAsia" w:cs="Times New Roman"/>
                      <w:color w:val="auto"/>
                      <w:sz w:val="21"/>
                      <w:szCs w:val="21"/>
                      <w:vertAlign w:val="baseline"/>
                      <w:lang w:val="en-US" w:eastAsia="zh-CN"/>
                    </w:rPr>
                    <w:t>141</w:t>
                  </w:r>
                  <w:r>
                    <w:rPr>
                      <w:rFonts w:hint="default" w:ascii="Times New Roman" w:hAnsi="Times New Roman" w:cs="Times New Roman"/>
                      <w:color w:val="auto"/>
                      <w:sz w:val="21"/>
                      <w:szCs w:val="21"/>
                      <w:vertAlign w:val="baseline"/>
                      <w:lang w:val="en-US" w:eastAsia="zh-CN"/>
                    </w:rPr>
                    <w:t>-</w:t>
                  </w:r>
                  <w:r>
                    <w:rPr>
                      <w:rFonts w:hint="eastAsia" w:cs="Times New Roman"/>
                      <w:color w:val="auto"/>
                      <w:sz w:val="21"/>
                      <w:szCs w:val="21"/>
                      <w:vertAlign w:val="baseline"/>
                      <w:lang w:val="en-US" w:eastAsia="zh-CN"/>
                    </w:rPr>
                    <w:t>78</w:t>
                  </w:r>
                  <w:r>
                    <w:rPr>
                      <w:rFonts w:hint="default" w:ascii="Times New Roman" w:hAnsi="Times New Roman" w:cs="Times New Roman"/>
                      <w:color w:val="auto"/>
                      <w:sz w:val="21"/>
                      <w:szCs w:val="21"/>
                      <w:vertAlign w:val="baseline"/>
                      <w:lang w:val="en-US" w:eastAsia="zh-CN"/>
                    </w:rPr>
                    <w:t>-</w:t>
                  </w:r>
                  <w:r>
                    <w:rPr>
                      <w:rFonts w:hint="eastAsia" w:cs="Times New Roman"/>
                      <w:color w:val="auto"/>
                      <w:sz w:val="21"/>
                      <w:szCs w:val="21"/>
                      <w:vertAlign w:val="baseline"/>
                      <w:lang w:val="en-US" w:eastAsia="zh-CN"/>
                    </w:rPr>
                    <w:t>6</w:t>
                  </w:r>
                  <w:r>
                    <w:rPr>
                      <w:rFonts w:hint="default" w:ascii="Times New Roman" w:hAnsi="Times New Roman" w:cs="Times New Roman"/>
                      <w:color w:val="auto"/>
                      <w:sz w:val="21"/>
                      <w:szCs w:val="21"/>
                      <w:vertAlign w:val="baseline"/>
                      <w:lang w:val="en-US" w:eastAsia="zh-CN"/>
                    </w:rPr>
                    <w:t>。</w:t>
                  </w:r>
                </w:p>
                <w:p w14:paraId="093742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外观与性状：无色</w:t>
                  </w:r>
                  <w:r>
                    <w:rPr>
                      <w:rFonts w:hint="eastAsia" w:cs="Times New Roman"/>
                      <w:color w:val="auto"/>
                      <w:sz w:val="21"/>
                      <w:szCs w:val="21"/>
                      <w:vertAlign w:val="baseline"/>
                      <w:lang w:val="en-US" w:eastAsia="zh-CN"/>
                    </w:rPr>
                    <w:t>透明水样</w:t>
                  </w:r>
                  <w:r>
                    <w:rPr>
                      <w:rFonts w:hint="default" w:ascii="Times New Roman" w:hAnsi="Times New Roman" w:cs="Times New Roman"/>
                      <w:color w:val="auto"/>
                      <w:sz w:val="21"/>
                      <w:szCs w:val="21"/>
                      <w:vertAlign w:val="baseline"/>
                      <w:lang w:val="en-US" w:eastAsia="zh-CN"/>
                    </w:rPr>
                    <w:t>液体，</w:t>
                  </w:r>
                  <w:r>
                    <w:rPr>
                      <w:rFonts w:hint="eastAsia" w:cs="Times New Roman"/>
                      <w:color w:val="auto"/>
                      <w:sz w:val="21"/>
                      <w:szCs w:val="21"/>
                      <w:vertAlign w:val="baseline"/>
                      <w:lang w:val="en-US" w:eastAsia="zh-CN"/>
                    </w:rPr>
                    <w:t>易挥发，有水果香味</w:t>
                  </w:r>
                  <w:r>
                    <w:rPr>
                      <w:rFonts w:hint="default" w:ascii="Times New Roman" w:hAnsi="Times New Roman" w:cs="Times New Roman"/>
                      <w:color w:val="auto"/>
                      <w:sz w:val="21"/>
                      <w:szCs w:val="21"/>
                      <w:vertAlign w:val="baseline"/>
                      <w:lang w:val="en-US" w:eastAsia="zh-CN"/>
                    </w:rPr>
                    <w:t>。</w:t>
                  </w:r>
                </w:p>
                <w:p w14:paraId="4118DD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熔点：-</w:t>
                  </w:r>
                  <w:r>
                    <w:rPr>
                      <w:rFonts w:hint="eastAsia" w:cs="Times New Roman"/>
                      <w:color w:val="auto"/>
                      <w:sz w:val="21"/>
                      <w:szCs w:val="21"/>
                      <w:vertAlign w:val="baseline"/>
                      <w:lang w:val="en-US" w:eastAsia="zh-CN"/>
                    </w:rPr>
                    <w:t>83.6</w:t>
                  </w:r>
                  <w:r>
                    <w:rPr>
                      <w:rFonts w:hint="default" w:ascii="Times New Roman" w:hAnsi="Times New Roman" w:cs="Times New Roman"/>
                      <w:color w:val="auto"/>
                      <w:sz w:val="21"/>
                      <w:szCs w:val="21"/>
                      <w:vertAlign w:val="baseline"/>
                      <w:lang w:val="en-US" w:eastAsia="zh-CN"/>
                    </w:rPr>
                    <w:t>℃；沸点：</w:t>
                  </w:r>
                  <w:r>
                    <w:rPr>
                      <w:rFonts w:hint="eastAsia" w:cs="Times New Roman"/>
                      <w:color w:val="auto"/>
                      <w:sz w:val="21"/>
                      <w:szCs w:val="21"/>
                      <w:vertAlign w:val="baseline"/>
                      <w:lang w:val="en-US" w:eastAsia="zh-CN"/>
                    </w:rPr>
                    <w:t>77.15</w:t>
                  </w:r>
                  <w:r>
                    <w:rPr>
                      <w:rFonts w:hint="default" w:ascii="Times New Roman" w:hAnsi="Times New Roman" w:cs="Times New Roman"/>
                      <w:color w:val="auto"/>
                      <w:sz w:val="21"/>
                      <w:szCs w:val="21"/>
                      <w:vertAlign w:val="baseline"/>
                      <w:lang w:val="en-US" w:eastAsia="zh-CN"/>
                    </w:rPr>
                    <w:t>℃；相对密度（水=1）：</w:t>
                  </w:r>
                  <w:r>
                    <w:rPr>
                      <w:rFonts w:hint="eastAsia" w:cs="Times New Roman"/>
                      <w:color w:val="auto"/>
                      <w:sz w:val="21"/>
                      <w:szCs w:val="21"/>
                      <w:vertAlign w:val="baseline"/>
                      <w:lang w:val="en-US" w:eastAsia="zh-CN"/>
                    </w:rPr>
                    <w:t>0.90。</w:t>
                  </w:r>
                </w:p>
                <w:p w14:paraId="30A6E9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溶解性：</w:t>
                  </w:r>
                  <w:r>
                    <w:rPr>
                      <w:rFonts w:hint="eastAsia" w:cs="Times New Roman"/>
                      <w:color w:val="auto"/>
                      <w:sz w:val="21"/>
                      <w:szCs w:val="21"/>
                      <w:vertAlign w:val="baseline"/>
                      <w:lang w:val="en-US" w:eastAsia="zh-CN"/>
                    </w:rPr>
                    <w:t>与乙醇、丙酮、氯仿、乙醚混溶</w:t>
                  </w:r>
                  <w:r>
                    <w:rPr>
                      <w:rFonts w:hint="default" w:ascii="Times New Roman" w:hAnsi="Times New Roman" w:cs="Times New Roman"/>
                      <w:color w:val="auto"/>
                      <w:sz w:val="21"/>
                      <w:szCs w:val="21"/>
                      <w:vertAlign w:val="baseline"/>
                      <w:lang w:val="en-US" w:eastAsia="zh-CN"/>
                    </w:rPr>
                    <w:t>。</w:t>
                  </w:r>
                </w:p>
                <w:p w14:paraId="76F840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LD</w:t>
                  </w:r>
                  <w:r>
                    <w:rPr>
                      <w:rFonts w:hint="default" w:ascii="Times New Roman" w:hAnsi="Times New Roman" w:cs="Times New Roman"/>
                      <w:color w:val="auto"/>
                      <w:sz w:val="21"/>
                      <w:szCs w:val="21"/>
                      <w:vertAlign w:val="subscript"/>
                      <w:lang w:val="en-US" w:eastAsia="zh-CN"/>
                    </w:rPr>
                    <w:t>50</w:t>
                  </w:r>
                  <w:r>
                    <w:rPr>
                      <w:rFonts w:hint="default" w:ascii="Times New Roman" w:hAnsi="Times New Roman" w:cs="Times New Roman"/>
                      <w:color w:val="auto"/>
                      <w:sz w:val="21"/>
                      <w:szCs w:val="21"/>
                      <w:vertAlign w:val="baseline"/>
                      <w:lang w:val="en-US" w:eastAsia="zh-CN"/>
                    </w:rPr>
                    <w:t>：</w:t>
                  </w:r>
                  <w:r>
                    <w:rPr>
                      <w:rFonts w:hint="eastAsia" w:cs="Times New Roman"/>
                      <w:color w:val="auto"/>
                      <w:sz w:val="21"/>
                      <w:szCs w:val="21"/>
                      <w:vertAlign w:val="baseline"/>
                      <w:lang w:val="en-US" w:eastAsia="zh-CN"/>
                    </w:rPr>
                    <w:t>5620</w:t>
                  </w:r>
                  <w:r>
                    <w:rPr>
                      <w:rFonts w:hint="default" w:ascii="Times New Roman" w:hAnsi="Times New Roman" w:cs="Times New Roman"/>
                      <w:color w:val="auto"/>
                      <w:sz w:val="21"/>
                      <w:szCs w:val="21"/>
                      <w:vertAlign w:val="baseline"/>
                      <w:lang w:val="en-US" w:eastAsia="zh-CN"/>
                    </w:rPr>
                    <w:t>mg/kg（</w:t>
                  </w:r>
                  <w:r>
                    <w:rPr>
                      <w:rFonts w:hint="eastAsia" w:cs="Times New Roman"/>
                      <w:color w:val="auto"/>
                      <w:sz w:val="21"/>
                      <w:szCs w:val="21"/>
                      <w:vertAlign w:val="baseline"/>
                      <w:lang w:val="en-US" w:eastAsia="zh-CN"/>
                    </w:rPr>
                    <w:t>大鼠经口</w:t>
                  </w:r>
                  <w:r>
                    <w:rPr>
                      <w:rFonts w:hint="default" w:ascii="Times New Roman" w:hAnsi="Times New Roman" w:cs="Times New Roman"/>
                      <w:color w:val="auto"/>
                      <w:sz w:val="21"/>
                      <w:szCs w:val="21"/>
                      <w:vertAlign w:val="baseline"/>
                      <w:lang w:val="en-US" w:eastAsia="zh-CN"/>
                    </w:rPr>
                    <w:t>）</w:t>
                  </w:r>
                  <w:r>
                    <w:rPr>
                      <w:rFonts w:hint="eastAsia" w:cs="Times New Roman"/>
                      <w:color w:val="auto"/>
                      <w:sz w:val="21"/>
                      <w:szCs w:val="21"/>
                      <w:vertAlign w:val="baseline"/>
                      <w:lang w:val="en-US" w:eastAsia="zh-CN"/>
                    </w:rPr>
                    <w:t>，4940</w:t>
                  </w:r>
                  <w:r>
                    <w:rPr>
                      <w:rFonts w:hint="default" w:ascii="Times New Roman" w:hAnsi="Times New Roman" w:cs="Times New Roman"/>
                      <w:color w:val="auto"/>
                      <w:sz w:val="21"/>
                      <w:szCs w:val="21"/>
                      <w:vertAlign w:val="baseline"/>
                      <w:lang w:val="en-US" w:eastAsia="zh-CN"/>
                    </w:rPr>
                    <w:t>mg/kg（</w:t>
                  </w:r>
                  <w:r>
                    <w:rPr>
                      <w:rFonts w:hint="eastAsia" w:cs="Times New Roman"/>
                      <w:color w:val="auto"/>
                      <w:sz w:val="21"/>
                      <w:szCs w:val="21"/>
                      <w:vertAlign w:val="baseline"/>
                      <w:lang w:val="en-US" w:eastAsia="zh-CN"/>
                    </w:rPr>
                    <w:t>兔经口</w:t>
                  </w:r>
                  <w:r>
                    <w:rPr>
                      <w:rFonts w:hint="default" w:ascii="Times New Roman" w:hAnsi="Times New Roman" w:cs="Times New Roman"/>
                      <w:color w:val="auto"/>
                      <w:sz w:val="21"/>
                      <w:szCs w:val="21"/>
                      <w:vertAlign w:val="baseline"/>
                      <w:lang w:val="en-US" w:eastAsia="zh-CN"/>
                    </w:rPr>
                    <w:t>）；LC</w:t>
                  </w:r>
                  <w:r>
                    <w:rPr>
                      <w:rFonts w:hint="default" w:ascii="Times New Roman" w:hAnsi="Times New Roman" w:cs="Times New Roman"/>
                      <w:color w:val="auto"/>
                      <w:sz w:val="21"/>
                      <w:szCs w:val="21"/>
                      <w:vertAlign w:val="subscript"/>
                      <w:lang w:val="en-US" w:eastAsia="zh-CN"/>
                    </w:rPr>
                    <w:t>50</w:t>
                  </w:r>
                  <w:r>
                    <w:rPr>
                      <w:rFonts w:hint="default" w:ascii="Times New Roman" w:hAnsi="Times New Roman" w:cs="Times New Roman"/>
                      <w:color w:val="auto"/>
                      <w:sz w:val="21"/>
                      <w:szCs w:val="21"/>
                      <w:vertAlign w:val="baseline"/>
                      <w:lang w:val="en-US" w:eastAsia="zh-CN"/>
                    </w:rPr>
                    <w:t>：</w:t>
                  </w:r>
                  <w:r>
                    <w:rPr>
                      <w:rFonts w:hint="eastAsia" w:cs="Times New Roman"/>
                      <w:color w:val="auto"/>
                      <w:sz w:val="21"/>
                      <w:szCs w:val="21"/>
                      <w:vertAlign w:val="baseline"/>
                      <w:lang w:val="en-US" w:eastAsia="zh-CN"/>
                    </w:rPr>
                    <w:t>5760</w:t>
                  </w:r>
                  <w:r>
                    <w:rPr>
                      <w:rFonts w:hint="default" w:ascii="Times New Roman" w:hAnsi="Times New Roman" w:cs="Times New Roman"/>
                      <w:color w:val="auto"/>
                      <w:sz w:val="21"/>
                      <w:szCs w:val="21"/>
                      <w:vertAlign w:val="baseline"/>
                      <w:lang w:val="en-US" w:eastAsia="zh-CN"/>
                    </w:rPr>
                    <w:t>mg/m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vertAlign w:val="baseline"/>
                      <w:lang w:val="en-US" w:eastAsia="zh-CN"/>
                    </w:rPr>
                    <w:t>（大鼠吸入，</w:t>
                  </w:r>
                  <w:r>
                    <w:rPr>
                      <w:rFonts w:hint="eastAsia" w:cs="Times New Roman"/>
                      <w:color w:val="auto"/>
                      <w:sz w:val="21"/>
                      <w:szCs w:val="21"/>
                      <w:vertAlign w:val="baseline"/>
                      <w:lang w:val="en-US" w:eastAsia="zh-CN"/>
                    </w:rPr>
                    <w:t>8</w:t>
                  </w:r>
                  <w:r>
                    <w:rPr>
                      <w:rFonts w:hint="default" w:ascii="Times New Roman" w:hAnsi="Times New Roman" w:cs="Times New Roman"/>
                      <w:color w:val="auto"/>
                      <w:sz w:val="21"/>
                      <w:szCs w:val="21"/>
                      <w:vertAlign w:val="baseline"/>
                      <w:lang w:val="en-US" w:eastAsia="zh-CN"/>
                    </w:rPr>
                    <w:t>h）。</w:t>
                  </w:r>
                </w:p>
              </w:tc>
            </w:tr>
          </w:tbl>
          <w:p w14:paraId="425047EC">
            <w:pPr>
              <w:rPr>
                <w:rFonts w:hint="default"/>
                <w:vertAlign w:val="baseline"/>
                <w:lang w:val="en-US" w:eastAsia="zh-CN"/>
              </w:rPr>
            </w:pPr>
            <w:r>
              <w:rPr>
                <w:rFonts w:hint="eastAsia"/>
                <w:vertAlign w:val="baseline"/>
                <w:lang w:val="en-US" w:eastAsia="zh-CN"/>
              </w:rPr>
              <w:t>4、</w:t>
            </w:r>
            <w:r>
              <w:rPr>
                <w:rFonts w:hint="eastAsia"/>
                <w:highlight w:val="none"/>
                <w:vertAlign w:val="baseline"/>
                <w:lang w:val="en-US" w:eastAsia="zh-CN"/>
              </w:rPr>
              <w:t>平面布置</w:t>
            </w:r>
          </w:p>
          <w:p w14:paraId="2E4A50FB">
            <w:pPr>
              <w:rPr>
                <w:rFonts w:hint="eastAsia"/>
                <w:vertAlign w:val="baseline"/>
                <w:lang w:val="en-US" w:eastAsia="zh-CN"/>
              </w:rPr>
            </w:pPr>
            <w:r>
              <w:rPr>
                <w:rFonts w:hint="eastAsia"/>
                <w:vertAlign w:val="baseline"/>
                <w:lang w:val="en-US" w:eastAsia="zh-CN"/>
              </w:rPr>
              <w:t>本项目租用北京市房山区良乡拱辰星园4号楼1层0102底商，总建筑面积125.98m</w:t>
            </w:r>
            <w:r>
              <w:rPr>
                <w:rFonts w:hint="eastAsia"/>
                <w:vertAlign w:val="superscript"/>
                <w:lang w:val="en-US" w:eastAsia="zh-CN"/>
              </w:rPr>
              <w:t>2</w:t>
            </w:r>
            <w:r>
              <w:rPr>
                <w:rFonts w:hint="eastAsia"/>
                <w:vertAlign w:val="baseline"/>
                <w:lang w:val="en-US" w:eastAsia="zh-CN"/>
              </w:rPr>
              <w:t>，房屋经营动物医院，其室内功能包括：前台、洗美间、诊室、化验室、隔离室、观察室、消毒供应室、医废间、药房、DR室、手术室。其中医废间位于室内西北部，污水处理设备安装在化验室内，活性炭净化装置安装在医院东南侧洗美间上方的吊顶内。</w:t>
            </w:r>
          </w:p>
          <w:p w14:paraId="2C6092C6">
            <w:pPr>
              <w:rPr>
                <w:rFonts w:hint="default"/>
                <w:vertAlign w:val="baseline"/>
                <w:lang w:val="en-US" w:eastAsia="zh-CN"/>
              </w:rPr>
            </w:pPr>
            <w:r>
              <w:rPr>
                <w:rFonts w:hint="default" w:ascii="Times New Roman" w:hAnsi="Times New Roman" w:cs="Times New Roman"/>
                <w:vertAlign w:val="baseline"/>
                <w:lang w:val="en-US" w:eastAsia="zh-CN"/>
              </w:rPr>
              <w:t>项目</w:t>
            </w:r>
            <w:r>
              <w:rPr>
                <w:rFonts w:hint="eastAsia"/>
                <w:vertAlign w:val="baseline"/>
                <w:lang w:val="en-US" w:eastAsia="zh-CN"/>
              </w:rPr>
              <w:t>平面布置详见附图3。</w:t>
            </w:r>
          </w:p>
          <w:p w14:paraId="6C7AB2B8">
            <w:pPr>
              <w:rPr>
                <w:rFonts w:hint="default"/>
                <w:vertAlign w:val="baseline"/>
                <w:lang w:val="en-US" w:eastAsia="zh-CN"/>
              </w:rPr>
            </w:pPr>
            <w:r>
              <w:rPr>
                <w:rFonts w:hint="eastAsia"/>
                <w:vertAlign w:val="baseline"/>
                <w:lang w:val="en-US" w:eastAsia="zh-CN"/>
              </w:rPr>
              <w:t>5、地理位置及周边关系</w:t>
            </w:r>
          </w:p>
          <w:p w14:paraId="3A6E843D">
            <w:pPr>
              <w:rPr>
                <w:rFonts w:hint="default"/>
                <w:vertAlign w:val="baseline"/>
                <w:lang w:val="en-US" w:eastAsia="zh-CN"/>
              </w:rPr>
            </w:pPr>
            <w:r>
              <w:rPr>
                <w:rFonts w:hint="eastAsia"/>
                <w:vertAlign w:val="baseline"/>
                <w:lang w:val="en-US" w:eastAsia="zh-CN"/>
              </w:rPr>
              <w:t>（1）地理位置</w:t>
            </w:r>
          </w:p>
          <w:p w14:paraId="7C8A8FB7">
            <w:pP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本项目建设地点为</w:t>
            </w:r>
            <w:r>
              <w:rPr>
                <w:rFonts w:hint="eastAsia" w:cs="Times New Roman"/>
                <w:vertAlign w:val="baseline"/>
                <w:lang w:val="en-US" w:eastAsia="zh-CN"/>
              </w:rPr>
              <w:t>北京市房山区良乡拱辰星园4号楼1层0102底商</w:t>
            </w:r>
            <w:r>
              <w:rPr>
                <w:rFonts w:hint="default" w:ascii="Times New Roman" w:hAnsi="Times New Roman" w:cs="Times New Roman"/>
                <w:vertAlign w:val="baseline"/>
                <w:lang w:val="en-US" w:eastAsia="zh-CN"/>
              </w:rPr>
              <w:t>，地理坐标为东经116°7′</w:t>
            </w:r>
            <w:r>
              <w:rPr>
                <w:rFonts w:hint="eastAsia" w:cs="Times New Roman"/>
                <w:vertAlign w:val="baseline"/>
                <w:lang w:val="en-US" w:eastAsia="zh-CN"/>
              </w:rPr>
              <w:t>56.461</w:t>
            </w:r>
            <w:r>
              <w:rPr>
                <w:rFonts w:hint="default" w:ascii="Times New Roman" w:hAnsi="Times New Roman" w:cs="Times New Roman"/>
                <w:vertAlign w:val="baseline"/>
                <w:lang w:val="en-US" w:eastAsia="zh-CN"/>
              </w:rPr>
              <w:t>″，北纬39°</w:t>
            </w:r>
            <w:r>
              <w:rPr>
                <w:rFonts w:hint="eastAsia" w:cs="Times New Roman"/>
                <w:vertAlign w:val="baseline"/>
                <w:lang w:val="en-US" w:eastAsia="zh-CN"/>
              </w:rPr>
              <w:t>43</w:t>
            </w:r>
            <w:r>
              <w:rPr>
                <w:rFonts w:hint="default" w:ascii="Times New Roman" w:hAnsi="Times New Roman" w:cs="Times New Roman"/>
                <w:vertAlign w:val="baseline"/>
                <w:lang w:val="en-US" w:eastAsia="zh-CN"/>
              </w:rPr>
              <w:t>′</w:t>
            </w:r>
            <w:r>
              <w:rPr>
                <w:rFonts w:hint="eastAsia" w:cs="Times New Roman"/>
                <w:vertAlign w:val="baseline"/>
                <w:lang w:val="en-US" w:eastAsia="zh-CN"/>
              </w:rPr>
              <w:t>56.786</w:t>
            </w:r>
            <w:r>
              <w:rPr>
                <w:rFonts w:hint="default" w:ascii="Times New Roman" w:hAnsi="Times New Roman" w:cs="Times New Roman"/>
                <w:vertAlign w:val="baseline"/>
                <w:lang w:val="en-US" w:eastAsia="zh-CN"/>
              </w:rPr>
              <w:t>″。</w:t>
            </w:r>
          </w:p>
          <w:p w14:paraId="11A84DE4">
            <w:pPr>
              <w:rPr>
                <w:rFonts w:hint="default"/>
                <w:vertAlign w:val="baseline"/>
                <w:lang w:val="en-US" w:eastAsia="zh-CN"/>
              </w:rPr>
            </w:pPr>
            <w:r>
              <w:rPr>
                <w:rFonts w:hint="default" w:ascii="Times New Roman" w:hAnsi="Times New Roman" w:cs="Times New Roman"/>
                <w:vertAlign w:val="baseline"/>
                <w:lang w:val="en-US" w:eastAsia="zh-CN"/>
              </w:rPr>
              <w:t>项目</w:t>
            </w:r>
            <w:r>
              <w:rPr>
                <w:rFonts w:hint="eastAsia"/>
                <w:vertAlign w:val="baseline"/>
                <w:lang w:val="en-US" w:eastAsia="zh-CN"/>
              </w:rPr>
              <w:t>地理位置详见附图1。</w:t>
            </w:r>
          </w:p>
          <w:p w14:paraId="34118705">
            <w:pPr>
              <w:rPr>
                <w:rFonts w:hint="default"/>
                <w:highlight w:val="none"/>
                <w:vertAlign w:val="baseline"/>
                <w:lang w:val="en-US" w:eastAsia="zh-CN"/>
              </w:rPr>
            </w:pPr>
            <w:r>
              <w:rPr>
                <w:rFonts w:hint="eastAsia"/>
                <w:highlight w:val="none"/>
                <w:vertAlign w:val="baseline"/>
                <w:lang w:val="en-US" w:eastAsia="zh-CN"/>
              </w:rPr>
              <w:t>（2）周边关系</w:t>
            </w:r>
          </w:p>
          <w:p w14:paraId="33009CD5">
            <w:pPr>
              <w:rPr>
                <w:rFonts w:hint="default"/>
                <w:vertAlign w:val="baseline"/>
                <w:lang w:val="en-US" w:eastAsia="zh-CN"/>
              </w:rPr>
            </w:pPr>
            <w:r>
              <w:rPr>
                <w:rFonts w:hint="eastAsia"/>
                <w:vertAlign w:val="baseline"/>
                <w:lang w:val="en-US" w:eastAsia="zh-CN"/>
              </w:rPr>
              <w:t>项目租用北京市房山区良乡拱辰星园4号楼1层0102底商。本项目南北两侧为其他商铺，西侧即楼上为拱辰星园4号楼，东侧为拱辰西街辅路。项目西北侧22m为房山区良乡第二中学操场，东北侧40m为楸树家园1号楼，东南侧45m为楸树家园2号楼。</w:t>
            </w:r>
          </w:p>
          <w:p w14:paraId="7ECE8B9A">
            <w:pPr>
              <w:rPr>
                <w:rFonts w:hint="default"/>
                <w:vertAlign w:val="baseline"/>
                <w:lang w:val="en-US" w:eastAsia="zh-CN"/>
              </w:rPr>
            </w:pPr>
            <w:r>
              <w:rPr>
                <w:rFonts w:hint="eastAsia"/>
                <w:vertAlign w:val="baseline"/>
                <w:lang w:val="en-US" w:eastAsia="zh-CN"/>
              </w:rPr>
              <w:t>项目周边关系详见附图2。</w:t>
            </w:r>
          </w:p>
          <w:p w14:paraId="27E13063">
            <w:pPr>
              <w:rPr>
                <w:rFonts w:hint="default" w:eastAsia="宋体"/>
                <w:vertAlign w:val="baseline"/>
                <w:lang w:val="en-US" w:eastAsia="zh-CN"/>
              </w:rPr>
            </w:pPr>
            <w:r>
              <w:rPr>
                <w:rFonts w:hint="eastAsia"/>
                <w:vertAlign w:val="baseline"/>
                <w:lang w:val="en-US" w:eastAsia="zh-CN"/>
              </w:rPr>
              <w:t>6、劳动定员及工作制度</w:t>
            </w:r>
          </w:p>
          <w:p w14:paraId="0D1242A1">
            <w:pPr>
              <w:rPr>
                <w:rFonts w:hint="eastAsia"/>
                <w:vertAlign w:val="baseline"/>
                <w:lang w:val="en-US" w:eastAsia="zh-CN"/>
              </w:rPr>
            </w:pPr>
            <w:r>
              <w:rPr>
                <w:rFonts w:hint="eastAsia"/>
                <w:vertAlign w:val="baseline"/>
                <w:lang w:val="en-US" w:eastAsia="zh-CN"/>
              </w:rPr>
              <w:t>本项目劳动定员4人，年工作264天，工作时间9:00-21:00。</w:t>
            </w:r>
          </w:p>
          <w:p w14:paraId="267F4E1C">
            <w:pPr>
              <w:rPr>
                <w:rFonts w:hint="default"/>
                <w:vertAlign w:val="baseline"/>
                <w:lang w:val="en-US" w:eastAsia="zh-CN"/>
              </w:rPr>
            </w:pPr>
            <w:r>
              <w:rPr>
                <w:rFonts w:hint="eastAsia"/>
                <w:vertAlign w:val="baseline"/>
                <w:lang w:val="en-US" w:eastAsia="zh-CN"/>
              </w:rPr>
              <w:t>7、公用工程</w:t>
            </w:r>
          </w:p>
          <w:p w14:paraId="4AFCFC33">
            <w:pPr>
              <w:rPr>
                <w:rFonts w:hint="default" w:eastAsia="宋体"/>
                <w:vertAlign w:val="baseline"/>
                <w:lang w:val="en-US" w:eastAsia="zh-CN"/>
              </w:rPr>
            </w:pPr>
            <w:r>
              <w:rPr>
                <w:rFonts w:hint="eastAsia"/>
                <w:vertAlign w:val="baseline"/>
                <w:lang w:eastAsia="zh-CN"/>
              </w:rPr>
              <w:t>（</w:t>
            </w:r>
            <w:r>
              <w:rPr>
                <w:rFonts w:hint="eastAsia"/>
                <w:vertAlign w:val="baseline"/>
                <w:lang w:val="en-US" w:eastAsia="zh-CN"/>
              </w:rPr>
              <w:t>1</w:t>
            </w:r>
            <w:r>
              <w:rPr>
                <w:rFonts w:hint="eastAsia"/>
                <w:vertAlign w:val="baseline"/>
                <w:lang w:eastAsia="zh-CN"/>
              </w:rPr>
              <w:t>）</w:t>
            </w:r>
            <w:r>
              <w:rPr>
                <w:rFonts w:hint="eastAsia"/>
                <w:vertAlign w:val="baseline"/>
                <w:lang w:val="en-US" w:eastAsia="zh-CN"/>
              </w:rPr>
              <w:t>给排水</w:t>
            </w:r>
          </w:p>
          <w:p w14:paraId="4E5C3D2E">
            <w:pPr>
              <w:rPr>
                <w:rFonts w:hint="default" w:eastAsia="宋体"/>
                <w:vertAlign w:val="baseline"/>
                <w:lang w:val="en-US" w:eastAsia="zh-CN"/>
              </w:rPr>
            </w:pPr>
            <w:r>
              <w:rPr>
                <w:rFonts w:hint="eastAsia"/>
                <w:vertAlign w:val="baseline"/>
                <w:lang w:val="en-US" w:eastAsia="zh-CN"/>
              </w:rPr>
              <w:t>1</w:t>
            </w:r>
            <w:r>
              <w:rPr>
                <w:rFonts w:hint="eastAsia"/>
                <w:vertAlign w:val="baseline"/>
                <w:lang w:eastAsia="zh-CN"/>
              </w:rPr>
              <w:t>）</w:t>
            </w:r>
            <w:r>
              <w:rPr>
                <w:rFonts w:hint="eastAsia"/>
                <w:vertAlign w:val="baseline"/>
                <w:lang w:val="en-US" w:eastAsia="zh-CN"/>
              </w:rPr>
              <w:t>给水</w:t>
            </w:r>
          </w:p>
          <w:p w14:paraId="422235C4">
            <w:pPr>
              <w:rPr>
                <w:rFonts w:hint="eastAsia"/>
                <w:vertAlign w:val="baseline"/>
                <w:lang w:val="en-US" w:eastAsia="zh-CN"/>
              </w:rPr>
            </w:pPr>
            <w:r>
              <w:rPr>
                <w:rFonts w:hint="eastAsia"/>
                <w:vertAlign w:val="baseline"/>
                <w:lang w:val="en-US" w:eastAsia="zh-CN"/>
              </w:rPr>
              <w:t>本项目用水由房山区市政自来水管网提供，用于动物诊疗用水、美容洗浴用水及生活用水。其中诊疗用水包括动物诊疗、手术过程中用水、医疗器械清洁用水等；美容洗浴用水为动物洗浴清洁用水；生活用水包括人员如厕、盥洗等日常用水等。</w:t>
            </w:r>
          </w:p>
          <w:p w14:paraId="11FBC489">
            <w:pPr>
              <w:rPr>
                <w:rFonts w:hint="default"/>
                <w:vertAlign w:val="baseline"/>
                <w:lang w:val="en-US" w:eastAsia="zh-CN"/>
              </w:rPr>
            </w:pPr>
            <w:r>
              <w:rPr>
                <w:rFonts w:hint="default"/>
                <w:vertAlign w:val="baseline"/>
                <w:lang w:val="en-US" w:eastAsia="zh-CN"/>
              </w:rPr>
              <w:t>①</w:t>
            </w:r>
            <w:r>
              <w:rPr>
                <w:rFonts w:hint="eastAsia"/>
                <w:vertAlign w:val="baseline"/>
                <w:lang w:val="en-US" w:eastAsia="zh-CN"/>
              </w:rPr>
              <w:t>诊疗用水</w:t>
            </w:r>
          </w:p>
          <w:p w14:paraId="075DFB3D">
            <w:pPr>
              <w:rPr>
                <w:rFonts w:hint="default"/>
                <w:vertAlign w:val="baseline"/>
                <w:lang w:val="en-US" w:eastAsia="zh-CN"/>
              </w:rPr>
            </w:pPr>
            <w:r>
              <w:rPr>
                <w:rFonts w:hint="eastAsia"/>
                <w:vertAlign w:val="baseline"/>
                <w:lang w:val="en-US" w:eastAsia="zh-CN"/>
              </w:rPr>
              <w:t>参照《建筑给水排水设计标准》（GB50015-2019），本次评价动物诊疗、手术，以及器械清洗等用水量按15L/例</w:t>
            </w:r>
            <w:r>
              <w:rPr>
                <w:rFonts w:hint="default" w:ascii="Times New Roman" w:hAnsi="Times New Roman" w:cs="Times New Roman"/>
                <w:vertAlign w:val="baseline"/>
                <w:lang w:val="en-US" w:eastAsia="zh-CN"/>
              </w:rPr>
              <w:t>·</w:t>
            </w:r>
            <w:r>
              <w:rPr>
                <w:rFonts w:hint="eastAsia"/>
                <w:vertAlign w:val="baseline"/>
                <w:lang w:val="en-US" w:eastAsia="zh-CN"/>
              </w:rPr>
              <w:t>d计，项目年运行264天，年接待普通诊疗及手术病患动物1460例，即日均接待约6例。则项目诊疗用水量为0.09m</w:t>
            </w:r>
            <w:r>
              <w:rPr>
                <w:rFonts w:hint="eastAsia"/>
                <w:vertAlign w:val="superscript"/>
                <w:lang w:val="en-US" w:eastAsia="zh-CN"/>
              </w:rPr>
              <w:t>3</w:t>
            </w:r>
            <w:r>
              <w:rPr>
                <w:rFonts w:hint="eastAsia"/>
                <w:vertAlign w:val="baseline"/>
                <w:lang w:val="en-US" w:eastAsia="zh-CN"/>
              </w:rPr>
              <w:t>/d，23.76m</w:t>
            </w:r>
            <w:r>
              <w:rPr>
                <w:rFonts w:hint="eastAsia"/>
                <w:vertAlign w:val="superscript"/>
                <w:lang w:val="en-US" w:eastAsia="zh-CN"/>
              </w:rPr>
              <w:t>3</w:t>
            </w:r>
            <w:r>
              <w:rPr>
                <w:rFonts w:hint="eastAsia"/>
                <w:vertAlign w:val="baseline"/>
                <w:lang w:val="en-US" w:eastAsia="zh-CN"/>
              </w:rPr>
              <w:t>/a。</w:t>
            </w:r>
          </w:p>
          <w:p w14:paraId="54F18D97">
            <w:pPr>
              <w:rPr>
                <w:rFonts w:hint="default"/>
                <w:vertAlign w:val="baseline"/>
                <w:lang w:val="en-US" w:eastAsia="zh-CN"/>
              </w:rPr>
            </w:pPr>
            <w:r>
              <w:rPr>
                <w:rFonts w:hint="default"/>
                <w:vertAlign w:val="baseline"/>
                <w:lang w:val="en-US" w:eastAsia="zh-CN"/>
              </w:rPr>
              <w:t>②</w:t>
            </w:r>
            <w:r>
              <w:rPr>
                <w:rFonts w:hint="eastAsia"/>
                <w:vertAlign w:val="baseline"/>
                <w:lang w:val="en-US" w:eastAsia="zh-CN"/>
              </w:rPr>
              <w:t>美容洗浴用水</w:t>
            </w:r>
          </w:p>
          <w:p w14:paraId="47894688">
            <w:pPr>
              <w:rPr>
                <w:rFonts w:hint="default"/>
                <w:vertAlign w:val="baseline"/>
                <w:lang w:val="en-US" w:eastAsia="zh-CN"/>
              </w:rPr>
            </w:pPr>
            <w:r>
              <w:rPr>
                <w:rFonts w:hint="eastAsia"/>
                <w:vertAlign w:val="baseline"/>
                <w:lang w:val="en-US" w:eastAsia="zh-CN"/>
              </w:rPr>
              <w:t>根据对动物医院的调查数据，动物美容洗浴平均用水量约为60L/例</w:t>
            </w:r>
            <w:r>
              <w:rPr>
                <w:rFonts w:hint="default" w:ascii="Times New Roman" w:hAnsi="Times New Roman" w:cs="Times New Roman"/>
                <w:vertAlign w:val="baseline"/>
                <w:lang w:val="en-US" w:eastAsia="zh-CN"/>
              </w:rPr>
              <w:t>·</w:t>
            </w:r>
            <w:r>
              <w:rPr>
                <w:rFonts w:hint="eastAsia"/>
                <w:vertAlign w:val="baseline"/>
                <w:lang w:val="en-US" w:eastAsia="zh-CN"/>
              </w:rPr>
              <w:t>d，项目年运行264天，年接待美容洗浴动物1460例，即日均接待约6例。则项目美容洗浴用水量为0.36m</w:t>
            </w:r>
            <w:r>
              <w:rPr>
                <w:rFonts w:hint="eastAsia"/>
                <w:vertAlign w:val="superscript"/>
                <w:lang w:val="en-US" w:eastAsia="zh-CN"/>
              </w:rPr>
              <w:t>3</w:t>
            </w:r>
            <w:r>
              <w:rPr>
                <w:rFonts w:hint="eastAsia"/>
                <w:vertAlign w:val="baseline"/>
                <w:lang w:val="en-US" w:eastAsia="zh-CN"/>
              </w:rPr>
              <w:t>/d，95.04m</w:t>
            </w:r>
            <w:r>
              <w:rPr>
                <w:rFonts w:hint="eastAsia"/>
                <w:vertAlign w:val="superscript"/>
                <w:lang w:val="en-US" w:eastAsia="zh-CN"/>
              </w:rPr>
              <w:t>3</w:t>
            </w:r>
            <w:r>
              <w:rPr>
                <w:rFonts w:hint="eastAsia"/>
                <w:vertAlign w:val="baseline"/>
                <w:lang w:val="en-US" w:eastAsia="zh-CN"/>
              </w:rPr>
              <w:t>/a。</w:t>
            </w:r>
          </w:p>
          <w:p w14:paraId="12F050DA">
            <w:pPr>
              <w:rPr>
                <w:rFonts w:hint="default"/>
                <w:vertAlign w:val="baseline"/>
                <w:lang w:val="en-US" w:eastAsia="zh-CN"/>
              </w:rPr>
            </w:pPr>
            <w:r>
              <w:rPr>
                <w:rFonts w:hint="default"/>
                <w:vertAlign w:val="baseline"/>
                <w:lang w:val="en-US" w:eastAsia="zh-CN"/>
              </w:rPr>
              <w:t>③</w:t>
            </w:r>
            <w:r>
              <w:rPr>
                <w:rFonts w:hint="eastAsia"/>
                <w:vertAlign w:val="baseline"/>
                <w:lang w:val="en-US" w:eastAsia="zh-CN"/>
              </w:rPr>
              <w:t>生活用水</w:t>
            </w:r>
          </w:p>
          <w:p w14:paraId="3ECF6232">
            <w:pPr>
              <w:rPr>
                <w:rFonts w:hint="default"/>
                <w:vertAlign w:val="baseline"/>
                <w:lang w:val="en-US" w:eastAsia="zh-CN"/>
              </w:rPr>
            </w:pPr>
            <w:r>
              <w:rPr>
                <w:rFonts w:hint="eastAsia"/>
                <w:vertAlign w:val="baseline"/>
                <w:lang w:val="en-US" w:eastAsia="zh-CN"/>
              </w:rPr>
              <w:t>项目生活用水依据《建筑给水排水设计标准》（GB50015-2019）中数据，门诊部、诊疗所医护人员平均日用水量约为60L/人</w:t>
            </w:r>
            <w:r>
              <w:rPr>
                <w:rFonts w:hint="default" w:ascii="Times New Roman" w:hAnsi="Times New Roman" w:cs="Times New Roman"/>
                <w:vertAlign w:val="baseline"/>
                <w:lang w:val="en-US" w:eastAsia="zh-CN"/>
              </w:rPr>
              <w:t>·</w:t>
            </w:r>
            <w:r>
              <w:rPr>
                <w:rFonts w:hint="eastAsia"/>
                <w:vertAlign w:val="baseline"/>
                <w:lang w:val="en-US" w:eastAsia="zh-CN"/>
              </w:rPr>
              <w:t>d，项目劳动定员4人，年运行264天，则项目生活用水量为0.24m</w:t>
            </w:r>
            <w:r>
              <w:rPr>
                <w:rFonts w:hint="eastAsia"/>
                <w:vertAlign w:val="superscript"/>
                <w:lang w:val="en-US" w:eastAsia="zh-CN"/>
              </w:rPr>
              <w:t>3</w:t>
            </w:r>
            <w:r>
              <w:rPr>
                <w:rFonts w:hint="eastAsia"/>
                <w:vertAlign w:val="baseline"/>
                <w:lang w:val="en-US" w:eastAsia="zh-CN"/>
              </w:rPr>
              <w:t>/d，63.36m</w:t>
            </w:r>
            <w:r>
              <w:rPr>
                <w:rFonts w:hint="eastAsia"/>
                <w:vertAlign w:val="superscript"/>
                <w:lang w:val="en-US" w:eastAsia="zh-CN"/>
              </w:rPr>
              <w:t>3</w:t>
            </w:r>
            <w:r>
              <w:rPr>
                <w:rFonts w:hint="eastAsia"/>
                <w:vertAlign w:val="baseline"/>
                <w:lang w:val="en-US" w:eastAsia="zh-CN"/>
              </w:rPr>
              <w:t>/a。</w:t>
            </w:r>
          </w:p>
          <w:p w14:paraId="0B9553B4">
            <w:pPr>
              <w:rPr>
                <w:rFonts w:hint="default"/>
                <w:vertAlign w:val="baseline"/>
                <w:lang w:val="en-US" w:eastAsia="zh-CN"/>
              </w:rPr>
            </w:pPr>
            <w:r>
              <w:rPr>
                <w:rFonts w:hint="eastAsia"/>
                <w:vertAlign w:val="baseline"/>
                <w:lang w:val="en-US" w:eastAsia="zh-CN"/>
              </w:rPr>
              <w:t>综上，本项目用水总量为0.69m</w:t>
            </w:r>
            <w:r>
              <w:rPr>
                <w:rFonts w:hint="eastAsia"/>
                <w:vertAlign w:val="superscript"/>
                <w:lang w:val="en-US" w:eastAsia="zh-CN"/>
              </w:rPr>
              <w:t>3</w:t>
            </w:r>
            <w:r>
              <w:rPr>
                <w:rFonts w:hint="eastAsia"/>
                <w:vertAlign w:val="baseline"/>
                <w:lang w:val="en-US" w:eastAsia="zh-CN"/>
              </w:rPr>
              <w:t>/d，182.16m</w:t>
            </w:r>
            <w:r>
              <w:rPr>
                <w:rFonts w:hint="eastAsia"/>
                <w:vertAlign w:val="superscript"/>
                <w:lang w:val="en-US" w:eastAsia="zh-CN"/>
              </w:rPr>
              <w:t>3</w:t>
            </w:r>
            <w:r>
              <w:rPr>
                <w:rFonts w:hint="eastAsia"/>
                <w:vertAlign w:val="baseline"/>
                <w:lang w:val="en-US" w:eastAsia="zh-CN"/>
              </w:rPr>
              <w:t>/a。</w:t>
            </w:r>
          </w:p>
          <w:p w14:paraId="09161C9E">
            <w:pPr>
              <w:rPr>
                <w:rFonts w:hint="default"/>
                <w:highlight w:val="none"/>
                <w:vertAlign w:val="baseline"/>
                <w:lang w:val="en-US" w:eastAsia="zh-CN"/>
              </w:rPr>
            </w:pPr>
            <w:r>
              <w:rPr>
                <w:rFonts w:hint="eastAsia"/>
                <w:highlight w:val="none"/>
                <w:vertAlign w:val="baseline"/>
                <w:lang w:val="en-US" w:eastAsia="zh-CN"/>
              </w:rPr>
              <w:t>2）排水</w:t>
            </w:r>
          </w:p>
          <w:p w14:paraId="4A4A9E04">
            <w:pPr>
              <w:rPr>
                <w:rFonts w:hint="eastAsia"/>
                <w:vertAlign w:val="baseline"/>
                <w:lang w:val="en-US" w:eastAsia="zh-CN"/>
              </w:rPr>
            </w:pPr>
            <w:r>
              <w:rPr>
                <w:rFonts w:hint="eastAsia"/>
                <w:vertAlign w:val="baseline"/>
                <w:lang w:val="en-US" w:eastAsia="zh-CN"/>
              </w:rPr>
              <w:t>本项目排水包括诊疗废水、美容洗浴废水和生活废水。具体如下：</w:t>
            </w:r>
          </w:p>
          <w:p w14:paraId="4F188ACE">
            <w:pPr>
              <w:rPr>
                <w:rFonts w:hint="default"/>
                <w:vertAlign w:val="baseline"/>
                <w:lang w:val="en-US" w:eastAsia="zh-CN"/>
              </w:rPr>
            </w:pPr>
            <w:r>
              <w:rPr>
                <w:rFonts w:hint="default"/>
                <w:vertAlign w:val="baseline"/>
                <w:lang w:val="en-US" w:eastAsia="zh-CN"/>
              </w:rPr>
              <w:t>①</w:t>
            </w:r>
            <w:r>
              <w:rPr>
                <w:rFonts w:hint="eastAsia"/>
                <w:vertAlign w:val="baseline"/>
                <w:lang w:val="en-US" w:eastAsia="zh-CN"/>
              </w:rPr>
              <w:t>诊疗废水</w:t>
            </w:r>
          </w:p>
          <w:p w14:paraId="6102E43D">
            <w:pPr>
              <w:rPr>
                <w:rFonts w:hint="eastAsia"/>
                <w:vertAlign w:val="baseline"/>
                <w:lang w:val="en-US" w:eastAsia="zh-CN"/>
              </w:rPr>
            </w:pPr>
            <w:r>
              <w:rPr>
                <w:rFonts w:hint="eastAsia"/>
                <w:vertAlign w:val="baseline"/>
                <w:lang w:val="en-US" w:eastAsia="zh-CN"/>
              </w:rPr>
              <w:t>根据《建筑中水设计标准》（GB50336-2018）中“建筑物按给水量计算排水量的折减系数，一般取0.85~0.95”，诊疗废水量按用水量90%计，即废水排放量0.08m</w:t>
            </w:r>
            <w:r>
              <w:rPr>
                <w:rFonts w:hint="eastAsia"/>
                <w:vertAlign w:val="superscript"/>
                <w:lang w:val="en-US" w:eastAsia="zh-CN"/>
              </w:rPr>
              <w:t>3</w:t>
            </w:r>
            <w:r>
              <w:rPr>
                <w:rFonts w:hint="eastAsia"/>
                <w:vertAlign w:val="baseline"/>
                <w:lang w:val="en-US" w:eastAsia="zh-CN"/>
              </w:rPr>
              <w:t>/d，21.38m</w:t>
            </w:r>
            <w:r>
              <w:rPr>
                <w:rFonts w:hint="eastAsia"/>
                <w:vertAlign w:val="superscript"/>
                <w:lang w:val="en-US" w:eastAsia="zh-CN"/>
              </w:rPr>
              <w:t>3</w:t>
            </w:r>
            <w:r>
              <w:rPr>
                <w:rFonts w:hint="eastAsia"/>
                <w:vertAlign w:val="baseline"/>
                <w:lang w:val="en-US" w:eastAsia="zh-CN"/>
              </w:rPr>
              <w:t>/a。</w:t>
            </w:r>
          </w:p>
          <w:p w14:paraId="37CE5877">
            <w:pPr>
              <w:rPr>
                <w:rFonts w:hint="eastAsia"/>
                <w:highlight w:val="none"/>
                <w:vertAlign w:val="baseline"/>
                <w:lang w:val="en-US" w:eastAsia="zh-CN"/>
              </w:rPr>
            </w:pPr>
            <w:r>
              <w:rPr>
                <w:rFonts w:hint="default"/>
                <w:highlight w:val="none"/>
                <w:vertAlign w:val="baseline"/>
                <w:lang w:val="en-US" w:eastAsia="zh-CN"/>
              </w:rPr>
              <w:t>②</w:t>
            </w:r>
            <w:r>
              <w:rPr>
                <w:rFonts w:hint="eastAsia"/>
                <w:highlight w:val="none"/>
                <w:vertAlign w:val="baseline"/>
                <w:lang w:val="en-US" w:eastAsia="zh-CN"/>
              </w:rPr>
              <w:t>美容洗浴废水</w:t>
            </w:r>
          </w:p>
          <w:p w14:paraId="2CA80261">
            <w:pPr>
              <w:rPr>
                <w:rFonts w:hint="default"/>
                <w:vertAlign w:val="baseline"/>
                <w:lang w:val="en-US" w:eastAsia="zh-CN"/>
              </w:rPr>
            </w:pPr>
            <w:r>
              <w:rPr>
                <w:rFonts w:hint="eastAsia"/>
                <w:vertAlign w:val="baseline"/>
                <w:lang w:val="en-US" w:eastAsia="zh-CN"/>
              </w:rPr>
              <w:t>根据《建筑中水设计标准》（GB50336-2018）中“建筑物按给水量计算排水量的折减系数，一般取0.85~0.95”，美容洗浴废水排水量按用水量90%计，即废水排放量为0.32m</w:t>
            </w:r>
            <w:r>
              <w:rPr>
                <w:rFonts w:hint="eastAsia"/>
                <w:vertAlign w:val="superscript"/>
                <w:lang w:val="en-US" w:eastAsia="zh-CN"/>
              </w:rPr>
              <w:t>3</w:t>
            </w:r>
            <w:r>
              <w:rPr>
                <w:rFonts w:hint="eastAsia"/>
                <w:vertAlign w:val="baseline"/>
                <w:lang w:val="en-US" w:eastAsia="zh-CN"/>
              </w:rPr>
              <w:t>/d，85.54m</w:t>
            </w:r>
            <w:r>
              <w:rPr>
                <w:rFonts w:hint="eastAsia"/>
                <w:vertAlign w:val="superscript"/>
                <w:lang w:val="en-US" w:eastAsia="zh-CN"/>
              </w:rPr>
              <w:t>3</w:t>
            </w:r>
            <w:r>
              <w:rPr>
                <w:rFonts w:hint="eastAsia"/>
                <w:vertAlign w:val="baseline"/>
                <w:lang w:val="en-US" w:eastAsia="zh-CN"/>
              </w:rPr>
              <w:t>/a。</w:t>
            </w:r>
          </w:p>
          <w:p w14:paraId="7790EA17">
            <w:pPr>
              <w:rPr>
                <w:rFonts w:hint="eastAsia"/>
                <w:vertAlign w:val="baseline"/>
                <w:lang w:val="en-US" w:eastAsia="zh-CN"/>
              </w:rPr>
            </w:pPr>
            <w:r>
              <w:rPr>
                <w:rFonts w:hint="eastAsia"/>
                <w:vertAlign w:val="baseline"/>
                <w:lang w:val="en-US" w:eastAsia="zh-CN"/>
              </w:rPr>
              <w:t>③生活废水</w:t>
            </w:r>
          </w:p>
          <w:p w14:paraId="36D3A391">
            <w:pPr>
              <w:rPr>
                <w:rFonts w:hint="default"/>
                <w:vertAlign w:val="baseline"/>
                <w:lang w:val="en-US" w:eastAsia="zh-CN"/>
              </w:rPr>
            </w:pPr>
            <w:r>
              <w:rPr>
                <w:rFonts w:hint="eastAsia"/>
                <w:vertAlign w:val="baseline"/>
                <w:lang w:val="en-US" w:eastAsia="zh-CN"/>
              </w:rPr>
              <w:t>根据《建筑中水设计标准》（GB50336-2018）中“建筑物按给水量计算排水量的折减系数，一般取0.85~0.95”，项目生活废水排放量按用水量的85%计，即废水排放量为0.22m</w:t>
            </w:r>
            <w:r>
              <w:rPr>
                <w:rFonts w:hint="eastAsia"/>
                <w:vertAlign w:val="superscript"/>
                <w:lang w:val="en-US" w:eastAsia="zh-CN"/>
              </w:rPr>
              <w:t>3</w:t>
            </w:r>
            <w:r>
              <w:rPr>
                <w:rFonts w:hint="eastAsia"/>
                <w:vertAlign w:val="baseline"/>
                <w:lang w:val="en-US" w:eastAsia="zh-CN"/>
              </w:rPr>
              <w:t>/d，57.02m</w:t>
            </w:r>
            <w:r>
              <w:rPr>
                <w:rFonts w:hint="eastAsia"/>
                <w:vertAlign w:val="superscript"/>
                <w:lang w:val="en-US" w:eastAsia="zh-CN"/>
              </w:rPr>
              <w:t>3</w:t>
            </w:r>
            <w:r>
              <w:rPr>
                <w:rFonts w:hint="eastAsia"/>
                <w:vertAlign w:val="baseline"/>
                <w:lang w:val="en-US" w:eastAsia="zh-CN"/>
              </w:rPr>
              <w:t>/a。</w:t>
            </w:r>
          </w:p>
          <w:p w14:paraId="7C1E5AD5">
            <w:pPr>
              <w:rPr>
                <w:rFonts w:hint="default"/>
                <w:vertAlign w:val="baseline"/>
                <w:lang w:val="en-US" w:eastAsia="zh-CN"/>
              </w:rPr>
            </w:pPr>
            <w:r>
              <w:rPr>
                <w:rFonts w:hint="eastAsia"/>
                <w:vertAlign w:val="baseline"/>
                <w:lang w:val="en-US" w:eastAsia="zh-CN"/>
              </w:rPr>
              <w:t>综上，项目总排水量为0.62m</w:t>
            </w:r>
            <w:r>
              <w:rPr>
                <w:rFonts w:hint="eastAsia"/>
                <w:vertAlign w:val="superscript"/>
                <w:lang w:val="en-US" w:eastAsia="zh-CN"/>
              </w:rPr>
              <w:t>3</w:t>
            </w:r>
            <w:r>
              <w:rPr>
                <w:rFonts w:hint="eastAsia"/>
                <w:vertAlign w:val="baseline"/>
                <w:lang w:val="en-US" w:eastAsia="zh-CN"/>
              </w:rPr>
              <w:t>/d，163.94m</w:t>
            </w:r>
            <w:r>
              <w:rPr>
                <w:rFonts w:hint="eastAsia"/>
                <w:vertAlign w:val="superscript"/>
                <w:lang w:val="en-US" w:eastAsia="zh-CN"/>
              </w:rPr>
              <w:t>3</w:t>
            </w:r>
            <w:r>
              <w:rPr>
                <w:rFonts w:hint="eastAsia"/>
                <w:vertAlign w:val="baseline"/>
                <w:lang w:val="en-US" w:eastAsia="zh-CN"/>
              </w:rPr>
              <w:t>/a。其中诊疗废水与美容洗浴废水经自建污水处理设备消毒处理后，同生活废水一同排入所在建筑集中化粪池预处理，最终通过市政污水管网汇入北京中设水处理有限公司良乡污水处理厂。</w:t>
            </w:r>
          </w:p>
          <w:p w14:paraId="3D48113A">
            <w:pPr>
              <w:rPr>
                <w:rFonts w:hint="eastAsia"/>
                <w:vertAlign w:val="baseline"/>
                <w:lang w:val="en-US" w:eastAsia="zh-CN"/>
              </w:rPr>
            </w:pPr>
            <w:r>
              <w:rPr>
                <w:rFonts w:hint="eastAsia"/>
                <w:vertAlign w:val="baseline"/>
                <w:lang w:val="en-US" w:eastAsia="zh-CN"/>
              </w:rPr>
              <w:t>本项目具体给排水情况详见下表。</w:t>
            </w:r>
          </w:p>
          <w:p w14:paraId="56F9D6BC">
            <w:pPr>
              <w:pStyle w:val="11"/>
              <w:bidi w:val="0"/>
              <w:rPr>
                <w:rFonts w:hint="eastAsia"/>
                <w:lang w:val="en-US" w:eastAsia="zh-CN"/>
              </w:rPr>
            </w:pPr>
            <w:r>
              <w:rPr>
                <w:rFonts w:hint="eastAsia"/>
                <w:lang w:val="en-US" w:eastAsia="zh-CN"/>
              </w:rPr>
              <w:t>表2-5 本项目给排水情况一览表</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541"/>
              <w:gridCol w:w="1091"/>
              <w:gridCol w:w="1091"/>
              <w:gridCol w:w="1268"/>
              <w:gridCol w:w="1132"/>
              <w:gridCol w:w="1229"/>
            </w:tblGrid>
            <w:tr w14:paraId="7D102B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1" w:type="dxa"/>
                  <w:tcBorders>
                    <w:tl2br w:val="nil"/>
                    <w:tr2bl w:val="nil"/>
                  </w:tcBorders>
                  <w:vAlign w:val="center"/>
                </w:tcPr>
                <w:p w14:paraId="6DBCAA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序号</w:t>
                  </w:r>
                </w:p>
              </w:tc>
              <w:tc>
                <w:tcPr>
                  <w:tcW w:w="1541" w:type="dxa"/>
                  <w:tcBorders>
                    <w:tl2br w:val="nil"/>
                    <w:tr2bl w:val="nil"/>
                  </w:tcBorders>
                  <w:vAlign w:val="center"/>
                </w:tcPr>
                <w:p w14:paraId="7BAB76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用水项目</w:t>
                  </w:r>
                </w:p>
              </w:tc>
              <w:tc>
                <w:tcPr>
                  <w:tcW w:w="1091" w:type="dxa"/>
                  <w:tcBorders>
                    <w:tl2br w:val="nil"/>
                    <w:tr2bl w:val="nil"/>
                  </w:tcBorders>
                  <w:vAlign w:val="center"/>
                </w:tcPr>
                <w:p w14:paraId="4E345E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用水定额</w:t>
                  </w:r>
                </w:p>
              </w:tc>
              <w:tc>
                <w:tcPr>
                  <w:tcW w:w="1091" w:type="dxa"/>
                  <w:tcBorders>
                    <w:tl2br w:val="nil"/>
                    <w:tr2bl w:val="nil"/>
                  </w:tcBorders>
                  <w:vAlign w:val="center"/>
                </w:tcPr>
                <w:p w14:paraId="7331C0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规模</w:t>
                  </w:r>
                </w:p>
              </w:tc>
              <w:tc>
                <w:tcPr>
                  <w:tcW w:w="1268" w:type="dxa"/>
                  <w:tcBorders>
                    <w:tl2br w:val="nil"/>
                    <w:tr2bl w:val="nil"/>
                  </w:tcBorders>
                  <w:vAlign w:val="center"/>
                </w:tcPr>
                <w:p w14:paraId="2FC3D7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用水量</w:t>
                  </w:r>
                </w:p>
              </w:tc>
              <w:tc>
                <w:tcPr>
                  <w:tcW w:w="1132" w:type="dxa"/>
                  <w:tcBorders>
                    <w:tl2br w:val="nil"/>
                    <w:tr2bl w:val="nil"/>
                  </w:tcBorders>
                  <w:vAlign w:val="center"/>
                </w:tcPr>
                <w:p w14:paraId="727128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排放系数</w:t>
                  </w:r>
                </w:p>
              </w:tc>
              <w:tc>
                <w:tcPr>
                  <w:tcW w:w="1229" w:type="dxa"/>
                  <w:tcBorders>
                    <w:tl2br w:val="nil"/>
                    <w:tr2bl w:val="nil"/>
                  </w:tcBorders>
                  <w:vAlign w:val="center"/>
                </w:tcPr>
                <w:p w14:paraId="12A2CB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排水量</w:t>
                  </w:r>
                </w:p>
              </w:tc>
            </w:tr>
            <w:tr w14:paraId="79F6F1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1" w:type="dxa"/>
                  <w:tcBorders>
                    <w:tl2br w:val="nil"/>
                    <w:tr2bl w:val="nil"/>
                  </w:tcBorders>
                  <w:vAlign w:val="center"/>
                </w:tcPr>
                <w:p w14:paraId="62812F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1541" w:type="dxa"/>
                  <w:tcBorders>
                    <w:tl2br w:val="nil"/>
                    <w:tr2bl w:val="nil"/>
                  </w:tcBorders>
                  <w:vAlign w:val="center"/>
                </w:tcPr>
                <w:p w14:paraId="2D8193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诊疗用水</w:t>
                  </w:r>
                </w:p>
              </w:tc>
              <w:tc>
                <w:tcPr>
                  <w:tcW w:w="1091" w:type="dxa"/>
                  <w:tcBorders>
                    <w:tl2br w:val="nil"/>
                    <w:tr2bl w:val="nil"/>
                  </w:tcBorders>
                  <w:vAlign w:val="center"/>
                </w:tcPr>
                <w:p w14:paraId="26B600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15L/例·d</w:t>
                  </w:r>
                </w:p>
              </w:tc>
              <w:tc>
                <w:tcPr>
                  <w:tcW w:w="1091" w:type="dxa"/>
                  <w:tcBorders>
                    <w:tl2br w:val="nil"/>
                    <w:tr2bl w:val="nil"/>
                  </w:tcBorders>
                  <w:vAlign w:val="center"/>
                </w:tcPr>
                <w:p w14:paraId="5B4FE1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6例/d</w:t>
                  </w:r>
                </w:p>
                <w:p w14:paraId="6CB433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264d</w:t>
                  </w:r>
                </w:p>
              </w:tc>
              <w:tc>
                <w:tcPr>
                  <w:tcW w:w="1268" w:type="dxa"/>
                  <w:tcBorders>
                    <w:tl2br w:val="nil"/>
                    <w:tr2bl w:val="nil"/>
                  </w:tcBorders>
                  <w:vAlign w:val="center"/>
                </w:tcPr>
                <w:p w14:paraId="61F3F0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0.09</w:t>
                  </w:r>
                  <w:r>
                    <w:rPr>
                      <w:rFonts w:hint="default"/>
                      <w:sz w:val="21"/>
                      <w:szCs w:val="21"/>
                      <w:vertAlign w:val="baseline"/>
                      <w:lang w:val="en-US" w:eastAsia="zh-CN"/>
                    </w:rPr>
                    <w:t>m</w:t>
                  </w:r>
                  <w:r>
                    <w:rPr>
                      <w:rFonts w:hint="default"/>
                      <w:sz w:val="21"/>
                      <w:szCs w:val="21"/>
                      <w:vertAlign w:val="superscript"/>
                      <w:lang w:val="en-US" w:eastAsia="zh-CN"/>
                    </w:rPr>
                    <w:t>3</w:t>
                  </w:r>
                  <w:r>
                    <w:rPr>
                      <w:rFonts w:hint="default"/>
                      <w:sz w:val="21"/>
                      <w:szCs w:val="21"/>
                      <w:vertAlign w:val="baseline"/>
                      <w:lang w:val="en-US" w:eastAsia="zh-CN"/>
                    </w:rPr>
                    <w:t>/d</w:t>
                  </w:r>
                </w:p>
                <w:p w14:paraId="431F91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23.76m</w:t>
                  </w:r>
                  <w:r>
                    <w:rPr>
                      <w:rFonts w:hint="eastAsia"/>
                      <w:sz w:val="21"/>
                      <w:szCs w:val="21"/>
                      <w:vertAlign w:val="superscript"/>
                      <w:lang w:val="en-US" w:eastAsia="zh-CN"/>
                    </w:rPr>
                    <w:t>3</w:t>
                  </w:r>
                  <w:r>
                    <w:rPr>
                      <w:rFonts w:hint="eastAsia"/>
                      <w:sz w:val="21"/>
                      <w:szCs w:val="21"/>
                      <w:vertAlign w:val="baseline"/>
                      <w:lang w:val="en-US" w:eastAsia="zh-CN"/>
                    </w:rPr>
                    <w:t>/a</w:t>
                  </w:r>
                </w:p>
              </w:tc>
              <w:tc>
                <w:tcPr>
                  <w:tcW w:w="1132" w:type="dxa"/>
                  <w:tcBorders>
                    <w:tl2br w:val="nil"/>
                    <w:tr2bl w:val="nil"/>
                  </w:tcBorders>
                  <w:vAlign w:val="center"/>
                </w:tcPr>
                <w:p w14:paraId="0E54EE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90%</w:t>
                  </w:r>
                </w:p>
              </w:tc>
              <w:tc>
                <w:tcPr>
                  <w:tcW w:w="1229" w:type="dxa"/>
                  <w:tcBorders>
                    <w:tl2br w:val="nil"/>
                    <w:tr2bl w:val="nil"/>
                  </w:tcBorders>
                  <w:vAlign w:val="center"/>
                </w:tcPr>
                <w:p w14:paraId="148442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0.08</w:t>
                  </w:r>
                  <w:r>
                    <w:rPr>
                      <w:rFonts w:hint="default"/>
                      <w:sz w:val="21"/>
                      <w:szCs w:val="21"/>
                      <w:vertAlign w:val="baseline"/>
                      <w:lang w:val="en-US" w:eastAsia="zh-CN"/>
                    </w:rPr>
                    <w:t>m</w:t>
                  </w:r>
                  <w:r>
                    <w:rPr>
                      <w:rFonts w:hint="default"/>
                      <w:sz w:val="21"/>
                      <w:szCs w:val="21"/>
                      <w:vertAlign w:val="superscript"/>
                      <w:lang w:val="en-US" w:eastAsia="zh-CN"/>
                    </w:rPr>
                    <w:t>3</w:t>
                  </w:r>
                  <w:r>
                    <w:rPr>
                      <w:rFonts w:hint="default"/>
                      <w:sz w:val="21"/>
                      <w:szCs w:val="21"/>
                      <w:vertAlign w:val="baseline"/>
                      <w:lang w:val="en-US" w:eastAsia="zh-CN"/>
                    </w:rPr>
                    <w:t>/d</w:t>
                  </w:r>
                </w:p>
                <w:p w14:paraId="30B137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21.38</w:t>
                  </w:r>
                  <w:r>
                    <w:rPr>
                      <w:rFonts w:hint="default"/>
                      <w:sz w:val="21"/>
                      <w:szCs w:val="21"/>
                      <w:vertAlign w:val="baseline"/>
                      <w:lang w:val="en-US" w:eastAsia="zh-CN"/>
                    </w:rPr>
                    <w:t>m</w:t>
                  </w:r>
                  <w:r>
                    <w:rPr>
                      <w:rFonts w:hint="default"/>
                      <w:sz w:val="21"/>
                      <w:szCs w:val="21"/>
                      <w:vertAlign w:val="superscript"/>
                      <w:lang w:val="en-US" w:eastAsia="zh-CN"/>
                    </w:rPr>
                    <w:t>3</w:t>
                  </w:r>
                  <w:r>
                    <w:rPr>
                      <w:rFonts w:hint="default"/>
                      <w:sz w:val="21"/>
                      <w:szCs w:val="21"/>
                      <w:vertAlign w:val="baseline"/>
                      <w:lang w:val="en-US" w:eastAsia="zh-CN"/>
                    </w:rPr>
                    <w:t>/a</w:t>
                  </w:r>
                </w:p>
              </w:tc>
            </w:tr>
            <w:tr w14:paraId="22442D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1" w:type="dxa"/>
                  <w:tcBorders>
                    <w:tl2br w:val="nil"/>
                    <w:tr2bl w:val="nil"/>
                  </w:tcBorders>
                  <w:vAlign w:val="center"/>
                </w:tcPr>
                <w:p w14:paraId="1AD9A4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w:t>
                  </w:r>
                </w:p>
              </w:tc>
              <w:tc>
                <w:tcPr>
                  <w:tcW w:w="1541" w:type="dxa"/>
                  <w:tcBorders>
                    <w:tl2br w:val="nil"/>
                    <w:tr2bl w:val="nil"/>
                  </w:tcBorders>
                  <w:vAlign w:val="center"/>
                </w:tcPr>
                <w:p w14:paraId="7A1A5D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美容洗浴用水</w:t>
                  </w:r>
                </w:p>
              </w:tc>
              <w:tc>
                <w:tcPr>
                  <w:tcW w:w="1091" w:type="dxa"/>
                  <w:tcBorders>
                    <w:tl2br w:val="nil"/>
                    <w:tr2bl w:val="nil"/>
                  </w:tcBorders>
                  <w:vAlign w:val="center"/>
                </w:tcPr>
                <w:p w14:paraId="48EFC5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60L/例</w:t>
                  </w:r>
                  <w:r>
                    <w:rPr>
                      <w:rFonts w:hint="default" w:ascii="Times New Roman" w:hAnsi="Times New Roman" w:cs="Times New Roman"/>
                      <w:sz w:val="21"/>
                      <w:szCs w:val="21"/>
                      <w:vertAlign w:val="baseline"/>
                      <w:lang w:val="en-US" w:eastAsia="zh-CN"/>
                    </w:rPr>
                    <w:t>·</w:t>
                  </w:r>
                  <w:r>
                    <w:rPr>
                      <w:rFonts w:hint="eastAsia"/>
                      <w:sz w:val="21"/>
                      <w:szCs w:val="21"/>
                      <w:vertAlign w:val="baseline"/>
                      <w:lang w:val="en-US" w:eastAsia="zh-CN"/>
                    </w:rPr>
                    <w:t>d</w:t>
                  </w:r>
                </w:p>
              </w:tc>
              <w:tc>
                <w:tcPr>
                  <w:tcW w:w="1091" w:type="dxa"/>
                  <w:tcBorders>
                    <w:tl2br w:val="nil"/>
                    <w:tr2bl w:val="nil"/>
                  </w:tcBorders>
                  <w:vAlign w:val="center"/>
                </w:tcPr>
                <w:p w14:paraId="7923AE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6例/d</w:t>
                  </w:r>
                </w:p>
                <w:p w14:paraId="52B4C5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264d</w:t>
                  </w:r>
                </w:p>
              </w:tc>
              <w:tc>
                <w:tcPr>
                  <w:tcW w:w="1268" w:type="dxa"/>
                  <w:tcBorders>
                    <w:tl2br w:val="nil"/>
                    <w:tr2bl w:val="nil"/>
                  </w:tcBorders>
                  <w:vAlign w:val="center"/>
                </w:tcPr>
                <w:p w14:paraId="52F5E4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0.36</w:t>
                  </w:r>
                  <w:r>
                    <w:rPr>
                      <w:rFonts w:hint="default"/>
                      <w:sz w:val="21"/>
                      <w:szCs w:val="21"/>
                      <w:vertAlign w:val="baseline"/>
                      <w:lang w:val="en-US" w:eastAsia="zh-CN"/>
                    </w:rPr>
                    <w:t>m</w:t>
                  </w:r>
                  <w:r>
                    <w:rPr>
                      <w:rFonts w:hint="default"/>
                      <w:sz w:val="21"/>
                      <w:szCs w:val="21"/>
                      <w:vertAlign w:val="superscript"/>
                      <w:lang w:val="en-US" w:eastAsia="zh-CN"/>
                    </w:rPr>
                    <w:t>3</w:t>
                  </w:r>
                  <w:r>
                    <w:rPr>
                      <w:rFonts w:hint="default"/>
                      <w:sz w:val="21"/>
                      <w:szCs w:val="21"/>
                      <w:vertAlign w:val="baseline"/>
                      <w:lang w:val="en-US" w:eastAsia="zh-CN"/>
                    </w:rPr>
                    <w:t>/d</w:t>
                  </w:r>
                </w:p>
                <w:p w14:paraId="0879EC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95.04m</w:t>
                  </w:r>
                  <w:r>
                    <w:rPr>
                      <w:rFonts w:hint="eastAsia"/>
                      <w:sz w:val="21"/>
                      <w:szCs w:val="21"/>
                      <w:vertAlign w:val="superscript"/>
                      <w:lang w:val="en-US" w:eastAsia="zh-CN"/>
                    </w:rPr>
                    <w:t>3</w:t>
                  </w:r>
                  <w:r>
                    <w:rPr>
                      <w:rFonts w:hint="eastAsia"/>
                      <w:sz w:val="21"/>
                      <w:szCs w:val="21"/>
                      <w:vertAlign w:val="baseline"/>
                      <w:lang w:val="en-US" w:eastAsia="zh-CN"/>
                    </w:rPr>
                    <w:t>/a</w:t>
                  </w:r>
                </w:p>
              </w:tc>
              <w:tc>
                <w:tcPr>
                  <w:tcW w:w="1132" w:type="dxa"/>
                  <w:tcBorders>
                    <w:tl2br w:val="nil"/>
                    <w:tr2bl w:val="nil"/>
                  </w:tcBorders>
                  <w:vAlign w:val="center"/>
                </w:tcPr>
                <w:p w14:paraId="5F27C0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90%</w:t>
                  </w:r>
                </w:p>
              </w:tc>
              <w:tc>
                <w:tcPr>
                  <w:tcW w:w="1229" w:type="dxa"/>
                  <w:tcBorders>
                    <w:tl2br w:val="nil"/>
                    <w:tr2bl w:val="nil"/>
                  </w:tcBorders>
                  <w:vAlign w:val="center"/>
                </w:tcPr>
                <w:p w14:paraId="5D1C00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0.32</w:t>
                  </w:r>
                  <w:r>
                    <w:rPr>
                      <w:rFonts w:hint="default"/>
                      <w:sz w:val="21"/>
                      <w:szCs w:val="21"/>
                      <w:vertAlign w:val="baseline"/>
                      <w:lang w:val="en-US" w:eastAsia="zh-CN"/>
                    </w:rPr>
                    <w:t>m</w:t>
                  </w:r>
                  <w:r>
                    <w:rPr>
                      <w:rFonts w:hint="default"/>
                      <w:sz w:val="21"/>
                      <w:szCs w:val="21"/>
                      <w:vertAlign w:val="superscript"/>
                      <w:lang w:val="en-US" w:eastAsia="zh-CN"/>
                    </w:rPr>
                    <w:t>3</w:t>
                  </w:r>
                  <w:r>
                    <w:rPr>
                      <w:rFonts w:hint="default"/>
                      <w:sz w:val="21"/>
                      <w:szCs w:val="21"/>
                      <w:vertAlign w:val="baseline"/>
                      <w:lang w:val="en-US" w:eastAsia="zh-CN"/>
                    </w:rPr>
                    <w:t>/d</w:t>
                  </w:r>
                </w:p>
                <w:p w14:paraId="662FA6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85.54</w:t>
                  </w:r>
                  <w:r>
                    <w:rPr>
                      <w:rFonts w:hint="default"/>
                      <w:sz w:val="21"/>
                      <w:szCs w:val="21"/>
                      <w:vertAlign w:val="baseline"/>
                      <w:lang w:val="en-US" w:eastAsia="zh-CN"/>
                    </w:rPr>
                    <w:t>m</w:t>
                  </w:r>
                  <w:r>
                    <w:rPr>
                      <w:rFonts w:hint="default"/>
                      <w:sz w:val="21"/>
                      <w:szCs w:val="21"/>
                      <w:vertAlign w:val="superscript"/>
                      <w:lang w:val="en-US" w:eastAsia="zh-CN"/>
                    </w:rPr>
                    <w:t>3</w:t>
                  </w:r>
                  <w:r>
                    <w:rPr>
                      <w:rFonts w:hint="default"/>
                      <w:sz w:val="21"/>
                      <w:szCs w:val="21"/>
                      <w:vertAlign w:val="baseline"/>
                      <w:lang w:val="en-US" w:eastAsia="zh-CN"/>
                    </w:rPr>
                    <w:t>/a</w:t>
                  </w:r>
                </w:p>
              </w:tc>
            </w:tr>
            <w:tr w14:paraId="03E7E2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1" w:type="dxa"/>
                  <w:tcBorders>
                    <w:tl2br w:val="nil"/>
                    <w:tr2bl w:val="nil"/>
                  </w:tcBorders>
                  <w:vAlign w:val="center"/>
                </w:tcPr>
                <w:p w14:paraId="29C664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w:t>
                  </w:r>
                </w:p>
              </w:tc>
              <w:tc>
                <w:tcPr>
                  <w:tcW w:w="1541" w:type="dxa"/>
                  <w:tcBorders>
                    <w:tl2br w:val="nil"/>
                    <w:tr2bl w:val="nil"/>
                  </w:tcBorders>
                  <w:vAlign w:val="center"/>
                </w:tcPr>
                <w:p w14:paraId="6CAB3B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生活用水</w:t>
                  </w:r>
                </w:p>
              </w:tc>
              <w:tc>
                <w:tcPr>
                  <w:tcW w:w="1091" w:type="dxa"/>
                  <w:tcBorders>
                    <w:tl2br w:val="nil"/>
                    <w:tr2bl w:val="nil"/>
                  </w:tcBorders>
                  <w:vAlign w:val="center"/>
                </w:tcPr>
                <w:p w14:paraId="7946F7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60L/人</w:t>
                  </w:r>
                  <w:r>
                    <w:rPr>
                      <w:rFonts w:hint="default" w:ascii="Times New Roman" w:hAnsi="Times New Roman" w:cs="Times New Roman"/>
                      <w:sz w:val="21"/>
                      <w:szCs w:val="21"/>
                      <w:vertAlign w:val="baseline"/>
                      <w:lang w:val="en-US" w:eastAsia="zh-CN"/>
                    </w:rPr>
                    <w:t>·</w:t>
                  </w:r>
                  <w:r>
                    <w:rPr>
                      <w:rFonts w:hint="eastAsia"/>
                      <w:sz w:val="21"/>
                      <w:szCs w:val="21"/>
                      <w:vertAlign w:val="baseline"/>
                      <w:lang w:val="en-US" w:eastAsia="zh-CN"/>
                    </w:rPr>
                    <w:t>d</w:t>
                  </w:r>
                </w:p>
              </w:tc>
              <w:tc>
                <w:tcPr>
                  <w:tcW w:w="1091" w:type="dxa"/>
                  <w:tcBorders>
                    <w:tl2br w:val="nil"/>
                    <w:tr2bl w:val="nil"/>
                  </w:tcBorders>
                  <w:vAlign w:val="center"/>
                </w:tcPr>
                <w:p w14:paraId="75EE37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4人</w:t>
                  </w:r>
                </w:p>
                <w:p w14:paraId="50ED42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264d</w:t>
                  </w:r>
                </w:p>
              </w:tc>
              <w:tc>
                <w:tcPr>
                  <w:tcW w:w="1268" w:type="dxa"/>
                  <w:tcBorders>
                    <w:tl2br w:val="nil"/>
                    <w:tr2bl w:val="nil"/>
                  </w:tcBorders>
                  <w:vAlign w:val="center"/>
                </w:tcPr>
                <w:p w14:paraId="7D4261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0.24m</w:t>
                  </w:r>
                  <w:r>
                    <w:rPr>
                      <w:rFonts w:hint="eastAsia"/>
                      <w:sz w:val="21"/>
                      <w:szCs w:val="21"/>
                      <w:vertAlign w:val="superscript"/>
                      <w:lang w:val="en-US" w:eastAsia="zh-CN"/>
                    </w:rPr>
                    <w:t>3</w:t>
                  </w:r>
                  <w:r>
                    <w:rPr>
                      <w:rFonts w:hint="eastAsia"/>
                      <w:sz w:val="21"/>
                      <w:szCs w:val="21"/>
                      <w:vertAlign w:val="baseline"/>
                      <w:lang w:val="en-US" w:eastAsia="zh-CN"/>
                    </w:rPr>
                    <w:t>/d</w:t>
                  </w:r>
                </w:p>
                <w:p w14:paraId="0859FF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63.36m</w:t>
                  </w:r>
                  <w:r>
                    <w:rPr>
                      <w:rFonts w:hint="eastAsia"/>
                      <w:sz w:val="21"/>
                      <w:szCs w:val="21"/>
                      <w:vertAlign w:val="superscript"/>
                      <w:lang w:val="en-US" w:eastAsia="zh-CN"/>
                    </w:rPr>
                    <w:t>3</w:t>
                  </w:r>
                  <w:r>
                    <w:rPr>
                      <w:rFonts w:hint="eastAsia"/>
                      <w:sz w:val="21"/>
                      <w:szCs w:val="21"/>
                      <w:vertAlign w:val="baseline"/>
                      <w:lang w:val="en-US" w:eastAsia="zh-CN"/>
                    </w:rPr>
                    <w:t>/a</w:t>
                  </w:r>
                </w:p>
              </w:tc>
              <w:tc>
                <w:tcPr>
                  <w:tcW w:w="1132" w:type="dxa"/>
                  <w:tcBorders>
                    <w:tl2br w:val="nil"/>
                    <w:tr2bl w:val="nil"/>
                  </w:tcBorders>
                  <w:vAlign w:val="center"/>
                </w:tcPr>
                <w:p w14:paraId="5F14C5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85%</w:t>
                  </w:r>
                </w:p>
              </w:tc>
              <w:tc>
                <w:tcPr>
                  <w:tcW w:w="1229" w:type="dxa"/>
                  <w:tcBorders>
                    <w:tl2br w:val="nil"/>
                    <w:tr2bl w:val="nil"/>
                  </w:tcBorders>
                  <w:vAlign w:val="center"/>
                </w:tcPr>
                <w:p w14:paraId="5E87A8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0.22</w:t>
                  </w:r>
                  <w:r>
                    <w:rPr>
                      <w:rFonts w:hint="default"/>
                      <w:sz w:val="21"/>
                      <w:szCs w:val="21"/>
                      <w:vertAlign w:val="baseline"/>
                      <w:lang w:val="en-US" w:eastAsia="zh-CN"/>
                    </w:rPr>
                    <w:t>m</w:t>
                  </w:r>
                  <w:r>
                    <w:rPr>
                      <w:rFonts w:hint="default"/>
                      <w:sz w:val="21"/>
                      <w:szCs w:val="21"/>
                      <w:vertAlign w:val="superscript"/>
                      <w:lang w:val="en-US" w:eastAsia="zh-CN"/>
                    </w:rPr>
                    <w:t>3</w:t>
                  </w:r>
                  <w:r>
                    <w:rPr>
                      <w:rFonts w:hint="default"/>
                      <w:sz w:val="21"/>
                      <w:szCs w:val="21"/>
                      <w:vertAlign w:val="baseline"/>
                      <w:lang w:val="en-US" w:eastAsia="zh-CN"/>
                    </w:rPr>
                    <w:t>/d</w:t>
                  </w:r>
                </w:p>
                <w:p w14:paraId="216C2B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57.02m</w:t>
                  </w:r>
                  <w:r>
                    <w:rPr>
                      <w:rFonts w:hint="eastAsia"/>
                      <w:sz w:val="21"/>
                      <w:szCs w:val="21"/>
                      <w:vertAlign w:val="superscript"/>
                      <w:lang w:val="en-US" w:eastAsia="zh-CN"/>
                    </w:rPr>
                    <w:t>3</w:t>
                  </w:r>
                  <w:r>
                    <w:rPr>
                      <w:rFonts w:hint="eastAsia"/>
                      <w:sz w:val="21"/>
                      <w:szCs w:val="21"/>
                      <w:vertAlign w:val="baseline"/>
                      <w:lang w:val="en-US" w:eastAsia="zh-CN"/>
                    </w:rPr>
                    <w:t>/a</w:t>
                  </w:r>
                </w:p>
              </w:tc>
            </w:tr>
            <w:tr w14:paraId="72B260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94" w:type="dxa"/>
                  <w:gridSpan w:val="4"/>
                  <w:tcBorders>
                    <w:tl2br w:val="nil"/>
                    <w:tr2bl w:val="nil"/>
                  </w:tcBorders>
                  <w:vAlign w:val="center"/>
                </w:tcPr>
                <w:p w14:paraId="200CD0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合计</w:t>
                  </w:r>
                </w:p>
              </w:tc>
              <w:tc>
                <w:tcPr>
                  <w:tcW w:w="1268" w:type="dxa"/>
                  <w:tcBorders>
                    <w:tl2br w:val="nil"/>
                    <w:tr2bl w:val="nil"/>
                  </w:tcBorders>
                  <w:vAlign w:val="center"/>
                </w:tcPr>
                <w:p w14:paraId="5C51FF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0.69m</w:t>
                  </w:r>
                  <w:r>
                    <w:rPr>
                      <w:rFonts w:hint="eastAsia"/>
                      <w:sz w:val="21"/>
                      <w:szCs w:val="21"/>
                      <w:vertAlign w:val="superscript"/>
                      <w:lang w:val="en-US" w:eastAsia="zh-CN"/>
                    </w:rPr>
                    <w:t>3</w:t>
                  </w:r>
                  <w:r>
                    <w:rPr>
                      <w:rFonts w:hint="eastAsia"/>
                      <w:sz w:val="21"/>
                      <w:szCs w:val="21"/>
                      <w:vertAlign w:val="baseline"/>
                      <w:lang w:val="en-US" w:eastAsia="zh-CN"/>
                    </w:rPr>
                    <w:t>/d</w:t>
                  </w:r>
                </w:p>
                <w:p w14:paraId="5E1CDE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182.16</w:t>
                  </w:r>
                  <w:r>
                    <w:rPr>
                      <w:rFonts w:hint="default"/>
                      <w:sz w:val="21"/>
                      <w:szCs w:val="21"/>
                      <w:vertAlign w:val="baseline"/>
                      <w:lang w:val="en-US" w:eastAsia="zh-CN"/>
                    </w:rPr>
                    <w:t>m</w:t>
                  </w:r>
                  <w:r>
                    <w:rPr>
                      <w:rFonts w:hint="default"/>
                      <w:sz w:val="21"/>
                      <w:szCs w:val="21"/>
                      <w:vertAlign w:val="superscript"/>
                      <w:lang w:val="en-US" w:eastAsia="zh-CN"/>
                    </w:rPr>
                    <w:t>3</w:t>
                  </w:r>
                  <w:r>
                    <w:rPr>
                      <w:rFonts w:hint="default"/>
                      <w:sz w:val="21"/>
                      <w:szCs w:val="21"/>
                      <w:vertAlign w:val="baseline"/>
                      <w:lang w:val="en-US" w:eastAsia="zh-CN"/>
                    </w:rPr>
                    <w:t>/a</w:t>
                  </w:r>
                </w:p>
              </w:tc>
              <w:tc>
                <w:tcPr>
                  <w:tcW w:w="1132" w:type="dxa"/>
                  <w:tcBorders>
                    <w:tl2br w:val="nil"/>
                    <w:tr2bl w:val="nil"/>
                  </w:tcBorders>
                  <w:vAlign w:val="center"/>
                </w:tcPr>
                <w:p w14:paraId="46C76A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1229" w:type="dxa"/>
                  <w:tcBorders>
                    <w:tl2br w:val="nil"/>
                    <w:tr2bl w:val="nil"/>
                  </w:tcBorders>
                  <w:vAlign w:val="center"/>
                </w:tcPr>
                <w:p w14:paraId="06F067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0.62m</w:t>
                  </w:r>
                  <w:r>
                    <w:rPr>
                      <w:rFonts w:hint="eastAsia"/>
                      <w:sz w:val="21"/>
                      <w:szCs w:val="21"/>
                      <w:vertAlign w:val="superscript"/>
                      <w:lang w:val="en-US" w:eastAsia="zh-CN"/>
                    </w:rPr>
                    <w:t>3</w:t>
                  </w:r>
                  <w:r>
                    <w:rPr>
                      <w:rFonts w:hint="eastAsia"/>
                      <w:sz w:val="21"/>
                      <w:szCs w:val="21"/>
                      <w:vertAlign w:val="baseline"/>
                      <w:lang w:val="en-US" w:eastAsia="zh-CN"/>
                    </w:rPr>
                    <w:t>/d</w:t>
                  </w:r>
                </w:p>
                <w:p w14:paraId="199EBF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163.94</w:t>
                  </w:r>
                  <w:r>
                    <w:rPr>
                      <w:rFonts w:hint="default"/>
                      <w:sz w:val="21"/>
                      <w:szCs w:val="21"/>
                      <w:vertAlign w:val="baseline"/>
                      <w:lang w:val="en-US" w:eastAsia="zh-CN"/>
                    </w:rPr>
                    <w:t>m</w:t>
                  </w:r>
                  <w:r>
                    <w:rPr>
                      <w:rFonts w:hint="default"/>
                      <w:sz w:val="21"/>
                      <w:szCs w:val="21"/>
                      <w:vertAlign w:val="superscript"/>
                      <w:lang w:val="en-US" w:eastAsia="zh-CN"/>
                    </w:rPr>
                    <w:t>3</w:t>
                  </w:r>
                  <w:r>
                    <w:rPr>
                      <w:rFonts w:hint="default"/>
                      <w:sz w:val="21"/>
                      <w:szCs w:val="21"/>
                      <w:vertAlign w:val="baseline"/>
                      <w:lang w:val="en-US" w:eastAsia="zh-CN"/>
                    </w:rPr>
                    <w:t>/a</w:t>
                  </w:r>
                </w:p>
              </w:tc>
            </w:tr>
          </w:tbl>
          <w:p w14:paraId="44003F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vertAlign w:val="baseline"/>
                <w:lang w:val="en-US" w:eastAsia="zh-CN"/>
              </w:rPr>
            </w:pPr>
            <w:r>
              <w:rPr>
                <w:rFonts w:hint="default"/>
                <w:vertAlign w:val="baseline"/>
                <w:lang w:val="en-US" w:eastAsia="zh-CN"/>
              </w:rPr>
              <w:drawing>
                <wp:inline distT="0" distB="0" distL="114300" distR="114300">
                  <wp:extent cx="5085080" cy="2295525"/>
                  <wp:effectExtent l="0" t="0" r="0" b="0"/>
                  <wp:docPr id="5"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1" descr="wps"/>
                          <pic:cNvPicPr>
                            <a:picLocks noChangeAspect="1"/>
                          </pic:cNvPicPr>
                        </pic:nvPicPr>
                        <pic:blipFill>
                          <a:blip r:embed="rId16"/>
                          <a:stretch>
                            <a:fillRect/>
                          </a:stretch>
                        </pic:blipFill>
                        <pic:spPr>
                          <a:xfrm>
                            <a:off x="0" y="0"/>
                            <a:ext cx="5085080" cy="2295525"/>
                          </a:xfrm>
                          <a:prstGeom prst="rect">
                            <a:avLst/>
                          </a:prstGeom>
                        </pic:spPr>
                      </pic:pic>
                    </a:graphicData>
                  </a:graphic>
                </wp:inline>
              </w:drawing>
            </w:r>
          </w:p>
          <w:p w14:paraId="0B0191FC">
            <w:pPr>
              <w:pStyle w:val="11"/>
              <w:bidi w:val="0"/>
              <w:rPr>
                <w:rFonts w:hint="default"/>
                <w:vertAlign w:val="baseline"/>
                <w:lang w:val="en-US" w:eastAsia="zh-CN"/>
              </w:rPr>
            </w:pPr>
            <w:r>
              <w:rPr>
                <w:rFonts w:hint="eastAsia"/>
                <w:vertAlign w:val="baseline"/>
                <w:lang w:val="en-US" w:eastAsia="zh-CN"/>
              </w:rPr>
              <w:t>图2-1 本项目水平衡图  单位：m</w:t>
            </w:r>
            <w:r>
              <w:rPr>
                <w:rFonts w:hint="eastAsia"/>
                <w:vertAlign w:val="superscript"/>
                <w:lang w:val="en-US" w:eastAsia="zh-CN"/>
              </w:rPr>
              <w:t>3</w:t>
            </w:r>
            <w:r>
              <w:rPr>
                <w:rFonts w:hint="eastAsia"/>
                <w:vertAlign w:val="baseline"/>
                <w:lang w:val="en-US" w:eastAsia="zh-CN"/>
              </w:rPr>
              <w:t>/a</w:t>
            </w:r>
          </w:p>
          <w:p w14:paraId="7C05D9E4">
            <w:pPr>
              <w:rPr>
                <w:rFonts w:hint="default" w:eastAsia="宋体"/>
                <w:vertAlign w:val="baseline"/>
                <w:lang w:val="en-US" w:eastAsia="zh-CN"/>
              </w:rPr>
            </w:pPr>
            <w:r>
              <w:rPr>
                <w:rFonts w:hint="eastAsia"/>
                <w:vertAlign w:val="baseline"/>
                <w:lang w:eastAsia="zh-CN"/>
              </w:rPr>
              <w:t>（</w:t>
            </w:r>
            <w:r>
              <w:rPr>
                <w:rFonts w:hint="eastAsia"/>
                <w:vertAlign w:val="baseline"/>
                <w:lang w:val="en-US" w:eastAsia="zh-CN"/>
              </w:rPr>
              <w:t>2</w:t>
            </w:r>
            <w:r>
              <w:rPr>
                <w:rFonts w:hint="eastAsia"/>
                <w:vertAlign w:val="baseline"/>
                <w:lang w:eastAsia="zh-CN"/>
              </w:rPr>
              <w:t>）</w:t>
            </w:r>
            <w:r>
              <w:rPr>
                <w:rFonts w:hint="eastAsia"/>
                <w:vertAlign w:val="baseline"/>
                <w:lang w:val="en-US" w:eastAsia="zh-CN"/>
              </w:rPr>
              <w:t>供电</w:t>
            </w:r>
          </w:p>
          <w:p w14:paraId="4D91CE65">
            <w:pPr>
              <w:rPr>
                <w:vertAlign w:val="baseline"/>
              </w:rPr>
            </w:pPr>
            <w:r>
              <w:rPr>
                <w:rFonts w:hint="eastAsia"/>
                <w:vertAlign w:val="baseline"/>
              </w:rPr>
              <w:t>本项目用电引自园区市政电网，电力供应充足，可以满足项目需求。</w:t>
            </w:r>
          </w:p>
          <w:p w14:paraId="254B9329">
            <w:pPr>
              <w:rPr>
                <w:rFonts w:hint="eastAsia" w:eastAsia="宋体"/>
                <w:vertAlign w:val="baseline"/>
                <w:lang w:eastAsia="zh-CN"/>
              </w:rPr>
            </w:pPr>
            <w:r>
              <w:rPr>
                <w:rFonts w:hint="eastAsia"/>
                <w:vertAlign w:val="baseline"/>
                <w:lang w:eastAsia="zh-CN"/>
              </w:rPr>
              <w:t>（</w:t>
            </w:r>
            <w:r>
              <w:rPr>
                <w:rFonts w:hint="eastAsia"/>
                <w:vertAlign w:val="baseline"/>
                <w:lang w:val="en-US" w:eastAsia="zh-CN"/>
              </w:rPr>
              <w:t>3</w:t>
            </w:r>
            <w:r>
              <w:rPr>
                <w:rFonts w:hint="eastAsia"/>
                <w:vertAlign w:val="baseline"/>
                <w:lang w:eastAsia="zh-CN"/>
              </w:rPr>
              <w:t>）供暖、制冷</w:t>
            </w:r>
          </w:p>
          <w:p w14:paraId="28DFCBB2">
            <w:pPr>
              <w:rPr>
                <w:rFonts w:hint="eastAsia"/>
                <w:vertAlign w:val="baseline"/>
              </w:rPr>
            </w:pPr>
            <w:r>
              <w:rPr>
                <w:rFonts w:hint="eastAsia"/>
                <w:vertAlign w:val="baseline"/>
              </w:rPr>
              <w:t>本项目冬季供暖</w:t>
            </w:r>
            <w:r>
              <w:rPr>
                <w:rFonts w:hint="eastAsia"/>
                <w:vertAlign w:val="baseline"/>
                <w:lang w:val="en-US" w:eastAsia="zh-CN"/>
              </w:rPr>
              <w:t>由市政集中供暖提供，夏季制冷</w:t>
            </w:r>
            <w:r>
              <w:rPr>
                <w:rFonts w:hint="eastAsia"/>
                <w:vertAlign w:val="baseline"/>
              </w:rPr>
              <w:t>使用空调。</w:t>
            </w:r>
          </w:p>
        </w:tc>
      </w:tr>
      <w:tr w14:paraId="4C257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9" w:type="dxa"/>
            <w:vAlign w:val="center"/>
          </w:tcPr>
          <w:p w14:paraId="6CA8C1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工艺流程和产排污环节</w:t>
            </w:r>
          </w:p>
        </w:tc>
        <w:tc>
          <w:tcPr>
            <w:tcW w:w="8239" w:type="dxa"/>
            <w:vAlign w:val="center"/>
          </w:tcPr>
          <w:p w14:paraId="5B7F1E78">
            <w:pPr>
              <w:rPr>
                <w:rFonts w:hint="default" w:eastAsia="宋体"/>
                <w:vertAlign w:val="baseline"/>
                <w:lang w:val="en-US" w:eastAsia="zh-CN"/>
              </w:rPr>
            </w:pPr>
            <w:r>
              <w:rPr>
                <w:rFonts w:hint="eastAsia"/>
                <w:vertAlign w:val="baseline"/>
                <w:lang w:val="en-US" w:eastAsia="zh-CN"/>
              </w:rPr>
              <w:t>1、施工期</w:t>
            </w:r>
          </w:p>
          <w:p w14:paraId="669402A3">
            <w:pPr>
              <w:rPr>
                <w:rFonts w:hint="eastAsia"/>
                <w:vertAlign w:val="baseline"/>
                <w:lang w:val="en-US" w:eastAsia="zh-CN"/>
              </w:rPr>
            </w:pPr>
            <w:r>
              <w:rPr>
                <w:rFonts w:hint="eastAsia"/>
                <w:vertAlign w:val="baseline"/>
                <w:lang w:val="en-US" w:eastAsia="zh-CN"/>
              </w:rPr>
              <w:t>本项目施工期主要为设备安装调试和购置办公家具，施工期工艺流程图及产排污环节详见下图。</w:t>
            </w:r>
          </w:p>
          <w:p w14:paraId="5E9B2BA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vertAlign w:val="baseline"/>
                <w:lang w:val="en-US" w:eastAsia="zh-CN"/>
              </w:rPr>
            </w:pPr>
            <w:r>
              <w:rPr>
                <w:rFonts w:hint="eastAsia"/>
                <w:vertAlign w:val="baseline"/>
                <w:lang w:val="en-US" w:eastAsia="zh-CN"/>
              </w:rPr>
              <w:drawing>
                <wp:inline distT="0" distB="0" distL="114300" distR="114300">
                  <wp:extent cx="3599815" cy="930275"/>
                  <wp:effectExtent l="0" t="0" r="0" b="0"/>
                  <wp:docPr id="13"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B019B1-382A-4266-B25C-5B523AA43C14-2" descr="wps"/>
                          <pic:cNvPicPr>
                            <a:picLocks noChangeAspect="1"/>
                          </pic:cNvPicPr>
                        </pic:nvPicPr>
                        <pic:blipFill>
                          <a:blip r:embed="rId17"/>
                          <a:stretch>
                            <a:fillRect/>
                          </a:stretch>
                        </pic:blipFill>
                        <pic:spPr>
                          <a:xfrm>
                            <a:off x="0" y="0"/>
                            <a:ext cx="3599815" cy="930275"/>
                          </a:xfrm>
                          <a:prstGeom prst="rect">
                            <a:avLst/>
                          </a:prstGeom>
                        </pic:spPr>
                      </pic:pic>
                    </a:graphicData>
                  </a:graphic>
                </wp:inline>
              </w:drawing>
            </w:r>
          </w:p>
          <w:p w14:paraId="469DC336">
            <w:pPr>
              <w:pStyle w:val="11"/>
              <w:bidi w:val="0"/>
              <w:rPr>
                <w:rFonts w:hint="eastAsia"/>
                <w:lang w:val="en-US" w:eastAsia="zh-CN"/>
              </w:rPr>
            </w:pPr>
            <w:r>
              <w:rPr>
                <w:rFonts w:hint="eastAsia"/>
                <w:lang w:val="en-US" w:eastAsia="zh-CN"/>
              </w:rPr>
              <w:t>图2-2 施工期工艺流程及产排污节点图</w:t>
            </w:r>
          </w:p>
          <w:p w14:paraId="484E57E9">
            <w:pPr>
              <w:rPr>
                <w:rFonts w:hint="default"/>
                <w:vertAlign w:val="baseline"/>
                <w:lang w:val="en-US" w:eastAsia="zh-CN"/>
              </w:rPr>
            </w:pPr>
            <w:r>
              <w:rPr>
                <w:rFonts w:hint="eastAsia"/>
                <w:vertAlign w:val="baseline"/>
                <w:lang w:val="en-US" w:eastAsia="zh-CN"/>
              </w:rPr>
              <w:t>（1）废气</w:t>
            </w:r>
          </w:p>
          <w:p w14:paraId="37E06C80">
            <w:pPr>
              <w:rPr>
                <w:rFonts w:hint="eastAsia"/>
                <w:vertAlign w:val="baseline"/>
                <w:lang w:val="en-US" w:eastAsia="zh-CN"/>
              </w:rPr>
            </w:pPr>
            <w:r>
              <w:rPr>
                <w:rFonts w:hint="eastAsia"/>
                <w:vertAlign w:val="baseline"/>
                <w:lang w:val="en-US" w:eastAsia="zh-CN"/>
              </w:rPr>
              <w:t>施工期间，废气主要为装修产生的扬尘，影响范围局限在室内，对外环境影响较小。</w:t>
            </w:r>
          </w:p>
          <w:p w14:paraId="7C4B82A3">
            <w:pPr>
              <w:rPr>
                <w:rFonts w:hint="default"/>
                <w:vertAlign w:val="baseline"/>
                <w:lang w:val="en-US" w:eastAsia="zh-CN"/>
              </w:rPr>
            </w:pPr>
            <w:r>
              <w:rPr>
                <w:rFonts w:hint="eastAsia"/>
                <w:vertAlign w:val="baseline"/>
                <w:lang w:val="en-US" w:eastAsia="zh-CN"/>
              </w:rPr>
              <w:t>（2）废水</w:t>
            </w:r>
          </w:p>
          <w:p w14:paraId="1B153DD4">
            <w:pPr>
              <w:rPr>
                <w:rFonts w:hint="eastAsia"/>
                <w:vertAlign w:val="baseline"/>
                <w:lang w:val="en-US" w:eastAsia="zh-CN"/>
              </w:rPr>
            </w:pPr>
            <w:r>
              <w:rPr>
                <w:rFonts w:hint="eastAsia"/>
                <w:vertAlign w:val="baseline"/>
                <w:lang w:val="en-US" w:eastAsia="zh-CN"/>
              </w:rPr>
              <w:t>施工期间，项目经营场所内不设食宿及卫生间，施工人员日常生活依托附近配套设施，施工期无废水排放。</w:t>
            </w:r>
          </w:p>
          <w:p w14:paraId="64745169">
            <w:pPr>
              <w:rPr>
                <w:rFonts w:hint="default"/>
                <w:vertAlign w:val="baseline"/>
                <w:lang w:val="en-US" w:eastAsia="zh-CN"/>
              </w:rPr>
            </w:pPr>
            <w:r>
              <w:rPr>
                <w:rFonts w:hint="eastAsia"/>
                <w:vertAlign w:val="baseline"/>
                <w:lang w:val="en-US" w:eastAsia="zh-CN"/>
              </w:rPr>
              <w:t>（3）噪声</w:t>
            </w:r>
          </w:p>
          <w:p w14:paraId="7A74B4A4">
            <w:pPr>
              <w:rPr>
                <w:rFonts w:hint="eastAsia"/>
                <w:vertAlign w:val="baseline"/>
                <w:lang w:val="en-US" w:eastAsia="zh-CN"/>
              </w:rPr>
            </w:pPr>
            <w:r>
              <w:rPr>
                <w:rFonts w:hint="eastAsia"/>
                <w:vertAlign w:val="baseline"/>
                <w:lang w:val="en-US" w:eastAsia="zh-CN"/>
              </w:rPr>
              <w:t>施工期间，噪声主要来自于施工机械设备（如电钻、电锯）使用过程产生的噪声，部分设备噪声值较高，但属于间歇性噪声。</w:t>
            </w:r>
          </w:p>
          <w:p w14:paraId="2A2EC610">
            <w:pPr>
              <w:rPr>
                <w:rFonts w:hint="default"/>
                <w:vertAlign w:val="baseline"/>
                <w:lang w:val="en-US" w:eastAsia="zh-CN"/>
              </w:rPr>
            </w:pPr>
            <w:r>
              <w:rPr>
                <w:rFonts w:hint="eastAsia"/>
                <w:vertAlign w:val="baseline"/>
                <w:lang w:val="en-US" w:eastAsia="zh-CN"/>
              </w:rPr>
              <w:t>（4）固体废物</w:t>
            </w:r>
          </w:p>
          <w:p w14:paraId="2B709998">
            <w:pPr>
              <w:rPr>
                <w:rFonts w:hint="eastAsia"/>
                <w:vertAlign w:val="baseline"/>
                <w:lang w:val="en-US" w:eastAsia="zh-CN"/>
              </w:rPr>
            </w:pPr>
            <w:r>
              <w:rPr>
                <w:rFonts w:hint="eastAsia"/>
                <w:vertAlign w:val="baseline"/>
                <w:lang w:val="en-US" w:eastAsia="zh-CN"/>
              </w:rPr>
              <w:t>施工期间，固体废物主要来自于施工过程产生的装修垃圾，以砂砾和混凝土废物为主。</w:t>
            </w:r>
          </w:p>
          <w:p w14:paraId="31B3F745">
            <w:pPr>
              <w:rPr>
                <w:rFonts w:hint="default"/>
                <w:vertAlign w:val="baseline"/>
                <w:lang w:val="en-US" w:eastAsia="zh-CN"/>
              </w:rPr>
            </w:pPr>
            <w:r>
              <w:rPr>
                <w:rFonts w:hint="eastAsia"/>
                <w:vertAlign w:val="baseline"/>
                <w:lang w:val="en-US" w:eastAsia="zh-CN"/>
              </w:rPr>
              <w:t>2、运营期</w:t>
            </w:r>
          </w:p>
          <w:p w14:paraId="47F3C541">
            <w:pPr>
              <w:rPr>
                <w:rFonts w:hint="eastAsia"/>
                <w:vertAlign w:val="baseline"/>
                <w:lang w:val="en-US" w:eastAsia="zh-CN"/>
              </w:rPr>
            </w:pPr>
            <w:r>
              <w:rPr>
                <w:rFonts w:hint="eastAsia"/>
                <w:vertAlign w:val="baseline"/>
                <w:lang w:val="en-US" w:eastAsia="zh-CN"/>
              </w:rPr>
              <w:t>本项目开展动物美容洗浴，以及动物疾病预防、诊疗、治疗和绝育手术。工艺流程及产污环节如下：</w:t>
            </w:r>
          </w:p>
          <w:p w14:paraId="3BE48063">
            <w:pPr>
              <w:rPr>
                <w:rFonts w:hint="eastAsia"/>
                <w:vertAlign w:val="baseline"/>
                <w:lang w:val="en-US" w:eastAsia="zh-CN"/>
              </w:rPr>
            </w:pPr>
          </w:p>
          <w:p w14:paraId="275D362A">
            <w:pPr>
              <w:rPr>
                <w:rFonts w:hint="eastAsia"/>
                <w:vertAlign w:val="baseline"/>
                <w:lang w:val="en-US" w:eastAsia="zh-CN"/>
              </w:rPr>
            </w:pPr>
          </w:p>
          <w:p w14:paraId="64B19D00">
            <w:pPr>
              <w:rPr>
                <w:rFonts w:hint="eastAsia"/>
                <w:vertAlign w:val="baseline"/>
                <w:lang w:val="en-US" w:eastAsia="zh-CN"/>
              </w:rPr>
            </w:pPr>
          </w:p>
          <w:p w14:paraId="482F034B">
            <w:pPr>
              <w:rPr>
                <w:rFonts w:hint="eastAsia"/>
                <w:vertAlign w:val="baseline"/>
                <w:lang w:val="en-US" w:eastAsia="zh-CN"/>
              </w:rPr>
            </w:pPr>
          </w:p>
          <w:p w14:paraId="0A878A19">
            <w:pPr>
              <w:rPr>
                <w:rFonts w:hint="eastAsia"/>
                <w:vertAlign w:val="baseline"/>
                <w:lang w:val="en-US" w:eastAsia="zh-CN"/>
              </w:rPr>
            </w:pPr>
          </w:p>
          <w:p w14:paraId="3A74D1BA">
            <w:pPr>
              <w:rPr>
                <w:rFonts w:hint="eastAsia"/>
                <w:vertAlign w:val="baseline"/>
                <w:lang w:val="en-US" w:eastAsia="zh-CN"/>
              </w:rPr>
            </w:pPr>
          </w:p>
          <w:p w14:paraId="4343654D">
            <w:pPr>
              <w:rPr>
                <w:rFonts w:hint="eastAsia"/>
                <w:vertAlign w:val="baseline"/>
                <w:lang w:val="en-US" w:eastAsia="zh-CN"/>
              </w:rPr>
            </w:pPr>
          </w:p>
          <w:p w14:paraId="669444D4">
            <w:pPr>
              <w:rPr>
                <w:rFonts w:hint="eastAsia"/>
                <w:vertAlign w:val="baseline"/>
                <w:lang w:val="en-US" w:eastAsia="zh-CN"/>
              </w:rPr>
            </w:pPr>
          </w:p>
          <w:p w14:paraId="73EB6E0D">
            <w:pPr>
              <w:rPr>
                <w:rFonts w:hint="eastAsia"/>
                <w:vertAlign w:val="baseline"/>
                <w:lang w:val="en-US" w:eastAsia="zh-CN"/>
              </w:rPr>
            </w:pPr>
          </w:p>
          <w:p w14:paraId="1192E6C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vertAlign w:val="baseline"/>
                <w:lang w:val="en-US" w:eastAsia="zh-CN"/>
              </w:rPr>
            </w:pPr>
            <w:r>
              <w:drawing>
                <wp:inline distT="0" distB="0" distL="114300" distR="114300">
                  <wp:extent cx="5092065" cy="3358515"/>
                  <wp:effectExtent l="0" t="0" r="13335" b="133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tretch>
                            <a:fillRect/>
                          </a:stretch>
                        </pic:blipFill>
                        <pic:spPr>
                          <a:xfrm>
                            <a:off x="0" y="0"/>
                            <a:ext cx="5092065" cy="3358515"/>
                          </a:xfrm>
                          <a:prstGeom prst="rect">
                            <a:avLst/>
                          </a:prstGeom>
                          <a:noFill/>
                          <a:ln>
                            <a:noFill/>
                          </a:ln>
                        </pic:spPr>
                      </pic:pic>
                    </a:graphicData>
                  </a:graphic>
                </wp:inline>
              </w:drawing>
            </w:r>
          </w:p>
          <w:p w14:paraId="544B61F3">
            <w:pPr>
              <w:pStyle w:val="11"/>
              <w:bidi w:val="0"/>
              <w:rPr>
                <w:rFonts w:hint="default"/>
                <w:lang w:val="en-US" w:eastAsia="zh-CN"/>
              </w:rPr>
            </w:pPr>
            <w:r>
              <w:rPr>
                <w:rFonts w:hint="eastAsia"/>
                <w:lang w:val="en-US" w:eastAsia="zh-CN"/>
              </w:rPr>
              <w:t>图2-2 营运期工艺流程和产排污环节图</w:t>
            </w:r>
          </w:p>
          <w:p w14:paraId="23DF54BB">
            <w:pPr>
              <w:rPr>
                <w:rFonts w:hint="default"/>
                <w:vertAlign w:val="baseline"/>
                <w:lang w:val="en-US" w:eastAsia="zh-CN"/>
              </w:rPr>
            </w:pPr>
            <w:r>
              <w:rPr>
                <w:rFonts w:hint="default"/>
                <w:vertAlign w:val="baseline"/>
                <w:lang w:val="en-US" w:eastAsia="zh-CN"/>
              </w:rPr>
              <w:t>动物入院挂号后，到诊室进行检查，视患病动物病情的严重程度，选择对其进行不同的治疗方式。打疫苗及其他病情较轻的病例进行免疫处置及简单处理，取药后离院；若病情较重则需进行手术等，术后病状态较好的动物，由主人直接接回自家。项目夜间不接诊，不寄养动物。项目设有住院服务留宿术后重症动物，故项目有夜间运行。</w:t>
            </w:r>
          </w:p>
          <w:p w14:paraId="39172EF3">
            <w:pPr>
              <w:rPr>
                <w:rFonts w:hint="default"/>
                <w:vertAlign w:val="baseline"/>
                <w:lang w:val="en-US" w:eastAsia="zh-CN"/>
              </w:rPr>
            </w:pPr>
            <w:r>
              <w:rPr>
                <w:rFonts w:hint="default"/>
                <w:vertAlign w:val="baseline"/>
                <w:lang w:val="en-US" w:eastAsia="zh-CN"/>
              </w:rPr>
              <w:t>本项目所使用的检验耗材为试纸或常规的一次性检验试剂盒，使用后按医疗废物回收处理，诊疗废水中不含强酸、强碱、重金属、剧毒物质。</w:t>
            </w:r>
          </w:p>
          <w:p w14:paraId="4E23CB7C">
            <w:pPr>
              <w:rPr>
                <w:rFonts w:hint="default"/>
                <w:vertAlign w:val="baseline"/>
                <w:lang w:val="en-US" w:eastAsia="zh-CN"/>
              </w:rPr>
            </w:pPr>
            <w:r>
              <w:rPr>
                <w:rFonts w:hint="default"/>
                <w:vertAlign w:val="baseline"/>
                <w:lang w:val="en-US" w:eastAsia="zh-CN"/>
              </w:rPr>
              <w:t>项目动物诊疗及手术等过程中产生诊疗废水及医疗废物；动物诊疗废水及美容洗浴废水中的动物毛发应属于感染性废物，被水池篦子等拦截后收集暂存；人员日常办公生活过程产生生活</w:t>
            </w:r>
            <w:r>
              <w:rPr>
                <w:rFonts w:hint="eastAsia"/>
                <w:vertAlign w:val="baseline"/>
                <w:lang w:val="en-US" w:eastAsia="zh-CN"/>
              </w:rPr>
              <w:t>废水</w:t>
            </w:r>
            <w:r>
              <w:rPr>
                <w:rFonts w:hint="default"/>
                <w:vertAlign w:val="baseline"/>
                <w:lang w:val="en-US" w:eastAsia="zh-CN"/>
              </w:rPr>
              <w:t>和生活垃圾。医院使用的原辅材料外包装物、医疗器械等的外包装物，以及动物异味净化设施中产生的废饱和活性炭，均为一般工业固体废物；动物诊疗过程中医疗设备和污水处理设备运行中产生噪声，以及就诊动物发出叫声；动物自身产生异味废气等。</w:t>
            </w:r>
          </w:p>
          <w:p w14:paraId="5948DF5F">
            <w:pPr>
              <w:rPr>
                <w:rFonts w:hint="default"/>
                <w:vertAlign w:val="baseline"/>
                <w:lang w:val="en-US" w:eastAsia="zh-CN"/>
              </w:rPr>
            </w:pPr>
            <w:r>
              <w:rPr>
                <w:rFonts w:hint="default"/>
                <w:vertAlign w:val="baseline"/>
                <w:lang w:val="en-US" w:eastAsia="zh-CN"/>
              </w:rPr>
              <w:t>项目主要产污环节见下表。</w:t>
            </w:r>
          </w:p>
          <w:p w14:paraId="6234EFA2">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cs="Times New Roman" w:eastAsiaTheme="minorEastAsia"/>
                <w:b w:val="0"/>
                <w:bCs w:val="0"/>
                <w:color w:val="auto"/>
                <w:sz w:val="24"/>
                <w:szCs w:val="24"/>
                <w:highlight w:val="none"/>
                <w:lang w:val="en-US" w:eastAsia="zh-CN"/>
              </w:rPr>
            </w:pPr>
            <w:r>
              <w:rPr>
                <w:rFonts w:hint="eastAsia" w:ascii="Times New Roman" w:hAnsi="Times New Roman" w:cs="Times New Roman" w:eastAsiaTheme="minorEastAsia"/>
                <w:b/>
                <w:bCs/>
                <w:color w:val="auto"/>
                <w:sz w:val="21"/>
                <w:szCs w:val="21"/>
                <w:highlight w:val="none"/>
                <w:lang w:val="en-US" w:eastAsia="zh-CN"/>
              </w:rPr>
              <w:t>表2-8 项目污染源与污染因子识别</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8"/>
              <w:gridCol w:w="2348"/>
              <w:gridCol w:w="2051"/>
              <w:gridCol w:w="645"/>
              <w:gridCol w:w="2501"/>
            </w:tblGrid>
            <w:tr w14:paraId="5A0269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dxa"/>
                  <w:tcBorders>
                    <w:tl2br w:val="nil"/>
                    <w:tr2bl w:val="nil"/>
                  </w:tcBorders>
                  <w:vAlign w:val="center"/>
                </w:tcPr>
                <w:p w14:paraId="38D1C771">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eastAsiaTheme="minorEastAsia"/>
                      <w:b/>
                      <w:bCs/>
                      <w:color w:val="auto"/>
                      <w:sz w:val="21"/>
                      <w:szCs w:val="21"/>
                      <w:highlight w:val="none"/>
                      <w:vertAlign w:val="baseline"/>
                      <w:lang w:val="en-US" w:eastAsia="zh-CN"/>
                    </w:rPr>
                    <w:t>类别</w:t>
                  </w:r>
                </w:p>
              </w:tc>
              <w:tc>
                <w:tcPr>
                  <w:tcW w:w="2348" w:type="dxa"/>
                  <w:tcBorders>
                    <w:tl2br w:val="nil"/>
                    <w:tr2bl w:val="nil"/>
                  </w:tcBorders>
                  <w:vAlign w:val="center"/>
                </w:tcPr>
                <w:p w14:paraId="024FB46D">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eastAsiaTheme="minorEastAsia"/>
                      <w:b/>
                      <w:bCs/>
                      <w:color w:val="auto"/>
                      <w:sz w:val="21"/>
                      <w:szCs w:val="21"/>
                      <w:highlight w:val="none"/>
                      <w:vertAlign w:val="baseline"/>
                      <w:lang w:val="en-US" w:eastAsia="zh-CN"/>
                    </w:rPr>
                    <w:t>污染源</w:t>
                  </w:r>
                </w:p>
              </w:tc>
              <w:tc>
                <w:tcPr>
                  <w:tcW w:w="2051" w:type="dxa"/>
                  <w:tcBorders>
                    <w:tl2br w:val="nil"/>
                    <w:tr2bl w:val="nil"/>
                  </w:tcBorders>
                  <w:vAlign w:val="center"/>
                </w:tcPr>
                <w:p w14:paraId="2A97156E">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eastAsiaTheme="minorEastAsia"/>
                      <w:b/>
                      <w:bCs/>
                      <w:color w:val="auto"/>
                      <w:sz w:val="21"/>
                      <w:szCs w:val="21"/>
                      <w:highlight w:val="none"/>
                      <w:vertAlign w:val="baseline"/>
                      <w:lang w:val="en-US" w:eastAsia="zh-CN"/>
                    </w:rPr>
                    <w:t>污染因子</w:t>
                  </w:r>
                </w:p>
              </w:tc>
              <w:tc>
                <w:tcPr>
                  <w:tcW w:w="645" w:type="dxa"/>
                  <w:tcBorders>
                    <w:tl2br w:val="nil"/>
                    <w:tr2bl w:val="nil"/>
                  </w:tcBorders>
                  <w:vAlign w:val="center"/>
                </w:tcPr>
                <w:p w14:paraId="59110614">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eastAsiaTheme="minorEastAsia"/>
                      <w:b/>
                      <w:bCs/>
                      <w:color w:val="auto"/>
                      <w:sz w:val="21"/>
                      <w:szCs w:val="21"/>
                      <w:highlight w:val="none"/>
                      <w:vertAlign w:val="baseline"/>
                      <w:lang w:val="en-US" w:eastAsia="zh-CN"/>
                    </w:rPr>
                    <w:t>产生特征</w:t>
                  </w:r>
                </w:p>
              </w:tc>
              <w:tc>
                <w:tcPr>
                  <w:tcW w:w="2501" w:type="dxa"/>
                  <w:tcBorders>
                    <w:tl2br w:val="nil"/>
                    <w:tr2bl w:val="nil"/>
                  </w:tcBorders>
                  <w:vAlign w:val="center"/>
                </w:tcPr>
                <w:p w14:paraId="239D7047">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eastAsiaTheme="minorEastAsia"/>
                      <w:b/>
                      <w:bCs/>
                      <w:color w:val="auto"/>
                      <w:sz w:val="21"/>
                      <w:szCs w:val="21"/>
                      <w:highlight w:val="none"/>
                      <w:vertAlign w:val="baseline"/>
                      <w:lang w:val="en-US" w:eastAsia="zh-CN"/>
                    </w:rPr>
                    <w:t>治理设施</w:t>
                  </w:r>
                </w:p>
              </w:tc>
            </w:tr>
            <w:tr w14:paraId="1E39BB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dxa"/>
                  <w:tcBorders>
                    <w:tl2br w:val="nil"/>
                    <w:tr2bl w:val="nil"/>
                  </w:tcBorders>
                  <w:vAlign w:val="center"/>
                </w:tcPr>
                <w:p w14:paraId="2CC366D2">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废气</w:t>
                  </w:r>
                </w:p>
              </w:tc>
              <w:tc>
                <w:tcPr>
                  <w:tcW w:w="2348" w:type="dxa"/>
                  <w:tcBorders>
                    <w:tl2br w:val="nil"/>
                    <w:tr2bl w:val="nil"/>
                  </w:tcBorders>
                  <w:vAlign w:val="center"/>
                </w:tcPr>
                <w:p w14:paraId="72CFA56B">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动物产生的异味废气</w:t>
                  </w:r>
                </w:p>
              </w:tc>
              <w:tc>
                <w:tcPr>
                  <w:tcW w:w="2051" w:type="dxa"/>
                  <w:tcBorders>
                    <w:tl2br w:val="nil"/>
                    <w:tr2bl w:val="nil"/>
                  </w:tcBorders>
                  <w:vAlign w:val="center"/>
                </w:tcPr>
                <w:p w14:paraId="4938F930">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default" w:ascii="Times New Roman" w:hAnsi="Times New Roman" w:cs="Times New Roman" w:eastAsiaTheme="minorEastAsia"/>
                      <w:b w:val="0"/>
                      <w:bCs w:val="0"/>
                      <w:color w:val="auto"/>
                      <w:sz w:val="21"/>
                      <w:szCs w:val="21"/>
                      <w:highlight w:val="none"/>
                      <w:vertAlign w:val="baseline"/>
                      <w:lang w:val="en-US" w:eastAsia="zh-CN"/>
                    </w:rPr>
                    <w:t>H</w:t>
                  </w:r>
                  <w:r>
                    <w:rPr>
                      <w:rFonts w:hint="default" w:ascii="Times New Roman" w:hAnsi="Times New Roman" w:cs="Times New Roman" w:eastAsiaTheme="minorEastAsia"/>
                      <w:b w:val="0"/>
                      <w:bCs w:val="0"/>
                      <w:color w:val="auto"/>
                      <w:sz w:val="21"/>
                      <w:szCs w:val="21"/>
                      <w:highlight w:val="none"/>
                      <w:vertAlign w:val="subscript"/>
                      <w:lang w:val="en-US" w:eastAsia="zh-CN"/>
                    </w:rPr>
                    <w:t>2</w:t>
                  </w:r>
                  <w:r>
                    <w:rPr>
                      <w:rFonts w:hint="default" w:ascii="Times New Roman" w:hAnsi="Times New Roman" w:cs="Times New Roman" w:eastAsiaTheme="minorEastAsia"/>
                      <w:b w:val="0"/>
                      <w:bCs w:val="0"/>
                      <w:color w:val="auto"/>
                      <w:sz w:val="21"/>
                      <w:szCs w:val="21"/>
                      <w:highlight w:val="none"/>
                      <w:vertAlign w:val="baseline"/>
                      <w:lang w:val="en-US" w:eastAsia="zh-CN"/>
                    </w:rPr>
                    <w:t>S、NH</w:t>
                  </w:r>
                  <w:r>
                    <w:rPr>
                      <w:rFonts w:hint="default" w:ascii="Times New Roman" w:hAnsi="Times New Roman" w:cs="Times New Roman" w:eastAsiaTheme="minorEastAsia"/>
                      <w:b w:val="0"/>
                      <w:bCs w:val="0"/>
                      <w:color w:val="auto"/>
                      <w:sz w:val="21"/>
                      <w:szCs w:val="21"/>
                      <w:highlight w:val="none"/>
                      <w:vertAlign w:val="subscript"/>
                      <w:lang w:val="en-US" w:eastAsia="zh-CN"/>
                    </w:rPr>
                    <w:t>3</w:t>
                  </w:r>
                  <w:r>
                    <w:rPr>
                      <w:rFonts w:hint="default" w:ascii="Times New Roman" w:hAnsi="Times New Roman" w:cs="Times New Roman" w:eastAsiaTheme="minorEastAsia"/>
                      <w:b w:val="0"/>
                      <w:bCs w:val="0"/>
                      <w:color w:val="auto"/>
                      <w:sz w:val="21"/>
                      <w:szCs w:val="21"/>
                      <w:highlight w:val="none"/>
                      <w:vertAlign w:val="baseline"/>
                      <w:lang w:val="en-US" w:eastAsia="zh-CN"/>
                    </w:rPr>
                    <w:t>、臭气浓度</w:t>
                  </w:r>
                </w:p>
              </w:tc>
              <w:tc>
                <w:tcPr>
                  <w:tcW w:w="645" w:type="dxa"/>
                  <w:tcBorders>
                    <w:tl2br w:val="nil"/>
                    <w:tr2bl w:val="nil"/>
                  </w:tcBorders>
                  <w:vAlign w:val="center"/>
                </w:tcPr>
                <w:p w14:paraId="3F2B84EF">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间断</w:t>
                  </w:r>
                </w:p>
              </w:tc>
              <w:tc>
                <w:tcPr>
                  <w:tcW w:w="2501" w:type="dxa"/>
                  <w:tcBorders>
                    <w:tl2br w:val="nil"/>
                    <w:tr2bl w:val="nil"/>
                  </w:tcBorders>
                  <w:vAlign w:val="center"/>
                </w:tcPr>
                <w:p w14:paraId="46FF7984">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各房间吊顶上方的排风管道设置吸风口，主管道内安装活性炭净化装置及排风机，异味经吸附净化后通过位于东侧外墙的排风口排放。</w:t>
                  </w:r>
                </w:p>
              </w:tc>
            </w:tr>
            <w:tr w14:paraId="5FED3F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dxa"/>
                  <w:vMerge w:val="restart"/>
                  <w:tcBorders>
                    <w:tl2br w:val="nil"/>
                    <w:tr2bl w:val="nil"/>
                  </w:tcBorders>
                  <w:vAlign w:val="center"/>
                </w:tcPr>
                <w:p w14:paraId="582A312E">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废水</w:t>
                  </w:r>
                </w:p>
              </w:tc>
              <w:tc>
                <w:tcPr>
                  <w:tcW w:w="2348" w:type="dxa"/>
                  <w:tcBorders>
                    <w:tl2br w:val="nil"/>
                    <w:tr2bl w:val="nil"/>
                  </w:tcBorders>
                  <w:vAlign w:val="center"/>
                </w:tcPr>
                <w:p w14:paraId="2C1F35AA">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诊疗废水</w:t>
                  </w:r>
                </w:p>
              </w:tc>
              <w:tc>
                <w:tcPr>
                  <w:tcW w:w="2051" w:type="dxa"/>
                  <w:vMerge w:val="restart"/>
                  <w:tcBorders>
                    <w:tl2br w:val="nil"/>
                    <w:tr2bl w:val="nil"/>
                  </w:tcBorders>
                  <w:vAlign w:val="center"/>
                </w:tcPr>
                <w:p w14:paraId="3B7E4740">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default" w:ascii="Times New Roman" w:hAnsi="Times New Roman" w:cs="Times New Roman" w:eastAsiaTheme="minorEastAsia"/>
                      <w:b w:val="0"/>
                      <w:bCs w:val="0"/>
                      <w:color w:val="auto"/>
                      <w:sz w:val="21"/>
                      <w:szCs w:val="21"/>
                      <w:highlight w:val="none"/>
                      <w:vertAlign w:val="baseline"/>
                      <w:lang w:val="en-US" w:eastAsia="zh-CN"/>
                    </w:rPr>
                    <w:t>pH值、COD</w:t>
                  </w:r>
                  <w:r>
                    <w:rPr>
                      <w:rFonts w:hint="eastAsia" w:ascii="Times New Roman" w:hAnsi="Times New Roman" w:cs="Times New Roman" w:eastAsiaTheme="minorEastAsia"/>
                      <w:b w:val="0"/>
                      <w:bCs w:val="0"/>
                      <w:color w:val="auto"/>
                      <w:sz w:val="21"/>
                      <w:szCs w:val="21"/>
                      <w:highlight w:val="none"/>
                      <w:vertAlign w:val="baseline"/>
                      <w:lang w:val="en-US" w:eastAsia="zh-CN"/>
                    </w:rPr>
                    <w:t>cr</w:t>
                  </w:r>
                  <w:r>
                    <w:rPr>
                      <w:rFonts w:hint="default" w:ascii="Times New Roman" w:hAnsi="Times New Roman" w:cs="Times New Roman" w:eastAsiaTheme="minorEastAsia"/>
                      <w:b w:val="0"/>
                      <w:bCs w:val="0"/>
                      <w:color w:val="auto"/>
                      <w:sz w:val="21"/>
                      <w:szCs w:val="21"/>
                      <w:highlight w:val="none"/>
                      <w:vertAlign w:val="baseline"/>
                      <w:lang w:val="en-US" w:eastAsia="zh-CN"/>
                    </w:rPr>
                    <w:t>、BOD</w:t>
                  </w:r>
                  <w:r>
                    <w:rPr>
                      <w:rFonts w:hint="default" w:ascii="Times New Roman" w:hAnsi="Times New Roman" w:cs="Times New Roman" w:eastAsiaTheme="minorEastAsia"/>
                      <w:b w:val="0"/>
                      <w:bCs w:val="0"/>
                      <w:color w:val="auto"/>
                      <w:sz w:val="21"/>
                      <w:szCs w:val="21"/>
                      <w:highlight w:val="none"/>
                      <w:vertAlign w:val="subscript"/>
                      <w:lang w:val="en-US" w:eastAsia="zh-CN"/>
                    </w:rPr>
                    <w:t>5</w:t>
                  </w:r>
                  <w:r>
                    <w:rPr>
                      <w:rFonts w:hint="default" w:ascii="Times New Roman" w:hAnsi="Times New Roman" w:cs="Times New Roman" w:eastAsiaTheme="minorEastAsia"/>
                      <w:b w:val="0"/>
                      <w:bCs w:val="0"/>
                      <w:color w:val="auto"/>
                      <w:sz w:val="21"/>
                      <w:szCs w:val="21"/>
                      <w:highlight w:val="none"/>
                      <w:vertAlign w:val="baseline"/>
                      <w:lang w:val="en-US" w:eastAsia="zh-CN"/>
                    </w:rPr>
                    <w:t>、SS、</w:t>
                  </w:r>
                  <w:r>
                    <w:rPr>
                      <w:rFonts w:hint="eastAsia" w:ascii="Times New Roman" w:hAnsi="Times New Roman" w:cs="Times New Roman" w:eastAsiaTheme="minorEastAsia"/>
                      <w:b w:val="0"/>
                      <w:bCs w:val="0"/>
                      <w:color w:val="auto"/>
                      <w:sz w:val="21"/>
                      <w:szCs w:val="21"/>
                      <w:highlight w:val="none"/>
                      <w:vertAlign w:val="baseline"/>
                      <w:lang w:val="en-US" w:eastAsia="zh-CN"/>
                    </w:rPr>
                    <w:t>氨氮、总余氯、粪大肠菌群</w:t>
                  </w:r>
                </w:p>
              </w:tc>
              <w:tc>
                <w:tcPr>
                  <w:tcW w:w="645" w:type="dxa"/>
                  <w:tcBorders>
                    <w:tl2br w:val="nil"/>
                    <w:tr2bl w:val="nil"/>
                  </w:tcBorders>
                  <w:vAlign w:val="center"/>
                </w:tcPr>
                <w:p w14:paraId="12AA61A2">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间断</w:t>
                  </w:r>
                </w:p>
              </w:tc>
              <w:tc>
                <w:tcPr>
                  <w:tcW w:w="2501" w:type="dxa"/>
                  <w:vMerge w:val="restart"/>
                  <w:tcBorders>
                    <w:tl2br w:val="nil"/>
                    <w:tr2bl w:val="nil"/>
                  </w:tcBorders>
                  <w:vAlign w:val="center"/>
                </w:tcPr>
                <w:p w14:paraId="660ED7EB">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default" w:ascii="Times New Roman" w:hAnsi="Times New Roman" w:cs="Times New Roman" w:eastAsiaTheme="minorEastAsia"/>
                      <w:b w:val="0"/>
                      <w:bCs w:val="0"/>
                      <w:color w:val="auto"/>
                      <w:sz w:val="21"/>
                      <w:szCs w:val="21"/>
                      <w:highlight w:val="none"/>
                      <w:vertAlign w:val="baseline"/>
                      <w:lang w:val="en-US" w:eastAsia="zh-CN"/>
                    </w:rPr>
                    <w:t>动物诊疗废水</w:t>
                  </w:r>
                  <w:r>
                    <w:rPr>
                      <w:rFonts w:hint="eastAsia" w:ascii="Times New Roman" w:hAnsi="Times New Roman" w:cs="Times New Roman" w:eastAsiaTheme="minorEastAsia"/>
                      <w:b w:val="0"/>
                      <w:bCs w:val="0"/>
                      <w:color w:val="auto"/>
                      <w:sz w:val="21"/>
                      <w:szCs w:val="21"/>
                      <w:highlight w:val="none"/>
                      <w:vertAlign w:val="baseline"/>
                      <w:lang w:val="en-US" w:eastAsia="zh-CN"/>
                    </w:rPr>
                    <w:t>、美容洗浴废水</w:t>
                  </w:r>
                  <w:r>
                    <w:rPr>
                      <w:rFonts w:hint="default" w:ascii="Times New Roman" w:hAnsi="Times New Roman" w:cs="Times New Roman" w:eastAsiaTheme="minorEastAsia"/>
                      <w:b w:val="0"/>
                      <w:bCs w:val="0"/>
                      <w:color w:val="auto"/>
                      <w:sz w:val="21"/>
                      <w:szCs w:val="21"/>
                      <w:highlight w:val="none"/>
                      <w:vertAlign w:val="baseline"/>
                      <w:lang w:val="en-US" w:eastAsia="zh-CN"/>
                    </w:rPr>
                    <w:t>经污水处理设备消毒后，与</w:t>
                  </w:r>
                  <w:r>
                    <w:rPr>
                      <w:rFonts w:hint="eastAsia" w:ascii="Times New Roman" w:hAnsi="Times New Roman" w:cs="Times New Roman" w:eastAsiaTheme="minorEastAsia"/>
                      <w:b w:val="0"/>
                      <w:bCs w:val="0"/>
                      <w:color w:val="auto"/>
                      <w:sz w:val="21"/>
                      <w:szCs w:val="21"/>
                      <w:highlight w:val="none"/>
                      <w:vertAlign w:val="baseline"/>
                      <w:lang w:val="en-US" w:eastAsia="zh-CN"/>
                    </w:rPr>
                    <w:t>生活废水</w:t>
                  </w:r>
                  <w:r>
                    <w:rPr>
                      <w:rFonts w:hint="default" w:ascii="Times New Roman" w:hAnsi="Times New Roman" w:cs="Times New Roman" w:eastAsiaTheme="minorEastAsia"/>
                      <w:b w:val="0"/>
                      <w:bCs w:val="0"/>
                      <w:color w:val="auto"/>
                      <w:sz w:val="21"/>
                      <w:szCs w:val="21"/>
                      <w:highlight w:val="none"/>
                      <w:vertAlign w:val="baseline"/>
                      <w:lang w:val="en-US" w:eastAsia="zh-CN"/>
                    </w:rPr>
                    <w:t>一同排入所在建筑集中化粪池预处理，最终通过市政污水管网汇入</w:t>
                  </w:r>
                  <w:r>
                    <w:rPr>
                      <w:rFonts w:hint="eastAsia" w:ascii="Times New Roman" w:hAnsi="Times New Roman" w:cs="Times New Roman" w:eastAsiaTheme="minorEastAsia"/>
                      <w:b w:val="0"/>
                      <w:bCs w:val="0"/>
                      <w:color w:val="auto"/>
                      <w:sz w:val="21"/>
                      <w:szCs w:val="21"/>
                      <w:highlight w:val="none"/>
                      <w:vertAlign w:val="baseline"/>
                      <w:lang w:val="en-US" w:eastAsia="zh-CN"/>
                    </w:rPr>
                    <w:t>北京中设水处理有限公司良乡污水处理厂</w:t>
                  </w:r>
                </w:p>
              </w:tc>
            </w:tr>
            <w:tr w14:paraId="73DC3A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dxa"/>
                  <w:vMerge w:val="continue"/>
                  <w:tcBorders>
                    <w:tl2br w:val="nil"/>
                    <w:tr2bl w:val="nil"/>
                  </w:tcBorders>
                  <w:vAlign w:val="center"/>
                </w:tcPr>
                <w:p w14:paraId="0E228A53">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b w:val="0"/>
                      <w:bCs w:val="0"/>
                      <w:color w:val="auto"/>
                      <w:sz w:val="21"/>
                      <w:szCs w:val="21"/>
                      <w:highlight w:val="none"/>
                      <w:vertAlign w:val="baseline"/>
                      <w:lang w:val="en-US" w:eastAsia="zh-CN"/>
                    </w:rPr>
                  </w:pPr>
                </w:p>
              </w:tc>
              <w:tc>
                <w:tcPr>
                  <w:tcW w:w="2348" w:type="dxa"/>
                  <w:tcBorders>
                    <w:tl2br w:val="nil"/>
                    <w:tr2bl w:val="nil"/>
                  </w:tcBorders>
                  <w:vAlign w:val="center"/>
                </w:tcPr>
                <w:p w14:paraId="633F7F50">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美容洗浴废水</w:t>
                  </w:r>
                </w:p>
              </w:tc>
              <w:tc>
                <w:tcPr>
                  <w:tcW w:w="2051" w:type="dxa"/>
                  <w:vMerge w:val="continue"/>
                  <w:tcBorders>
                    <w:tl2br w:val="nil"/>
                    <w:tr2bl w:val="nil"/>
                  </w:tcBorders>
                  <w:vAlign w:val="center"/>
                </w:tcPr>
                <w:p w14:paraId="4BBC43C9">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p>
              </w:tc>
              <w:tc>
                <w:tcPr>
                  <w:tcW w:w="645" w:type="dxa"/>
                  <w:tcBorders>
                    <w:tl2br w:val="nil"/>
                    <w:tr2bl w:val="nil"/>
                  </w:tcBorders>
                  <w:vAlign w:val="center"/>
                </w:tcPr>
                <w:p w14:paraId="0B88BAA9">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间断</w:t>
                  </w:r>
                </w:p>
              </w:tc>
              <w:tc>
                <w:tcPr>
                  <w:tcW w:w="2501" w:type="dxa"/>
                  <w:vMerge w:val="continue"/>
                  <w:tcBorders>
                    <w:tl2br w:val="nil"/>
                    <w:tr2bl w:val="nil"/>
                  </w:tcBorders>
                  <w:vAlign w:val="center"/>
                </w:tcPr>
                <w:p w14:paraId="6F324736">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p>
              </w:tc>
            </w:tr>
            <w:tr w14:paraId="46A8A1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dxa"/>
                  <w:vMerge w:val="continue"/>
                  <w:tcBorders>
                    <w:tl2br w:val="nil"/>
                    <w:tr2bl w:val="nil"/>
                  </w:tcBorders>
                  <w:vAlign w:val="center"/>
                </w:tcPr>
                <w:p w14:paraId="36EA50DE">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b w:val="0"/>
                      <w:bCs w:val="0"/>
                      <w:color w:val="auto"/>
                      <w:sz w:val="21"/>
                      <w:szCs w:val="21"/>
                      <w:highlight w:val="none"/>
                      <w:vertAlign w:val="baseline"/>
                      <w:lang w:val="en-US" w:eastAsia="zh-CN"/>
                    </w:rPr>
                  </w:pPr>
                </w:p>
              </w:tc>
              <w:tc>
                <w:tcPr>
                  <w:tcW w:w="2348" w:type="dxa"/>
                  <w:tcBorders>
                    <w:tl2br w:val="nil"/>
                    <w:tr2bl w:val="nil"/>
                  </w:tcBorders>
                  <w:vAlign w:val="center"/>
                </w:tcPr>
                <w:p w14:paraId="6AE4B9DC">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生活废水</w:t>
                  </w:r>
                </w:p>
              </w:tc>
              <w:tc>
                <w:tcPr>
                  <w:tcW w:w="2051" w:type="dxa"/>
                  <w:vMerge w:val="continue"/>
                  <w:tcBorders>
                    <w:tl2br w:val="nil"/>
                    <w:tr2bl w:val="nil"/>
                  </w:tcBorders>
                  <w:vAlign w:val="center"/>
                </w:tcPr>
                <w:p w14:paraId="70D0AE54">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p>
              </w:tc>
              <w:tc>
                <w:tcPr>
                  <w:tcW w:w="645" w:type="dxa"/>
                  <w:tcBorders>
                    <w:tl2br w:val="nil"/>
                    <w:tr2bl w:val="nil"/>
                  </w:tcBorders>
                  <w:vAlign w:val="center"/>
                </w:tcPr>
                <w:p w14:paraId="0B9D486E">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间断</w:t>
                  </w:r>
                </w:p>
              </w:tc>
              <w:tc>
                <w:tcPr>
                  <w:tcW w:w="2501" w:type="dxa"/>
                  <w:vMerge w:val="continue"/>
                  <w:tcBorders>
                    <w:tl2br w:val="nil"/>
                    <w:tr2bl w:val="nil"/>
                  </w:tcBorders>
                  <w:vAlign w:val="center"/>
                </w:tcPr>
                <w:p w14:paraId="48F5BC55">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p>
              </w:tc>
            </w:tr>
            <w:tr w14:paraId="41B265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dxa"/>
                  <w:vMerge w:val="restart"/>
                  <w:tcBorders>
                    <w:tl2br w:val="nil"/>
                    <w:tr2bl w:val="nil"/>
                  </w:tcBorders>
                  <w:vAlign w:val="center"/>
                </w:tcPr>
                <w:p w14:paraId="45EB642C">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噪声</w:t>
                  </w:r>
                </w:p>
              </w:tc>
              <w:tc>
                <w:tcPr>
                  <w:tcW w:w="2348" w:type="dxa"/>
                  <w:tcBorders>
                    <w:tl2br w:val="nil"/>
                    <w:tr2bl w:val="nil"/>
                  </w:tcBorders>
                  <w:vAlign w:val="center"/>
                </w:tcPr>
                <w:p w14:paraId="2D1FA131">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医疗设备</w:t>
                  </w:r>
                </w:p>
              </w:tc>
              <w:tc>
                <w:tcPr>
                  <w:tcW w:w="2051" w:type="dxa"/>
                  <w:tcBorders>
                    <w:tl2br w:val="nil"/>
                    <w:tr2bl w:val="nil"/>
                  </w:tcBorders>
                  <w:vAlign w:val="center"/>
                </w:tcPr>
                <w:p w14:paraId="212669DE">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噪声</w:t>
                  </w:r>
                </w:p>
              </w:tc>
              <w:tc>
                <w:tcPr>
                  <w:tcW w:w="645" w:type="dxa"/>
                  <w:tcBorders>
                    <w:tl2br w:val="nil"/>
                    <w:tr2bl w:val="nil"/>
                  </w:tcBorders>
                  <w:vAlign w:val="center"/>
                </w:tcPr>
                <w:p w14:paraId="3C32C356">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间断</w:t>
                  </w:r>
                </w:p>
              </w:tc>
              <w:tc>
                <w:tcPr>
                  <w:tcW w:w="2501" w:type="dxa"/>
                  <w:vMerge w:val="restart"/>
                  <w:tcBorders>
                    <w:tl2br w:val="nil"/>
                    <w:tr2bl w:val="nil"/>
                  </w:tcBorders>
                  <w:vAlign w:val="center"/>
                </w:tcPr>
                <w:p w14:paraId="58B76547">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选用低噪声设备，基础减振，距离衰减等</w:t>
                  </w:r>
                </w:p>
              </w:tc>
            </w:tr>
            <w:tr w14:paraId="704F77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dxa"/>
                  <w:vMerge w:val="continue"/>
                  <w:tcBorders>
                    <w:tl2br w:val="nil"/>
                    <w:tr2bl w:val="nil"/>
                  </w:tcBorders>
                  <w:vAlign w:val="center"/>
                </w:tcPr>
                <w:p w14:paraId="04434E4A">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b w:val="0"/>
                      <w:bCs w:val="0"/>
                      <w:color w:val="auto"/>
                      <w:sz w:val="21"/>
                      <w:szCs w:val="21"/>
                      <w:highlight w:val="none"/>
                      <w:vertAlign w:val="baseline"/>
                      <w:lang w:val="en-US" w:eastAsia="zh-CN"/>
                    </w:rPr>
                  </w:pPr>
                </w:p>
              </w:tc>
              <w:tc>
                <w:tcPr>
                  <w:tcW w:w="2348" w:type="dxa"/>
                  <w:tcBorders>
                    <w:tl2br w:val="nil"/>
                    <w:tr2bl w:val="nil"/>
                  </w:tcBorders>
                  <w:vAlign w:val="center"/>
                </w:tcPr>
                <w:p w14:paraId="4B3600B1">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污水处理设备</w:t>
                  </w:r>
                </w:p>
              </w:tc>
              <w:tc>
                <w:tcPr>
                  <w:tcW w:w="2051" w:type="dxa"/>
                  <w:tcBorders>
                    <w:tl2br w:val="nil"/>
                    <w:tr2bl w:val="nil"/>
                  </w:tcBorders>
                  <w:vAlign w:val="center"/>
                </w:tcPr>
                <w:p w14:paraId="56CB2EC5">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噪声</w:t>
                  </w:r>
                </w:p>
              </w:tc>
              <w:tc>
                <w:tcPr>
                  <w:tcW w:w="645" w:type="dxa"/>
                  <w:tcBorders>
                    <w:tl2br w:val="nil"/>
                    <w:tr2bl w:val="nil"/>
                  </w:tcBorders>
                  <w:vAlign w:val="center"/>
                </w:tcPr>
                <w:p w14:paraId="28B808A9">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间断</w:t>
                  </w:r>
                </w:p>
              </w:tc>
              <w:tc>
                <w:tcPr>
                  <w:tcW w:w="2501" w:type="dxa"/>
                  <w:vMerge w:val="continue"/>
                  <w:tcBorders>
                    <w:tl2br w:val="nil"/>
                    <w:tr2bl w:val="nil"/>
                  </w:tcBorders>
                  <w:vAlign w:val="center"/>
                </w:tcPr>
                <w:p w14:paraId="5648ED41">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p>
              </w:tc>
            </w:tr>
            <w:tr w14:paraId="40AB8F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dxa"/>
                  <w:vMerge w:val="continue"/>
                  <w:tcBorders>
                    <w:tl2br w:val="nil"/>
                    <w:tr2bl w:val="nil"/>
                  </w:tcBorders>
                  <w:vAlign w:val="center"/>
                </w:tcPr>
                <w:p w14:paraId="7D524BAE">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b w:val="0"/>
                      <w:bCs w:val="0"/>
                      <w:color w:val="auto"/>
                      <w:sz w:val="21"/>
                      <w:szCs w:val="21"/>
                      <w:highlight w:val="none"/>
                      <w:vertAlign w:val="baseline"/>
                      <w:lang w:val="en-US" w:eastAsia="zh-CN"/>
                    </w:rPr>
                  </w:pPr>
                </w:p>
              </w:tc>
              <w:tc>
                <w:tcPr>
                  <w:tcW w:w="2348" w:type="dxa"/>
                  <w:tcBorders>
                    <w:tl2br w:val="nil"/>
                    <w:tr2bl w:val="nil"/>
                  </w:tcBorders>
                  <w:vAlign w:val="center"/>
                </w:tcPr>
                <w:p w14:paraId="52ED952B">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动物吠叫</w:t>
                  </w:r>
                </w:p>
              </w:tc>
              <w:tc>
                <w:tcPr>
                  <w:tcW w:w="2051" w:type="dxa"/>
                  <w:tcBorders>
                    <w:tl2br w:val="nil"/>
                    <w:tr2bl w:val="nil"/>
                  </w:tcBorders>
                  <w:vAlign w:val="center"/>
                </w:tcPr>
                <w:p w14:paraId="24F464B0">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噪声</w:t>
                  </w:r>
                </w:p>
              </w:tc>
              <w:tc>
                <w:tcPr>
                  <w:tcW w:w="645" w:type="dxa"/>
                  <w:tcBorders>
                    <w:tl2br w:val="nil"/>
                    <w:tr2bl w:val="nil"/>
                  </w:tcBorders>
                  <w:vAlign w:val="center"/>
                </w:tcPr>
                <w:p w14:paraId="2B74C115">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间断</w:t>
                  </w:r>
                </w:p>
              </w:tc>
              <w:tc>
                <w:tcPr>
                  <w:tcW w:w="2501" w:type="dxa"/>
                  <w:vMerge w:val="continue"/>
                  <w:tcBorders>
                    <w:tl2br w:val="nil"/>
                    <w:tr2bl w:val="nil"/>
                  </w:tcBorders>
                  <w:vAlign w:val="center"/>
                </w:tcPr>
                <w:p w14:paraId="28DD3D21">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p>
              </w:tc>
            </w:tr>
            <w:tr w14:paraId="0D9C1C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dxa"/>
                  <w:vMerge w:val="restart"/>
                  <w:tcBorders>
                    <w:tl2br w:val="nil"/>
                    <w:tr2bl w:val="nil"/>
                  </w:tcBorders>
                  <w:vAlign w:val="center"/>
                </w:tcPr>
                <w:p w14:paraId="15C5E272">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固体</w:t>
                  </w:r>
                </w:p>
                <w:p w14:paraId="666D03CE">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废物</w:t>
                  </w:r>
                </w:p>
              </w:tc>
              <w:tc>
                <w:tcPr>
                  <w:tcW w:w="2348" w:type="dxa"/>
                  <w:tcBorders>
                    <w:tl2br w:val="nil"/>
                    <w:tr2bl w:val="nil"/>
                  </w:tcBorders>
                  <w:vAlign w:val="center"/>
                </w:tcPr>
                <w:p w14:paraId="426570E3">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生活办公</w:t>
                  </w:r>
                </w:p>
              </w:tc>
              <w:tc>
                <w:tcPr>
                  <w:tcW w:w="2051" w:type="dxa"/>
                  <w:tcBorders>
                    <w:tl2br w:val="nil"/>
                    <w:tr2bl w:val="nil"/>
                  </w:tcBorders>
                  <w:vAlign w:val="center"/>
                </w:tcPr>
                <w:p w14:paraId="47ECD3C5">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生活垃圾</w:t>
                  </w:r>
                </w:p>
              </w:tc>
              <w:tc>
                <w:tcPr>
                  <w:tcW w:w="645" w:type="dxa"/>
                  <w:tcBorders>
                    <w:tl2br w:val="nil"/>
                    <w:tr2bl w:val="nil"/>
                  </w:tcBorders>
                  <w:vAlign w:val="center"/>
                </w:tcPr>
                <w:p w14:paraId="3B763355">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间断</w:t>
                  </w:r>
                </w:p>
              </w:tc>
              <w:tc>
                <w:tcPr>
                  <w:tcW w:w="2501" w:type="dxa"/>
                  <w:tcBorders>
                    <w:tl2br w:val="nil"/>
                    <w:tr2bl w:val="nil"/>
                  </w:tcBorders>
                  <w:vAlign w:val="center"/>
                </w:tcPr>
                <w:p w14:paraId="61382391">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由环卫部门定期清运处置</w:t>
                  </w:r>
                </w:p>
              </w:tc>
            </w:tr>
            <w:tr w14:paraId="301A6A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dxa"/>
                  <w:vMerge w:val="continue"/>
                  <w:tcBorders>
                    <w:tl2br w:val="nil"/>
                    <w:tr2bl w:val="nil"/>
                  </w:tcBorders>
                  <w:vAlign w:val="center"/>
                </w:tcPr>
                <w:p w14:paraId="133AAD82">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b w:val="0"/>
                      <w:bCs w:val="0"/>
                      <w:color w:val="auto"/>
                      <w:sz w:val="21"/>
                      <w:szCs w:val="21"/>
                      <w:highlight w:val="none"/>
                      <w:vertAlign w:val="baseline"/>
                      <w:lang w:val="en-US" w:eastAsia="zh-CN"/>
                    </w:rPr>
                  </w:pPr>
                </w:p>
              </w:tc>
              <w:tc>
                <w:tcPr>
                  <w:tcW w:w="2348" w:type="dxa"/>
                  <w:tcBorders>
                    <w:tl2br w:val="nil"/>
                    <w:tr2bl w:val="nil"/>
                  </w:tcBorders>
                  <w:vAlign w:val="center"/>
                </w:tcPr>
                <w:p w14:paraId="1840C1BC">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原辅材料包装、医疗器械外包装物</w:t>
                  </w:r>
                </w:p>
              </w:tc>
              <w:tc>
                <w:tcPr>
                  <w:tcW w:w="2051" w:type="dxa"/>
                  <w:tcBorders>
                    <w:tl2br w:val="nil"/>
                    <w:tr2bl w:val="nil"/>
                  </w:tcBorders>
                  <w:vAlign w:val="center"/>
                </w:tcPr>
                <w:p w14:paraId="16444C39">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废包装物</w:t>
                  </w:r>
                </w:p>
              </w:tc>
              <w:tc>
                <w:tcPr>
                  <w:tcW w:w="645" w:type="dxa"/>
                  <w:tcBorders>
                    <w:tl2br w:val="nil"/>
                    <w:tr2bl w:val="nil"/>
                  </w:tcBorders>
                  <w:vAlign w:val="center"/>
                </w:tcPr>
                <w:p w14:paraId="59A451B1">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间断</w:t>
                  </w:r>
                </w:p>
              </w:tc>
              <w:tc>
                <w:tcPr>
                  <w:tcW w:w="2501" w:type="dxa"/>
                  <w:tcBorders>
                    <w:tl2br w:val="nil"/>
                    <w:tr2bl w:val="nil"/>
                  </w:tcBorders>
                  <w:vAlign w:val="center"/>
                </w:tcPr>
                <w:p w14:paraId="6801CB5A">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交由废品回收站回收再利用</w:t>
                  </w:r>
                </w:p>
              </w:tc>
            </w:tr>
            <w:tr w14:paraId="43706E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dxa"/>
                  <w:vMerge w:val="continue"/>
                  <w:tcBorders>
                    <w:tl2br w:val="nil"/>
                    <w:tr2bl w:val="nil"/>
                  </w:tcBorders>
                  <w:vAlign w:val="center"/>
                </w:tcPr>
                <w:p w14:paraId="2D8C9004">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b w:val="0"/>
                      <w:bCs w:val="0"/>
                      <w:color w:val="auto"/>
                      <w:sz w:val="21"/>
                      <w:szCs w:val="21"/>
                      <w:highlight w:val="none"/>
                      <w:vertAlign w:val="baseline"/>
                      <w:lang w:val="en-US" w:eastAsia="zh-CN"/>
                    </w:rPr>
                  </w:pPr>
                </w:p>
              </w:tc>
              <w:tc>
                <w:tcPr>
                  <w:tcW w:w="2348" w:type="dxa"/>
                  <w:tcBorders>
                    <w:tl2br w:val="nil"/>
                    <w:tr2bl w:val="nil"/>
                  </w:tcBorders>
                  <w:vAlign w:val="center"/>
                </w:tcPr>
                <w:p w14:paraId="362FF4DD">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异味净化系统</w:t>
                  </w:r>
                </w:p>
              </w:tc>
              <w:tc>
                <w:tcPr>
                  <w:tcW w:w="2051" w:type="dxa"/>
                  <w:tcBorders>
                    <w:tl2br w:val="nil"/>
                    <w:tr2bl w:val="nil"/>
                  </w:tcBorders>
                  <w:vAlign w:val="center"/>
                </w:tcPr>
                <w:p w14:paraId="0FD97886">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废活性炭</w:t>
                  </w:r>
                </w:p>
              </w:tc>
              <w:tc>
                <w:tcPr>
                  <w:tcW w:w="645" w:type="dxa"/>
                  <w:tcBorders>
                    <w:tl2br w:val="nil"/>
                    <w:tr2bl w:val="nil"/>
                  </w:tcBorders>
                  <w:vAlign w:val="center"/>
                </w:tcPr>
                <w:p w14:paraId="1EC42977">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间断</w:t>
                  </w:r>
                </w:p>
              </w:tc>
              <w:tc>
                <w:tcPr>
                  <w:tcW w:w="2501" w:type="dxa"/>
                  <w:tcBorders>
                    <w:tl2br w:val="nil"/>
                    <w:tr2bl w:val="nil"/>
                  </w:tcBorders>
                  <w:vAlign w:val="center"/>
                </w:tcPr>
                <w:p w14:paraId="2DA3A824">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由生产厂家回收再利用</w:t>
                  </w:r>
                </w:p>
              </w:tc>
            </w:tr>
            <w:tr w14:paraId="1F4B2C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dxa"/>
                  <w:vMerge w:val="continue"/>
                  <w:tcBorders>
                    <w:tl2br w:val="nil"/>
                    <w:tr2bl w:val="nil"/>
                  </w:tcBorders>
                  <w:vAlign w:val="center"/>
                </w:tcPr>
                <w:p w14:paraId="7965D154">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b w:val="0"/>
                      <w:bCs w:val="0"/>
                      <w:color w:val="auto"/>
                      <w:sz w:val="21"/>
                      <w:szCs w:val="21"/>
                      <w:highlight w:val="none"/>
                      <w:vertAlign w:val="baseline"/>
                      <w:lang w:val="en-US" w:eastAsia="zh-CN"/>
                    </w:rPr>
                  </w:pPr>
                </w:p>
              </w:tc>
              <w:tc>
                <w:tcPr>
                  <w:tcW w:w="2348" w:type="dxa"/>
                  <w:tcBorders>
                    <w:tl2br w:val="nil"/>
                    <w:tr2bl w:val="nil"/>
                  </w:tcBorders>
                  <w:vAlign w:val="center"/>
                </w:tcPr>
                <w:p w14:paraId="0E8E52D8">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诊室、手术室等</w:t>
                  </w:r>
                </w:p>
              </w:tc>
              <w:tc>
                <w:tcPr>
                  <w:tcW w:w="2051" w:type="dxa"/>
                  <w:tcBorders>
                    <w:tl2br w:val="nil"/>
                    <w:tr2bl w:val="nil"/>
                  </w:tcBorders>
                  <w:vAlign w:val="center"/>
                </w:tcPr>
                <w:p w14:paraId="069503FA">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医疗废物</w:t>
                  </w:r>
                </w:p>
              </w:tc>
              <w:tc>
                <w:tcPr>
                  <w:tcW w:w="645" w:type="dxa"/>
                  <w:tcBorders>
                    <w:tl2br w:val="nil"/>
                    <w:tr2bl w:val="nil"/>
                  </w:tcBorders>
                  <w:vAlign w:val="center"/>
                </w:tcPr>
                <w:p w14:paraId="55A73BA4">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间断</w:t>
                  </w:r>
                </w:p>
              </w:tc>
              <w:tc>
                <w:tcPr>
                  <w:tcW w:w="2501" w:type="dxa"/>
                  <w:tcBorders>
                    <w:tl2br w:val="nil"/>
                    <w:tr2bl w:val="nil"/>
                  </w:tcBorders>
                  <w:vAlign w:val="center"/>
                </w:tcPr>
                <w:p w14:paraId="52FF1DEA">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分类收集后暂存于医疗废物暂存间，定期委托资质单位转运处置</w:t>
                  </w:r>
                </w:p>
              </w:tc>
            </w:tr>
          </w:tbl>
          <w:p w14:paraId="66E1F8E3">
            <w:pPr>
              <w:rPr>
                <w:rFonts w:hint="default"/>
                <w:vertAlign w:val="baseline"/>
                <w:lang w:val="en-US" w:eastAsia="zh-CN"/>
              </w:rPr>
            </w:pPr>
          </w:p>
          <w:p w14:paraId="6BF8F6F4">
            <w:pPr>
              <w:ind w:left="0" w:leftChars="0" w:firstLine="0" w:firstLineChars="0"/>
              <w:rPr>
                <w:vertAlign w:val="baseline"/>
              </w:rPr>
            </w:pPr>
          </w:p>
        </w:tc>
      </w:tr>
      <w:tr w14:paraId="2CB28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09" w:type="dxa"/>
            <w:vAlign w:val="center"/>
          </w:tcPr>
          <w:p w14:paraId="5FF7BC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与项目有关的原有环境污染问题</w:t>
            </w:r>
          </w:p>
        </w:tc>
        <w:tc>
          <w:tcPr>
            <w:tcW w:w="8239" w:type="dxa"/>
            <w:vAlign w:val="center"/>
          </w:tcPr>
          <w:p w14:paraId="37366D50">
            <w:pPr>
              <w:rPr>
                <w:rFonts w:hint="eastAsia"/>
                <w:vertAlign w:val="baseline"/>
                <w:lang w:val="en-US" w:eastAsia="zh-CN"/>
              </w:rPr>
            </w:pPr>
          </w:p>
          <w:p w14:paraId="3AFB6939">
            <w:pPr>
              <w:rPr>
                <w:rFonts w:hint="eastAsia"/>
                <w:vertAlign w:val="baseline"/>
                <w:lang w:val="en-US" w:eastAsia="zh-CN"/>
              </w:rPr>
            </w:pPr>
            <w:r>
              <w:rPr>
                <w:rFonts w:hint="eastAsia"/>
                <w:vertAlign w:val="baseline"/>
                <w:lang w:val="en-US" w:eastAsia="zh-CN"/>
              </w:rPr>
              <w:t>本项目为新建项目，不存在与项目有关的原有环境污染问题。</w:t>
            </w:r>
          </w:p>
          <w:p w14:paraId="5AA9F71C">
            <w:pPr>
              <w:rPr>
                <w:rFonts w:hint="eastAsia"/>
                <w:vertAlign w:val="baseline"/>
                <w:lang w:val="en-US" w:eastAsia="zh-CN"/>
              </w:rPr>
            </w:pPr>
          </w:p>
          <w:p w14:paraId="277D8A26">
            <w:pPr>
              <w:rPr>
                <w:rFonts w:hint="default"/>
                <w:vertAlign w:val="baseline"/>
                <w:lang w:val="en-US" w:eastAsia="zh-CN"/>
              </w:rPr>
            </w:pPr>
          </w:p>
          <w:p w14:paraId="3A102DF9">
            <w:pPr>
              <w:rPr>
                <w:rFonts w:hint="default"/>
                <w:vertAlign w:val="baseline"/>
                <w:lang w:val="en-US" w:eastAsia="zh-CN"/>
              </w:rPr>
            </w:pPr>
          </w:p>
          <w:p w14:paraId="2115A37D">
            <w:pPr>
              <w:rPr>
                <w:rFonts w:hint="default"/>
                <w:vertAlign w:val="baseline"/>
                <w:lang w:val="en-US" w:eastAsia="zh-CN"/>
              </w:rPr>
            </w:pPr>
          </w:p>
          <w:p w14:paraId="5C19560C">
            <w:pPr>
              <w:rPr>
                <w:rFonts w:hint="default"/>
                <w:vertAlign w:val="baseline"/>
                <w:lang w:val="en-US" w:eastAsia="zh-CN"/>
              </w:rPr>
            </w:pPr>
          </w:p>
          <w:p w14:paraId="5ACBAE84">
            <w:pPr>
              <w:rPr>
                <w:rFonts w:hint="default"/>
                <w:vertAlign w:val="baseline"/>
                <w:lang w:val="en-US" w:eastAsia="zh-CN"/>
              </w:rPr>
            </w:pPr>
          </w:p>
          <w:p w14:paraId="1AEE3830">
            <w:pPr>
              <w:rPr>
                <w:rFonts w:hint="default"/>
                <w:vertAlign w:val="baseline"/>
                <w:lang w:val="en-US" w:eastAsia="zh-CN"/>
              </w:rPr>
            </w:pPr>
          </w:p>
          <w:p w14:paraId="710D0859">
            <w:pPr>
              <w:rPr>
                <w:rFonts w:hint="default"/>
                <w:vertAlign w:val="baseline"/>
                <w:lang w:val="en-US" w:eastAsia="zh-CN"/>
              </w:rPr>
            </w:pPr>
          </w:p>
          <w:p w14:paraId="25A343A1">
            <w:pPr>
              <w:rPr>
                <w:rFonts w:hint="default"/>
                <w:vertAlign w:val="baseline"/>
                <w:lang w:val="en-US" w:eastAsia="zh-CN"/>
              </w:rPr>
            </w:pPr>
          </w:p>
        </w:tc>
      </w:tr>
    </w:tbl>
    <w:p w14:paraId="7313E0DE">
      <w:pPr>
        <w:sectPr>
          <w:pgSz w:w="11906" w:h="16838"/>
          <w:pgMar w:top="1440" w:right="1587" w:bottom="1440"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0348F6A">
      <w:pPr>
        <w:pStyle w:val="2"/>
        <w:bidi w:val="0"/>
        <w:rPr>
          <w:rFonts w:hint="default"/>
          <w:lang w:val="en-US" w:eastAsia="zh-CN"/>
        </w:rPr>
      </w:pPr>
      <w:r>
        <w:rPr>
          <w:rFonts w:hint="eastAsia"/>
          <w:lang w:val="en-US" w:eastAsia="zh-CN"/>
        </w:rPr>
        <w:t>三、区域环境质量现状、环境保护目标及评价标准</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8224"/>
      </w:tblGrid>
      <w:tr w14:paraId="621CF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24" w:type="dxa"/>
            <w:vAlign w:val="center"/>
          </w:tcPr>
          <w:p w14:paraId="39F023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区域环境质量现状</w:t>
            </w:r>
          </w:p>
        </w:tc>
        <w:tc>
          <w:tcPr>
            <w:tcW w:w="8224" w:type="dxa"/>
            <w:vAlign w:val="center"/>
          </w:tcPr>
          <w:p w14:paraId="398DF0A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1、大气环境质量现状</w:t>
            </w:r>
          </w:p>
          <w:p w14:paraId="0F10175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本项目所在区域为二类环境空气功能区，环境空气质量执行《环境空气质量标准》（GB3095-2012）及其修改单中二级标准。本次环评引用《2023年北京市生态环境状况公报》（2024年5月）数据对北京市、</w:t>
            </w:r>
            <w:r>
              <w:rPr>
                <w:rFonts w:hint="eastAsia" w:cs="Times New Roman"/>
                <w:sz w:val="24"/>
                <w:szCs w:val="24"/>
                <w:vertAlign w:val="baseline"/>
                <w:lang w:val="en-US" w:eastAsia="zh-CN"/>
              </w:rPr>
              <w:t>房山</w:t>
            </w:r>
            <w:r>
              <w:rPr>
                <w:rFonts w:hint="eastAsia" w:ascii="Times New Roman" w:hAnsi="Times New Roman" w:eastAsia="宋体" w:cs="Times New Roman"/>
                <w:sz w:val="24"/>
                <w:szCs w:val="24"/>
                <w:vertAlign w:val="baseline"/>
                <w:lang w:val="en-US" w:eastAsia="zh-CN"/>
              </w:rPr>
              <w:t>区空气质量状况进行评价，具体见下表。</w:t>
            </w:r>
          </w:p>
          <w:p w14:paraId="6BD43B46">
            <w:pPr>
              <w:pStyle w:val="11"/>
              <w:bidi w:val="0"/>
              <w:rPr>
                <w:rFonts w:hint="default"/>
                <w:lang w:val="en-US" w:eastAsia="zh-CN"/>
              </w:rPr>
            </w:pPr>
            <w:r>
              <w:rPr>
                <w:rFonts w:hint="eastAsia"/>
                <w:lang w:val="en-US" w:eastAsia="zh-CN"/>
              </w:rPr>
              <w:t>表3-1 北京市及房山区2023年环境空气监测结果一览表</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1"/>
              <w:gridCol w:w="1012"/>
              <w:gridCol w:w="1794"/>
              <w:gridCol w:w="1181"/>
              <w:gridCol w:w="1104"/>
              <w:gridCol w:w="1104"/>
              <w:gridCol w:w="912"/>
            </w:tblGrid>
            <w:tr w14:paraId="76B918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tcBorders>
                    <w:tl2br w:val="nil"/>
                    <w:tr2bl w:val="nil"/>
                  </w:tcBorders>
                  <w:vAlign w:val="center"/>
                </w:tcPr>
                <w:p w14:paraId="382643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kern w:val="0"/>
                      <w:sz w:val="21"/>
                      <w:szCs w:val="21"/>
                      <w:highlight w:val="none"/>
                      <w:vertAlign w:val="baseline"/>
                      <w:lang w:val="en-US" w:eastAsia="zh-CN" w:bidi="ar"/>
                    </w:rPr>
                  </w:pPr>
                  <w:r>
                    <w:rPr>
                      <w:rFonts w:hint="default" w:ascii="Times New Roman" w:hAnsi="Times New Roman" w:eastAsia="宋体" w:cs="Times New Roman"/>
                      <w:b/>
                      <w:bCs/>
                      <w:color w:val="000000"/>
                      <w:kern w:val="0"/>
                      <w:sz w:val="21"/>
                      <w:szCs w:val="21"/>
                      <w:highlight w:val="none"/>
                      <w:vertAlign w:val="baseline"/>
                      <w:lang w:val="en-US" w:eastAsia="zh-CN" w:bidi="ar"/>
                    </w:rPr>
                    <w:t>区域</w:t>
                  </w:r>
                </w:p>
              </w:tc>
              <w:tc>
                <w:tcPr>
                  <w:tcW w:w="990" w:type="dxa"/>
                  <w:tcBorders>
                    <w:tl2br w:val="nil"/>
                    <w:tr2bl w:val="nil"/>
                  </w:tcBorders>
                  <w:vAlign w:val="center"/>
                </w:tcPr>
                <w:p w14:paraId="319BDC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kern w:val="0"/>
                      <w:sz w:val="21"/>
                      <w:szCs w:val="21"/>
                      <w:highlight w:val="none"/>
                      <w:vertAlign w:val="baseline"/>
                      <w:lang w:val="en-US" w:eastAsia="zh-CN" w:bidi="ar"/>
                    </w:rPr>
                  </w:pPr>
                  <w:r>
                    <w:rPr>
                      <w:rFonts w:hint="default" w:ascii="Times New Roman" w:hAnsi="Times New Roman" w:eastAsia="宋体" w:cs="Times New Roman"/>
                      <w:b/>
                      <w:bCs/>
                      <w:color w:val="000000"/>
                      <w:kern w:val="0"/>
                      <w:sz w:val="21"/>
                      <w:szCs w:val="21"/>
                      <w:highlight w:val="none"/>
                      <w:vertAlign w:val="baseline"/>
                      <w:lang w:val="en-US" w:eastAsia="zh-CN" w:bidi="ar"/>
                    </w:rPr>
                    <w:t>污染物</w:t>
                  </w:r>
                </w:p>
              </w:tc>
              <w:tc>
                <w:tcPr>
                  <w:tcW w:w="1755" w:type="dxa"/>
                  <w:tcBorders>
                    <w:tl2br w:val="nil"/>
                    <w:tr2bl w:val="nil"/>
                  </w:tcBorders>
                  <w:vAlign w:val="center"/>
                </w:tcPr>
                <w:p w14:paraId="6544B1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kern w:val="0"/>
                      <w:sz w:val="21"/>
                      <w:szCs w:val="21"/>
                      <w:highlight w:val="none"/>
                      <w:vertAlign w:val="baseline"/>
                      <w:lang w:val="en-US" w:eastAsia="zh-CN" w:bidi="ar"/>
                    </w:rPr>
                  </w:pPr>
                  <w:r>
                    <w:rPr>
                      <w:rFonts w:hint="default" w:ascii="Times New Roman" w:hAnsi="Times New Roman" w:eastAsia="宋体" w:cs="Times New Roman"/>
                      <w:b/>
                      <w:bCs/>
                      <w:color w:val="000000"/>
                      <w:kern w:val="0"/>
                      <w:sz w:val="21"/>
                      <w:szCs w:val="21"/>
                      <w:highlight w:val="none"/>
                      <w:vertAlign w:val="baseline"/>
                      <w:lang w:val="en-US" w:eastAsia="zh-CN" w:bidi="ar"/>
                    </w:rPr>
                    <w:t>评价指标</w:t>
                  </w:r>
                </w:p>
              </w:tc>
              <w:tc>
                <w:tcPr>
                  <w:tcW w:w="1155" w:type="dxa"/>
                  <w:tcBorders>
                    <w:tl2br w:val="nil"/>
                    <w:tr2bl w:val="nil"/>
                  </w:tcBorders>
                  <w:vAlign w:val="center"/>
                </w:tcPr>
                <w:p w14:paraId="399152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kern w:val="0"/>
                      <w:sz w:val="21"/>
                      <w:szCs w:val="21"/>
                      <w:highlight w:val="none"/>
                      <w:vertAlign w:val="baseline"/>
                      <w:lang w:val="en-US" w:eastAsia="zh-CN" w:bidi="ar"/>
                    </w:rPr>
                  </w:pPr>
                  <w:r>
                    <w:rPr>
                      <w:rFonts w:hint="default" w:ascii="Times New Roman" w:hAnsi="Times New Roman" w:eastAsia="宋体" w:cs="Times New Roman"/>
                      <w:b/>
                      <w:bCs/>
                      <w:color w:val="000000"/>
                      <w:kern w:val="0"/>
                      <w:sz w:val="21"/>
                      <w:szCs w:val="21"/>
                      <w:highlight w:val="none"/>
                      <w:vertAlign w:val="baseline"/>
                      <w:lang w:val="en-US" w:eastAsia="zh-CN" w:bidi="ar"/>
                    </w:rPr>
                    <w:t>现状浓度μg/m</w:t>
                  </w:r>
                  <w:r>
                    <w:rPr>
                      <w:rFonts w:hint="default" w:ascii="Times New Roman" w:hAnsi="Times New Roman" w:eastAsia="宋体" w:cs="Times New Roman"/>
                      <w:b/>
                      <w:bCs/>
                      <w:color w:val="000000"/>
                      <w:kern w:val="0"/>
                      <w:sz w:val="21"/>
                      <w:szCs w:val="21"/>
                      <w:highlight w:val="none"/>
                      <w:vertAlign w:val="superscript"/>
                      <w:lang w:val="en-US" w:eastAsia="zh-CN" w:bidi="ar"/>
                    </w:rPr>
                    <w:t>3</w:t>
                  </w:r>
                </w:p>
              </w:tc>
              <w:tc>
                <w:tcPr>
                  <w:tcW w:w="1080" w:type="dxa"/>
                  <w:tcBorders>
                    <w:tl2br w:val="nil"/>
                    <w:tr2bl w:val="nil"/>
                  </w:tcBorders>
                  <w:vAlign w:val="center"/>
                </w:tcPr>
                <w:p w14:paraId="7E1575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kern w:val="0"/>
                      <w:sz w:val="21"/>
                      <w:szCs w:val="21"/>
                      <w:highlight w:val="none"/>
                      <w:vertAlign w:val="baseline"/>
                      <w:lang w:val="en-US" w:eastAsia="zh-CN" w:bidi="ar"/>
                    </w:rPr>
                  </w:pPr>
                  <w:r>
                    <w:rPr>
                      <w:rFonts w:hint="eastAsia" w:ascii="Times New Roman" w:hAnsi="Times New Roman" w:eastAsia="宋体" w:cs="Times New Roman"/>
                      <w:b/>
                      <w:bCs/>
                      <w:color w:val="000000"/>
                      <w:kern w:val="0"/>
                      <w:sz w:val="21"/>
                      <w:szCs w:val="21"/>
                      <w:highlight w:val="none"/>
                      <w:vertAlign w:val="baseline"/>
                      <w:lang w:val="en-US" w:eastAsia="zh-CN" w:bidi="ar"/>
                    </w:rPr>
                    <w:t>标准值</w:t>
                  </w:r>
                  <w:r>
                    <w:rPr>
                      <w:rFonts w:hint="default" w:ascii="Times New Roman" w:hAnsi="Times New Roman" w:eastAsia="宋体" w:cs="Times New Roman"/>
                      <w:b/>
                      <w:bCs/>
                      <w:color w:val="000000"/>
                      <w:kern w:val="0"/>
                      <w:sz w:val="21"/>
                      <w:szCs w:val="21"/>
                      <w:highlight w:val="none"/>
                      <w:vertAlign w:val="baseline"/>
                      <w:lang w:val="en-US" w:eastAsia="zh-CN" w:bidi="ar"/>
                    </w:rPr>
                    <w:t>μg/m</w:t>
                  </w:r>
                  <w:r>
                    <w:rPr>
                      <w:rFonts w:hint="default" w:ascii="Times New Roman" w:hAnsi="Times New Roman" w:eastAsia="宋体" w:cs="Times New Roman"/>
                      <w:b/>
                      <w:bCs/>
                      <w:color w:val="000000"/>
                      <w:kern w:val="0"/>
                      <w:sz w:val="21"/>
                      <w:szCs w:val="21"/>
                      <w:highlight w:val="none"/>
                      <w:vertAlign w:val="superscript"/>
                      <w:lang w:val="en-US" w:eastAsia="zh-CN" w:bidi="ar"/>
                    </w:rPr>
                    <w:t>3</w:t>
                  </w:r>
                </w:p>
              </w:tc>
              <w:tc>
                <w:tcPr>
                  <w:tcW w:w="1080" w:type="dxa"/>
                  <w:tcBorders>
                    <w:tl2br w:val="nil"/>
                    <w:tr2bl w:val="nil"/>
                  </w:tcBorders>
                  <w:vAlign w:val="center"/>
                </w:tcPr>
                <w:p w14:paraId="577E0D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kern w:val="0"/>
                      <w:sz w:val="21"/>
                      <w:szCs w:val="21"/>
                      <w:highlight w:val="none"/>
                      <w:vertAlign w:val="baseline"/>
                      <w:lang w:val="en-US" w:eastAsia="zh-CN" w:bidi="ar"/>
                    </w:rPr>
                  </w:pPr>
                  <w:r>
                    <w:rPr>
                      <w:rFonts w:hint="eastAsia" w:ascii="Times New Roman" w:hAnsi="Times New Roman" w:eastAsia="宋体" w:cs="Times New Roman"/>
                      <w:b/>
                      <w:bCs/>
                      <w:color w:val="000000"/>
                      <w:kern w:val="0"/>
                      <w:sz w:val="21"/>
                      <w:szCs w:val="21"/>
                      <w:highlight w:val="none"/>
                      <w:vertAlign w:val="baseline"/>
                      <w:lang w:val="en-US" w:eastAsia="zh-CN" w:bidi="ar"/>
                    </w:rPr>
                    <w:t>占标率%</w:t>
                  </w:r>
                </w:p>
              </w:tc>
              <w:tc>
                <w:tcPr>
                  <w:tcW w:w="892" w:type="dxa"/>
                  <w:tcBorders>
                    <w:tl2br w:val="nil"/>
                    <w:tr2bl w:val="nil"/>
                  </w:tcBorders>
                  <w:vAlign w:val="center"/>
                </w:tcPr>
                <w:p w14:paraId="65ACCA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000000"/>
                      <w:kern w:val="0"/>
                      <w:sz w:val="21"/>
                      <w:szCs w:val="21"/>
                      <w:highlight w:val="none"/>
                      <w:vertAlign w:val="baseline"/>
                      <w:lang w:val="en-US" w:eastAsia="zh-CN" w:bidi="ar"/>
                    </w:rPr>
                  </w:pPr>
                  <w:r>
                    <w:rPr>
                      <w:rFonts w:hint="eastAsia" w:ascii="Times New Roman" w:hAnsi="Times New Roman" w:eastAsia="宋体" w:cs="Times New Roman"/>
                      <w:b/>
                      <w:bCs/>
                      <w:color w:val="000000"/>
                      <w:kern w:val="0"/>
                      <w:sz w:val="21"/>
                      <w:szCs w:val="21"/>
                      <w:highlight w:val="none"/>
                      <w:vertAlign w:val="baseline"/>
                      <w:lang w:val="en-US" w:eastAsia="zh-CN" w:bidi="ar"/>
                    </w:rPr>
                    <w:t>达标</w:t>
                  </w:r>
                </w:p>
                <w:p w14:paraId="784CEE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kern w:val="0"/>
                      <w:sz w:val="21"/>
                      <w:szCs w:val="21"/>
                      <w:highlight w:val="none"/>
                      <w:vertAlign w:val="baseline"/>
                      <w:lang w:val="en-US" w:eastAsia="zh-CN" w:bidi="ar"/>
                    </w:rPr>
                  </w:pPr>
                  <w:r>
                    <w:rPr>
                      <w:rFonts w:hint="eastAsia" w:ascii="Times New Roman" w:hAnsi="Times New Roman" w:eastAsia="宋体" w:cs="Times New Roman"/>
                      <w:b/>
                      <w:bCs/>
                      <w:color w:val="000000"/>
                      <w:kern w:val="0"/>
                      <w:sz w:val="21"/>
                      <w:szCs w:val="21"/>
                      <w:highlight w:val="none"/>
                      <w:vertAlign w:val="baseline"/>
                      <w:lang w:val="en-US" w:eastAsia="zh-CN" w:bidi="ar"/>
                    </w:rPr>
                    <w:t>情况</w:t>
                  </w:r>
                </w:p>
              </w:tc>
            </w:tr>
            <w:tr w14:paraId="32F867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restart"/>
                  <w:tcBorders>
                    <w:tl2br w:val="nil"/>
                    <w:tr2bl w:val="nil"/>
                  </w:tcBorders>
                  <w:vAlign w:val="center"/>
                </w:tcPr>
                <w:p w14:paraId="6EDE56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北京市</w:t>
                  </w:r>
                </w:p>
              </w:tc>
              <w:tc>
                <w:tcPr>
                  <w:tcW w:w="990" w:type="dxa"/>
                  <w:tcBorders>
                    <w:tl2br w:val="nil"/>
                    <w:tr2bl w:val="nil"/>
                  </w:tcBorders>
                  <w:vAlign w:val="center"/>
                </w:tcPr>
                <w:p w14:paraId="03D210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PM</w:t>
                  </w:r>
                  <w:r>
                    <w:rPr>
                      <w:rFonts w:hint="eastAsia" w:ascii="Times New Roman" w:hAnsi="Times New Roman" w:eastAsia="宋体" w:cs="Times New Roman"/>
                      <w:b w:val="0"/>
                      <w:bCs w:val="0"/>
                      <w:color w:val="000000"/>
                      <w:kern w:val="0"/>
                      <w:sz w:val="21"/>
                      <w:szCs w:val="21"/>
                      <w:highlight w:val="none"/>
                      <w:vertAlign w:val="subscript"/>
                      <w:lang w:val="en-US" w:eastAsia="zh-CN" w:bidi="ar"/>
                    </w:rPr>
                    <w:t>2.5</w:t>
                  </w:r>
                </w:p>
              </w:tc>
              <w:tc>
                <w:tcPr>
                  <w:tcW w:w="1755" w:type="dxa"/>
                  <w:tcBorders>
                    <w:tl2br w:val="nil"/>
                    <w:tr2bl w:val="nil"/>
                  </w:tcBorders>
                  <w:vAlign w:val="center"/>
                </w:tcPr>
                <w:p w14:paraId="613AC0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年平均浓度</w:t>
                  </w:r>
                </w:p>
              </w:tc>
              <w:tc>
                <w:tcPr>
                  <w:tcW w:w="1155" w:type="dxa"/>
                  <w:tcBorders>
                    <w:tl2br w:val="nil"/>
                    <w:tr2bl w:val="nil"/>
                  </w:tcBorders>
                  <w:vAlign w:val="center"/>
                </w:tcPr>
                <w:p w14:paraId="67F7E4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32</w:t>
                  </w:r>
                </w:p>
              </w:tc>
              <w:tc>
                <w:tcPr>
                  <w:tcW w:w="1080" w:type="dxa"/>
                  <w:tcBorders>
                    <w:tl2br w:val="nil"/>
                    <w:tr2bl w:val="nil"/>
                  </w:tcBorders>
                  <w:vAlign w:val="center"/>
                </w:tcPr>
                <w:p w14:paraId="7C305A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35</w:t>
                  </w:r>
                </w:p>
              </w:tc>
              <w:tc>
                <w:tcPr>
                  <w:tcW w:w="1080" w:type="dxa"/>
                  <w:tcBorders>
                    <w:tl2br w:val="nil"/>
                    <w:tr2bl w:val="nil"/>
                  </w:tcBorders>
                  <w:vAlign w:val="center"/>
                </w:tcPr>
                <w:p w14:paraId="611A47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91.43</w:t>
                  </w:r>
                </w:p>
              </w:tc>
              <w:tc>
                <w:tcPr>
                  <w:tcW w:w="892" w:type="dxa"/>
                  <w:tcBorders>
                    <w:tl2br w:val="nil"/>
                    <w:tr2bl w:val="nil"/>
                  </w:tcBorders>
                  <w:vAlign w:val="center"/>
                </w:tcPr>
                <w:p w14:paraId="304E6A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达标</w:t>
                  </w:r>
                </w:p>
              </w:tc>
            </w:tr>
            <w:tr w14:paraId="4B9EEB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tcBorders>
                    <w:tl2br w:val="nil"/>
                    <w:tr2bl w:val="nil"/>
                  </w:tcBorders>
                  <w:vAlign w:val="center"/>
                </w:tcPr>
                <w:p w14:paraId="6F67C9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p>
              </w:tc>
              <w:tc>
                <w:tcPr>
                  <w:tcW w:w="990" w:type="dxa"/>
                  <w:tcBorders>
                    <w:tl2br w:val="nil"/>
                    <w:tr2bl w:val="nil"/>
                  </w:tcBorders>
                  <w:vAlign w:val="center"/>
                </w:tcPr>
                <w:p w14:paraId="2BE0B0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PM</w:t>
                  </w:r>
                  <w:r>
                    <w:rPr>
                      <w:rFonts w:hint="eastAsia" w:ascii="Times New Roman" w:hAnsi="Times New Roman" w:eastAsia="宋体" w:cs="Times New Roman"/>
                      <w:b w:val="0"/>
                      <w:bCs w:val="0"/>
                      <w:color w:val="000000"/>
                      <w:kern w:val="0"/>
                      <w:sz w:val="21"/>
                      <w:szCs w:val="21"/>
                      <w:highlight w:val="none"/>
                      <w:vertAlign w:val="subscript"/>
                      <w:lang w:val="en-US" w:eastAsia="zh-CN" w:bidi="ar"/>
                    </w:rPr>
                    <w:t>10</w:t>
                  </w:r>
                </w:p>
              </w:tc>
              <w:tc>
                <w:tcPr>
                  <w:tcW w:w="1755" w:type="dxa"/>
                  <w:tcBorders>
                    <w:tl2br w:val="nil"/>
                    <w:tr2bl w:val="nil"/>
                  </w:tcBorders>
                  <w:vAlign w:val="center"/>
                </w:tcPr>
                <w:p w14:paraId="50A263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年平均浓度</w:t>
                  </w:r>
                </w:p>
              </w:tc>
              <w:tc>
                <w:tcPr>
                  <w:tcW w:w="1155" w:type="dxa"/>
                  <w:tcBorders>
                    <w:tl2br w:val="nil"/>
                    <w:tr2bl w:val="nil"/>
                  </w:tcBorders>
                  <w:vAlign w:val="center"/>
                </w:tcPr>
                <w:p w14:paraId="32D48E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61</w:t>
                  </w:r>
                </w:p>
              </w:tc>
              <w:tc>
                <w:tcPr>
                  <w:tcW w:w="1080" w:type="dxa"/>
                  <w:tcBorders>
                    <w:tl2br w:val="nil"/>
                    <w:tr2bl w:val="nil"/>
                  </w:tcBorders>
                  <w:vAlign w:val="center"/>
                </w:tcPr>
                <w:p w14:paraId="037927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70</w:t>
                  </w:r>
                </w:p>
              </w:tc>
              <w:tc>
                <w:tcPr>
                  <w:tcW w:w="1080" w:type="dxa"/>
                  <w:tcBorders>
                    <w:tl2br w:val="nil"/>
                    <w:tr2bl w:val="nil"/>
                  </w:tcBorders>
                  <w:vAlign w:val="center"/>
                </w:tcPr>
                <w:p w14:paraId="4048E0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87.15</w:t>
                  </w:r>
                </w:p>
              </w:tc>
              <w:tc>
                <w:tcPr>
                  <w:tcW w:w="892" w:type="dxa"/>
                  <w:tcBorders>
                    <w:tl2br w:val="nil"/>
                    <w:tr2bl w:val="nil"/>
                  </w:tcBorders>
                  <w:vAlign w:val="center"/>
                </w:tcPr>
                <w:p w14:paraId="538A0A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达标</w:t>
                  </w:r>
                </w:p>
              </w:tc>
            </w:tr>
            <w:tr w14:paraId="76DECD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tcBorders>
                    <w:tl2br w:val="nil"/>
                    <w:tr2bl w:val="nil"/>
                  </w:tcBorders>
                  <w:vAlign w:val="center"/>
                </w:tcPr>
                <w:p w14:paraId="731128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p>
              </w:tc>
              <w:tc>
                <w:tcPr>
                  <w:tcW w:w="990" w:type="dxa"/>
                  <w:tcBorders>
                    <w:tl2br w:val="nil"/>
                    <w:tr2bl w:val="nil"/>
                  </w:tcBorders>
                  <w:vAlign w:val="center"/>
                </w:tcPr>
                <w:p w14:paraId="059715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SO</w:t>
                  </w:r>
                  <w:r>
                    <w:rPr>
                      <w:rFonts w:hint="eastAsia" w:ascii="Times New Roman" w:hAnsi="Times New Roman" w:eastAsia="宋体" w:cs="Times New Roman"/>
                      <w:b w:val="0"/>
                      <w:bCs w:val="0"/>
                      <w:color w:val="000000"/>
                      <w:kern w:val="0"/>
                      <w:sz w:val="21"/>
                      <w:szCs w:val="21"/>
                      <w:highlight w:val="none"/>
                      <w:vertAlign w:val="subscript"/>
                      <w:lang w:val="en-US" w:eastAsia="zh-CN" w:bidi="ar"/>
                    </w:rPr>
                    <w:t>2</w:t>
                  </w:r>
                </w:p>
              </w:tc>
              <w:tc>
                <w:tcPr>
                  <w:tcW w:w="1755" w:type="dxa"/>
                  <w:tcBorders>
                    <w:tl2br w:val="nil"/>
                    <w:tr2bl w:val="nil"/>
                  </w:tcBorders>
                  <w:vAlign w:val="center"/>
                </w:tcPr>
                <w:p w14:paraId="29E3FA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年平均浓度</w:t>
                  </w:r>
                </w:p>
              </w:tc>
              <w:tc>
                <w:tcPr>
                  <w:tcW w:w="1155" w:type="dxa"/>
                  <w:tcBorders>
                    <w:tl2br w:val="nil"/>
                    <w:tr2bl w:val="nil"/>
                  </w:tcBorders>
                  <w:vAlign w:val="center"/>
                </w:tcPr>
                <w:p w14:paraId="4468EF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w:t>
                  </w:r>
                </w:p>
              </w:tc>
              <w:tc>
                <w:tcPr>
                  <w:tcW w:w="1080" w:type="dxa"/>
                  <w:tcBorders>
                    <w:tl2br w:val="nil"/>
                    <w:tr2bl w:val="nil"/>
                  </w:tcBorders>
                  <w:vAlign w:val="center"/>
                </w:tcPr>
                <w:p w14:paraId="2ABCFB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60</w:t>
                  </w:r>
                </w:p>
              </w:tc>
              <w:tc>
                <w:tcPr>
                  <w:tcW w:w="1080" w:type="dxa"/>
                  <w:tcBorders>
                    <w:tl2br w:val="nil"/>
                    <w:tr2bl w:val="nil"/>
                  </w:tcBorders>
                  <w:vAlign w:val="center"/>
                </w:tcPr>
                <w:p w14:paraId="559134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5.00</w:t>
                  </w:r>
                </w:p>
              </w:tc>
              <w:tc>
                <w:tcPr>
                  <w:tcW w:w="892" w:type="dxa"/>
                  <w:tcBorders>
                    <w:tl2br w:val="nil"/>
                    <w:tr2bl w:val="nil"/>
                  </w:tcBorders>
                  <w:vAlign w:val="center"/>
                </w:tcPr>
                <w:p w14:paraId="5F761D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达标</w:t>
                  </w:r>
                </w:p>
              </w:tc>
            </w:tr>
            <w:tr w14:paraId="5726B4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tcBorders>
                    <w:tl2br w:val="nil"/>
                    <w:tr2bl w:val="nil"/>
                  </w:tcBorders>
                  <w:vAlign w:val="center"/>
                </w:tcPr>
                <w:p w14:paraId="1CC538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p>
              </w:tc>
              <w:tc>
                <w:tcPr>
                  <w:tcW w:w="990" w:type="dxa"/>
                  <w:tcBorders>
                    <w:tl2br w:val="nil"/>
                    <w:tr2bl w:val="nil"/>
                  </w:tcBorders>
                  <w:vAlign w:val="center"/>
                </w:tcPr>
                <w:p w14:paraId="3802BF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NO</w:t>
                  </w:r>
                  <w:r>
                    <w:rPr>
                      <w:rFonts w:hint="eastAsia" w:ascii="Times New Roman" w:hAnsi="Times New Roman" w:eastAsia="宋体" w:cs="Times New Roman"/>
                      <w:b w:val="0"/>
                      <w:bCs w:val="0"/>
                      <w:color w:val="000000"/>
                      <w:kern w:val="0"/>
                      <w:sz w:val="21"/>
                      <w:szCs w:val="21"/>
                      <w:highlight w:val="none"/>
                      <w:vertAlign w:val="subscript"/>
                      <w:lang w:val="en-US" w:eastAsia="zh-CN" w:bidi="ar"/>
                    </w:rPr>
                    <w:t>2</w:t>
                  </w:r>
                </w:p>
              </w:tc>
              <w:tc>
                <w:tcPr>
                  <w:tcW w:w="1755" w:type="dxa"/>
                  <w:tcBorders>
                    <w:tl2br w:val="nil"/>
                    <w:tr2bl w:val="nil"/>
                  </w:tcBorders>
                  <w:vAlign w:val="center"/>
                </w:tcPr>
                <w:p w14:paraId="0C5964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年平均浓度</w:t>
                  </w:r>
                </w:p>
              </w:tc>
              <w:tc>
                <w:tcPr>
                  <w:tcW w:w="1155" w:type="dxa"/>
                  <w:tcBorders>
                    <w:tl2br w:val="nil"/>
                    <w:tr2bl w:val="nil"/>
                  </w:tcBorders>
                  <w:vAlign w:val="center"/>
                </w:tcPr>
                <w:p w14:paraId="5AA426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26</w:t>
                  </w:r>
                </w:p>
              </w:tc>
              <w:tc>
                <w:tcPr>
                  <w:tcW w:w="1080" w:type="dxa"/>
                  <w:tcBorders>
                    <w:tl2br w:val="nil"/>
                    <w:tr2bl w:val="nil"/>
                  </w:tcBorders>
                  <w:vAlign w:val="center"/>
                </w:tcPr>
                <w:p w14:paraId="2E71D4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40</w:t>
                  </w:r>
                </w:p>
              </w:tc>
              <w:tc>
                <w:tcPr>
                  <w:tcW w:w="1080" w:type="dxa"/>
                  <w:tcBorders>
                    <w:tl2br w:val="nil"/>
                    <w:tr2bl w:val="nil"/>
                  </w:tcBorders>
                  <w:vAlign w:val="center"/>
                </w:tcPr>
                <w:p w14:paraId="4514F9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65.00</w:t>
                  </w:r>
                </w:p>
              </w:tc>
              <w:tc>
                <w:tcPr>
                  <w:tcW w:w="892" w:type="dxa"/>
                  <w:tcBorders>
                    <w:tl2br w:val="nil"/>
                    <w:tr2bl w:val="nil"/>
                  </w:tcBorders>
                  <w:vAlign w:val="center"/>
                </w:tcPr>
                <w:p w14:paraId="2F0CF6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达标</w:t>
                  </w:r>
                </w:p>
              </w:tc>
            </w:tr>
            <w:tr w14:paraId="707847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tcBorders>
                    <w:tl2br w:val="nil"/>
                    <w:tr2bl w:val="nil"/>
                  </w:tcBorders>
                  <w:vAlign w:val="center"/>
                </w:tcPr>
                <w:p w14:paraId="5D1D66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p>
              </w:tc>
              <w:tc>
                <w:tcPr>
                  <w:tcW w:w="990" w:type="dxa"/>
                  <w:tcBorders>
                    <w:tl2br w:val="nil"/>
                    <w:tr2bl w:val="nil"/>
                  </w:tcBorders>
                  <w:vAlign w:val="center"/>
                </w:tcPr>
                <w:p w14:paraId="0496E8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O</w:t>
                  </w:r>
                  <w:r>
                    <w:rPr>
                      <w:rFonts w:hint="eastAsia" w:ascii="Times New Roman" w:hAnsi="Times New Roman" w:eastAsia="宋体" w:cs="Times New Roman"/>
                      <w:b w:val="0"/>
                      <w:bCs w:val="0"/>
                      <w:color w:val="000000"/>
                      <w:kern w:val="0"/>
                      <w:sz w:val="21"/>
                      <w:szCs w:val="21"/>
                      <w:highlight w:val="none"/>
                      <w:vertAlign w:val="subscript"/>
                      <w:lang w:val="en-US" w:eastAsia="zh-CN" w:bidi="ar"/>
                    </w:rPr>
                    <w:t>3</w:t>
                  </w:r>
                </w:p>
              </w:tc>
              <w:tc>
                <w:tcPr>
                  <w:tcW w:w="1755" w:type="dxa"/>
                  <w:tcBorders>
                    <w:tl2br w:val="nil"/>
                    <w:tr2bl w:val="nil"/>
                  </w:tcBorders>
                  <w:vAlign w:val="center"/>
                </w:tcPr>
                <w:p w14:paraId="7F4EA5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 w:val="0"/>
                      <w:bCs w:val="0"/>
                      <w:color w:val="000000"/>
                      <w:kern w:val="0"/>
                      <w:sz w:val="21"/>
                      <w:szCs w:val="21"/>
                      <w:highlight w:val="none"/>
                      <w:vertAlign w:val="baseline"/>
                      <w:lang w:val="en-US" w:eastAsia="zh-CN" w:bidi="ar"/>
                    </w:rPr>
                  </w:pPr>
                  <w:r>
                    <w:rPr>
                      <w:rFonts w:hint="eastAsia" w:cs="Times New Roman"/>
                      <w:b w:val="0"/>
                      <w:bCs w:val="0"/>
                      <w:color w:val="000000"/>
                      <w:kern w:val="0"/>
                      <w:sz w:val="21"/>
                      <w:szCs w:val="21"/>
                      <w:highlight w:val="none"/>
                      <w:vertAlign w:val="baseline"/>
                      <w:lang w:val="en-US" w:eastAsia="zh-CN" w:bidi="ar"/>
                    </w:rPr>
                    <w:t>日最大8小时</w:t>
                  </w:r>
                </w:p>
                <w:p w14:paraId="16C331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000000"/>
                      <w:kern w:val="0"/>
                      <w:sz w:val="21"/>
                      <w:szCs w:val="21"/>
                      <w:highlight w:val="none"/>
                      <w:vertAlign w:val="baseline"/>
                      <w:lang w:val="en-US" w:eastAsia="zh-CN" w:bidi="ar"/>
                    </w:rPr>
                    <w:t>平均浓度</w:t>
                  </w:r>
                </w:p>
              </w:tc>
              <w:tc>
                <w:tcPr>
                  <w:tcW w:w="1155" w:type="dxa"/>
                  <w:tcBorders>
                    <w:tl2br w:val="nil"/>
                    <w:tr2bl w:val="nil"/>
                  </w:tcBorders>
                  <w:vAlign w:val="center"/>
                </w:tcPr>
                <w:p w14:paraId="298E98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175</w:t>
                  </w:r>
                </w:p>
              </w:tc>
              <w:tc>
                <w:tcPr>
                  <w:tcW w:w="1080" w:type="dxa"/>
                  <w:tcBorders>
                    <w:tl2br w:val="nil"/>
                    <w:tr2bl w:val="nil"/>
                  </w:tcBorders>
                  <w:vAlign w:val="center"/>
                </w:tcPr>
                <w:p w14:paraId="0DBF03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160</w:t>
                  </w:r>
                </w:p>
              </w:tc>
              <w:tc>
                <w:tcPr>
                  <w:tcW w:w="1080" w:type="dxa"/>
                  <w:tcBorders>
                    <w:tl2br w:val="nil"/>
                    <w:tr2bl w:val="nil"/>
                  </w:tcBorders>
                  <w:vAlign w:val="center"/>
                </w:tcPr>
                <w:p w14:paraId="205C4A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109.38</w:t>
                  </w:r>
                </w:p>
              </w:tc>
              <w:tc>
                <w:tcPr>
                  <w:tcW w:w="892" w:type="dxa"/>
                  <w:tcBorders>
                    <w:tl2br w:val="nil"/>
                    <w:tr2bl w:val="nil"/>
                  </w:tcBorders>
                  <w:vAlign w:val="center"/>
                </w:tcPr>
                <w:p w14:paraId="382F3E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不达标</w:t>
                  </w:r>
                </w:p>
              </w:tc>
            </w:tr>
            <w:tr w14:paraId="00EC4E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tcBorders>
                    <w:tl2br w:val="nil"/>
                    <w:tr2bl w:val="nil"/>
                  </w:tcBorders>
                  <w:vAlign w:val="center"/>
                </w:tcPr>
                <w:p w14:paraId="09DAFA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p>
              </w:tc>
              <w:tc>
                <w:tcPr>
                  <w:tcW w:w="990" w:type="dxa"/>
                  <w:tcBorders>
                    <w:tl2br w:val="nil"/>
                    <w:tr2bl w:val="nil"/>
                  </w:tcBorders>
                  <w:vAlign w:val="center"/>
                </w:tcPr>
                <w:p w14:paraId="316D84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CO</w:t>
                  </w:r>
                </w:p>
              </w:tc>
              <w:tc>
                <w:tcPr>
                  <w:tcW w:w="1755" w:type="dxa"/>
                  <w:tcBorders>
                    <w:tl2br w:val="nil"/>
                    <w:tr2bl w:val="nil"/>
                  </w:tcBorders>
                  <w:vAlign w:val="center"/>
                </w:tcPr>
                <w:p w14:paraId="681BF5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000000"/>
                      <w:kern w:val="0"/>
                      <w:sz w:val="21"/>
                      <w:szCs w:val="21"/>
                      <w:highlight w:val="none"/>
                      <w:vertAlign w:val="baseline"/>
                      <w:lang w:val="en-US" w:eastAsia="zh-CN" w:bidi="ar"/>
                    </w:rPr>
                    <w:t>24小时平均浓度</w:t>
                  </w:r>
                </w:p>
              </w:tc>
              <w:tc>
                <w:tcPr>
                  <w:tcW w:w="1155" w:type="dxa"/>
                  <w:tcBorders>
                    <w:tl2br w:val="nil"/>
                    <w:tr2bl w:val="nil"/>
                  </w:tcBorders>
                  <w:vAlign w:val="center"/>
                </w:tcPr>
                <w:p w14:paraId="67EE14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900</w:t>
                  </w:r>
                </w:p>
              </w:tc>
              <w:tc>
                <w:tcPr>
                  <w:tcW w:w="1080" w:type="dxa"/>
                  <w:tcBorders>
                    <w:tl2br w:val="nil"/>
                    <w:tr2bl w:val="nil"/>
                  </w:tcBorders>
                  <w:vAlign w:val="center"/>
                </w:tcPr>
                <w:p w14:paraId="175A1D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4000</w:t>
                  </w:r>
                </w:p>
              </w:tc>
              <w:tc>
                <w:tcPr>
                  <w:tcW w:w="1080" w:type="dxa"/>
                  <w:tcBorders>
                    <w:tl2br w:val="nil"/>
                    <w:tr2bl w:val="nil"/>
                  </w:tcBorders>
                  <w:vAlign w:val="center"/>
                </w:tcPr>
                <w:p w14:paraId="090595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22.50</w:t>
                  </w:r>
                </w:p>
              </w:tc>
              <w:tc>
                <w:tcPr>
                  <w:tcW w:w="892" w:type="dxa"/>
                  <w:tcBorders>
                    <w:tl2br w:val="nil"/>
                    <w:tr2bl w:val="nil"/>
                  </w:tcBorders>
                  <w:vAlign w:val="center"/>
                </w:tcPr>
                <w:p w14:paraId="7DDD5D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达标</w:t>
                  </w:r>
                </w:p>
              </w:tc>
            </w:tr>
            <w:tr w14:paraId="5E29D4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restart"/>
                  <w:tcBorders>
                    <w:tl2br w:val="nil"/>
                    <w:tr2bl w:val="nil"/>
                  </w:tcBorders>
                  <w:vAlign w:val="center"/>
                </w:tcPr>
                <w:p w14:paraId="6941F9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000000"/>
                      <w:kern w:val="0"/>
                      <w:sz w:val="21"/>
                      <w:szCs w:val="21"/>
                      <w:highlight w:val="none"/>
                      <w:vertAlign w:val="baseline"/>
                      <w:lang w:val="en-US" w:eastAsia="zh-CN" w:bidi="ar"/>
                    </w:rPr>
                    <w:t>房山区</w:t>
                  </w:r>
                </w:p>
              </w:tc>
              <w:tc>
                <w:tcPr>
                  <w:tcW w:w="990" w:type="dxa"/>
                  <w:tcBorders>
                    <w:tl2br w:val="nil"/>
                    <w:tr2bl w:val="nil"/>
                  </w:tcBorders>
                  <w:vAlign w:val="center"/>
                </w:tcPr>
                <w:p w14:paraId="2F3C3E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PM</w:t>
                  </w:r>
                  <w:r>
                    <w:rPr>
                      <w:rFonts w:hint="eastAsia" w:ascii="Times New Roman" w:hAnsi="Times New Roman" w:eastAsia="宋体" w:cs="Times New Roman"/>
                      <w:b w:val="0"/>
                      <w:bCs w:val="0"/>
                      <w:color w:val="000000"/>
                      <w:kern w:val="0"/>
                      <w:sz w:val="21"/>
                      <w:szCs w:val="21"/>
                      <w:highlight w:val="none"/>
                      <w:vertAlign w:val="subscript"/>
                      <w:lang w:val="en-US" w:eastAsia="zh-CN" w:bidi="ar"/>
                    </w:rPr>
                    <w:t>2.5</w:t>
                  </w:r>
                </w:p>
              </w:tc>
              <w:tc>
                <w:tcPr>
                  <w:tcW w:w="1755" w:type="dxa"/>
                  <w:tcBorders>
                    <w:tl2br w:val="nil"/>
                    <w:tr2bl w:val="nil"/>
                  </w:tcBorders>
                  <w:vAlign w:val="center"/>
                </w:tcPr>
                <w:p w14:paraId="633289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年平均浓度</w:t>
                  </w:r>
                </w:p>
              </w:tc>
              <w:tc>
                <w:tcPr>
                  <w:tcW w:w="1155" w:type="dxa"/>
                  <w:tcBorders>
                    <w:tl2br w:val="nil"/>
                    <w:tr2bl w:val="nil"/>
                  </w:tcBorders>
                  <w:vAlign w:val="center"/>
                </w:tcPr>
                <w:p w14:paraId="0E1D77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34</w:t>
                  </w:r>
                </w:p>
              </w:tc>
              <w:tc>
                <w:tcPr>
                  <w:tcW w:w="1080" w:type="dxa"/>
                  <w:tcBorders>
                    <w:tl2br w:val="nil"/>
                    <w:tr2bl w:val="nil"/>
                  </w:tcBorders>
                  <w:vAlign w:val="center"/>
                </w:tcPr>
                <w:p w14:paraId="66401D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35</w:t>
                  </w:r>
                </w:p>
              </w:tc>
              <w:tc>
                <w:tcPr>
                  <w:tcW w:w="1080" w:type="dxa"/>
                  <w:tcBorders>
                    <w:tl2br w:val="nil"/>
                    <w:tr2bl w:val="nil"/>
                  </w:tcBorders>
                  <w:vAlign w:val="center"/>
                </w:tcPr>
                <w:p w14:paraId="78118B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97.14</w:t>
                  </w:r>
                </w:p>
              </w:tc>
              <w:tc>
                <w:tcPr>
                  <w:tcW w:w="892" w:type="dxa"/>
                  <w:tcBorders>
                    <w:tl2br w:val="nil"/>
                    <w:tr2bl w:val="nil"/>
                  </w:tcBorders>
                  <w:vAlign w:val="center"/>
                </w:tcPr>
                <w:p w14:paraId="79CB78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达标</w:t>
                  </w:r>
                </w:p>
              </w:tc>
            </w:tr>
            <w:tr w14:paraId="72FDAB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tcBorders>
                    <w:tl2br w:val="nil"/>
                    <w:tr2bl w:val="nil"/>
                  </w:tcBorders>
                  <w:vAlign w:val="center"/>
                </w:tcPr>
                <w:p w14:paraId="1DA196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p>
              </w:tc>
              <w:tc>
                <w:tcPr>
                  <w:tcW w:w="990" w:type="dxa"/>
                  <w:tcBorders>
                    <w:tl2br w:val="nil"/>
                    <w:tr2bl w:val="nil"/>
                  </w:tcBorders>
                  <w:vAlign w:val="center"/>
                </w:tcPr>
                <w:p w14:paraId="45E928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PM</w:t>
                  </w:r>
                  <w:r>
                    <w:rPr>
                      <w:rFonts w:hint="eastAsia" w:ascii="Times New Roman" w:hAnsi="Times New Roman" w:eastAsia="宋体" w:cs="Times New Roman"/>
                      <w:b w:val="0"/>
                      <w:bCs w:val="0"/>
                      <w:color w:val="000000"/>
                      <w:kern w:val="0"/>
                      <w:sz w:val="21"/>
                      <w:szCs w:val="21"/>
                      <w:highlight w:val="none"/>
                      <w:vertAlign w:val="subscript"/>
                      <w:lang w:val="en-US" w:eastAsia="zh-CN" w:bidi="ar"/>
                    </w:rPr>
                    <w:t>10</w:t>
                  </w:r>
                </w:p>
              </w:tc>
              <w:tc>
                <w:tcPr>
                  <w:tcW w:w="1755" w:type="dxa"/>
                  <w:tcBorders>
                    <w:tl2br w:val="nil"/>
                    <w:tr2bl w:val="nil"/>
                  </w:tcBorders>
                  <w:vAlign w:val="center"/>
                </w:tcPr>
                <w:p w14:paraId="3B0212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年平均浓度</w:t>
                  </w:r>
                </w:p>
              </w:tc>
              <w:tc>
                <w:tcPr>
                  <w:tcW w:w="1155" w:type="dxa"/>
                  <w:tcBorders>
                    <w:tl2br w:val="nil"/>
                    <w:tr2bl w:val="nil"/>
                  </w:tcBorders>
                  <w:vAlign w:val="center"/>
                </w:tcPr>
                <w:p w14:paraId="4DFC33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61</w:t>
                  </w:r>
                </w:p>
              </w:tc>
              <w:tc>
                <w:tcPr>
                  <w:tcW w:w="1080" w:type="dxa"/>
                  <w:tcBorders>
                    <w:tl2br w:val="nil"/>
                    <w:tr2bl w:val="nil"/>
                  </w:tcBorders>
                  <w:vAlign w:val="center"/>
                </w:tcPr>
                <w:p w14:paraId="265163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70</w:t>
                  </w:r>
                </w:p>
              </w:tc>
              <w:tc>
                <w:tcPr>
                  <w:tcW w:w="1080" w:type="dxa"/>
                  <w:tcBorders>
                    <w:tl2br w:val="nil"/>
                    <w:tr2bl w:val="nil"/>
                  </w:tcBorders>
                  <w:vAlign w:val="center"/>
                </w:tcPr>
                <w:p w14:paraId="2B0F08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87.14</w:t>
                  </w:r>
                </w:p>
              </w:tc>
              <w:tc>
                <w:tcPr>
                  <w:tcW w:w="892" w:type="dxa"/>
                  <w:tcBorders>
                    <w:tl2br w:val="nil"/>
                    <w:tr2bl w:val="nil"/>
                  </w:tcBorders>
                  <w:vAlign w:val="center"/>
                </w:tcPr>
                <w:p w14:paraId="1F2127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达标</w:t>
                  </w:r>
                </w:p>
              </w:tc>
            </w:tr>
            <w:tr w14:paraId="691F2B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vAlign w:val="center"/>
                </w:tcPr>
                <w:p w14:paraId="437A03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p>
              </w:tc>
              <w:tc>
                <w:tcPr>
                  <w:tcW w:w="990" w:type="dxa"/>
                  <w:vAlign w:val="center"/>
                </w:tcPr>
                <w:p w14:paraId="49FCB7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SO</w:t>
                  </w:r>
                  <w:r>
                    <w:rPr>
                      <w:rFonts w:hint="eastAsia" w:ascii="Times New Roman" w:hAnsi="Times New Roman" w:eastAsia="宋体" w:cs="Times New Roman"/>
                      <w:b w:val="0"/>
                      <w:bCs w:val="0"/>
                      <w:color w:val="000000"/>
                      <w:kern w:val="0"/>
                      <w:sz w:val="21"/>
                      <w:szCs w:val="21"/>
                      <w:highlight w:val="none"/>
                      <w:vertAlign w:val="subscript"/>
                      <w:lang w:val="en-US" w:eastAsia="zh-CN" w:bidi="ar"/>
                    </w:rPr>
                    <w:t>2</w:t>
                  </w:r>
                </w:p>
              </w:tc>
              <w:tc>
                <w:tcPr>
                  <w:tcW w:w="1755" w:type="dxa"/>
                  <w:vAlign w:val="center"/>
                </w:tcPr>
                <w:p w14:paraId="3417C1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年平均浓度</w:t>
                  </w:r>
                </w:p>
              </w:tc>
              <w:tc>
                <w:tcPr>
                  <w:tcW w:w="1155" w:type="dxa"/>
                  <w:vAlign w:val="center"/>
                </w:tcPr>
                <w:p w14:paraId="12B231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w:t>
                  </w:r>
                </w:p>
              </w:tc>
              <w:tc>
                <w:tcPr>
                  <w:tcW w:w="1080" w:type="dxa"/>
                  <w:vAlign w:val="center"/>
                </w:tcPr>
                <w:p w14:paraId="6F31AE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60</w:t>
                  </w:r>
                </w:p>
              </w:tc>
              <w:tc>
                <w:tcPr>
                  <w:tcW w:w="1080" w:type="dxa"/>
                  <w:vAlign w:val="center"/>
                </w:tcPr>
                <w:p w14:paraId="1C6C91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5.00</w:t>
                  </w:r>
                </w:p>
              </w:tc>
              <w:tc>
                <w:tcPr>
                  <w:tcW w:w="892" w:type="dxa"/>
                  <w:vAlign w:val="center"/>
                </w:tcPr>
                <w:p w14:paraId="7711BC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达标</w:t>
                  </w:r>
                </w:p>
              </w:tc>
            </w:tr>
            <w:tr w14:paraId="20DA89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vAlign w:val="center"/>
                </w:tcPr>
                <w:p w14:paraId="0D953F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p>
              </w:tc>
              <w:tc>
                <w:tcPr>
                  <w:tcW w:w="990" w:type="dxa"/>
                  <w:vAlign w:val="center"/>
                </w:tcPr>
                <w:p w14:paraId="2AC91B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NO</w:t>
                  </w:r>
                  <w:r>
                    <w:rPr>
                      <w:rFonts w:hint="eastAsia" w:ascii="Times New Roman" w:hAnsi="Times New Roman" w:eastAsia="宋体" w:cs="Times New Roman"/>
                      <w:b w:val="0"/>
                      <w:bCs w:val="0"/>
                      <w:color w:val="000000"/>
                      <w:kern w:val="0"/>
                      <w:sz w:val="21"/>
                      <w:szCs w:val="21"/>
                      <w:highlight w:val="none"/>
                      <w:vertAlign w:val="subscript"/>
                      <w:lang w:val="en-US" w:eastAsia="zh-CN" w:bidi="ar"/>
                    </w:rPr>
                    <w:t>2</w:t>
                  </w:r>
                </w:p>
              </w:tc>
              <w:tc>
                <w:tcPr>
                  <w:tcW w:w="1755" w:type="dxa"/>
                  <w:vAlign w:val="center"/>
                </w:tcPr>
                <w:p w14:paraId="58013C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年平均浓度</w:t>
                  </w:r>
                </w:p>
              </w:tc>
              <w:tc>
                <w:tcPr>
                  <w:tcW w:w="1155" w:type="dxa"/>
                  <w:vAlign w:val="center"/>
                </w:tcPr>
                <w:p w14:paraId="247649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25</w:t>
                  </w:r>
                </w:p>
              </w:tc>
              <w:tc>
                <w:tcPr>
                  <w:tcW w:w="1080" w:type="dxa"/>
                  <w:vAlign w:val="center"/>
                </w:tcPr>
                <w:p w14:paraId="3DBB07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40</w:t>
                  </w:r>
                </w:p>
              </w:tc>
              <w:tc>
                <w:tcPr>
                  <w:tcW w:w="1080" w:type="dxa"/>
                  <w:vAlign w:val="center"/>
                </w:tcPr>
                <w:p w14:paraId="2EE0DF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62.50</w:t>
                  </w:r>
                </w:p>
              </w:tc>
              <w:tc>
                <w:tcPr>
                  <w:tcW w:w="892" w:type="dxa"/>
                  <w:vAlign w:val="center"/>
                </w:tcPr>
                <w:p w14:paraId="5E856F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达标</w:t>
                  </w:r>
                </w:p>
              </w:tc>
            </w:tr>
          </w:tbl>
          <w:p w14:paraId="68E55619">
            <w:pPr>
              <w:pStyle w:val="12"/>
              <w:bidi w:val="0"/>
              <w:rPr>
                <w:rFonts w:hint="default"/>
              </w:rPr>
            </w:pPr>
            <w:r>
              <w:rPr>
                <w:rFonts w:hint="default"/>
              </w:rPr>
              <w:t>注：*CO为24小时平均浓度第95百分位数，O</w:t>
            </w:r>
            <w:r>
              <w:rPr>
                <w:rFonts w:hint="default"/>
                <w:vertAlign w:val="subscript"/>
              </w:rPr>
              <w:t>3</w:t>
            </w:r>
            <w:r>
              <w:rPr>
                <w:rFonts w:hint="default"/>
              </w:rPr>
              <w:t>为日最大8小时平均浓度第90位百分位数。</w:t>
            </w:r>
          </w:p>
          <w:p w14:paraId="549C110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rPr>
              <w:t>根据以上监测结果可知，2023年本项目所在区域PM</w:t>
            </w:r>
            <w:r>
              <w:rPr>
                <w:rFonts w:hint="default" w:ascii="Times New Roman" w:hAnsi="Times New Roman" w:eastAsia="宋体" w:cs="Times New Roman"/>
                <w:sz w:val="24"/>
                <w:szCs w:val="24"/>
                <w:vertAlign w:val="subscript"/>
              </w:rPr>
              <w:t>2.5</w:t>
            </w:r>
            <w:r>
              <w:rPr>
                <w:rFonts w:hint="default" w:ascii="Times New Roman" w:hAnsi="Times New Roman" w:eastAsia="宋体" w:cs="Times New Roman"/>
                <w:sz w:val="24"/>
                <w:szCs w:val="24"/>
                <w:vertAlign w:val="baseline"/>
              </w:rPr>
              <w:t>年平均浓度、PM</w:t>
            </w:r>
            <w:r>
              <w:rPr>
                <w:rFonts w:hint="default" w:ascii="Times New Roman" w:hAnsi="Times New Roman" w:eastAsia="宋体" w:cs="Times New Roman"/>
                <w:sz w:val="24"/>
                <w:szCs w:val="24"/>
                <w:vertAlign w:val="subscript"/>
              </w:rPr>
              <w:t>10</w:t>
            </w:r>
            <w:r>
              <w:rPr>
                <w:rFonts w:hint="default" w:ascii="Times New Roman" w:hAnsi="Times New Roman" w:eastAsia="宋体" w:cs="Times New Roman"/>
                <w:sz w:val="24"/>
                <w:szCs w:val="24"/>
                <w:vertAlign w:val="baseline"/>
              </w:rPr>
              <w:t>年平均浓度、NO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vertAlign w:val="baseline"/>
              </w:rPr>
              <w:t>年平均浓度、SO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vertAlign w:val="baseline"/>
              </w:rPr>
              <w:t>年平均浓度、CO24小时平均浓度均满足《环境空气质量标准》（GB3095-2012）及其修改单（公告[2018]第29号）（二级）标准要求；</w:t>
            </w:r>
            <w:r>
              <w:rPr>
                <w:rFonts w:hint="eastAsia" w:cs="Times New Roman"/>
                <w:sz w:val="24"/>
                <w:szCs w:val="24"/>
                <w:vertAlign w:val="baseline"/>
                <w:lang w:val="en-US" w:eastAsia="zh-CN"/>
              </w:rPr>
              <w:t>房山</w:t>
            </w:r>
            <w:r>
              <w:rPr>
                <w:rFonts w:hint="default" w:ascii="Times New Roman" w:hAnsi="Times New Roman" w:eastAsia="宋体" w:cs="Times New Roman"/>
                <w:sz w:val="24"/>
                <w:szCs w:val="24"/>
                <w:vertAlign w:val="baseline"/>
              </w:rPr>
              <w:t>区无臭氧监测数据，引用北京市现状监测值，北京市O</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vertAlign w:val="baseline"/>
              </w:rPr>
              <w:t>日最大8小时平均浓度超过《环境空气质量标准》（GB3095-2012）及其修改单（公告[2018]第29号）（二级）标准限值。因此，本项目所在评价区域为不达标区。</w:t>
            </w:r>
          </w:p>
          <w:p w14:paraId="7BDBBAE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vertAlign w:val="baseline"/>
                <w:lang w:val="en-US" w:eastAsia="zh-CN"/>
              </w:rPr>
            </w:pPr>
            <w:r>
              <w:rPr>
                <w:rFonts w:hint="eastAsia" w:cs="Times New Roman"/>
                <w:sz w:val="24"/>
                <w:szCs w:val="24"/>
                <w:vertAlign w:val="baseline"/>
                <w:lang w:val="en-US" w:eastAsia="zh-CN"/>
              </w:rPr>
              <w:t>2、地表水环境质量现状</w:t>
            </w:r>
          </w:p>
          <w:p w14:paraId="5BC5C3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sz w:val="24"/>
                <w:szCs w:val="24"/>
                <w:highlight w:val="none"/>
                <w:vertAlign w:val="baseline"/>
                <w:lang w:val="en-US" w:eastAsia="zh-CN"/>
              </w:rPr>
            </w:pPr>
            <w:r>
              <w:rPr>
                <w:rFonts w:hint="eastAsia" w:cs="Times New Roman"/>
                <w:sz w:val="24"/>
                <w:szCs w:val="24"/>
                <w:vertAlign w:val="baseline"/>
                <w:lang w:val="en-US" w:eastAsia="zh-CN"/>
              </w:rPr>
              <w:t>距离项目最近的地表水体为项目西南约</w:t>
            </w:r>
            <w:r>
              <w:rPr>
                <w:rFonts w:hint="eastAsia" w:cs="Times New Roman"/>
                <w:sz w:val="24"/>
                <w:szCs w:val="24"/>
                <w:highlight w:val="none"/>
                <w:vertAlign w:val="baseline"/>
                <w:lang w:val="en-US" w:eastAsia="zh-CN"/>
              </w:rPr>
              <w:t>835m的刺猬河，属于大清河水系，</w:t>
            </w:r>
            <w:r>
              <w:rPr>
                <w:rFonts w:hint="eastAsia" w:cs="Times New Roman"/>
                <w:sz w:val="24"/>
                <w:szCs w:val="24"/>
                <w:vertAlign w:val="baseline"/>
                <w:lang w:val="en-US" w:eastAsia="zh-CN"/>
              </w:rPr>
              <w:t>水质分类</w:t>
            </w:r>
            <w:r>
              <w:rPr>
                <w:rFonts w:hint="default" w:ascii="Times New Roman" w:hAnsi="Times New Roman" w:cs="Times New Roman"/>
                <w:sz w:val="24"/>
                <w:szCs w:val="24"/>
                <w:vertAlign w:val="baseline"/>
                <w:lang w:val="en-US" w:eastAsia="zh-CN"/>
              </w:rPr>
              <w:t>为Ⅲ类，</w:t>
            </w:r>
            <w:r>
              <w:rPr>
                <w:rFonts w:hint="eastAsia" w:cs="Times New Roman"/>
                <w:sz w:val="24"/>
                <w:szCs w:val="24"/>
                <w:vertAlign w:val="baseline"/>
                <w:lang w:val="en-US" w:eastAsia="zh-CN"/>
              </w:rPr>
              <w:t>水体功能为集中式生活饮用水水源二级保护区，执行《地表水环境质量标准》（GB3838-2002）中</w:t>
            </w:r>
            <w:r>
              <w:rPr>
                <w:rFonts w:hint="default" w:ascii="Times New Roman" w:hAnsi="Times New Roman" w:cs="Times New Roman"/>
                <w:sz w:val="24"/>
                <w:szCs w:val="24"/>
                <w:vertAlign w:val="baseline"/>
                <w:lang w:val="en-US" w:eastAsia="zh-CN"/>
              </w:rPr>
              <w:t>的Ⅲ类</w:t>
            </w:r>
            <w:r>
              <w:rPr>
                <w:rFonts w:hint="eastAsia" w:cs="Times New Roman"/>
                <w:sz w:val="24"/>
                <w:szCs w:val="24"/>
                <w:vertAlign w:val="baseline"/>
                <w:lang w:val="en-US" w:eastAsia="zh-CN"/>
              </w:rPr>
              <w:t>标准。</w:t>
            </w:r>
          </w:p>
          <w:p w14:paraId="6EC52C8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sz w:val="24"/>
                <w:szCs w:val="24"/>
                <w:highlight w:val="none"/>
                <w:vertAlign w:val="baseline"/>
                <w:lang w:val="en-US" w:eastAsia="zh-CN"/>
              </w:rPr>
            </w:pPr>
            <w:r>
              <w:rPr>
                <w:rFonts w:hint="eastAsia" w:cs="Times New Roman"/>
                <w:sz w:val="24"/>
                <w:szCs w:val="24"/>
                <w:highlight w:val="none"/>
                <w:vertAlign w:val="baseline"/>
                <w:lang w:val="en-US" w:eastAsia="zh-CN"/>
              </w:rPr>
              <w:t>根据北京市生态环境局网站公布的2024年3月至2025年2月河流水质状况，刺猬河水质除7月外均能达到</w:t>
            </w:r>
            <w:r>
              <w:rPr>
                <w:rFonts w:hint="eastAsia" w:ascii="Times New Roman" w:hAnsi="Times New Roman" w:cs="Times New Roman"/>
                <w:sz w:val="24"/>
                <w:szCs w:val="24"/>
                <w:highlight w:val="none"/>
                <w:vertAlign w:val="baseline"/>
                <w:lang w:val="en-US" w:eastAsia="zh-CN"/>
              </w:rPr>
              <w:t>《地表水环境质量标准》（GB3838-2002）中的</w:t>
            </w:r>
            <w:r>
              <w:rPr>
                <w:rFonts w:hint="default" w:ascii="Times New Roman" w:hAnsi="Times New Roman" w:cs="Times New Roman"/>
                <w:sz w:val="24"/>
                <w:szCs w:val="24"/>
                <w:highlight w:val="none"/>
                <w:vertAlign w:val="baseline"/>
                <w:lang w:val="en-US" w:eastAsia="zh-CN"/>
              </w:rPr>
              <w:t>Ⅲ</w:t>
            </w:r>
            <w:r>
              <w:rPr>
                <w:rFonts w:hint="eastAsia" w:ascii="Times New Roman" w:hAnsi="Times New Roman" w:cs="Times New Roman"/>
                <w:sz w:val="24"/>
                <w:szCs w:val="24"/>
                <w:highlight w:val="none"/>
                <w:vertAlign w:val="baseline"/>
                <w:lang w:val="en-US" w:eastAsia="zh-CN"/>
              </w:rPr>
              <w:t>类</w:t>
            </w:r>
            <w:r>
              <w:rPr>
                <w:rFonts w:hint="eastAsia" w:cs="Times New Roman"/>
                <w:sz w:val="24"/>
                <w:szCs w:val="24"/>
                <w:highlight w:val="none"/>
                <w:vertAlign w:val="baseline"/>
                <w:lang w:val="en-US" w:eastAsia="zh-CN"/>
              </w:rPr>
              <w:t>水质标准要求。具体统计结果详见下表。</w:t>
            </w:r>
          </w:p>
          <w:p w14:paraId="28E002F7">
            <w:pPr>
              <w:pStyle w:val="11"/>
              <w:bidi w:val="0"/>
              <w:rPr>
                <w:rFonts w:hint="eastAsia"/>
                <w:highlight w:val="none"/>
                <w:lang w:val="en-US" w:eastAsia="zh-CN"/>
              </w:rPr>
            </w:pPr>
            <w:r>
              <w:rPr>
                <w:rFonts w:hint="eastAsia"/>
                <w:highlight w:val="none"/>
                <w:lang w:val="en-US" w:eastAsia="zh-CN"/>
              </w:rPr>
              <w:t>表3-2 刺猬河近一年水质状况一览表</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2"/>
              <w:gridCol w:w="617"/>
              <w:gridCol w:w="617"/>
              <w:gridCol w:w="617"/>
              <w:gridCol w:w="617"/>
              <w:gridCol w:w="617"/>
              <w:gridCol w:w="617"/>
              <w:gridCol w:w="618"/>
              <w:gridCol w:w="690"/>
              <w:gridCol w:w="690"/>
              <w:gridCol w:w="690"/>
              <w:gridCol w:w="593"/>
              <w:gridCol w:w="593"/>
            </w:tblGrid>
            <w:tr w14:paraId="30CC81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dxa"/>
                  <w:vMerge w:val="restart"/>
                  <w:tcBorders>
                    <w:tl2br w:val="nil"/>
                    <w:tr2bl w:val="nil"/>
                  </w:tcBorders>
                  <w:vAlign w:val="center"/>
                </w:tcPr>
                <w:p w14:paraId="32DB1C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bCs/>
                      <w:sz w:val="21"/>
                      <w:szCs w:val="21"/>
                      <w:highlight w:val="none"/>
                      <w:vertAlign w:val="baseline"/>
                      <w:lang w:val="en-US" w:eastAsia="zh-CN"/>
                    </w:rPr>
                  </w:pPr>
                  <w:r>
                    <w:rPr>
                      <w:rFonts w:hint="eastAsia" w:cs="Times New Roman"/>
                      <w:b/>
                      <w:bCs/>
                      <w:sz w:val="21"/>
                      <w:szCs w:val="21"/>
                      <w:highlight w:val="none"/>
                      <w:vertAlign w:val="baseline"/>
                      <w:lang w:val="en-US" w:eastAsia="zh-CN"/>
                    </w:rPr>
                    <w:t>名称</w:t>
                  </w:r>
                </w:p>
              </w:tc>
              <w:tc>
                <w:tcPr>
                  <w:tcW w:w="6390" w:type="dxa"/>
                  <w:gridSpan w:val="10"/>
                  <w:tcBorders>
                    <w:tl2br w:val="nil"/>
                    <w:tr2bl w:val="nil"/>
                  </w:tcBorders>
                  <w:vAlign w:val="center"/>
                </w:tcPr>
                <w:p w14:paraId="7AB754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bCs/>
                      <w:sz w:val="21"/>
                      <w:szCs w:val="21"/>
                      <w:highlight w:val="none"/>
                      <w:vertAlign w:val="baseline"/>
                      <w:lang w:val="en-US" w:eastAsia="zh-CN"/>
                    </w:rPr>
                  </w:pPr>
                  <w:r>
                    <w:rPr>
                      <w:rFonts w:hint="eastAsia" w:cs="Times New Roman"/>
                      <w:b/>
                      <w:bCs/>
                      <w:sz w:val="21"/>
                      <w:szCs w:val="21"/>
                      <w:highlight w:val="none"/>
                      <w:vertAlign w:val="baseline"/>
                      <w:lang w:val="en-US" w:eastAsia="zh-CN"/>
                    </w:rPr>
                    <w:t>2024年</w:t>
                  </w:r>
                </w:p>
              </w:tc>
              <w:tc>
                <w:tcPr>
                  <w:tcW w:w="1186" w:type="dxa"/>
                  <w:gridSpan w:val="2"/>
                  <w:tcBorders>
                    <w:tl2br w:val="nil"/>
                    <w:tr2bl w:val="nil"/>
                  </w:tcBorders>
                  <w:vAlign w:val="center"/>
                </w:tcPr>
                <w:p w14:paraId="39B340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bCs/>
                      <w:sz w:val="21"/>
                      <w:szCs w:val="21"/>
                      <w:highlight w:val="none"/>
                      <w:vertAlign w:val="baseline"/>
                      <w:lang w:val="en-US" w:eastAsia="zh-CN"/>
                    </w:rPr>
                  </w:pPr>
                  <w:r>
                    <w:rPr>
                      <w:rFonts w:hint="eastAsia" w:cs="Times New Roman"/>
                      <w:b/>
                      <w:bCs/>
                      <w:sz w:val="21"/>
                      <w:szCs w:val="21"/>
                      <w:highlight w:val="none"/>
                      <w:vertAlign w:val="baseline"/>
                      <w:lang w:val="en-US" w:eastAsia="zh-CN"/>
                    </w:rPr>
                    <w:t>2025年</w:t>
                  </w:r>
                </w:p>
              </w:tc>
            </w:tr>
            <w:tr w14:paraId="18EAD2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dxa"/>
                  <w:vMerge w:val="continue"/>
                  <w:tcBorders>
                    <w:tl2br w:val="nil"/>
                    <w:tr2bl w:val="nil"/>
                  </w:tcBorders>
                  <w:vAlign w:val="center"/>
                </w:tcPr>
                <w:p w14:paraId="710A70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1"/>
                      <w:szCs w:val="21"/>
                      <w:highlight w:val="none"/>
                      <w:vertAlign w:val="baseline"/>
                      <w:lang w:val="en-US" w:eastAsia="zh-CN"/>
                    </w:rPr>
                  </w:pPr>
                </w:p>
              </w:tc>
              <w:tc>
                <w:tcPr>
                  <w:tcW w:w="617" w:type="dxa"/>
                  <w:tcBorders>
                    <w:tl2br w:val="nil"/>
                    <w:tr2bl w:val="nil"/>
                  </w:tcBorders>
                  <w:shd w:val="clear" w:color="auto" w:fill="auto"/>
                  <w:vAlign w:val="center"/>
                </w:tcPr>
                <w:p w14:paraId="3940D3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cs="Times New Roman"/>
                      <w:b/>
                      <w:bCs/>
                      <w:sz w:val="21"/>
                      <w:szCs w:val="21"/>
                      <w:highlight w:val="none"/>
                      <w:vertAlign w:val="baseline"/>
                      <w:lang w:val="en-US" w:eastAsia="zh-CN"/>
                    </w:rPr>
                    <w:t>3月</w:t>
                  </w:r>
                </w:p>
              </w:tc>
              <w:tc>
                <w:tcPr>
                  <w:tcW w:w="617" w:type="dxa"/>
                  <w:tcBorders>
                    <w:tl2br w:val="nil"/>
                    <w:tr2bl w:val="nil"/>
                  </w:tcBorders>
                  <w:shd w:val="clear" w:color="auto" w:fill="auto"/>
                  <w:vAlign w:val="center"/>
                </w:tcPr>
                <w:p w14:paraId="7D39E6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cs="Times New Roman"/>
                      <w:b/>
                      <w:bCs/>
                      <w:sz w:val="21"/>
                      <w:szCs w:val="21"/>
                      <w:highlight w:val="none"/>
                      <w:vertAlign w:val="baseline"/>
                      <w:lang w:val="en-US" w:eastAsia="zh-CN"/>
                    </w:rPr>
                    <w:t>4月</w:t>
                  </w:r>
                </w:p>
              </w:tc>
              <w:tc>
                <w:tcPr>
                  <w:tcW w:w="617" w:type="dxa"/>
                  <w:tcBorders>
                    <w:tl2br w:val="nil"/>
                    <w:tr2bl w:val="nil"/>
                  </w:tcBorders>
                  <w:shd w:val="clear" w:color="auto" w:fill="auto"/>
                  <w:vAlign w:val="center"/>
                </w:tcPr>
                <w:p w14:paraId="1DAF2C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cs="Times New Roman"/>
                      <w:b/>
                      <w:bCs/>
                      <w:sz w:val="21"/>
                      <w:szCs w:val="21"/>
                      <w:highlight w:val="none"/>
                      <w:vertAlign w:val="baseline"/>
                      <w:lang w:val="en-US" w:eastAsia="zh-CN"/>
                    </w:rPr>
                    <w:t>5月</w:t>
                  </w:r>
                </w:p>
              </w:tc>
              <w:tc>
                <w:tcPr>
                  <w:tcW w:w="617" w:type="dxa"/>
                  <w:tcBorders>
                    <w:tl2br w:val="nil"/>
                    <w:tr2bl w:val="nil"/>
                  </w:tcBorders>
                  <w:shd w:val="clear" w:color="auto" w:fill="auto"/>
                  <w:vAlign w:val="center"/>
                </w:tcPr>
                <w:p w14:paraId="4A9260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cs="Times New Roman"/>
                      <w:b/>
                      <w:bCs/>
                      <w:sz w:val="21"/>
                      <w:szCs w:val="21"/>
                      <w:highlight w:val="none"/>
                      <w:vertAlign w:val="baseline"/>
                      <w:lang w:val="en-US" w:eastAsia="zh-CN"/>
                    </w:rPr>
                    <w:t>6月</w:t>
                  </w:r>
                </w:p>
              </w:tc>
              <w:tc>
                <w:tcPr>
                  <w:tcW w:w="617" w:type="dxa"/>
                  <w:tcBorders>
                    <w:tl2br w:val="nil"/>
                    <w:tr2bl w:val="nil"/>
                  </w:tcBorders>
                  <w:shd w:val="clear" w:color="auto" w:fill="auto"/>
                  <w:vAlign w:val="center"/>
                </w:tcPr>
                <w:p w14:paraId="57C93E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cs="Times New Roman"/>
                      <w:b/>
                      <w:bCs/>
                      <w:sz w:val="21"/>
                      <w:szCs w:val="21"/>
                      <w:highlight w:val="none"/>
                      <w:vertAlign w:val="baseline"/>
                      <w:lang w:val="en-US" w:eastAsia="zh-CN"/>
                    </w:rPr>
                    <w:t>7月</w:t>
                  </w:r>
                </w:p>
              </w:tc>
              <w:tc>
                <w:tcPr>
                  <w:tcW w:w="617" w:type="dxa"/>
                  <w:tcBorders>
                    <w:tl2br w:val="nil"/>
                    <w:tr2bl w:val="nil"/>
                  </w:tcBorders>
                  <w:shd w:val="clear" w:color="auto" w:fill="auto"/>
                  <w:vAlign w:val="center"/>
                </w:tcPr>
                <w:p w14:paraId="66BEAF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cs="Times New Roman"/>
                      <w:b/>
                      <w:bCs/>
                      <w:sz w:val="21"/>
                      <w:szCs w:val="21"/>
                      <w:highlight w:val="none"/>
                      <w:vertAlign w:val="baseline"/>
                      <w:lang w:val="en-US" w:eastAsia="zh-CN"/>
                    </w:rPr>
                    <w:t>8月</w:t>
                  </w:r>
                </w:p>
              </w:tc>
              <w:tc>
                <w:tcPr>
                  <w:tcW w:w="618" w:type="dxa"/>
                  <w:tcBorders>
                    <w:tl2br w:val="nil"/>
                    <w:tr2bl w:val="nil"/>
                  </w:tcBorders>
                  <w:shd w:val="clear" w:color="auto" w:fill="auto"/>
                  <w:vAlign w:val="center"/>
                </w:tcPr>
                <w:p w14:paraId="6A34F8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cs="Times New Roman"/>
                      <w:b/>
                      <w:bCs/>
                      <w:sz w:val="21"/>
                      <w:szCs w:val="21"/>
                      <w:highlight w:val="none"/>
                      <w:vertAlign w:val="baseline"/>
                      <w:lang w:val="en-US" w:eastAsia="zh-CN"/>
                    </w:rPr>
                    <w:t>9月</w:t>
                  </w:r>
                </w:p>
              </w:tc>
              <w:tc>
                <w:tcPr>
                  <w:tcW w:w="690" w:type="dxa"/>
                  <w:tcBorders>
                    <w:tl2br w:val="nil"/>
                    <w:tr2bl w:val="nil"/>
                  </w:tcBorders>
                  <w:vAlign w:val="center"/>
                </w:tcPr>
                <w:p w14:paraId="7BA6C0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bCs/>
                      <w:sz w:val="21"/>
                      <w:szCs w:val="21"/>
                      <w:highlight w:val="none"/>
                      <w:vertAlign w:val="baseline"/>
                      <w:lang w:val="en-US" w:eastAsia="zh-CN"/>
                    </w:rPr>
                  </w:pPr>
                  <w:r>
                    <w:rPr>
                      <w:rFonts w:hint="eastAsia" w:cs="Times New Roman"/>
                      <w:b/>
                      <w:bCs/>
                      <w:sz w:val="21"/>
                      <w:szCs w:val="21"/>
                      <w:highlight w:val="none"/>
                      <w:vertAlign w:val="baseline"/>
                      <w:lang w:val="en-US" w:eastAsia="zh-CN"/>
                    </w:rPr>
                    <w:t>10月</w:t>
                  </w:r>
                </w:p>
              </w:tc>
              <w:tc>
                <w:tcPr>
                  <w:tcW w:w="690" w:type="dxa"/>
                  <w:tcBorders>
                    <w:tl2br w:val="nil"/>
                    <w:tr2bl w:val="nil"/>
                  </w:tcBorders>
                  <w:vAlign w:val="center"/>
                </w:tcPr>
                <w:p w14:paraId="7784D8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bCs/>
                      <w:sz w:val="21"/>
                      <w:szCs w:val="21"/>
                      <w:highlight w:val="none"/>
                      <w:vertAlign w:val="baseline"/>
                      <w:lang w:val="en-US" w:eastAsia="zh-CN"/>
                    </w:rPr>
                  </w:pPr>
                  <w:r>
                    <w:rPr>
                      <w:rFonts w:hint="eastAsia" w:cs="Times New Roman"/>
                      <w:b/>
                      <w:bCs/>
                      <w:sz w:val="21"/>
                      <w:szCs w:val="21"/>
                      <w:highlight w:val="none"/>
                      <w:vertAlign w:val="baseline"/>
                      <w:lang w:val="en-US" w:eastAsia="zh-CN"/>
                    </w:rPr>
                    <w:t>11月</w:t>
                  </w:r>
                </w:p>
              </w:tc>
              <w:tc>
                <w:tcPr>
                  <w:tcW w:w="690" w:type="dxa"/>
                  <w:tcBorders>
                    <w:tl2br w:val="nil"/>
                    <w:tr2bl w:val="nil"/>
                  </w:tcBorders>
                  <w:vAlign w:val="center"/>
                </w:tcPr>
                <w:p w14:paraId="12AF9C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bCs/>
                      <w:sz w:val="21"/>
                      <w:szCs w:val="21"/>
                      <w:highlight w:val="none"/>
                      <w:vertAlign w:val="baseline"/>
                      <w:lang w:val="en-US" w:eastAsia="zh-CN"/>
                    </w:rPr>
                  </w:pPr>
                  <w:r>
                    <w:rPr>
                      <w:rFonts w:hint="eastAsia" w:cs="Times New Roman"/>
                      <w:b/>
                      <w:bCs/>
                      <w:sz w:val="21"/>
                      <w:szCs w:val="21"/>
                      <w:highlight w:val="none"/>
                      <w:vertAlign w:val="baseline"/>
                      <w:lang w:val="en-US" w:eastAsia="zh-CN"/>
                    </w:rPr>
                    <w:t>12月</w:t>
                  </w:r>
                </w:p>
              </w:tc>
              <w:tc>
                <w:tcPr>
                  <w:tcW w:w="593" w:type="dxa"/>
                  <w:tcBorders>
                    <w:tl2br w:val="nil"/>
                    <w:tr2bl w:val="nil"/>
                  </w:tcBorders>
                  <w:vAlign w:val="center"/>
                </w:tcPr>
                <w:p w14:paraId="28E77F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bCs/>
                      <w:sz w:val="21"/>
                      <w:szCs w:val="21"/>
                      <w:highlight w:val="none"/>
                      <w:vertAlign w:val="baseline"/>
                      <w:lang w:val="en-US" w:eastAsia="zh-CN"/>
                    </w:rPr>
                  </w:pPr>
                  <w:r>
                    <w:rPr>
                      <w:rFonts w:hint="eastAsia" w:cs="Times New Roman"/>
                      <w:b/>
                      <w:bCs/>
                      <w:sz w:val="21"/>
                      <w:szCs w:val="21"/>
                      <w:highlight w:val="none"/>
                      <w:vertAlign w:val="baseline"/>
                      <w:lang w:val="en-US" w:eastAsia="zh-CN"/>
                    </w:rPr>
                    <w:t>1月</w:t>
                  </w:r>
                </w:p>
              </w:tc>
              <w:tc>
                <w:tcPr>
                  <w:tcW w:w="593" w:type="dxa"/>
                  <w:tcBorders>
                    <w:tl2br w:val="nil"/>
                    <w:tr2bl w:val="nil"/>
                  </w:tcBorders>
                  <w:vAlign w:val="center"/>
                </w:tcPr>
                <w:p w14:paraId="2ED9F2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bCs/>
                      <w:sz w:val="21"/>
                      <w:szCs w:val="21"/>
                      <w:highlight w:val="none"/>
                      <w:vertAlign w:val="baseline"/>
                      <w:lang w:val="en-US" w:eastAsia="zh-CN"/>
                    </w:rPr>
                  </w:pPr>
                  <w:r>
                    <w:rPr>
                      <w:rFonts w:hint="eastAsia" w:cs="Times New Roman"/>
                      <w:b/>
                      <w:bCs/>
                      <w:sz w:val="21"/>
                      <w:szCs w:val="21"/>
                      <w:highlight w:val="none"/>
                      <w:vertAlign w:val="baseline"/>
                      <w:lang w:val="en-US" w:eastAsia="zh-CN"/>
                    </w:rPr>
                    <w:t>2月</w:t>
                  </w:r>
                </w:p>
              </w:tc>
            </w:tr>
            <w:tr w14:paraId="64F43C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dxa"/>
                  <w:tcBorders>
                    <w:tl2br w:val="nil"/>
                    <w:tr2bl w:val="nil"/>
                  </w:tcBorders>
                  <w:vAlign w:val="center"/>
                </w:tcPr>
                <w:p w14:paraId="6A891D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马草河</w:t>
                  </w:r>
                </w:p>
              </w:tc>
              <w:tc>
                <w:tcPr>
                  <w:tcW w:w="617" w:type="dxa"/>
                  <w:tcBorders>
                    <w:tl2br w:val="nil"/>
                    <w:tr2bl w:val="nil"/>
                  </w:tcBorders>
                  <w:vAlign w:val="center"/>
                </w:tcPr>
                <w:p w14:paraId="60EB61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1"/>
                      <w:szCs w:val="21"/>
                      <w:highlight w:val="none"/>
                      <w:vertAlign w:val="baseline"/>
                      <w:lang w:val="en-US" w:eastAsia="zh-CN"/>
                    </w:rPr>
                  </w:pPr>
                  <w:r>
                    <w:rPr>
                      <w:rFonts w:hint="default" w:cs="Times New Roman"/>
                      <w:sz w:val="21"/>
                      <w:szCs w:val="21"/>
                      <w:highlight w:val="none"/>
                      <w:vertAlign w:val="baseline"/>
                      <w:lang w:val="en-US" w:eastAsia="zh-CN"/>
                    </w:rPr>
                    <w:t>Ⅲ</w:t>
                  </w:r>
                </w:p>
              </w:tc>
              <w:tc>
                <w:tcPr>
                  <w:tcW w:w="617" w:type="dxa"/>
                  <w:tcBorders>
                    <w:tl2br w:val="nil"/>
                    <w:tr2bl w:val="nil"/>
                  </w:tcBorders>
                  <w:vAlign w:val="center"/>
                </w:tcPr>
                <w:p w14:paraId="1A4605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1"/>
                      <w:szCs w:val="21"/>
                      <w:highlight w:val="none"/>
                      <w:vertAlign w:val="baseline"/>
                      <w:lang w:val="en-US" w:eastAsia="zh-CN"/>
                    </w:rPr>
                  </w:pPr>
                  <w:r>
                    <w:rPr>
                      <w:rFonts w:hint="default" w:cs="Times New Roman"/>
                      <w:sz w:val="21"/>
                      <w:szCs w:val="21"/>
                      <w:highlight w:val="none"/>
                      <w:vertAlign w:val="baseline"/>
                      <w:lang w:val="en-US" w:eastAsia="zh-CN"/>
                    </w:rPr>
                    <w:t>Ⅲ</w:t>
                  </w:r>
                </w:p>
              </w:tc>
              <w:tc>
                <w:tcPr>
                  <w:tcW w:w="617" w:type="dxa"/>
                  <w:tcBorders>
                    <w:tl2br w:val="nil"/>
                    <w:tr2bl w:val="nil"/>
                  </w:tcBorders>
                  <w:vAlign w:val="center"/>
                </w:tcPr>
                <w:p w14:paraId="17ACBB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1"/>
                      <w:szCs w:val="21"/>
                      <w:highlight w:val="none"/>
                      <w:vertAlign w:val="baseline"/>
                      <w:lang w:val="en-US" w:eastAsia="zh-CN"/>
                    </w:rPr>
                  </w:pPr>
                  <w:r>
                    <w:rPr>
                      <w:rFonts w:hint="default" w:cs="Times New Roman"/>
                      <w:sz w:val="21"/>
                      <w:szCs w:val="21"/>
                      <w:highlight w:val="none"/>
                      <w:vertAlign w:val="baseline"/>
                      <w:lang w:val="en-US" w:eastAsia="zh-CN"/>
                    </w:rPr>
                    <w:t>Ⅲ</w:t>
                  </w:r>
                </w:p>
              </w:tc>
              <w:tc>
                <w:tcPr>
                  <w:tcW w:w="617" w:type="dxa"/>
                  <w:tcBorders>
                    <w:tl2br w:val="nil"/>
                    <w:tr2bl w:val="nil"/>
                  </w:tcBorders>
                  <w:vAlign w:val="center"/>
                </w:tcPr>
                <w:p w14:paraId="14B925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1"/>
                      <w:szCs w:val="21"/>
                      <w:highlight w:val="none"/>
                      <w:vertAlign w:val="baseline"/>
                      <w:lang w:val="en-US" w:eastAsia="zh-CN"/>
                    </w:rPr>
                  </w:pPr>
                  <w:r>
                    <w:rPr>
                      <w:rFonts w:hint="default" w:cs="Times New Roman"/>
                      <w:sz w:val="21"/>
                      <w:szCs w:val="21"/>
                      <w:highlight w:val="none"/>
                      <w:vertAlign w:val="baseline"/>
                      <w:lang w:val="en-US" w:eastAsia="zh-CN"/>
                    </w:rPr>
                    <w:t>Ⅲ</w:t>
                  </w:r>
                </w:p>
              </w:tc>
              <w:tc>
                <w:tcPr>
                  <w:tcW w:w="617" w:type="dxa"/>
                  <w:tcBorders>
                    <w:tl2br w:val="nil"/>
                    <w:tr2bl w:val="nil"/>
                  </w:tcBorders>
                  <w:vAlign w:val="center"/>
                </w:tcPr>
                <w:p w14:paraId="265A94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1"/>
                      <w:szCs w:val="21"/>
                      <w:highlight w:val="none"/>
                      <w:vertAlign w:val="baseline"/>
                      <w:lang w:val="en-US" w:eastAsia="zh-CN"/>
                    </w:rPr>
                  </w:pPr>
                  <w:r>
                    <w:rPr>
                      <w:rFonts w:hint="default" w:cs="Times New Roman"/>
                      <w:sz w:val="21"/>
                      <w:szCs w:val="21"/>
                      <w:highlight w:val="none"/>
                      <w:vertAlign w:val="baseline"/>
                      <w:lang w:val="en-US" w:eastAsia="zh-CN"/>
                    </w:rPr>
                    <w:t>Ⅳ</w:t>
                  </w:r>
                </w:p>
              </w:tc>
              <w:tc>
                <w:tcPr>
                  <w:tcW w:w="617" w:type="dxa"/>
                  <w:tcBorders>
                    <w:tl2br w:val="nil"/>
                    <w:tr2bl w:val="nil"/>
                  </w:tcBorders>
                  <w:vAlign w:val="center"/>
                </w:tcPr>
                <w:p w14:paraId="67F241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1"/>
                      <w:szCs w:val="21"/>
                      <w:highlight w:val="none"/>
                      <w:vertAlign w:val="baseline"/>
                      <w:lang w:val="en-US" w:eastAsia="zh-CN"/>
                    </w:rPr>
                  </w:pPr>
                  <w:r>
                    <w:rPr>
                      <w:rFonts w:hint="default" w:cs="Times New Roman"/>
                      <w:sz w:val="21"/>
                      <w:szCs w:val="21"/>
                      <w:highlight w:val="none"/>
                      <w:vertAlign w:val="baseline"/>
                      <w:lang w:val="en-US" w:eastAsia="zh-CN"/>
                    </w:rPr>
                    <w:t>Ⅲ</w:t>
                  </w:r>
                </w:p>
              </w:tc>
              <w:tc>
                <w:tcPr>
                  <w:tcW w:w="618" w:type="dxa"/>
                  <w:tcBorders>
                    <w:tl2br w:val="nil"/>
                    <w:tr2bl w:val="nil"/>
                  </w:tcBorders>
                  <w:vAlign w:val="center"/>
                </w:tcPr>
                <w:p w14:paraId="5F44CB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1"/>
                      <w:szCs w:val="21"/>
                      <w:highlight w:val="none"/>
                      <w:vertAlign w:val="baseline"/>
                      <w:lang w:val="en-US" w:eastAsia="zh-CN"/>
                    </w:rPr>
                  </w:pPr>
                  <w:r>
                    <w:rPr>
                      <w:rFonts w:hint="default" w:cs="Times New Roman"/>
                      <w:sz w:val="21"/>
                      <w:szCs w:val="21"/>
                      <w:highlight w:val="none"/>
                      <w:vertAlign w:val="baseline"/>
                      <w:lang w:val="en-US" w:eastAsia="zh-CN"/>
                    </w:rPr>
                    <w:t>Ⅲ</w:t>
                  </w:r>
                </w:p>
              </w:tc>
              <w:tc>
                <w:tcPr>
                  <w:tcW w:w="690" w:type="dxa"/>
                  <w:tcBorders>
                    <w:tl2br w:val="nil"/>
                    <w:tr2bl w:val="nil"/>
                  </w:tcBorders>
                  <w:vAlign w:val="center"/>
                </w:tcPr>
                <w:p w14:paraId="6CDF8F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1"/>
                      <w:szCs w:val="21"/>
                      <w:highlight w:val="none"/>
                      <w:vertAlign w:val="baseline"/>
                      <w:lang w:val="en-US" w:eastAsia="zh-CN"/>
                    </w:rPr>
                  </w:pPr>
                  <w:r>
                    <w:rPr>
                      <w:rFonts w:hint="default" w:cs="Times New Roman"/>
                      <w:sz w:val="21"/>
                      <w:szCs w:val="21"/>
                      <w:highlight w:val="none"/>
                      <w:vertAlign w:val="baseline"/>
                      <w:lang w:val="en-US" w:eastAsia="zh-CN"/>
                    </w:rPr>
                    <w:t>Ⅱ</w:t>
                  </w:r>
                </w:p>
              </w:tc>
              <w:tc>
                <w:tcPr>
                  <w:tcW w:w="690" w:type="dxa"/>
                  <w:tcBorders>
                    <w:tl2br w:val="nil"/>
                    <w:tr2bl w:val="nil"/>
                  </w:tcBorders>
                  <w:vAlign w:val="center"/>
                </w:tcPr>
                <w:p w14:paraId="44E923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1"/>
                      <w:szCs w:val="21"/>
                      <w:highlight w:val="none"/>
                      <w:vertAlign w:val="baseline"/>
                      <w:lang w:val="en-US" w:eastAsia="zh-CN"/>
                    </w:rPr>
                  </w:pPr>
                  <w:r>
                    <w:rPr>
                      <w:rFonts w:hint="default" w:cs="Times New Roman"/>
                      <w:sz w:val="21"/>
                      <w:szCs w:val="21"/>
                      <w:highlight w:val="none"/>
                      <w:vertAlign w:val="baseline"/>
                      <w:lang w:val="en-US" w:eastAsia="zh-CN"/>
                    </w:rPr>
                    <w:t>Ⅲ</w:t>
                  </w:r>
                </w:p>
              </w:tc>
              <w:tc>
                <w:tcPr>
                  <w:tcW w:w="690" w:type="dxa"/>
                  <w:tcBorders>
                    <w:tl2br w:val="nil"/>
                    <w:tr2bl w:val="nil"/>
                  </w:tcBorders>
                  <w:vAlign w:val="center"/>
                </w:tcPr>
                <w:p w14:paraId="19BEB2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1"/>
                      <w:szCs w:val="21"/>
                      <w:highlight w:val="none"/>
                      <w:vertAlign w:val="baseline"/>
                      <w:lang w:val="en-US" w:eastAsia="zh-CN"/>
                    </w:rPr>
                  </w:pPr>
                  <w:r>
                    <w:rPr>
                      <w:rFonts w:hint="default" w:cs="Times New Roman"/>
                      <w:sz w:val="21"/>
                      <w:szCs w:val="21"/>
                      <w:highlight w:val="none"/>
                      <w:vertAlign w:val="baseline"/>
                      <w:lang w:val="en-US" w:eastAsia="zh-CN"/>
                    </w:rPr>
                    <w:t>Ⅲ</w:t>
                  </w:r>
                </w:p>
              </w:tc>
              <w:tc>
                <w:tcPr>
                  <w:tcW w:w="593" w:type="dxa"/>
                  <w:tcBorders>
                    <w:tl2br w:val="nil"/>
                    <w:tr2bl w:val="nil"/>
                  </w:tcBorders>
                  <w:vAlign w:val="center"/>
                </w:tcPr>
                <w:p w14:paraId="1D84E4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1"/>
                      <w:szCs w:val="21"/>
                      <w:highlight w:val="none"/>
                      <w:vertAlign w:val="baseline"/>
                      <w:lang w:val="en-US" w:eastAsia="zh-CN"/>
                    </w:rPr>
                  </w:pPr>
                  <w:r>
                    <w:rPr>
                      <w:rFonts w:hint="default" w:cs="Times New Roman"/>
                      <w:sz w:val="21"/>
                      <w:szCs w:val="21"/>
                      <w:highlight w:val="none"/>
                      <w:vertAlign w:val="baseline"/>
                      <w:lang w:val="en-US" w:eastAsia="zh-CN"/>
                    </w:rPr>
                    <w:t>Ⅲ</w:t>
                  </w:r>
                </w:p>
              </w:tc>
              <w:tc>
                <w:tcPr>
                  <w:tcW w:w="593" w:type="dxa"/>
                  <w:tcBorders>
                    <w:tl2br w:val="nil"/>
                    <w:tr2bl w:val="nil"/>
                  </w:tcBorders>
                  <w:vAlign w:val="center"/>
                </w:tcPr>
                <w:p w14:paraId="338E1F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1"/>
                      <w:szCs w:val="21"/>
                      <w:highlight w:val="none"/>
                      <w:vertAlign w:val="baseline"/>
                      <w:lang w:val="en-US" w:eastAsia="zh-CN"/>
                    </w:rPr>
                  </w:pPr>
                  <w:r>
                    <w:rPr>
                      <w:rFonts w:hint="default" w:cs="Times New Roman"/>
                      <w:sz w:val="21"/>
                      <w:szCs w:val="21"/>
                      <w:highlight w:val="none"/>
                      <w:vertAlign w:val="baseline"/>
                      <w:lang w:val="en-US" w:eastAsia="zh-CN"/>
                    </w:rPr>
                    <w:t>Ⅲ</w:t>
                  </w:r>
                </w:p>
              </w:tc>
            </w:tr>
          </w:tbl>
          <w:p w14:paraId="3E19A34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sz w:val="24"/>
                <w:szCs w:val="24"/>
                <w:highlight w:val="none"/>
                <w:vertAlign w:val="baseline"/>
                <w:lang w:val="en-US" w:eastAsia="zh-CN"/>
              </w:rPr>
            </w:pPr>
            <w:r>
              <w:rPr>
                <w:rFonts w:hint="eastAsia" w:cs="Times New Roman"/>
                <w:sz w:val="24"/>
                <w:szCs w:val="24"/>
                <w:highlight w:val="none"/>
                <w:vertAlign w:val="baseline"/>
                <w:lang w:val="en-US" w:eastAsia="zh-CN"/>
              </w:rPr>
              <w:t>根据上述分析，近一年内除7月外刺猬河水质均能达到</w:t>
            </w:r>
            <w:r>
              <w:rPr>
                <w:rFonts w:hint="eastAsia" w:ascii="Times New Roman" w:hAnsi="Times New Roman" w:cs="Times New Roman"/>
                <w:sz w:val="24"/>
                <w:szCs w:val="24"/>
                <w:highlight w:val="none"/>
                <w:vertAlign w:val="baseline"/>
                <w:lang w:val="en-US" w:eastAsia="zh-CN"/>
              </w:rPr>
              <w:t>《地表水环境质量标准》（GB3838-2002）中的</w:t>
            </w:r>
            <w:r>
              <w:rPr>
                <w:rFonts w:hint="default" w:ascii="Times New Roman" w:hAnsi="Times New Roman" w:cs="Times New Roman"/>
                <w:sz w:val="24"/>
                <w:szCs w:val="24"/>
                <w:highlight w:val="none"/>
                <w:vertAlign w:val="baseline"/>
                <w:lang w:val="en-US" w:eastAsia="zh-CN"/>
              </w:rPr>
              <w:t>Ⅲ</w:t>
            </w:r>
            <w:r>
              <w:rPr>
                <w:rFonts w:hint="eastAsia" w:ascii="Times New Roman" w:hAnsi="Times New Roman" w:cs="Times New Roman"/>
                <w:sz w:val="24"/>
                <w:szCs w:val="24"/>
                <w:highlight w:val="none"/>
                <w:vertAlign w:val="baseline"/>
                <w:lang w:val="en-US" w:eastAsia="zh-CN"/>
              </w:rPr>
              <w:t>类</w:t>
            </w:r>
            <w:r>
              <w:rPr>
                <w:rFonts w:hint="eastAsia" w:cs="Times New Roman"/>
                <w:sz w:val="24"/>
                <w:szCs w:val="24"/>
                <w:highlight w:val="none"/>
                <w:vertAlign w:val="baseline"/>
                <w:lang w:val="en-US" w:eastAsia="zh-CN"/>
              </w:rPr>
              <w:t>水质标准要求。</w:t>
            </w:r>
          </w:p>
          <w:p w14:paraId="394A748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highlight w:val="none"/>
                <w:vertAlign w:val="baseline"/>
                <w:lang w:val="en-US" w:eastAsia="zh-CN"/>
              </w:rPr>
            </w:pPr>
            <w:r>
              <w:rPr>
                <w:rFonts w:hint="eastAsia" w:cs="Times New Roman"/>
                <w:sz w:val="24"/>
                <w:szCs w:val="24"/>
                <w:highlight w:val="none"/>
                <w:vertAlign w:val="baseline"/>
                <w:lang w:val="en-US" w:eastAsia="zh-CN"/>
              </w:rPr>
              <w:t>3、声环境质量现状</w:t>
            </w:r>
          </w:p>
          <w:p w14:paraId="629F32B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sz w:val="24"/>
                <w:szCs w:val="24"/>
                <w:vertAlign w:val="baseline"/>
                <w:lang w:val="en-US" w:eastAsia="zh-CN"/>
              </w:rPr>
            </w:pPr>
            <w:r>
              <w:rPr>
                <w:rFonts w:hint="eastAsia" w:cs="Times New Roman"/>
                <w:sz w:val="24"/>
                <w:szCs w:val="24"/>
                <w:vertAlign w:val="baseline"/>
                <w:lang w:val="en-US" w:eastAsia="zh-CN"/>
              </w:rPr>
              <w:t>根据北京市房山区人民政府关于印发《房山区声环境功能区划实施细则》的通知（2015年），该项目所在地属于“2类”声环境功能区，厂界执行2类标准。</w:t>
            </w:r>
          </w:p>
          <w:p w14:paraId="35C292C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sz w:val="24"/>
                <w:szCs w:val="24"/>
                <w:vertAlign w:val="baseline"/>
                <w:lang w:val="en-US" w:eastAsia="zh-CN"/>
              </w:rPr>
            </w:pPr>
            <w:r>
              <w:rPr>
                <w:rFonts w:hint="eastAsia" w:cs="Times New Roman"/>
                <w:sz w:val="24"/>
                <w:szCs w:val="24"/>
                <w:vertAlign w:val="baseline"/>
                <w:lang w:val="en-US" w:eastAsia="zh-CN"/>
              </w:rPr>
              <w:t>根据《建设项目环境影响报告表编制技术指南（污染影响类）（试行）》文件中要求，厂界外50米范围内存在声环境保护目标的建设项目，应监测保护目标声环境质量现状并评价达标情况。本项目周边50m范围内存在声环境保护目标，分别为项目西侧即楼上的拱辰星园4号楼、西北侧22m的房山区良乡第二中学、东北侧40m的楸树家园1号楼、东南侧45m的楸树家园2号楼。</w:t>
            </w:r>
          </w:p>
          <w:p w14:paraId="2A97C9A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sz w:val="24"/>
                <w:szCs w:val="24"/>
                <w:vertAlign w:val="baseline"/>
                <w:lang w:val="en-US" w:eastAsia="zh-CN"/>
              </w:rPr>
            </w:pPr>
            <w:r>
              <w:rPr>
                <w:rFonts w:hint="eastAsia" w:cs="Times New Roman"/>
                <w:sz w:val="24"/>
                <w:szCs w:val="24"/>
                <w:vertAlign w:val="baseline"/>
                <w:lang w:val="en-US" w:eastAsia="zh-CN"/>
              </w:rPr>
              <w:t>本次评价需监测保护目标声环境质量，本项目无夜间运行，故只监测昼间噪声。本项目监测结果及监测点位图如下。</w:t>
            </w:r>
          </w:p>
          <w:p w14:paraId="33A2ABE7">
            <w:pPr>
              <w:pStyle w:val="11"/>
              <w:bidi w:val="0"/>
              <w:rPr>
                <w:rFonts w:hint="eastAsia"/>
                <w:highlight w:val="none"/>
                <w:lang w:val="en-US" w:eastAsia="zh-CN"/>
              </w:rPr>
            </w:pPr>
            <w:r>
              <w:rPr>
                <w:rFonts w:hint="eastAsia"/>
                <w:highlight w:val="none"/>
                <w:lang w:val="en-US" w:eastAsia="zh-CN"/>
              </w:rPr>
              <w:t>表3-3 项目周边声环境现状监测结果</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37"/>
              <w:gridCol w:w="2017"/>
              <w:gridCol w:w="2018"/>
              <w:gridCol w:w="1336"/>
            </w:tblGrid>
            <w:tr w14:paraId="557326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7" w:type="dxa"/>
                  <w:tcBorders>
                    <w:tl2br w:val="nil"/>
                    <w:tr2bl w:val="nil"/>
                  </w:tcBorders>
                  <w:vAlign w:val="center"/>
                </w:tcPr>
                <w:p w14:paraId="29450B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bCs/>
                      <w:color w:val="auto"/>
                      <w:kern w:val="0"/>
                      <w:sz w:val="21"/>
                      <w:szCs w:val="21"/>
                      <w:highlight w:val="none"/>
                      <w:vertAlign w:val="baseline"/>
                      <w:lang w:val="en-US" w:eastAsia="zh-CN" w:bidi="ar"/>
                    </w:rPr>
                  </w:pPr>
                  <w:r>
                    <w:rPr>
                      <w:rFonts w:hint="eastAsia" w:cs="Times New Roman"/>
                      <w:b/>
                      <w:bCs/>
                      <w:color w:val="auto"/>
                      <w:kern w:val="0"/>
                      <w:sz w:val="21"/>
                      <w:szCs w:val="21"/>
                      <w:highlight w:val="none"/>
                      <w:vertAlign w:val="baseline"/>
                      <w:lang w:val="en-US" w:eastAsia="zh-CN" w:bidi="ar"/>
                    </w:rPr>
                    <w:t>监测点位</w:t>
                  </w:r>
                </w:p>
              </w:tc>
              <w:tc>
                <w:tcPr>
                  <w:tcW w:w="2017" w:type="dxa"/>
                  <w:tcBorders>
                    <w:tl2br w:val="nil"/>
                    <w:tr2bl w:val="nil"/>
                  </w:tcBorders>
                  <w:vAlign w:val="center"/>
                </w:tcPr>
                <w:p w14:paraId="47A7F8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
                      <w:bCs/>
                      <w:color w:val="auto"/>
                      <w:kern w:val="0"/>
                      <w:sz w:val="21"/>
                      <w:szCs w:val="21"/>
                      <w:highlight w:val="none"/>
                      <w:vertAlign w:val="baseline"/>
                      <w:lang w:val="en-US" w:eastAsia="zh-CN" w:bidi="ar"/>
                    </w:rPr>
                  </w:pPr>
                  <w:r>
                    <w:rPr>
                      <w:rFonts w:hint="eastAsia" w:cs="Times New Roman"/>
                      <w:b/>
                      <w:bCs/>
                      <w:color w:val="auto"/>
                      <w:kern w:val="0"/>
                      <w:sz w:val="21"/>
                      <w:szCs w:val="21"/>
                      <w:highlight w:val="none"/>
                      <w:vertAlign w:val="baseline"/>
                      <w:lang w:val="en-US" w:eastAsia="zh-CN" w:bidi="ar"/>
                    </w:rPr>
                    <w:t>昼间监测值dB(A)</w:t>
                  </w:r>
                </w:p>
              </w:tc>
              <w:tc>
                <w:tcPr>
                  <w:tcW w:w="2018" w:type="dxa"/>
                  <w:tcBorders>
                    <w:tl2br w:val="nil"/>
                    <w:tr2bl w:val="nil"/>
                  </w:tcBorders>
                  <w:vAlign w:val="center"/>
                </w:tcPr>
                <w:p w14:paraId="029D67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
                      <w:bCs/>
                      <w:color w:val="auto"/>
                      <w:kern w:val="0"/>
                      <w:sz w:val="21"/>
                      <w:szCs w:val="21"/>
                      <w:highlight w:val="none"/>
                      <w:vertAlign w:val="baseline"/>
                      <w:lang w:val="en-US" w:eastAsia="zh-CN" w:bidi="ar"/>
                    </w:rPr>
                  </w:pPr>
                  <w:r>
                    <w:rPr>
                      <w:rFonts w:hint="eastAsia" w:cs="Times New Roman"/>
                      <w:b/>
                      <w:bCs/>
                      <w:color w:val="auto"/>
                      <w:kern w:val="0"/>
                      <w:sz w:val="21"/>
                      <w:szCs w:val="21"/>
                      <w:highlight w:val="none"/>
                      <w:vertAlign w:val="baseline"/>
                      <w:lang w:val="en-US" w:eastAsia="zh-CN" w:bidi="ar"/>
                    </w:rPr>
                    <w:t>昼间标准值dB(A)</w:t>
                  </w:r>
                </w:p>
              </w:tc>
              <w:tc>
                <w:tcPr>
                  <w:tcW w:w="1336" w:type="dxa"/>
                  <w:tcBorders>
                    <w:tl2br w:val="nil"/>
                    <w:tr2bl w:val="nil"/>
                  </w:tcBorders>
                  <w:vAlign w:val="center"/>
                </w:tcPr>
                <w:p w14:paraId="11D218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bCs/>
                      <w:color w:val="auto"/>
                      <w:kern w:val="0"/>
                      <w:sz w:val="21"/>
                      <w:szCs w:val="21"/>
                      <w:highlight w:val="none"/>
                      <w:vertAlign w:val="baseline"/>
                      <w:lang w:val="en-US" w:eastAsia="zh-CN" w:bidi="ar"/>
                    </w:rPr>
                  </w:pPr>
                  <w:r>
                    <w:rPr>
                      <w:rFonts w:hint="eastAsia" w:cs="Times New Roman"/>
                      <w:b/>
                      <w:bCs/>
                      <w:color w:val="auto"/>
                      <w:kern w:val="0"/>
                      <w:sz w:val="21"/>
                      <w:szCs w:val="21"/>
                      <w:highlight w:val="none"/>
                      <w:vertAlign w:val="baseline"/>
                      <w:lang w:val="en-US" w:eastAsia="zh-CN" w:bidi="ar"/>
                    </w:rPr>
                    <w:t>达标情况</w:t>
                  </w:r>
                </w:p>
              </w:tc>
            </w:tr>
            <w:tr w14:paraId="7B4B2A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7" w:type="dxa"/>
                  <w:tcBorders>
                    <w:tl2br w:val="nil"/>
                    <w:tr2bl w:val="nil"/>
                  </w:tcBorders>
                  <w:vAlign w:val="center"/>
                </w:tcPr>
                <w:p w14:paraId="45A101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拱辰星园4号楼</w:t>
                  </w:r>
                  <w:r>
                    <w:rPr>
                      <w:rFonts w:hint="eastAsia" w:ascii="宋体" w:hAnsi="宋体" w:eastAsia="宋体" w:cs="宋体"/>
                      <w:b w:val="0"/>
                      <w:bCs w:val="0"/>
                      <w:color w:val="auto"/>
                      <w:kern w:val="0"/>
                      <w:sz w:val="21"/>
                      <w:szCs w:val="21"/>
                      <w:highlight w:val="none"/>
                      <w:vertAlign w:val="baseline"/>
                      <w:lang w:val="en-US" w:eastAsia="zh-CN" w:bidi="ar"/>
                    </w:rPr>
                    <w:t>▲</w:t>
                  </w:r>
                  <w:r>
                    <w:rPr>
                      <w:rFonts w:hint="default" w:ascii="Times New Roman" w:hAnsi="Times New Roman" w:eastAsia="宋体" w:cs="Times New Roman"/>
                      <w:b w:val="0"/>
                      <w:bCs w:val="0"/>
                      <w:color w:val="auto"/>
                      <w:kern w:val="0"/>
                      <w:sz w:val="21"/>
                      <w:szCs w:val="21"/>
                      <w:highlight w:val="none"/>
                      <w:vertAlign w:val="baseline"/>
                      <w:lang w:val="en-US" w:eastAsia="zh-CN" w:bidi="ar"/>
                    </w:rPr>
                    <w:t>1</w:t>
                  </w:r>
                </w:p>
              </w:tc>
              <w:tc>
                <w:tcPr>
                  <w:tcW w:w="2017" w:type="dxa"/>
                  <w:tcBorders>
                    <w:tl2br w:val="nil"/>
                    <w:tr2bl w:val="nil"/>
                  </w:tcBorders>
                  <w:vAlign w:val="center"/>
                </w:tcPr>
                <w:p w14:paraId="762275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57</w:t>
                  </w:r>
                </w:p>
              </w:tc>
              <w:tc>
                <w:tcPr>
                  <w:tcW w:w="2018" w:type="dxa"/>
                  <w:tcBorders>
                    <w:tl2br w:val="nil"/>
                    <w:tr2bl w:val="nil"/>
                  </w:tcBorders>
                  <w:vAlign w:val="center"/>
                </w:tcPr>
                <w:p w14:paraId="2CD09F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60</w:t>
                  </w:r>
                </w:p>
              </w:tc>
              <w:tc>
                <w:tcPr>
                  <w:tcW w:w="1336" w:type="dxa"/>
                  <w:tcBorders>
                    <w:tl2br w:val="nil"/>
                    <w:tr2bl w:val="nil"/>
                  </w:tcBorders>
                  <w:vAlign w:val="center"/>
                </w:tcPr>
                <w:p w14:paraId="641AE7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达标</w:t>
                  </w:r>
                </w:p>
              </w:tc>
            </w:tr>
            <w:tr w14:paraId="50C2B4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7" w:type="dxa"/>
                  <w:tcBorders>
                    <w:tl2br w:val="nil"/>
                    <w:tr2bl w:val="nil"/>
                  </w:tcBorders>
                  <w:vAlign w:val="center"/>
                </w:tcPr>
                <w:p w14:paraId="761D33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default" w:cs="Times New Roman"/>
                      <w:b w:val="0"/>
                      <w:bCs w:val="0"/>
                      <w:color w:val="auto"/>
                      <w:kern w:val="0"/>
                      <w:sz w:val="21"/>
                      <w:szCs w:val="21"/>
                      <w:highlight w:val="none"/>
                      <w:vertAlign w:val="baseline"/>
                      <w:lang w:val="en-US" w:eastAsia="zh-CN" w:bidi="ar"/>
                    </w:rPr>
                    <w:t>房山区良乡第二中学</w:t>
                  </w:r>
                  <w:r>
                    <w:rPr>
                      <w:rFonts w:hint="eastAsia" w:ascii="宋体" w:hAnsi="宋体" w:eastAsia="宋体" w:cs="宋体"/>
                      <w:b w:val="0"/>
                      <w:bCs w:val="0"/>
                      <w:color w:val="auto"/>
                      <w:kern w:val="0"/>
                      <w:sz w:val="21"/>
                      <w:szCs w:val="21"/>
                      <w:highlight w:val="none"/>
                      <w:vertAlign w:val="baseline"/>
                      <w:lang w:val="en-US" w:eastAsia="zh-CN" w:bidi="ar"/>
                    </w:rPr>
                    <w:t>▲</w:t>
                  </w:r>
                  <w:r>
                    <w:rPr>
                      <w:rFonts w:hint="eastAsia" w:cs="Times New Roman"/>
                      <w:b w:val="0"/>
                      <w:bCs w:val="0"/>
                      <w:color w:val="auto"/>
                      <w:kern w:val="0"/>
                      <w:sz w:val="21"/>
                      <w:szCs w:val="21"/>
                      <w:highlight w:val="none"/>
                      <w:vertAlign w:val="baseline"/>
                      <w:lang w:val="en-US" w:eastAsia="zh-CN" w:bidi="ar"/>
                    </w:rPr>
                    <w:t>2</w:t>
                  </w:r>
                </w:p>
              </w:tc>
              <w:tc>
                <w:tcPr>
                  <w:tcW w:w="2017" w:type="dxa"/>
                  <w:tcBorders>
                    <w:tl2br w:val="nil"/>
                    <w:tr2bl w:val="nil"/>
                  </w:tcBorders>
                  <w:vAlign w:val="center"/>
                </w:tcPr>
                <w:p w14:paraId="74FE61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57</w:t>
                  </w:r>
                </w:p>
              </w:tc>
              <w:tc>
                <w:tcPr>
                  <w:tcW w:w="2018" w:type="dxa"/>
                  <w:tcBorders>
                    <w:tl2br w:val="nil"/>
                    <w:tr2bl w:val="nil"/>
                  </w:tcBorders>
                  <w:vAlign w:val="center"/>
                </w:tcPr>
                <w:p w14:paraId="38FD56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60</w:t>
                  </w:r>
                </w:p>
              </w:tc>
              <w:tc>
                <w:tcPr>
                  <w:tcW w:w="1336" w:type="dxa"/>
                  <w:tcBorders>
                    <w:tl2br w:val="nil"/>
                    <w:tr2bl w:val="nil"/>
                  </w:tcBorders>
                  <w:vAlign w:val="center"/>
                </w:tcPr>
                <w:p w14:paraId="09F3FC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达标</w:t>
                  </w:r>
                </w:p>
              </w:tc>
            </w:tr>
            <w:tr w14:paraId="329714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7" w:type="dxa"/>
                  <w:tcBorders>
                    <w:tl2br w:val="nil"/>
                    <w:tr2bl w:val="nil"/>
                  </w:tcBorders>
                  <w:vAlign w:val="center"/>
                </w:tcPr>
                <w:p w14:paraId="2C026F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default" w:cs="Times New Roman"/>
                      <w:b w:val="0"/>
                      <w:bCs w:val="0"/>
                      <w:color w:val="auto"/>
                      <w:kern w:val="0"/>
                      <w:sz w:val="21"/>
                      <w:szCs w:val="21"/>
                      <w:highlight w:val="none"/>
                      <w:vertAlign w:val="baseline"/>
                      <w:lang w:val="en-US" w:eastAsia="zh-CN" w:bidi="ar"/>
                    </w:rPr>
                    <w:t>楸树家园1号楼</w:t>
                  </w:r>
                  <w:r>
                    <w:rPr>
                      <w:rFonts w:hint="eastAsia" w:ascii="宋体" w:hAnsi="宋体" w:eastAsia="宋体" w:cs="宋体"/>
                      <w:b w:val="0"/>
                      <w:bCs w:val="0"/>
                      <w:color w:val="auto"/>
                      <w:kern w:val="0"/>
                      <w:sz w:val="21"/>
                      <w:szCs w:val="21"/>
                      <w:highlight w:val="none"/>
                      <w:vertAlign w:val="baseline"/>
                      <w:lang w:val="en-US" w:eastAsia="zh-CN" w:bidi="ar"/>
                    </w:rPr>
                    <w:t>▲</w:t>
                  </w:r>
                  <w:r>
                    <w:rPr>
                      <w:rFonts w:hint="eastAsia" w:cs="Times New Roman"/>
                      <w:b w:val="0"/>
                      <w:bCs w:val="0"/>
                      <w:color w:val="auto"/>
                      <w:kern w:val="0"/>
                      <w:sz w:val="21"/>
                      <w:szCs w:val="21"/>
                      <w:highlight w:val="none"/>
                      <w:vertAlign w:val="baseline"/>
                      <w:lang w:val="en-US" w:eastAsia="zh-CN" w:bidi="ar"/>
                    </w:rPr>
                    <w:t>3</w:t>
                  </w:r>
                </w:p>
              </w:tc>
              <w:tc>
                <w:tcPr>
                  <w:tcW w:w="2017" w:type="dxa"/>
                  <w:tcBorders>
                    <w:tl2br w:val="nil"/>
                    <w:tr2bl w:val="nil"/>
                  </w:tcBorders>
                  <w:vAlign w:val="center"/>
                </w:tcPr>
                <w:p w14:paraId="547F28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58</w:t>
                  </w:r>
                </w:p>
              </w:tc>
              <w:tc>
                <w:tcPr>
                  <w:tcW w:w="2018" w:type="dxa"/>
                  <w:tcBorders>
                    <w:tl2br w:val="nil"/>
                    <w:tr2bl w:val="nil"/>
                  </w:tcBorders>
                  <w:vAlign w:val="center"/>
                </w:tcPr>
                <w:p w14:paraId="75B65F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60</w:t>
                  </w:r>
                </w:p>
              </w:tc>
              <w:tc>
                <w:tcPr>
                  <w:tcW w:w="1336" w:type="dxa"/>
                  <w:tcBorders>
                    <w:tl2br w:val="nil"/>
                    <w:tr2bl w:val="nil"/>
                  </w:tcBorders>
                  <w:vAlign w:val="center"/>
                </w:tcPr>
                <w:p w14:paraId="5DD56A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达标</w:t>
                  </w:r>
                </w:p>
              </w:tc>
            </w:tr>
            <w:tr w14:paraId="36651F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7" w:type="dxa"/>
                  <w:tcBorders>
                    <w:tl2br w:val="nil"/>
                    <w:tr2bl w:val="nil"/>
                  </w:tcBorders>
                  <w:vAlign w:val="center"/>
                </w:tcPr>
                <w:p w14:paraId="15FE87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楸树家园2号楼</w:t>
                  </w:r>
                  <w:r>
                    <w:rPr>
                      <w:rFonts w:hint="eastAsia" w:ascii="宋体" w:hAnsi="宋体" w:eastAsia="宋体" w:cs="宋体"/>
                      <w:b w:val="0"/>
                      <w:bCs w:val="0"/>
                      <w:color w:val="auto"/>
                      <w:kern w:val="0"/>
                      <w:sz w:val="21"/>
                      <w:szCs w:val="21"/>
                      <w:highlight w:val="none"/>
                      <w:vertAlign w:val="baseline"/>
                      <w:lang w:val="en-US" w:eastAsia="zh-CN" w:bidi="ar"/>
                    </w:rPr>
                    <w:t>▲</w:t>
                  </w:r>
                  <w:r>
                    <w:rPr>
                      <w:rFonts w:hint="eastAsia" w:cs="Times New Roman"/>
                      <w:b w:val="0"/>
                      <w:bCs w:val="0"/>
                      <w:color w:val="auto"/>
                      <w:kern w:val="0"/>
                      <w:sz w:val="21"/>
                      <w:szCs w:val="21"/>
                      <w:highlight w:val="none"/>
                      <w:vertAlign w:val="baseline"/>
                      <w:lang w:val="en-US" w:eastAsia="zh-CN" w:bidi="ar"/>
                    </w:rPr>
                    <w:t>4</w:t>
                  </w:r>
                </w:p>
              </w:tc>
              <w:tc>
                <w:tcPr>
                  <w:tcW w:w="2017" w:type="dxa"/>
                  <w:tcBorders>
                    <w:tl2br w:val="nil"/>
                    <w:tr2bl w:val="nil"/>
                  </w:tcBorders>
                  <w:vAlign w:val="center"/>
                </w:tcPr>
                <w:p w14:paraId="467CB2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58</w:t>
                  </w:r>
                </w:p>
              </w:tc>
              <w:tc>
                <w:tcPr>
                  <w:tcW w:w="2018" w:type="dxa"/>
                  <w:tcBorders>
                    <w:tl2br w:val="nil"/>
                    <w:tr2bl w:val="nil"/>
                  </w:tcBorders>
                  <w:vAlign w:val="center"/>
                </w:tcPr>
                <w:p w14:paraId="441E57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60</w:t>
                  </w:r>
                </w:p>
              </w:tc>
              <w:tc>
                <w:tcPr>
                  <w:tcW w:w="1336" w:type="dxa"/>
                  <w:tcBorders>
                    <w:tl2br w:val="nil"/>
                    <w:tr2bl w:val="nil"/>
                  </w:tcBorders>
                  <w:vAlign w:val="center"/>
                </w:tcPr>
                <w:p w14:paraId="39877F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达标</w:t>
                  </w:r>
                </w:p>
              </w:tc>
            </w:tr>
          </w:tbl>
          <w:p w14:paraId="070B7FB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sz w:val="24"/>
                <w:szCs w:val="24"/>
                <w:vertAlign w:val="baseline"/>
                <w:lang w:val="en-US" w:eastAsia="zh-CN"/>
              </w:rPr>
            </w:pPr>
          </w:p>
          <w:p w14:paraId="29AE5CC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pPr>
          </w:p>
          <w:p w14:paraId="26E67D7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pPr>
          </w:p>
          <w:p w14:paraId="224A0D8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cs="Times New Roman"/>
                <w:sz w:val="24"/>
                <w:szCs w:val="24"/>
                <w:vertAlign w:val="baseline"/>
                <w:lang w:val="en-US" w:eastAsia="zh-CN"/>
              </w:rPr>
            </w:pPr>
            <w:r>
              <w:drawing>
                <wp:inline distT="0" distB="0" distL="114300" distR="114300">
                  <wp:extent cx="4679950" cy="6067425"/>
                  <wp:effectExtent l="0" t="0" r="6350" b="952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9"/>
                          <a:stretch>
                            <a:fillRect/>
                          </a:stretch>
                        </pic:blipFill>
                        <pic:spPr>
                          <a:xfrm>
                            <a:off x="0" y="0"/>
                            <a:ext cx="4679950" cy="6067425"/>
                          </a:xfrm>
                          <a:prstGeom prst="rect">
                            <a:avLst/>
                          </a:prstGeom>
                          <a:noFill/>
                          <a:ln>
                            <a:noFill/>
                          </a:ln>
                        </pic:spPr>
                      </pic:pic>
                    </a:graphicData>
                  </a:graphic>
                </wp:inline>
              </w:drawing>
            </w:r>
          </w:p>
          <w:p w14:paraId="6AA778A6">
            <w:pPr>
              <w:pStyle w:val="11"/>
              <w:bidi w:val="0"/>
              <w:rPr>
                <w:rFonts w:hint="eastAsia"/>
                <w:lang w:val="en-US" w:eastAsia="zh-CN"/>
              </w:rPr>
            </w:pPr>
            <w:r>
              <w:rPr>
                <w:rFonts w:hint="eastAsia"/>
                <w:lang w:val="en-US" w:eastAsia="zh-CN"/>
              </w:rPr>
              <w:t>图3-1 声环境现状监测点位图</w:t>
            </w:r>
          </w:p>
          <w:p w14:paraId="5940E06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sz w:val="24"/>
                <w:szCs w:val="24"/>
                <w:vertAlign w:val="baseline"/>
                <w:lang w:val="en-US" w:eastAsia="zh-CN"/>
              </w:rPr>
            </w:pPr>
            <w:r>
              <w:rPr>
                <w:rFonts w:hint="eastAsia" w:cs="Times New Roman"/>
                <w:sz w:val="24"/>
                <w:szCs w:val="24"/>
                <w:vertAlign w:val="baseline"/>
                <w:lang w:val="en-US" w:eastAsia="zh-CN"/>
              </w:rPr>
              <w:t>4、生态环境</w:t>
            </w:r>
          </w:p>
          <w:p w14:paraId="533243C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sz w:val="24"/>
                <w:szCs w:val="24"/>
                <w:vertAlign w:val="baseline"/>
                <w:lang w:val="en-US" w:eastAsia="zh-CN"/>
              </w:rPr>
            </w:pPr>
            <w:r>
              <w:rPr>
                <w:rFonts w:hint="eastAsia" w:cs="Times New Roman"/>
                <w:sz w:val="24"/>
                <w:szCs w:val="24"/>
                <w:vertAlign w:val="baseline"/>
                <w:lang w:val="en-US" w:eastAsia="zh-CN"/>
              </w:rPr>
              <w:t>本项目位于北京市房山区良乡拱辰星园4号楼1层0102底商，不新增土地，项目范围内无生态保护目标。</w:t>
            </w:r>
          </w:p>
          <w:p w14:paraId="7E39FC4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sz w:val="24"/>
                <w:szCs w:val="24"/>
                <w:vertAlign w:val="baseline"/>
                <w:lang w:val="en-US" w:eastAsia="zh-CN"/>
              </w:rPr>
            </w:pPr>
            <w:r>
              <w:rPr>
                <w:rFonts w:hint="eastAsia" w:cs="Times New Roman"/>
                <w:sz w:val="24"/>
                <w:szCs w:val="24"/>
                <w:vertAlign w:val="baseline"/>
                <w:lang w:val="en-US" w:eastAsia="zh-CN"/>
              </w:rPr>
              <w:t>5、地下水环境</w:t>
            </w:r>
          </w:p>
          <w:p w14:paraId="59CFC31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vertAlign w:val="baseline"/>
              </w:rPr>
            </w:pPr>
            <w:r>
              <w:rPr>
                <w:rFonts w:hint="eastAsia" w:cs="Times New Roman"/>
                <w:sz w:val="24"/>
                <w:szCs w:val="24"/>
                <w:vertAlign w:val="baseline"/>
                <w:lang w:val="en-US" w:eastAsia="zh-CN"/>
              </w:rPr>
              <w:t>根据北京市人民政府2021年12月30日发布的《关于调整部分市级饮用水水源保护区范围的批复》（京政字[2021]41号），本项目不在地下饮用水水源保护区一级、二级保护区范围内。项目厂界外500m范围内没有地下水集中式饮用水水源和热水、矿泉水、温泉等特殊地下水资源。</w:t>
            </w:r>
          </w:p>
        </w:tc>
      </w:tr>
      <w:tr w14:paraId="18795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24" w:type="dxa"/>
            <w:vAlign w:val="center"/>
          </w:tcPr>
          <w:p w14:paraId="4582ED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4"/>
                <w:szCs w:val="24"/>
                <w:vertAlign w:val="baseline"/>
                <w:lang w:val="en-US" w:eastAsia="zh-CN"/>
              </w:rPr>
            </w:pPr>
            <w:r>
              <w:rPr>
                <w:rFonts w:hint="eastAsia" w:cs="Times New Roman"/>
                <w:sz w:val="24"/>
                <w:szCs w:val="24"/>
                <w:vertAlign w:val="baseline"/>
                <w:lang w:val="en-US" w:eastAsia="zh-CN"/>
              </w:rPr>
              <w:t>环境保护目标</w:t>
            </w:r>
          </w:p>
        </w:tc>
        <w:tc>
          <w:tcPr>
            <w:tcW w:w="8224" w:type="dxa"/>
            <w:vAlign w:val="center"/>
          </w:tcPr>
          <w:p w14:paraId="34FEF51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sz w:val="24"/>
                <w:szCs w:val="24"/>
                <w:vertAlign w:val="baseline"/>
                <w:lang w:val="en-US" w:eastAsia="zh-CN"/>
              </w:rPr>
            </w:pPr>
            <w:r>
              <w:rPr>
                <w:rFonts w:hint="eastAsia" w:cs="Times New Roman"/>
                <w:sz w:val="24"/>
                <w:szCs w:val="24"/>
                <w:vertAlign w:val="baseline"/>
                <w:lang w:val="en-US" w:eastAsia="zh-CN"/>
              </w:rPr>
              <w:t>1、大气环境</w:t>
            </w:r>
          </w:p>
          <w:p w14:paraId="00BDD6A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sz w:val="24"/>
                <w:szCs w:val="24"/>
                <w:vertAlign w:val="baseline"/>
                <w:lang w:val="en-US" w:eastAsia="zh-CN"/>
              </w:rPr>
            </w:pPr>
            <w:r>
              <w:rPr>
                <w:rFonts w:hint="eastAsia" w:cs="Times New Roman"/>
                <w:sz w:val="24"/>
                <w:szCs w:val="24"/>
                <w:vertAlign w:val="baseline"/>
                <w:lang w:val="en-US" w:eastAsia="zh-CN"/>
              </w:rPr>
              <w:t>项目厂界外500m范围内主要为居住区、学校等，没有自然保护区、风景名胜区。</w:t>
            </w:r>
          </w:p>
          <w:p w14:paraId="3A8DA61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sz w:val="24"/>
                <w:szCs w:val="24"/>
                <w:vertAlign w:val="baseline"/>
                <w:lang w:val="en-US" w:eastAsia="zh-CN"/>
              </w:rPr>
            </w:pPr>
            <w:r>
              <w:rPr>
                <w:rFonts w:hint="eastAsia" w:cs="Times New Roman"/>
                <w:sz w:val="24"/>
                <w:szCs w:val="24"/>
                <w:vertAlign w:val="baseline"/>
                <w:lang w:val="en-US" w:eastAsia="zh-CN"/>
              </w:rPr>
              <w:t>2、声环境</w:t>
            </w:r>
          </w:p>
          <w:p w14:paraId="48B44D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sz w:val="24"/>
                <w:szCs w:val="24"/>
                <w:vertAlign w:val="baseline"/>
                <w:lang w:val="en-US" w:eastAsia="zh-CN"/>
              </w:rPr>
            </w:pPr>
            <w:r>
              <w:rPr>
                <w:rFonts w:hint="eastAsia" w:cs="Times New Roman"/>
                <w:sz w:val="24"/>
                <w:szCs w:val="24"/>
                <w:vertAlign w:val="baseline"/>
                <w:lang w:val="en-US" w:eastAsia="zh-CN"/>
              </w:rPr>
              <w:t>项目厂界外50m范围内的声环境保护目标为周边住宅楼。</w:t>
            </w:r>
          </w:p>
          <w:p w14:paraId="775B297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sz w:val="24"/>
                <w:szCs w:val="24"/>
                <w:vertAlign w:val="baseline"/>
                <w:lang w:val="en-US" w:eastAsia="zh-CN"/>
              </w:rPr>
            </w:pPr>
            <w:r>
              <w:rPr>
                <w:rFonts w:hint="eastAsia" w:cs="Times New Roman"/>
                <w:sz w:val="24"/>
                <w:szCs w:val="24"/>
                <w:vertAlign w:val="baseline"/>
                <w:lang w:val="en-US" w:eastAsia="zh-CN"/>
              </w:rPr>
              <w:t>3、地下水环境</w:t>
            </w:r>
          </w:p>
          <w:p w14:paraId="2855BF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sz w:val="24"/>
                <w:szCs w:val="24"/>
                <w:vertAlign w:val="baseline"/>
                <w:lang w:val="en-US" w:eastAsia="zh-CN"/>
              </w:rPr>
            </w:pPr>
            <w:r>
              <w:rPr>
                <w:rFonts w:hint="eastAsia" w:cs="Times New Roman"/>
                <w:sz w:val="24"/>
                <w:szCs w:val="24"/>
                <w:vertAlign w:val="baseline"/>
                <w:lang w:val="en-US" w:eastAsia="zh-CN"/>
              </w:rPr>
              <w:t>项目不在地下饮用水水源保护区一级、二级保护区范围内。项目厂界外500m范围内没有地下水集中式饮用水水源和热水、矿泉水、温泉等特殊地下水资源。</w:t>
            </w:r>
          </w:p>
          <w:p w14:paraId="7CFE5FB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lang w:val="en-US" w:eastAsia="zh-CN"/>
              </w:rPr>
            </w:pPr>
            <w:r>
              <w:rPr>
                <w:rFonts w:hint="default"/>
                <w:lang w:val="en-US" w:eastAsia="zh-CN"/>
              </w:rPr>
              <w:t>本项目环境保护目标</w:t>
            </w:r>
            <w:r>
              <w:rPr>
                <w:rFonts w:hint="eastAsia"/>
                <w:lang w:val="en-US" w:eastAsia="zh-CN"/>
              </w:rPr>
              <w:t>见下表。</w:t>
            </w:r>
          </w:p>
          <w:p w14:paraId="1FEEFE12">
            <w:pPr>
              <w:pStyle w:val="11"/>
              <w:bidi w:val="0"/>
              <w:rPr>
                <w:rFonts w:hint="eastAsia"/>
                <w:lang w:val="en-US" w:eastAsia="zh-CN"/>
              </w:rPr>
            </w:pPr>
            <w:r>
              <w:rPr>
                <w:rFonts w:hint="eastAsia"/>
                <w:lang w:val="en-US" w:eastAsia="zh-CN"/>
              </w:rPr>
              <w:t>表3-4 项目环境保护目标一览表</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8"/>
              <w:gridCol w:w="3423"/>
              <w:gridCol w:w="1377"/>
              <w:gridCol w:w="1323"/>
              <w:gridCol w:w="1207"/>
            </w:tblGrid>
            <w:tr w14:paraId="291077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678" w:type="dxa"/>
                  <w:tcBorders>
                    <w:tl2br w:val="nil"/>
                    <w:tr2bl w:val="nil"/>
                  </w:tcBorders>
                  <w:vAlign w:val="center"/>
                </w:tcPr>
                <w:p w14:paraId="7840DC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环境要素</w:t>
                  </w:r>
                </w:p>
              </w:tc>
              <w:tc>
                <w:tcPr>
                  <w:tcW w:w="3423" w:type="dxa"/>
                  <w:tcBorders>
                    <w:tl2br w:val="nil"/>
                    <w:tr2bl w:val="nil"/>
                  </w:tcBorders>
                  <w:vAlign w:val="center"/>
                </w:tcPr>
                <w:p w14:paraId="2E95AF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sz w:val="21"/>
                      <w:szCs w:val="21"/>
                      <w:vertAlign w:val="baseline"/>
                      <w:lang w:val="en-US" w:eastAsia="zh-CN"/>
                    </w:rPr>
                  </w:pPr>
                  <w:r>
                    <w:rPr>
                      <w:rFonts w:hint="eastAsia"/>
                      <w:b/>
                      <w:bCs/>
                      <w:sz w:val="21"/>
                      <w:szCs w:val="21"/>
                      <w:vertAlign w:val="baseline"/>
                      <w:lang w:val="en-US" w:eastAsia="zh-CN"/>
                    </w:rPr>
                    <w:t>保护目标名称</w:t>
                  </w:r>
                </w:p>
              </w:tc>
              <w:tc>
                <w:tcPr>
                  <w:tcW w:w="1377" w:type="dxa"/>
                  <w:tcBorders>
                    <w:tl2br w:val="nil"/>
                    <w:tr2bl w:val="nil"/>
                  </w:tcBorders>
                  <w:vAlign w:val="center"/>
                </w:tcPr>
                <w:p w14:paraId="2BFE23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sz w:val="21"/>
                      <w:szCs w:val="21"/>
                      <w:vertAlign w:val="baseline"/>
                      <w:lang w:val="en-US" w:eastAsia="zh-CN"/>
                    </w:rPr>
                  </w:pPr>
                  <w:r>
                    <w:rPr>
                      <w:rFonts w:hint="eastAsia"/>
                      <w:b/>
                      <w:bCs/>
                      <w:sz w:val="21"/>
                      <w:szCs w:val="21"/>
                      <w:vertAlign w:val="baseline"/>
                      <w:lang w:val="en-US" w:eastAsia="zh-CN"/>
                    </w:rPr>
                    <w:t>环境</w:t>
                  </w:r>
                </w:p>
                <w:p w14:paraId="04BE89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功能区</w:t>
                  </w:r>
                </w:p>
              </w:tc>
              <w:tc>
                <w:tcPr>
                  <w:tcW w:w="1323" w:type="dxa"/>
                  <w:tcBorders>
                    <w:tl2br w:val="nil"/>
                    <w:tr2bl w:val="nil"/>
                  </w:tcBorders>
                  <w:vAlign w:val="center"/>
                </w:tcPr>
                <w:p w14:paraId="3C4B68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sz w:val="21"/>
                      <w:szCs w:val="21"/>
                      <w:vertAlign w:val="baseline"/>
                      <w:lang w:val="en-US" w:eastAsia="zh-CN"/>
                    </w:rPr>
                  </w:pPr>
                  <w:r>
                    <w:rPr>
                      <w:rFonts w:hint="eastAsia"/>
                      <w:b/>
                      <w:bCs/>
                      <w:sz w:val="21"/>
                      <w:szCs w:val="21"/>
                      <w:vertAlign w:val="baseline"/>
                      <w:lang w:val="en-US" w:eastAsia="zh-CN"/>
                    </w:rPr>
                    <w:t>相对厂区</w:t>
                  </w:r>
                </w:p>
                <w:p w14:paraId="7718F9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方位</w:t>
                  </w:r>
                </w:p>
              </w:tc>
              <w:tc>
                <w:tcPr>
                  <w:tcW w:w="1207" w:type="dxa"/>
                  <w:tcBorders>
                    <w:tl2br w:val="nil"/>
                    <w:tr2bl w:val="nil"/>
                  </w:tcBorders>
                  <w:vAlign w:val="center"/>
                </w:tcPr>
                <w:p w14:paraId="573616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相对厂界距离</w:t>
                  </w:r>
                </w:p>
              </w:tc>
            </w:tr>
            <w:tr w14:paraId="435D66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Merge w:val="restart"/>
                  <w:tcBorders>
                    <w:tl2br w:val="nil"/>
                    <w:tr2bl w:val="nil"/>
                  </w:tcBorders>
                  <w:vAlign w:val="center"/>
                </w:tcPr>
                <w:p w14:paraId="1F0E4C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大气环境</w:t>
                  </w:r>
                </w:p>
              </w:tc>
              <w:tc>
                <w:tcPr>
                  <w:tcW w:w="3423" w:type="dxa"/>
                  <w:tcBorders>
                    <w:tl2br w:val="nil"/>
                    <w:tr2bl w:val="nil"/>
                  </w:tcBorders>
                  <w:vAlign w:val="center"/>
                </w:tcPr>
                <w:p w14:paraId="67E30F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良乡医院</w:t>
                  </w:r>
                </w:p>
              </w:tc>
              <w:tc>
                <w:tcPr>
                  <w:tcW w:w="1377" w:type="dxa"/>
                  <w:vMerge w:val="restart"/>
                  <w:tcBorders>
                    <w:tl2br w:val="nil"/>
                    <w:tr2bl w:val="nil"/>
                  </w:tcBorders>
                  <w:vAlign w:val="center"/>
                </w:tcPr>
                <w:p w14:paraId="744BC2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《环境空气质量标准》（GB3095-2012）及其修改单（生态环境部公告2018年第29号）二类区</w:t>
                  </w:r>
                </w:p>
              </w:tc>
              <w:tc>
                <w:tcPr>
                  <w:tcW w:w="1323" w:type="dxa"/>
                  <w:tcBorders>
                    <w:tl2br w:val="nil"/>
                    <w:tr2bl w:val="nil"/>
                  </w:tcBorders>
                  <w:vAlign w:val="center"/>
                </w:tcPr>
                <w:p w14:paraId="746239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NE</w:t>
                  </w:r>
                </w:p>
              </w:tc>
              <w:tc>
                <w:tcPr>
                  <w:tcW w:w="1207" w:type="dxa"/>
                  <w:tcBorders>
                    <w:tl2br w:val="nil"/>
                    <w:tr2bl w:val="nil"/>
                  </w:tcBorders>
                  <w:vAlign w:val="center"/>
                </w:tcPr>
                <w:p w14:paraId="66B5F0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280m</w:t>
                  </w:r>
                </w:p>
              </w:tc>
            </w:tr>
            <w:tr w14:paraId="59B969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Merge w:val="continue"/>
                  <w:tcBorders>
                    <w:tl2br w:val="nil"/>
                    <w:tr2bl w:val="nil"/>
                  </w:tcBorders>
                  <w:vAlign w:val="center"/>
                </w:tcPr>
                <w:p w14:paraId="27723E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3423" w:type="dxa"/>
                  <w:tcBorders>
                    <w:tl2br w:val="nil"/>
                    <w:tr2bl w:val="nil"/>
                  </w:tcBorders>
                  <w:vAlign w:val="center"/>
                </w:tcPr>
                <w:p w14:paraId="5CEB87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良乡第二小学</w:t>
                  </w:r>
                </w:p>
              </w:tc>
              <w:tc>
                <w:tcPr>
                  <w:tcW w:w="1377" w:type="dxa"/>
                  <w:vMerge w:val="continue"/>
                  <w:tcBorders>
                    <w:tl2br w:val="nil"/>
                    <w:tr2bl w:val="nil"/>
                  </w:tcBorders>
                  <w:vAlign w:val="center"/>
                </w:tcPr>
                <w:p w14:paraId="78E495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323" w:type="dxa"/>
                  <w:tcBorders>
                    <w:tl2br w:val="nil"/>
                    <w:tr2bl w:val="nil"/>
                  </w:tcBorders>
                  <w:vAlign w:val="center"/>
                </w:tcPr>
                <w:p w14:paraId="6F95DC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NW</w:t>
                  </w:r>
                </w:p>
              </w:tc>
              <w:tc>
                <w:tcPr>
                  <w:tcW w:w="1207" w:type="dxa"/>
                  <w:tcBorders>
                    <w:tl2br w:val="nil"/>
                    <w:tr2bl w:val="nil"/>
                  </w:tcBorders>
                  <w:vAlign w:val="center"/>
                </w:tcPr>
                <w:p w14:paraId="2C885E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368m</w:t>
                  </w:r>
                </w:p>
              </w:tc>
            </w:tr>
            <w:tr w14:paraId="46C0D5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Merge w:val="continue"/>
                  <w:tcBorders>
                    <w:tl2br w:val="nil"/>
                    <w:tr2bl w:val="nil"/>
                  </w:tcBorders>
                  <w:vAlign w:val="center"/>
                </w:tcPr>
                <w:p w14:paraId="4E179A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3423" w:type="dxa"/>
                  <w:tcBorders>
                    <w:tl2br w:val="nil"/>
                    <w:tr2bl w:val="nil"/>
                  </w:tcBorders>
                  <w:vAlign w:val="center"/>
                </w:tcPr>
                <w:p w14:paraId="051F55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西北关家园</w:t>
                  </w:r>
                </w:p>
              </w:tc>
              <w:tc>
                <w:tcPr>
                  <w:tcW w:w="1377" w:type="dxa"/>
                  <w:vMerge w:val="continue"/>
                  <w:tcBorders>
                    <w:tl2br w:val="nil"/>
                    <w:tr2bl w:val="nil"/>
                  </w:tcBorders>
                  <w:vAlign w:val="center"/>
                </w:tcPr>
                <w:p w14:paraId="08DE8E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323" w:type="dxa"/>
                  <w:tcBorders>
                    <w:tl2br w:val="nil"/>
                    <w:tr2bl w:val="nil"/>
                  </w:tcBorders>
                  <w:vAlign w:val="center"/>
                </w:tcPr>
                <w:p w14:paraId="0FCF79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N</w:t>
                  </w:r>
                </w:p>
              </w:tc>
              <w:tc>
                <w:tcPr>
                  <w:tcW w:w="1207" w:type="dxa"/>
                  <w:tcBorders>
                    <w:tl2br w:val="nil"/>
                    <w:tr2bl w:val="nil"/>
                  </w:tcBorders>
                  <w:vAlign w:val="center"/>
                </w:tcPr>
                <w:p w14:paraId="75E92F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415m</w:t>
                  </w:r>
                </w:p>
              </w:tc>
            </w:tr>
            <w:tr w14:paraId="6F63E7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Merge w:val="continue"/>
                  <w:tcBorders>
                    <w:tl2br w:val="nil"/>
                    <w:tr2bl w:val="nil"/>
                  </w:tcBorders>
                  <w:vAlign w:val="center"/>
                </w:tcPr>
                <w:p w14:paraId="04EF03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3423" w:type="dxa"/>
                  <w:tcBorders>
                    <w:tl2br w:val="nil"/>
                    <w:tr2bl w:val="nil"/>
                  </w:tcBorders>
                  <w:vAlign w:val="center"/>
                </w:tcPr>
                <w:p w14:paraId="1289F1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西潞园小区-三里</w:t>
                  </w:r>
                </w:p>
              </w:tc>
              <w:tc>
                <w:tcPr>
                  <w:tcW w:w="1377" w:type="dxa"/>
                  <w:vMerge w:val="continue"/>
                  <w:tcBorders>
                    <w:tl2br w:val="nil"/>
                    <w:tr2bl w:val="nil"/>
                  </w:tcBorders>
                  <w:vAlign w:val="center"/>
                </w:tcPr>
                <w:p w14:paraId="46B0D6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323" w:type="dxa"/>
                  <w:tcBorders>
                    <w:tl2br w:val="nil"/>
                    <w:tr2bl w:val="nil"/>
                  </w:tcBorders>
                  <w:vAlign w:val="center"/>
                </w:tcPr>
                <w:p w14:paraId="14AB02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NW</w:t>
                  </w:r>
                </w:p>
              </w:tc>
              <w:tc>
                <w:tcPr>
                  <w:tcW w:w="1207" w:type="dxa"/>
                  <w:tcBorders>
                    <w:tl2br w:val="nil"/>
                    <w:tr2bl w:val="nil"/>
                  </w:tcBorders>
                  <w:vAlign w:val="center"/>
                </w:tcPr>
                <w:p w14:paraId="480CC3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369m</w:t>
                  </w:r>
                </w:p>
              </w:tc>
            </w:tr>
            <w:tr w14:paraId="108D8F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Merge w:val="continue"/>
                  <w:tcBorders>
                    <w:tl2br w:val="nil"/>
                    <w:tr2bl w:val="nil"/>
                  </w:tcBorders>
                  <w:vAlign w:val="center"/>
                </w:tcPr>
                <w:p w14:paraId="29FA3E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3423" w:type="dxa"/>
                  <w:tcBorders>
                    <w:tl2br w:val="nil"/>
                    <w:tr2bl w:val="nil"/>
                  </w:tcBorders>
                  <w:vAlign w:val="center"/>
                </w:tcPr>
                <w:p w14:paraId="51E069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西潞园小区-四里</w:t>
                  </w:r>
                </w:p>
              </w:tc>
              <w:tc>
                <w:tcPr>
                  <w:tcW w:w="1377" w:type="dxa"/>
                  <w:vMerge w:val="continue"/>
                  <w:tcBorders>
                    <w:tl2br w:val="nil"/>
                    <w:tr2bl w:val="nil"/>
                  </w:tcBorders>
                  <w:vAlign w:val="center"/>
                </w:tcPr>
                <w:p w14:paraId="261B89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323" w:type="dxa"/>
                  <w:tcBorders>
                    <w:tl2br w:val="nil"/>
                    <w:tr2bl w:val="nil"/>
                  </w:tcBorders>
                  <w:vAlign w:val="center"/>
                </w:tcPr>
                <w:p w14:paraId="6507B6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w:t>
                  </w:r>
                </w:p>
              </w:tc>
              <w:tc>
                <w:tcPr>
                  <w:tcW w:w="1207" w:type="dxa"/>
                  <w:tcBorders>
                    <w:tl2br w:val="nil"/>
                    <w:tr2bl w:val="nil"/>
                  </w:tcBorders>
                  <w:vAlign w:val="center"/>
                </w:tcPr>
                <w:p w14:paraId="520D8D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345m</w:t>
                  </w:r>
                </w:p>
              </w:tc>
            </w:tr>
            <w:tr w14:paraId="205C1B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Merge w:val="continue"/>
                  <w:tcBorders>
                    <w:tl2br w:val="nil"/>
                    <w:tr2bl w:val="nil"/>
                  </w:tcBorders>
                  <w:vAlign w:val="center"/>
                </w:tcPr>
                <w:p w14:paraId="78207F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3423" w:type="dxa"/>
                  <w:tcBorders>
                    <w:tl2br w:val="nil"/>
                    <w:tr2bl w:val="nil"/>
                  </w:tcBorders>
                  <w:vAlign w:val="center"/>
                </w:tcPr>
                <w:p w14:paraId="7395BF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西潞东里小区</w:t>
                  </w:r>
                </w:p>
              </w:tc>
              <w:tc>
                <w:tcPr>
                  <w:tcW w:w="1377" w:type="dxa"/>
                  <w:vMerge w:val="continue"/>
                  <w:tcBorders>
                    <w:tl2br w:val="nil"/>
                    <w:tr2bl w:val="nil"/>
                  </w:tcBorders>
                  <w:vAlign w:val="center"/>
                </w:tcPr>
                <w:p w14:paraId="3B78F3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323" w:type="dxa"/>
                  <w:tcBorders>
                    <w:tl2br w:val="nil"/>
                    <w:tr2bl w:val="nil"/>
                  </w:tcBorders>
                  <w:vAlign w:val="center"/>
                </w:tcPr>
                <w:p w14:paraId="62E887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w:t>
                  </w:r>
                </w:p>
              </w:tc>
              <w:tc>
                <w:tcPr>
                  <w:tcW w:w="1207" w:type="dxa"/>
                  <w:tcBorders>
                    <w:tl2br w:val="nil"/>
                    <w:tr2bl w:val="nil"/>
                  </w:tcBorders>
                  <w:vAlign w:val="center"/>
                </w:tcPr>
                <w:p w14:paraId="54B932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258m</w:t>
                  </w:r>
                </w:p>
              </w:tc>
            </w:tr>
            <w:tr w14:paraId="6FA794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Merge w:val="continue"/>
                  <w:tcBorders>
                    <w:tl2br w:val="nil"/>
                    <w:tr2bl w:val="nil"/>
                  </w:tcBorders>
                  <w:vAlign w:val="center"/>
                </w:tcPr>
                <w:p w14:paraId="34DA2D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3423" w:type="dxa"/>
                  <w:tcBorders>
                    <w:tl2br w:val="nil"/>
                    <w:tr2bl w:val="nil"/>
                  </w:tcBorders>
                  <w:vAlign w:val="center"/>
                </w:tcPr>
                <w:p w14:paraId="5EB29A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供电局良乡家属院</w:t>
                  </w:r>
                </w:p>
              </w:tc>
              <w:tc>
                <w:tcPr>
                  <w:tcW w:w="1377" w:type="dxa"/>
                  <w:vMerge w:val="continue"/>
                  <w:tcBorders>
                    <w:tl2br w:val="nil"/>
                    <w:tr2bl w:val="nil"/>
                  </w:tcBorders>
                  <w:vAlign w:val="center"/>
                </w:tcPr>
                <w:p w14:paraId="3E62F6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323" w:type="dxa"/>
                  <w:tcBorders>
                    <w:tl2br w:val="nil"/>
                    <w:tr2bl w:val="nil"/>
                  </w:tcBorders>
                  <w:vAlign w:val="center"/>
                </w:tcPr>
                <w:p w14:paraId="1204FA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SW</w:t>
                  </w:r>
                </w:p>
              </w:tc>
              <w:tc>
                <w:tcPr>
                  <w:tcW w:w="1207" w:type="dxa"/>
                  <w:tcBorders>
                    <w:tl2br w:val="nil"/>
                    <w:tr2bl w:val="nil"/>
                  </w:tcBorders>
                  <w:vAlign w:val="center"/>
                </w:tcPr>
                <w:p w14:paraId="3261C3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350m</w:t>
                  </w:r>
                </w:p>
              </w:tc>
            </w:tr>
            <w:tr w14:paraId="73494D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Merge w:val="continue"/>
                  <w:tcBorders>
                    <w:tl2br w:val="nil"/>
                    <w:tr2bl w:val="nil"/>
                  </w:tcBorders>
                  <w:vAlign w:val="center"/>
                </w:tcPr>
                <w:p w14:paraId="67250C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3423" w:type="dxa"/>
                  <w:tcBorders>
                    <w:tl2br w:val="nil"/>
                    <w:tr2bl w:val="nil"/>
                  </w:tcBorders>
                  <w:vAlign w:val="center"/>
                </w:tcPr>
                <w:p w14:paraId="2DA693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拱辰星园</w:t>
                  </w:r>
                </w:p>
              </w:tc>
              <w:tc>
                <w:tcPr>
                  <w:tcW w:w="1377" w:type="dxa"/>
                  <w:vMerge w:val="continue"/>
                  <w:tcBorders>
                    <w:tl2br w:val="nil"/>
                    <w:tr2bl w:val="nil"/>
                  </w:tcBorders>
                  <w:vAlign w:val="center"/>
                </w:tcPr>
                <w:p w14:paraId="0E27F7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323" w:type="dxa"/>
                  <w:tcBorders>
                    <w:tl2br w:val="nil"/>
                    <w:tr2bl w:val="nil"/>
                  </w:tcBorders>
                  <w:vAlign w:val="center"/>
                </w:tcPr>
                <w:p w14:paraId="31FBC7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1207" w:type="dxa"/>
                  <w:tcBorders>
                    <w:tl2br w:val="nil"/>
                    <w:tr2bl w:val="nil"/>
                  </w:tcBorders>
                  <w:vAlign w:val="center"/>
                </w:tcPr>
                <w:p w14:paraId="783018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紧邻</w:t>
                  </w:r>
                </w:p>
              </w:tc>
            </w:tr>
            <w:tr w14:paraId="74E733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Merge w:val="continue"/>
                  <w:tcBorders>
                    <w:tl2br w:val="nil"/>
                    <w:tr2bl w:val="nil"/>
                  </w:tcBorders>
                  <w:vAlign w:val="center"/>
                </w:tcPr>
                <w:p w14:paraId="7EB37A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3423" w:type="dxa"/>
                  <w:tcBorders>
                    <w:tl2br w:val="nil"/>
                    <w:tr2bl w:val="nil"/>
                  </w:tcBorders>
                  <w:vAlign w:val="center"/>
                </w:tcPr>
                <w:p w14:paraId="350D44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房山区良乡第二中学</w:t>
                  </w:r>
                </w:p>
              </w:tc>
              <w:tc>
                <w:tcPr>
                  <w:tcW w:w="1377" w:type="dxa"/>
                  <w:vMerge w:val="continue"/>
                  <w:tcBorders>
                    <w:tl2br w:val="nil"/>
                    <w:tr2bl w:val="nil"/>
                  </w:tcBorders>
                  <w:vAlign w:val="center"/>
                </w:tcPr>
                <w:p w14:paraId="49BA7C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323" w:type="dxa"/>
                  <w:tcBorders>
                    <w:tl2br w:val="nil"/>
                    <w:tr2bl w:val="nil"/>
                  </w:tcBorders>
                  <w:vAlign w:val="center"/>
                </w:tcPr>
                <w:p w14:paraId="415BCA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NW</w:t>
                  </w:r>
                </w:p>
              </w:tc>
              <w:tc>
                <w:tcPr>
                  <w:tcW w:w="1207" w:type="dxa"/>
                  <w:tcBorders>
                    <w:tl2br w:val="nil"/>
                    <w:tr2bl w:val="nil"/>
                  </w:tcBorders>
                  <w:vAlign w:val="center"/>
                </w:tcPr>
                <w:p w14:paraId="3CB016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22m</w:t>
                  </w:r>
                </w:p>
              </w:tc>
            </w:tr>
            <w:tr w14:paraId="42DD9A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Merge w:val="continue"/>
                  <w:tcBorders>
                    <w:tl2br w:val="nil"/>
                    <w:tr2bl w:val="nil"/>
                  </w:tcBorders>
                  <w:vAlign w:val="center"/>
                </w:tcPr>
                <w:p w14:paraId="5601DD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3423" w:type="dxa"/>
                  <w:tcBorders>
                    <w:tl2br w:val="nil"/>
                    <w:tr2bl w:val="nil"/>
                  </w:tcBorders>
                  <w:vAlign w:val="center"/>
                </w:tcPr>
                <w:p w14:paraId="2E625B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楸树家园</w:t>
                  </w:r>
                </w:p>
              </w:tc>
              <w:tc>
                <w:tcPr>
                  <w:tcW w:w="1377" w:type="dxa"/>
                  <w:vMerge w:val="continue"/>
                  <w:tcBorders>
                    <w:tl2br w:val="nil"/>
                    <w:tr2bl w:val="nil"/>
                  </w:tcBorders>
                  <w:vAlign w:val="center"/>
                </w:tcPr>
                <w:p w14:paraId="0BC071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323" w:type="dxa"/>
                  <w:tcBorders>
                    <w:tl2br w:val="nil"/>
                    <w:tr2bl w:val="nil"/>
                  </w:tcBorders>
                  <w:vAlign w:val="center"/>
                </w:tcPr>
                <w:p w14:paraId="432CC1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E</w:t>
                  </w:r>
                </w:p>
              </w:tc>
              <w:tc>
                <w:tcPr>
                  <w:tcW w:w="1207" w:type="dxa"/>
                  <w:tcBorders>
                    <w:tl2br w:val="nil"/>
                    <w:tr2bl w:val="nil"/>
                  </w:tcBorders>
                  <w:vAlign w:val="center"/>
                </w:tcPr>
                <w:p w14:paraId="15AB62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40m</w:t>
                  </w:r>
                </w:p>
              </w:tc>
            </w:tr>
            <w:tr w14:paraId="0582D1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Merge w:val="continue"/>
                  <w:tcBorders>
                    <w:tl2br w:val="nil"/>
                    <w:tr2bl w:val="nil"/>
                  </w:tcBorders>
                  <w:vAlign w:val="center"/>
                </w:tcPr>
                <w:p w14:paraId="530B0A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3423" w:type="dxa"/>
                  <w:tcBorders>
                    <w:tl2br w:val="nil"/>
                    <w:tr2bl w:val="nil"/>
                  </w:tcBorders>
                  <w:vAlign w:val="center"/>
                </w:tcPr>
                <w:p w14:paraId="0720A2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聪慧里小区</w:t>
                  </w:r>
                </w:p>
              </w:tc>
              <w:tc>
                <w:tcPr>
                  <w:tcW w:w="1377" w:type="dxa"/>
                  <w:vMerge w:val="continue"/>
                  <w:tcBorders>
                    <w:tl2br w:val="nil"/>
                    <w:tr2bl w:val="nil"/>
                  </w:tcBorders>
                  <w:vAlign w:val="center"/>
                </w:tcPr>
                <w:p w14:paraId="7D8D83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323" w:type="dxa"/>
                  <w:tcBorders>
                    <w:tl2br w:val="nil"/>
                    <w:tr2bl w:val="nil"/>
                  </w:tcBorders>
                  <w:vAlign w:val="center"/>
                </w:tcPr>
                <w:p w14:paraId="21DB5B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E</w:t>
                  </w:r>
                </w:p>
              </w:tc>
              <w:tc>
                <w:tcPr>
                  <w:tcW w:w="1207" w:type="dxa"/>
                  <w:tcBorders>
                    <w:tl2br w:val="nil"/>
                    <w:tr2bl w:val="nil"/>
                  </w:tcBorders>
                  <w:vAlign w:val="center"/>
                </w:tcPr>
                <w:p w14:paraId="052152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381m</w:t>
                  </w:r>
                </w:p>
              </w:tc>
            </w:tr>
            <w:tr w14:paraId="1CA514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Merge w:val="restart"/>
                  <w:tcBorders>
                    <w:tl2br w:val="nil"/>
                    <w:tr2bl w:val="nil"/>
                  </w:tcBorders>
                  <w:vAlign w:val="center"/>
                </w:tcPr>
                <w:p w14:paraId="0E76AF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声环境</w:t>
                  </w:r>
                </w:p>
              </w:tc>
              <w:tc>
                <w:tcPr>
                  <w:tcW w:w="3423" w:type="dxa"/>
                  <w:tcBorders>
                    <w:tl2br w:val="nil"/>
                    <w:tr2bl w:val="nil"/>
                  </w:tcBorders>
                  <w:vAlign w:val="center"/>
                </w:tcPr>
                <w:p w14:paraId="190F1E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拱辰家园4号楼</w:t>
                  </w:r>
                </w:p>
              </w:tc>
              <w:tc>
                <w:tcPr>
                  <w:tcW w:w="1377" w:type="dxa"/>
                  <w:vMerge w:val="restart"/>
                  <w:tcBorders>
                    <w:tl2br w:val="nil"/>
                    <w:tr2bl w:val="nil"/>
                  </w:tcBorders>
                  <w:vAlign w:val="center"/>
                </w:tcPr>
                <w:p w14:paraId="37B7C3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《声环境质量标准》（GB3096-2008）2类</w:t>
                  </w:r>
                </w:p>
              </w:tc>
              <w:tc>
                <w:tcPr>
                  <w:tcW w:w="1323" w:type="dxa"/>
                  <w:tcBorders>
                    <w:tl2br w:val="nil"/>
                    <w:tr2bl w:val="nil"/>
                  </w:tcBorders>
                  <w:vAlign w:val="center"/>
                </w:tcPr>
                <w:p w14:paraId="47E83C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楼上</w:t>
                  </w:r>
                </w:p>
              </w:tc>
              <w:tc>
                <w:tcPr>
                  <w:tcW w:w="1207" w:type="dxa"/>
                  <w:tcBorders>
                    <w:tl2br w:val="nil"/>
                    <w:tr2bl w:val="nil"/>
                  </w:tcBorders>
                  <w:vAlign w:val="center"/>
                </w:tcPr>
                <w:p w14:paraId="1CD865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r>
            <w:tr w14:paraId="302055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Merge w:val="continue"/>
                  <w:tcBorders>
                    <w:tl2br w:val="nil"/>
                    <w:tr2bl w:val="nil"/>
                  </w:tcBorders>
                  <w:vAlign w:val="center"/>
                </w:tcPr>
                <w:p w14:paraId="6FA583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3423" w:type="dxa"/>
                  <w:tcBorders>
                    <w:tl2br w:val="nil"/>
                    <w:tr2bl w:val="nil"/>
                  </w:tcBorders>
                  <w:vAlign w:val="center"/>
                </w:tcPr>
                <w:p w14:paraId="2AA16D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房山区良乡第二中学</w:t>
                  </w:r>
                </w:p>
              </w:tc>
              <w:tc>
                <w:tcPr>
                  <w:tcW w:w="1377" w:type="dxa"/>
                  <w:vMerge w:val="continue"/>
                  <w:tcBorders>
                    <w:tl2br w:val="nil"/>
                    <w:tr2bl w:val="nil"/>
                  </w:tcBorders>
                  <w:vAlign w:val="center"/>
                </w:tcPr>
                <w:p w14:paraId="1318B5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323" w:type="dxa"/>
                  <w:tcBorders>
                    <w:tl2br w:val="nil"/>
                    <w:tr2bl w:val="nil"/>
                  </w:tcBorders>
                  <w:vAlign w:val="center"/>
                </w:tcPr>
                <w:p w14:paraId="7989B5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NW</w:t>
                  </w:r>
                </w:p>
              </w:tc>
              <w:tc>
                <w:tcPr>
                  <w:tcW w:w="1207" w:type="dxa"/>
                  <w:tcBorders>
                    <w:tl2br w:val="nil"/>
                    <w:tr2bl w:val="nil"/>
                  </w:tcBorders>
                  <w:vAlign w:val="center"/>
                </w:tcPr>
                <w:p w14:paraId="17EE60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22m</w:t>
                  </w:r>
                </w:p>
              </w:tc>
            </w:tr>
            <w:tr w14:paraId="6B062D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Merge w:val="continue"/>
                  <w:tcBorders>
                    <w:tl2br w:val="nil"/>
                    <w:tr2bl w:val="nil"/>
                  </w:tcBorders>
                  <w:vAlign w:val="center"/>
                </w:tcPr>
                <w:p w14:paraId="59E802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3423" w:type="dxa"/>
                  <w:tcBorders>
                    <w:tl2br w:val="nil"/>
                    <w:tr2bl w:val="nil"/>
                  </w:tcBorders>
                  <w:vAlign w:val="center"/>
                </w:tcPr>
                <w:p w14:paraId="08221A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楸树家园1号楼</w:t>
                  </w:r>
                </w:p>
              </w:tc>
              <w:tc>
                <w:tcPr>
                  <w:tcW w:w="1377" w:type="dxa"/>
                  <w:vMerge w:val="continue"/>
                  <w:tcBorders>
                    <w:tl2br w:val="nil"/>
                    <w:tr2bl w:val="nil"/>
                  </w:tcBorders>
                  <w:vAlign w:val="center"/>
                </w:tcPr>
                <w:p w14:paraId="5FEFBF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323" w:type="dxa"/>
                  <w:tcBorders>
                    <w:tl2br w:val="nil"/>
                    <w:tr2bl w:val="nil"/>
                  </w:tcBorders>
                  <w:vAlign w:val="center"/>
                </w:tcPr>
                <w:p w14:paraId="5DD0D2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E</w:t>
                  </w:r>
                </w:p>
              </w:tc>
              <w:tc>
                <w:tcPr>
                  <w:tcW w:w="1207" w:type="dxa"/>
                  <w:tcBorders>
                    <w:tl2br w:val="nil"/>
                    <w:tr2bl w:val="nil"/>
                  </w:tcBorders>
                  <w:vAlign w:val="center"/>
                </w:tcPr>
                <w:p w14:paraId="493F40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40m</w:t>
                  </w:r>
                </w:p>
              </w:tc>
            </w:tr>
            <w:tr w14:paraId="35F498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Merge w:val="continue"/>
                  <w:tcBorders>
                    <w:tl2br w:val="nil"/>
                    <w:tr2bl w:val="nil"/>
                  </w:tcBorders>
                  <w:vAlign w:val="center"/>
                </w:tcPr>
                <w:p w14:paraId="6B3B68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3423" w:type="dxa"/>
                  <w:tcBorders>
                    <w:tl2br w:val="nil"/>
                    <w:tr2bl w:val="nil"/>
                  </w:tcBorders>
                  <w:vAlign w:val="center"/>
                </w:tcPr>
                <w:p w14:paraId="7A4B05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楸树家园2号楼</w:t>
                  </w:r>
                </w:p>
              </w:tc>
              <w:tc>
                <w:tcPr>
                  <w:tcW w:w="1377" w:type="dxa"/>
                  <w:vMerge w:val="continue"/>
                  <w:tcBorders>
                    <w:tl2br w:val="nil"/>
                    <w:tr2bl w:val="nil"/>
                  </w:tcBorders>
                  <w:vAlign w:val="center"/>
                </w:tcPr>
                <w:p w14:paraId="15061D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323" w:type="dxa"/>
                  <w:tcBorders>
                    <w:tl2br w:val="nil"/>
                    <w:tr2bl w:val="nil"/>
                  </w:tcBorders>
                  <w:vAlign w:val="center"/>
                </w:tcPr>
                <w:p w14:paraId="650C25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SE</w:t>
                  </w:r>
                </w:p>
              </w:tc>
              <w:tc>
                <w:tcPr>
                  <w:tcW w:w="1207" w:type="dxa"/>
                  <w:tcBorders>
                    <w:tl2br w:val="nil"/>
                    <w:tr2bl w:val="nil"/>
                  </w:tcBorders>
                  <w:vAlign w:val="center"/>
                </w:tcPr>
                <w:p w14:paraId="09F827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45m</w:t>
                  </w:r>
                </w:p>
              </w:tc>
            </w:tr>
          </w:tbl>
          <w:p w14:paraId="7D61F4A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rFonts w:hint="default"/>
                <w:lang w:val="en-US" w:eastAsia="zh-CN"/>
              </w:rPr>
            </w:pPr>
          </w:p>
        </w:tc>
      </w:tr>
      <w:tr w14:paraId="25C7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24" w:type="dxa"/>
            <w:vAlign w:val="center"/>
          </w:tcPr>
          <w:p w14:paraId="775C69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4"/>
                <w:szCs w:val="24"/>
                <w:vertAlign w:val="baseline"/>
                <w:lang w:val="en-US" w:eastAsia="zh-CN"/>
              </w:rPr>
            </w:pPr>
            <w:r>
              <w:rPr>
                <w:rFonts w:hint="eastAsia" w:cs="Times New Roman"/>
                <w:sz w:val="24"/>
                <w:szCs w:val="24"/>
                <w:vertAlign w:val="baseline"/>
                <w:lang w:val="en-US" w:eastAsia="zh-CN"/>
              </w:rPr>
              <w:t>污染物排放控制标准</w:t>
            </w:r>
          </w:p>
        </w:tc>
        <w:tc>
          <w:tcPr>
            <w:tcW w:w="8224" w:type="dxa"/>
            <w:vAlign w:val="center"/>
          </w:tcPr>
          <w:p w14:paraId="1A35D294">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1、废气</w:t>
            </w:r>
          </w:p>
          <w:p w14:paraId="006DD61B">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本项目无燃煤、燃油、燃气设施，不设食堂；冬季供暖由市政热力提供，夏季制冷由自备空调提供。本项目动物诊疗及美容洗浴废水消毒采用次氯酸钠消毒工艺污水处理设备，封闭设计，无开放水面，其主要工艺为消毒，无生化工艺，因此本项目污水处理工艺无废气排放。</w:t>
            </w:r>
          </w:p>
          <w:p w14:paraId="2E3B53EA">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本项目废气主要为接诊、留诊观察及住院过程中会有动物自身及粪便产生的少量异味，主要污染因子为NH</w:t>
            </w:r>
            <w:r>
              <w:rPr>
                <w:rFonts w:hint="eastAsia"/>
                <w:sz w:val="24"/>
                <w:szCs w:val="24"/>
                <w:vertAlign w:val="subscript"/>
                <w:lang w:val="en-US" w:eastAsia="zh-CN"/>
              </w:rPr>
              <w:t>3</w:t>
            </w:r>
            <w:r>
              <w:rPr>
                <w:rFonts w:hint="eastAsia"/>
                <w:sz w:val="24"/>
                <w:szCs w:val="24"/>
                <w:lang w:val="en-US" w:eastAsia="zh-CN"/>
              </w:rPr>
              <w:t>、H</w:t>
            </w:r>
            <w:r>
              <w:rPr>
                <w:rFonts w:hint="eastAsia"/>
                <w:sz w:val="24"/>
                <w:szCs w:val="24"/>
                <w:vertAlign w:val="subscript"/>
                <w:lang w:val="en-US" w:eastAsia="zh-CN"/>
              </w:rPr>
              <w:t>2</w:t>
            </w:r>
            <w:r>
              <w:rPr>
                <w:rFonts w:hint="eastAsia"/>
                <w:sz w:val="24"/>
                <w:szCs w:val="24"/>
                <w:lang w:val="en-US" w:eastAsia="zh-CN"/>
              </w:rPr>
              <w:t>S及臭气浓度。采取笼子下方放置托盘，托盘中放置猫砂用于吸收粪尿，动物粪尿被猫砂吸收包裹后及时由医护人员清理并装入专门的密封袋中密封保存，同时喷洒除臭剂、空气清新剂等净化措施，此外，运营期间各科室均关闭门窗，各科室设置吸风口对异味进行统一收集后汇集到通风管道中，通过活性炭净化装置处理后经位于东侧的排风口（DA001）排出室外，排风口高3.4m，排气筒高度未高出周围200m半径范围内的建筑物5m以上。NH</w:t>
            </w:r>
            <w:r>
              <w:rPr>
                <w:rFonts w:hint="eastAsia"/>
                <w:sz w:val="24"/>
                <w:szCs w:val="24"/>
                <w:vertAlign w:val="subscript"/>
                <w:lang w:val="en-US" w:eastAsia="zh-CN"/>
              </w:rPr>
              <w:t>3</w:t>
            </w:r>
            <w:r>
              <w:rPr>
                <w:rFonts w:hint="eastAsia"/>
                <w:sz w:val="24"/>
                <w:szCs w:val="24"/>
                <w:lang w:val="en-US" w:eastAsia="zh-CN"/>
              </w:rPr>
              <w:t>、H</w:t>
            </w:r>
            <w:r>
              <w:rPr>
                <w:rFonts w:hint="eastAsia"/>
                <w:sz w:val="24"/>
                <w:szCs w:val="24"/>
                <w:vertAlign w:val="subscript"/>
                <w:lang w:val="en-US" w:eastAsia="zh-CN"/>
              </w:rPr>
              <w:t>2</w:t>
            </w:r>
            <w:r>
              <w:rPr>
                <w:rFonts w:hint="eastAsia"/>
                <w:sz w:val="24"/>
                <w:szCs w:val="24"/>
                <w:lang w:val="en-US" w:eastAsia="zh-CN"/>
              </w:rPr>
              <w:t>S及臭气浓度排放执行北京市《大气污染物综合排放标准》（DB11/501-2017）中“表 3 生产工艺及其他废气大气污染物排放限值”的规定。</w:t>
            </w:r>
          </w:p>
          <w:p w14:paraId="78D05D3D">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本项目大气污染物排放标准具体见下表。</w:t>
            </w:r>
          </w:p>
          <w:p w14:paraId="2EB8B546">
            <w:pPr>
              <w:pStyle w:val="11"/>
              <w:bidi w:val="0"/>
              <w:rPr>
                <w:rFonts w:hint="eastAsia"/>
                <w:lang w:val="en-US" w:eastAsia="zh-CN"/>
              </w:rPr>
            </w:pPr>
            <w:r>
              <w:rPr>
                <w:rFonts w:hint="eastAsia"/>
                <w:lang w:val="en-US" w:eastAsia="zh-CN"/>
              </w:rPr>
              <w:t>表3-5 大气污染物排放标准</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7"/>
              <w:gridCol w:w="1430"/>
              <w:gridCol w:w="1530"/>
              <w:gridCol w:w="2565"/>
              <w:gridCol w:w="1846"/>
            </w:tblGrid>
            <w:tr w14:paraId="17E816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dxa"/>
                  <w:vMerge w:val="restart"/>
                  <w:tcBorders>
                    <w:tl2br w:val="nil"/>
                    <w:tr2bl w:val="nil"/>
                  </w:tcBorders>
                  <w:vAlign w:val="center"/>
                </w:tcPr>
                <w:p w14:paraId="119080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序号</w:t>
                  </w:r>
                </w:p>
              </w:tc>
              <w:tc>
                <w:tcPr>
                  <w:tcW w:w="1430" w:type="dxa"/>
                  <w:vMerge w:val="restart"/>
                  <w:tcBorders>
                    <w:tl2br w:val="nil"/>
                    <w:tr2bl w:val="nil"/>
                  </w:tcBorders>
                  <w:vAlign w:val="center"/>
                </w:tcPr>
                <w:p w14:paraId="3EF1FB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污染物</w:t>
                  </w:r>
                </w:p>
              </w:tc>
              <w:tc>
                <w:tcPr>
                  <w:tcW w:w="1530" w:type="dxa"/>
                  <w:vMerge w:val="restart"/>
                  <w:tcBorders>
                    <w:tl2br w:val="nil"/>
                    <w:tr2bl w:val="nil"/>
                  </w:tcBorders>
                  <w:vAlign w:val="center"/>
                </w:tcPr>
                <w:p w14:paraId="6A6F56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最高允许排放浓度mg/m</w:t>
                  </w:r>
                  <w:r>
                    <w:rPr>
                      <w:rFonts w:hint="eastAsia" w:cs="Times New Roman"/>
                      <w:b/>
                      <w:bCs/>
                      <w:color w:val="auto"/>
                      <w:kern w:val="0"/>
                      <w:sz w:val="21"/>
                      <w:szCs w:val="21"/>
                      <w:highlight w:val="none"/>
                      <w:vertAlign w:val="superscript"/>
                      <w:lang w:val="en-US" w:eastAsia="zh-CN"/>
                    </w:rPr>
                    <w:t>3</w:t>
                  </w:r>
                </w:p>
              </w:tc>
              <w:tc>
                <w:tcPr>
                  <w:tcW w:w="4411" w:type="dxa"/>
                  <w:gridSpan w:val="2"/>
                  <w:tcBorders>
                    <w:bottom w:val="single" w:color="000000" w:sz="4" w:space="0"/>
                    <w:tl2br w:val="nil"/>
                    <w:tr2bl w:val="nil"/>
                  </w:tcBorders>
                  <w:vAlign w:val="center"/>
                </w:tcPr>
                <w:p w14:paraId="1DF5E5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bCs/>
                      <w:color w:val="auto"/>
                      <w:kern w:val="0"/>
                      <w:sz w:val="21"/>
                      <w:szCs w:val="21"/>
                      <w:highlight w:val="none"/>
                      <w:vertAlign w:val="baseline"/>
                      <w:lang w:val="en-US" w:eastAsia="zh-CN"/>
                    </w:rPr>
                  </w:pPr>
                  <w:r>
                    <w:rPr>
                      <w:rFonts w:hint="default" w:cs="Times New Roman"/>
                      <w:b/>
                      <w:bCs/>
                      <w:color w:val="auto"/>
                      <w:kern w:val="0"/>
                      <w:sz w:val="21"/>
                      <w:szCs w:val="21"/>
                      <w:highlight w:val="none"/>
                      <w:vertAlign w:val="baseline"/>
                      <w:lang w:val="en-US" w:eastAsia="zh-CN"/>
                    </w:rPr>
                    <w:t>与排气筒高度对应的大气污染物最高允许排放速率</w:t>
                  </w:r>
                </w:p>
              </w:tc>
            </w:tr>
            <w:tr w14:paraId="2D4FB9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dxa"/>
                  <w:vMerge w:val="continue"/>
                  <w:tcBorders>
                    <w:tl2br w:val="nil"/>
                    <w:tr2bl w:val="nil"/>
                  </w:tcBorders>
                  <w:vAlign w:val="center"/>
                </w:tcPr>
                <w:p w14:paraId="19E37C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
                      <w:bCs/>
                      <w:color w:val="auto"/>
                      <w:kern w:val="0"/>
                      <w:sz w:val="21"/>
                      <w:szCs w:val="21"/>
                      <w:highlight w:val="none"/>
                      <w:vertAlign w:val="baseline"/>
                      <w:lang w:val="en-US" w:eastAsia="zh-CN"/>
                    </w:rPr>
                  </w:pPr>
                </w:p>
              </w:tc>
              <w:tc>
                <w:tcPr>
                  <w:tcW w:w="1430" w:type="dxa"/>
                  <w:vMerge w:val="continue"/>
                  <w:tcBorders>
                    <w:tl2br w:val="nil"/>
                    <w:tr2bl w:val="nil"/>
                  </w:tcBorders>
                  <w:vAlign w:val="center"/>
                </w:tcPr>
                <w:p w14:paraId="19AB78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
                      <w:bCs/>
                      <w:color w:val="auto"/>
                      <w:kern w:val="0"/>
                      <w:sz w:val="21"/>
                      <w:szCs w:val="21"/>
                      <w:highlight w:val="none"/>
                      <w:vertAlign w:val="baseline"/>
                      <w:lang w:val="en-US" w:eastAsia="zh-CN"/>
                    </w:rPr>
                  </w:pPr>
                </w:p>
              </w:tc>
              <w:tc>
                <w:tcPr>
                  <w:tcW w:w="1530" w:type="dxa"/>
                  <w:vMerge w:val="continue"/>
                  <w:tcBorders>
                    <w:tl2br w:val="nil"/>
                    <w:tr2bl w:val="nil"/>
                  </w:tcBorders>
                  <w:vAlign w:val="center"/>
                </w:tcPr>
                <w:p w14:paraId="65D987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
                      <w:bCs/>
                      <w:color w:val="auto"/>
                      <w:kern w:val="0"/>
                      <w:sz w:val="21"/>
                      <w:szCs w:val="21"/>
                      <w:highlight w:val="none"/>
                      <w:vertAlign w:val="baseline"/>
                      <w:lang w:val="en-US" w:eastAsia="zh-CN"/>
                    </w:rPr>
                  </w:pPr>
                </w:p>
              </w:tc>
              <w:tc>
                <w:tcPr>
                  <w:tcW w:w="2565" w:type="dxa"/>
                  <w:tcBorders>
                    <w:top w:val="single" w:color="000000" w:sz="4" w:space="0"/>
                    <w:tl2br w:val="nil"/>
                    <w:tr2bl w:val="nil"/>
                  </w:tcBorders>
                  <w:vAlign w:val="center"/>
                </w:tcPr>
                <w:p w14:paraId="5D4630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本项目排气筒高度3.4m</w:t>
                  </w:r>
                </w:p>
              </w:tc>
              <w:tc>
                <w:tcPr>
                  <w:tcW w:w="1846" w:type="dxa"/>
                  <w:tcBorders>
                    <w:top w:val="single" w:color="000000" w:sz="4" w:space="0"/>
                    <w:tl2br w:val="nil"/>
                    <w:tr2bl w:val="nil"/>
                  </w:tcBorders>
                  <w:vAlign w:val="center"/>
                </w:tcPr>
                <w:p w14:paraId="5687DD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15m</w:t>
                  </w:r>
                </w:p>
              </w:tc>
            </w:tr>
            <w:tr w14:paraId="0B89B5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dxa"/>
                  <w:tcBorders>
                    <w:tl2br w:val="nil"/>
                    <w:tr2bl w:val="nil"/>
                  </w:tcBorders>
                  <w:vAlign w:val="center"/>
                </w:tcPr>
                <w:p w14:paraId="23C934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w:t>
                  </w:r>
                </w:p>
              </w:tc>
              <w:tc>
                <w:tcPr>
                  <w:tcW w:w="1430" w:type="dxa"/>
                  <w:tcBorders>
                    <w:tl2br w:val="nil"/>
                    <w:tr2bl w:val="nil"/>
                  </w:tcBorders>
                  <w:vAlign w:val="center"/>
                </w:tcPr>
                <w:p w14:paraId="6D0614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NH</w:t>
                  </w:r>
                  <w:r>
                    <w:rPr>
                      <w:rFonts w:hint="eastAsia" w:cs="Times New Roman"/>
                      <w:b w:val="0"/>
                      <w:bCs w:val="0"/>
                      <w:color w:val="auto"/>
                      <w:kern w:val="0"/>
                      <w:sz w:val="21"/>
                      <w:szCs w:val="21"/>
                      <w:highlight w:val="none"/>
                      <w:vertAlign w:val="subscript"/>
                      <w:lang w:val="en-US" w:eastAsia="zh-CN"/>
                    </w:rPr>
                    <w:t>3</w:t>
                  </w:r>
                </w:p>
              </w:tc>
              <w:tc>
                <w:tcPr>
                  <w:tcW w:w="1530" w:type="dxa"/>
                  <w:tcBorders>
                    <w:tl2br w:val="nil"/>
                    <w:tr2bl w:val="nil"/>
                  </w:tcBorders>
                  <w:vAlign w:val="center"/>
                </w:tcPr>
                <w:p w14:paraId="74DD57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1.0</w:t>
                  </w:r>
                </w:p>
              </w:tc>
              <w:tc>
                <w:tcPr>
                  <w:tcW w:w="2565" w:type="dxa"/>
                  <w:tcBorders>
                    <w:tl2br w:val="nil"/>
                    <w:tr2bl w:val="nil"/>
                  </w:tcBorders>
                  <w:vAlign w:val="center"/>
                </w:tcPr>
                <w:p w14:paraId="17D0A0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0.0093</w:t>
                  </w:r>
                </w:p>
              </w:tc>
              <w:tc>
                <w:tcPr>
                  <w:tcW w:w="1846" w:type="dxa"/>
                  <w:tcBorders>
                    <w:tl2br w:val="nil"/>
                    <w:tr2bl w:val="nil"/>
                  </w:tcBorders>
                  <w:vAlign w:val="center"/>
                </w:tcPr>
                <w:p w14:paraId="0566F0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0.72</w:t>
                  </w:r>
                  <w:r>
                    <w:rPr>
                      <w:rFonts w:hint="default" w:cs="Times New Roman"/>
                      <w:b w:val="0"/>
                      <w:bCs w:val="0"/>
                      <w:color w:val="auto"/>
                      <w:kern w:val="0"/>
                      <w:sz w:val="21"/>
                      <w:szCs w:val="21"/>
                      <w:highlight w:val="none"/>
                      <w:vertAlign w:val="baseline"/>
                      <w:lang w:val="en-US" w:eastAsia="zh-CN"/>
                    </w:rPr>
                    <w:t>kg/h</w:t>
                  </w:r>
                </w:p>
              </w:tc>
            </w:tr>
            <w:tr w14:paraId="207BA4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dxa"/>
                  <w:tcBorders>
                    <w:tl2br w:val="nil"/>
                    <w:tr2bl w:val="nil"/>
                  </w:tcBorders>
                  <w:vAlign w:val="center"/>
                </w:tcPr>
                <w:p w14:paraId="7D19A0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2</w:t>
                  </w:r>
                </w:p>
              </w:tc>
              <w:tc>
                <w:tcPr>
                  <w:tcW w:w="1430" w:type="dxa"/>
                  <w:tcBorders>
                    <w:tl2br w:val="nil"/>
                    <w:tr2bl w:val="nil"/>
                  </w:tcBorders>
                  <w:vAlign w:val="center"/>
                </w:tcPr>
                <w:p w14:paraId="464AAF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H</w:t>
                  </w:r>
                  <w:r>
                    <w:rPr>
                      <w:rFonts w:hint="eastAsia" w:cs="Times New Roman"/>
                      <w:b w:val="0"/>
                      <w:bCs w:val="0"/>
                      <w:color w:val="auto"/>
                      <w:kern w:val="0"/>
                      <w:sz w:val="21"/>
                      <w:szCs w:val="21"/>
                      <w:highlight w:val="none"/>
                      <w:vertAlign w:val="subscript"/>
                      <w:lang w:val="en-US" w:eastAsia="zh-CN"/>
                    </w:rPr>
                    <w:t>2</w:t>
                  </w:r>
                  <w:r>
                    <w:rPr>
                      <w:rFonts w:hint="eastAsia" w:cs="Times New Roman"/>
                      <w:b w:val="0"/>
                      <w:bCs w:val="0"/>
                      <w:color w:val="auto"/>
                      <w:kern w:val="0"/>
                      <w:sz w:val="21"/>
                      <w:szCs w:val="21"/>
                      <w:highlight w:val="none"/>
                      <w:vertAlign w:val="baseline"/>
                      <w:lang w:val="en-US" w:eastAsia="zh-CN"/>
                    </w:rPr>
                    <w:t>S</w:t>
                  </w:r>
                </w:p>
              </w:tc>
              <w:tc>
                <w:tcPr>
                  <w:tcW w:w="1530" w:type="dxa"/>
                  <w:tcBorders>
                    <w:tl2br w:val="nil"/>
                    <w:tr2bl w:val="nil"/>
                  </w:tcBorders>
                  <w:vAlign w:val="center"/>
                </w:tcPr>
                <w:p w14:paraId="448C38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0.05</w:t>
                  </w:r>
                </w:p>
              </w:tc>
              <w:tc>
                <w:tcPr>
                  <w:tcW w:w="2565" w:type="dxa"/>
                  <w:tcBorders>
                    <w:tl2br w:val="nil"/>
                    <w:tr2bl w:val="nil"/>
                  </w:tcBorders>
                  <w:vAlign w:val="center"/>
                </w:tcPr>
                <w:p w14:paraId="30E4FC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0.00046</w:t>
                  </w:r>
                </w:p>
              </w:tc>
              <w:tc>
                <w:tcPr>
                  <w:tcW w:w="1846" w:type="dxa"/>
                  <w:tcBorders>
                    <w:tl2br w:val="nil"/>
                    <w:tr2bl w:val="nil"/>
                  </w:tcBorders>
                  <w:vAlign w:val="center"/>
                </w:tcPr>
                <w:p w14:paraId="6484E8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0.036</w:t>
                  </w:r>
                  <w:r>
                    <w:rPr>
                      <w:rFonts w:hint="default" w:cs="Times New Roman"/>
                      <w:b w:val="0"/>
                      <w:bCs w:val="0"/>
                      <w:color w:val="auto"/>
                      <w:kern w:val="0"/>
                      <w:sz w:val="21"/>
                      <w:szCs w:val="21"/>
                      <w:highlight w:val="none"/>
                      <w:vertAlign w:val="baseline"/>
                      <w:lang w:val="en-US" w:eastAsia="zh-CN"/>
                    </w:rPr>
                    <w:t>kg/h</w:t>
                  </w:r>
                </w:p>
              </w:tc>
            </w:tr>
            <w:tr w14:paraId="677B47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dxa"/>
                  <w:tcBorders>
                    <w:tl2br w:val="nil"/>
                    <w:tr2bl w:val="nil"/>
                  </w:tcBorders>
                  <w:vAlign w:val="center"/>
                </w:tcPr>
                <w:p w14:paraId="31182C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3</w:t>
                  </w:r>
                </w:p>
              </w:tc>
              <w:tc>
                <w:tcPr>
                  <w:tcW w:w="1430" w:type="dxa"/>
                  <w:tcBorders>
                    <w:tl2br w:val="nil"/>
                    <w:tr2bl w:val="nil"/>
                  </w:tcBorders>
                  <w:vAlign w:val="center"/>
                </w:tcPr>
                <w:p w14:paraId="40670D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臭气浓度</w:t>
                  </w:r>
                </w:p>
                <w:p w14:paraId="3EA275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（无量纲）</w:t>
                  </w:r>
                </w:p>
              </w:tc>
              <w:tc>
                <w:tcPr>
                  <w:tcW w:w="1530" w:type="dxa"/>
                  <w:tcBorders>
                    <w:tl2br w:val="nil"/>
                    <w:tr2bl w:val="nil"/>
                  </w:tcBorders>
                  <w:vAlign w:val="center"/>
                </w:tcPr>
                <w:p w14:paraId="4CFC87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w:t>
                  </w:r>
                </w:p>
              </w:tc>
              <w:tc>
                <w:tcPr>
                  <w:tcW w:w="2565" w:type="dxa"/>
                  <w:tcBorders>
                    <w:tl2br w:val="nil"/>
                    <w:tr2bl w:val="nil"/>
                  </w:tcBorders>
                  <w:vAlign w:val="center"/>
                </w:tcPr>
                <w:p w14:paraId="290352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25.69</w:t>
                  </w:r>
                </w:p>
              </w:tc>
              <w:tc>
                <w:tcPr>
                  <w:tcW w:w="1846" w:type="dxa"/>
                  <w:tcBorders>
                    <w:tl2br w:val="nil"/>
                    <w:tr2bl w:val="nil"/>
                  </w:tcBorders>
                  <w:vAlign w:val="center"/>
                </w:tcPr>
                <w:p w14:paraId="3276EF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2000无量纲</w:t>
                  </w:r>
                </w:p>
              </w:tc>
            </w:tr>
            <w:tr w14:paraId="0AE589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08" w:type="dxa"/>
                  <w:gridSpan w:val="5"/>
                  <w:tcBorders>
                    <w:tl2br w:val="nil"/>
                    <w:tr2bl w:val="nil"/>
                  </w:tcBorders>
                  <w:vAlign w:val="center"/>
                </w:tcPr>
                <w:p w14:paraId="044B16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注：</w:t>
                  </w:r>
                </w:p>
                <w:p w14:paraId="434258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①根据北京市《大气污染物综合排放标准》（DB11/501-2017）中“5.1.1 其他大气污染物的排气筒高度不应低于15m；高度低于15m，排气筒中大气污染物排放浓度应按”“无组织排放监控点浓度限值”的5倍执行。本项目废气排放高度为4m，高度低于15m。</w:t>
                  </w:r>
                </w:p>
                <w:p w14:paraId="31663D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②根据北京市《大气污染物综合排放标准》（DB11/501-2017）中“5.1.3 排气筒高度低于15m，按外推法计算的排放速率限值的50%执行”。</w:t>
                  </w:r>
                </w:p>
                <w:p w14:paraId="29FF87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③根据北京市《大气污染物综合排放标准》（DB11/501-2017）中“5.1.4 排气筒高度高出周围200m半径范围内的建筑物5m以上，不能达到该项要求的，最高允许排放速率应根据5.1.3 确定的排放速率限值的50%执行”。</w:t>
                  </w:r>
                </w:p>
              </w:tc>
            </w:tr>
          </w:tbl>
          <w:p w14:paraId="283D959A">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2、废水</w:t>
            </w:r>
          </w:p>
          <w:p w14:paraId="51875677">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项目动物诊疗废水和美容洗浴废水经污水处理设施消毒处理后，同生活废水一同排入所在建筑防渗化粪池进行预处理，最终经市政污水管网排入北京中设水处理有限公司良乡污水处理厂。项目综合废水中各项污染物排放执行北京市《水污染物综合排放标准》（DB11/307-2013）中“表3排入公共污水处理系统的水污染物排放限值”。</w:t>
            </w:r>
          </w:p>
          <w:p w14:paraId="26C38670">
            <w:pPr>
              <w:pStyle w:val="11"/>
              <w:bidi w:val="0"/>
              <w:rPr>
                <w:rFonts w:hint="eastAsia"/>
                <w:lang w:val="en-US" w:eastAsia="zh-CN"/>
              </w:rPr>
            </w:pPr>
            <w:r>
              <w:rPr>
                <w:rFonts w:hint="eastAsia"/>
                <w:lang w:val="en-US" w:eastAsia="zh-CN"/>
              </w:rPr>
              <w:t>表3-6 项目废水排放标准</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5"/>
              <w:gridCol w:w="2889"/>
              <w:gridCol w:w="2186"/>
              <w:gridCol w:w="1648"/>
            </w:tblGrid>
            <w:tr w14:paraId="47C97A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7" w:type="dxa"/>
                  <w:tcBorders>
                    <w:tl2br w:val="nil"/>
                    <w:tr2bl w:val="nil"/>
                  </w:tcBorders>
                  <w:vAlign w:val="center"/>
                </w:tcPr>
                <w:p w14:paraId="6971B0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序号</w:t>
                  </w:r>
                </w:p>
              </w:tc>
              <w:tc>
                <w:tcPr>
                  <w:tcW w:w="2895" w:type="dxa"/>
                  <w:tcBorders>
                    <w:tl2br w:val="nil"/>
                    <w:tr2bl w:val="nil"/>
                  </w:tcBorders>
                  <w:vAlign w:val="center"/>
                </w:tcPr>
                <w:p w14:paraId="727E11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污染物</w:t>
                  </w:r>
                </w:p>
              </w:tc>
              <w:tc>
                <w:tcPr>
                  <w:tcW w:w="2190" w:type="dxa"/>
                  <w:tcBorders>
                    <w:tl2br w:val="nil"/>
                    <w:tr2bl w:val="nil"/>
                  </w:tcBorders>
                  <w:vAlign w:val="center"/>
                </w:tcPr>
                <w:p w14:paraId="31AD74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标准限值</w:t>
                  </w:r>
                </w:p>
              </w:tc>
              <w:tc>
                <w:tcPr>
                  <w:tcW w:w="1651" w:type="dxa"/>
                  <w:tcBorders>
                    <w:tl2br w:val="nil"/>
                    <w:tr2bl w:val="nil"/>
                  </w:tcBorders>
                  <w:vAlign w:val="center"/>
                </w:tcPr>
                <w:p w14:paraId="486EEE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单位</w:t>
                  </w:r>
                </w:p>
              </w:tc>
            </w:tr>
            <w:tr w14:paraId="34BAD4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7" w:type="dxa"/>
                  <w:tcBorders>
                    <w:tl2br w:val="nil"/>
                    <w:tr2bl w:val="nil"/>
                  </w:tcBorders>
                  <w:vAlign w:val="center"/>
                </w:tcPr>
                <w:p w14:paraId="4D14D7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2895" w:type="dxa"/>
                  <w:tcBorders>
                    <w:tl2br w:val="nil"/>
                    <w:tr2bl w:val="nil"/>
                  </w:tcBorders>
                  <w:vAlign w:val="center"/>
                </w:tcPr>
                <w:p w14:paraId="4BE927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pH值</w:t>
                  </w:r>
                </w:p>
              </w:tc>
              <w:tc>
                <w:tcPr>
                  <w:tcW w:w="2190" w:type="dxa"/>
                  <w:tcBorders>
                    <w:tl2br w:val="nil"/>
                    <w:tr2bl w:val="nil"/>
                  </w:tcBorders>
                  <w:vAlign w:val="center"/>
                </w:tcPr>
                <w:p w14:paraId="16EE5C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6.5-9</w:t>
                  </w:r>
                </w:p>
              </w:tc>
              <w:tc>
                <w:tcPr>
                  <w:tcW w:w="1651" w:type="dxa"/>
                  <w:tcBorders>
                    <w:tl2br w:val="nil"/>
                    <w:tr2bl w:val="nil"/>
                  </w:tcBorders>
                  <w:vAlign w:val="center"/>
                </w:tcPr>
                <w:p w14:paraId="55B69E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无量纲</w:t>
                  </w:r>
                </w:p>
              </w:tc>
            </w:tr>
            <w:tr w14:paraId="59AD36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7" w:type="dxa"/>
                  <w:tcBorders>
                    <w:tl2br w:val="nil"/>
                    <w:tr2bl w:val="nil"/>
                  </w:tcBorders>
                  <w:vAlign w:val="center"/>
                </w:tcPr>
                <w:p w14:paraId="24B059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w:t>
                  </w:r>
                </w:p>
              </w:tc>
              <w:tc>
                <w:tcPr>
                  <w:tcW w:w="2895" w:type="dxa"/>
                  <w:tcBorders>
                    <w:tl2br w:val="nil"/>
                    <w:tr2bl w:val="nil"/>
                  </w:tcBorders>
                  <w:vAlign w:val="center"/>
                </w:tcPr>
                <w:p w14:paraId="3A6D7B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悬浮物（SS）</w:t>
                  </w:r>
                </w:p>
              </w:tc>
              <w:tc>
                <w:tcPr>
                  <w:tcW w:w="2190" w:type="dxa"/>
                  <w:tcBorders>
                    <w:tl2br w:val="nil"/>
                    <w:tr2bl w:val="nil"/>
                  </w:tcBorders>
                  <w:vAlign w:val="center"/>
                </w:tcPr>
                <w:p w14:paraId="63A583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400</w:t>
                  </w:r>
                </w:p>
              </w:tc>
              <w:tc>
                <w:tcPr>
                  <w:tcW w:w="1651" w:type="dxa"/>
                  <w:tcBorders>
                    <w:tl2br w:val="nil"/>
                    <w:tr2bl w:val="nil"/>
                  </w:tcBorders>
                  <w:vAlign w:val="center"/>
                </w:tcPr>
                <w:p w14:paraId="05FE55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mg/L</w:t>
                  </w:r>
                </w:p>
              </w:tc>
            </w:tr>
            <w:tr w14:paraId="45644E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7" w:type="dxa"/>
                  <w:tcBorders>
                    <w:tl2br w:val="nil"/>
                    <w:tr2bl w:val="nil"/>
                  </w:tcBorders>
                  <w:vAlign w:val="center"/>
                </w:tcPr>
                <w:p w14:paraId="34A78C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w:t>
                  </w:r>
                </w:p>
              </w:tc>
              <w:tc>
                <w:tcPr>
                  <w:tcW w:w="2895" w:type="dxa"/>
                  <w:tcBorders>
                    <w:tl2br w:val="nil"/>
                    <w:tr2bl w:val="nil"/>
                  </w:tcBorders>
                  <w:vAlign w:val="center"/>
                </w:tcPr>
                <w:p w14:paraId="7D991E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五日生化需氧量（BOD</w:t>
                  </w:r>
                  <w:r>
                    <w:rPr>
                      <w:rFonts w:hint="eastAsia"/>
                      <w:sz w:val="21"/>
                      <w:szCs w:val="21"/>
                      <w:vertAlign w:val="subscript"/>
                      <w:lang w:val="en-US" w:eastAsia="zh-CN"/>
                    </w:rPr>
                    <w:t>5</w:t>
                  </w:r>
                  <w:r>
                    <w:rPr>
                      <w:rFonts w:hint="eastAsia"/>
                      <w:sz w:val="21"/>
                      <w:szCs w:val="21"/>
                      <w:vertAlign w:val="baseline"/>
                      <w:lang w:val="en-US" w:eastAsia="zh-CN"/>
                    </w:rPr>
                    <w:t>）</w:t>
                  </w:r>
                </w:p>
              </w:tc>
              <w:tc>
                <w:tcPr>
                  <w:tcW w:w="2190" w:type="dxa"/>
                  <w:tcBorders>
                    <w:tl2br w:val="nil"/>
                    <w:tr2bl w:val="nil"/>
                  </w:tcBorders>
                  <w:vAlign w:val="center"/>
                </w:tcPr>
                <w:p w14:paraId="7B16AB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300</w:t>
                  </w:r>
                </w:p>
              </w:tc>
              <w:tc>
                <w:tcPr>
                  <w:tcW w:w="1651" w:type="dxa"/>
                  <w:tcBorders>
                    <w:tl2br w:val="nil"/>
                    <w:tr2bl w:val="nil"/>
                  </w:tcBorders>
                  <w:vAlign w:val="center"/>
                </w:tcPr>
                <w:p w14:paraId="389B17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mg/L</w:t>
                  </w:r>
                </w:p>
              </w:tc>
            </w:tr>
            <w:tr w14:paraId="06DF80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7" w:type="dxa"/>
                  <w:tcBorders>
                    <w:tl2br w:val="nil"/>
                    <w:tr2bl w:val="nil"/>
                  </w:tcBorders>
                  <w:vAlign w:val="center"/>
                </w:tcPr>
                <w:p w14:paraId="421D2A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w:t>
                  </w:r>
                </w:p>
              </w:tc>
              <w:tc>
                <w:tcPr>
                  <w:tcW w:w="2895" w:type="dxa"/>
                  <w:tcBorders>
                    <w:tl2br w:val="nil"/>
                    <w:tr2bl w:val="nil"/>
                  </w:tcBorders>
                  <w:vAlign w:val="center"/>
                </w:tcPr>
                <w:p w14:paraId="4E4D08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化学需氧量（CODcr）</w:t>
                  </w:r>
                </w:p>
              </w:tc>
              <w:tc>
                <w:tcPr>
                  <w:tcW w:w="2190" w:type="dxa"/>
                  <w:tcBorders>
                    <w:tl2br w:val="nil"/>
                    <w:tr2bl w:val="nil"/>
                  </w:tcBorders>
                  <w:vAlign w:val="center"/>
                </w:tcPr>
                <w:p w14:paraId="3C8D48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500</w:t>
                  </w:r>
                </w:p>
              </w:tc>
              <w:tc>
                <w:tcPr>
                  <w:tcW w:w="1651" w:type="dxa"/>
                  <w:tcBorders>
                    <w:tl2br w:val="nil"/>
                    <w:tr2bl w:val="nil"/>
                  </w:tcBorders>
                  <w:vAlign w:val="center"/>
                </w:tcPr>
                <w:p w14:paraId="7FCE13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mg/L</w:t>
                  </w:r>
                </w:p>
              </w:tc>
            </w:tr>
            <w:tr w14:paraId="30DAFC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7" w:type="dxa"/>
                  <w:tcBorders>
                    <w:tl2br w:val="nil"/>
                    <w:tr2bl w:val="nil"/>
                  </w:tcBorders>
                  <w:vAlign w:val="center"/>
                </w:tcPr>
                <w:p w14:paraId="7A2D43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w:t>
                  </w:r>
                </w:p>
              </w:tc>
              <w:tc>
                <w:tcPr>
                  <w:tcW w:w="2895" w:type="dxa"/>
                  <w:tcBorders>
                    <w:tl2br w:val="nil"/>
                    <w:tr2bl w:val="nil"/>
                  </w:tcBorders>
                  <w:vAlign w:val="center"/>
                </w:tcPr>
                <w:p w14:paraId="48FFF8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氨氮（NH</w:t>
                  </w:r>
                  <w:r>
                    <w:rPr>
                      <w:rFonts w:hint="eastAsia"/>
                      <w:sz w:val="21"/>
                      <w:szCs w:val="21"/>
                      <w:vertAlign w:val="subscript"/>
                      <w:lang w:val="en-US" w:eastAsia="zh-CN"/>
                    </w:rPr>
                    <w:t>3</w:t>
                  </w:r>
                  <w:r>
                    <w:rPr>
                      <w:rFonts w:hint="eastAsia"/>
                      <w:sz w:val="21"/>
                      <w:szCs w:val="21"/>
                      <w:vertAlign w:val="baseline"/>
                      <w:lang w:val="en-US" w:eastAsia="zh-CN"/>
                    </w:rPr>
                    <w:t>-N）</w:t>
                  </w:r>
                </w:p>
              </w:tc>
              <w:tc>
                <w:tcPr>
                  <w:tcW w:w="2190" w:type="dxa"/>
                  <w:tcBorders>
                    <w:tl2br w:val="nil"/>
                    <w:tr2bl w:val="nil"/>
                  </w:tcBorders>
                  <w:vAlign w:val="center"/>
                </w:tcPr>
                <w:p w14:paraId="5C0FC1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45</w:t>
                  </w:r>
                </w:p>
              </w:tc>
              <w:tc>
                <w:tcPr>
                  <w:tcW w:w="1651" w:type="dxa"/>
                  <w:tcBorders>
                    <w:tl2br w:val="nil"/>
                    <w:tr2bl w:val="nil"/>
                  </w:tcBorders>
                  <w:vAlign w:val="center"/>
                </w:tcPr>
                <w:p w14:paraId="259501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mg/L</w:t>
                  </w:r>
                </w:p>
              </w:tc>
            </w:tr>
            <w:tr w14:paraId="352F30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7" w:type="dxa"/>
                  <w:tcBorders>
                    <w:tl2br w:val="nil"/>
                    <w:tr2bl w:val="nil"/>
                  </w:tcBorders>
                  <w:vAlign w:val="center"/>
                </w:tcPr>
                <w:p w14:paraId="245185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6</w:t>
                  </w:r>
                </w:p>
              </w:tc>
              <w:tc>
                <w:tcPr>
                  <w:tcW w:w="2895" w:type="dxa"/>
                  <w:tcBorders>
                    <w:tl2br w:val="nil"/>
                    <w:tr2bl w:val="nil"/>
                  </w:tcBorders>
                  <w:vAlign w:val="center"/>
                </w:tcPr>
                <w:p w14:paraId="126D52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粪大肠菌群</w:t>
                  </w:r>
                </w:p>
              </w:tc>
              <w:tc>
                <w:tcPr>
                  <w:tcW w:w="2190" w:type="dxa"/>
                  <w:tcBorders>
                    <w:tl2br w:val="nil"/>
                    <w:tr2bl w:val="nil"/>
                  </w:tcBorders>
                  <w:vAlign w:val="center"/>
                </w:tcPr>
                <w:p w14:paraId="3F9B80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10000</w:t>
                  </w:r>
                </w:p>
              </w:tc>
              <w:tc>
                <w:tcPr>
                  <w:tcW w:w="1651" w:type="dxa"/>
                  <w:tcBorders>
                    <w:tl2br w:val="nil"/>
                    <w:tr2bl w:val="nil"/>
                  </w:tcBorders>
                  <w:vAlign w:val="center"/>
                </w:tcPr>
                <w:p w14:paraId="3CE1DD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MPN/L</w:t>
                  </w:r>
                </w:p>
              </w:tc>
            </w:tr>
            <w:tr w14:paraId="7A5AF3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7" w:type="dxa"/>
                  <w:tcBorders>
                    <w:tl2br w:val="nil"/>
                    <w:tr2bl w:val="nil"/>
                  </w:tcBorders>
                  <w:vAlign w:val="center"/>
                </w:tcPr>
                <w:p w14:paraId="03E50A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7</w:t>
                  </w:r>
                </w:p>
              </w:tc>
              <w:tc>
                <w:tcPr>
                  <w:tcW w:w="2895" w:type="dxa"/>
                  <w:tcBorders>
                    <w:tl2br w:val="nil"/>
                    <w:tr2bl w:val="nil"/>
                  </w:tcBorders>
                  <w:vAlign w:val="center"/>
                </w:tcPr>
                <w:p w14:paraId="363EE2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总余氯</w:t>
                  </w:r>
                </w:p>
              </w:tc>
              <w:tc>
                <w:tcPr>
                  <w:tcW w:w="2190" w:type="dxa"/>
                  <w:tcBorders>
                    <w:tl2br w:val="nil"/>
                    <w:tr2bl w:val="nil"/>
                  </w:tcBorders>
                  <w:vAlign w:val="center"/>
                </w:tcPr>
                <w:p w14:paraId="4AA0A4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8</w:t>
                  </w:r>
                </w:p>
              </w:tc>
              <w:tc>
                <w:tcPr>
                  <w:tcW w:w="1651" w:type="dxa"/>
                  <w:tcBorders>
                    <w:tl2br w:val="nil"/>
                    <w:tr2bl w:val="nil"/>
                  </w:tcBorders>
                  <w:vAlign w:val="center"/>
                </w:tcPr>
                <w:p w14:paraId="1A7F5F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mg/L</w:t>
                  </w:r>
                </w:p>
              </w:tc>
            </w:tr>
          </w:tbl>
          <w:p w14:paraId="332F6C60">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3、噪声</w:t>
            </w:r>
          </w:p>
          <w:p w14:paraId="6B0B85A6">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本项目营运期厂界噪声执行《工业企业厂界环境噪声排放标准》（GB12348-2008）中的2类标准，具体标准限值见下表。</w:t>
            </w:r>
          </w:p>
          <w:p w14:paraId="60D6A3E1">
            <w:pPr>
              <w:pStyle w:val="11"/>
              <w:bidi w:val="0"/>
              <w:rPr>
                <w:rFonts w:hint="default"/>
                <w:lang w:val="en-US" w:eastAsia="zh-CN"/>
              </w:rPr>
            </w:pPr>
            <w:r>
              <w:rPr>
                <w:rFonts w:hint="eastAsia"/>
                <w:lang w:val="en-US" w:eastAsia="zh-CN"/>
              </w:rPr>
              <w:t>表3-7 工业企业厂界环境噪声排放标准</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093"/>
              <w:gridCol w:w="1160"/>
              <w:gridCol w:w="1161"/>
              <w:gridCol w:w="3683"/>
            </w:tblGrid>
            <w:tr w14:paraId="511C24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2" w:type="dxa"/>
                  <w:vMerge w:val="restart"/>
                  <w:tcBorders>
                    <w:tl2br w:val="nil"/>
                    <w:tr2bl w:val="nil"/>
                  </w:tcBorders>
                  <w:vAlign w:val="center"/>
                </w:tcPr>
                <w:p w14:paraId="6341F4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声功能区类别</w:t>
                  </w:r>
                </w:p>
              </w:tc>
              <w:tc>
                <w:tcPr>
                  <w:tcW w:w="1095" w:type="dxa"/>
                  <w:vMerge w:val="restart"/>
                  <w:tcBorders>
                    <w:tl2br w:val="nil"/>
                    <w:tr2bl w:val="nil"/>
                  </w:tcBorders>
                  <w:vAlign w:val="center"/>
                </w:tcPr>
                <w:p w14:paraId="1BC86F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适用范围</w:t>
                  </w:r>
                </w:p>
              </w:tc>
              <w:tc>
                <w:tcPr>
                  <w:tcW w:w="2325" w:type="dxa"/>
                  <w:gridSpan w:val="2"/>
                  <w:tcBorders>
                    <w:tl2br w:val="nil"/>
                    <w:tr2bl w:val="nil"/>
                  </w:tcBorders>
                  <w:vAlign w:val="center"/>
                </w:tcPr>
                <w:p w14:paraId="1B0876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标准限值</w:t>
                  </w:r>
                </w:p>
              </w:tc>
              <w:tc>
                <w:tcPr>
                  <w:tcW w:w="3691" w:type="dxa"/>
                  <w:vMerge w:val="restart"/>
                  <w:tcBorders>
                    <w:tl2br w:val="nil"/>
                    <w:tr2bl w:val="nil"/>
                  </w:tcBorders>
                  <w:vAlign w:val="center"/>
                </w:tcPr>
                <w:p w14:paraId="67699B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b/>
                      <w:bCs/>
                      <w:sz w:val="21"/>
                      <w:szCs w:val="21"/>
                      <w:vertAlign w:val="baseline"/>
                      <w:lang w:val="en-US" w:eastAsia="zh-CN"/>
                    </w:rPr>
                    <w:t>执行标准</w:t>
                  </w:r>
                </w:p>
              </w:tc>
            </w:tr>
            <w:tr w14:paraId="4651E0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2" w:type="dxa"/>
                  <w:vMerge w:val="continue"/>
                  <w:tcBorders>
                    <w:tl2br w:val="nil"/>
                    <w:tr2bl w:val="nil"/>
                  </w:tcBorders>
                  <w:vAlign w:val="center"/>
                </w:tcPr>
                <w:p w14:paraId="7E5DC8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p>
              </w:tc>
              <w:tc>
                <w:tcPr>
                  <w:tcW w:w="1095" w:type="dxa"/>
                  <w:vMerge w:val="continue"/>
                  <w:tcBorders>
                    <w:tl2br w:val="nil"/>
                    <w:tr2bl w:val="nil"/>
                  </w:tcBorders>
                  <w:vAlign w:val="center"/>
                </w:tcPr>
                <w:p w14:paraId="0BB394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p>
              </w:tc>
              <w:tc>
                <w:tcPr>
                  <w:tcW w:w="1162" w:type="dxa"/>
                  <w:tcBorders>
                    <w:tl2br w:val="nil"/>
                    <w:tr2bl w:val="nil"/>
                  </w:tcBorders>
                  <w:vAlign w:val="center"/>
                </w:tcPr>
                <w:p w14:paraId="4101C4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昼间</w:t>
                  </w:r>
                </w:p>
              </w:tc>
              <w:tc>
                <w:tcPr>
                  <w:tcW w:w="1163" w:type="dxa"/>
                  <w:tcBorders>
                    <w:tl2br w:val="nil"/>
                    <w:tr2bl w:val="nil"/>
                  </w:tcBorders>
                  <w:vAlign w:val="center"/>
                </w:tcPr>
                <w:p w14:paraId="5436A0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夜间</w:t>
                  </w:r>
                </w:p>
              </w:tc>
              <w:tc>
                <w:tcPr>
                  <w:tcW w:w="3691" w:type="dxa"/>
                  <w:vMerge w:val="continue"/>
                  <w:tcBorders>
                    <w:tl2br w:val="nil"/>
                    <w:tr2bl w:val="nil"/>
                  </w:tcBorders>
                  <w:vAlign w:val="center"/>
                </w:tcPr>
                <w:p w14:paraId="646ED7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r>
            <w:tr w14:paraId="09E90A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2" w:type="dxa"/>
                  <w:tcBorders>
                    <w:tl2br w:val="nil"/>
                    <w:tr2bl w:val="nil"/>
                  </w:tcBorders>
                  <w:vAlign w:val="center"/>
                </w:tcPr>
                <w:p w14:paraId="3B68B4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2类</w:t>
                  </w:r>
                </w:p>
              </w:tc>
              <w:tc>
                <w:tcPr>
                  <w:tcW w:w="1095" w:type="dxa"/>
                  <w:tcBorders>
                    <w:tl2br w:val="nil"/>
                    <w:tr2bl w:val="nil"/>
                  </w:tcBorders>
                  <w:vAlign w:val="center"/>
                </w:tcPr>
                <w:p w14:paraId="30A414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项目所在区域</w:t>
                  </w:r>
                </w:p>
              </w:tc>
              <w:tc>
                <w:tcPr>
                  <w:tcW w:w="1162" w:type="dxa"/>
                  <w:tcBorders>
                    <w:tl2br w:val="nil"/>
                    <w:tr2bl w:val="nil"/>
                  </w:tcBorders>
                  <w:vAlign w:val="center"/>
                </w:tcPr>
                <w:p w14:paraId="252D57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60dB(A)</w:t>
                  </w:r>
                </w:p>
              </w:tc>
              <w:tc>
                <w:tcPr>
                  <w:tcW w:w="1163" w:type="dxa"/>
                  <w:tcBorders>
                    <w:tl2br w:val="nil"/>
                    <w:tr2bl w:val="nil"/>
                  </w:tcBorders>
                  <w:vAlign w:val="center"/>
                </w:tcPr>
                <w:p w14:paraId="620544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50dB(A)</w:t>
                  </w:r>
                </w:p>
              </w:tc>
              <w:tc>
                <w:tcPr>
                  <w:tcW w:w="3691" w:type="dxa"/>
                  <w:tcBorders>
                    <w:tl2br w:val="nil"/>
                    <w:tr2bl w:val="nil"/>
                  </w:tcBorders>
                  <w:vAlign w:val="center"/>
                </w:tcPr>
                <w:p w14:paraId="01410F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《工业企业厂界环境噪声排放标准》（GB12348-2008）中2类标准</w:t>
                  </w:r>
                </w:p>
              </w:tc>
            </w:tr>
          </w:tbl>
          <w:p w14:paraId="4BAA1909">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4、固体废物</w:t>
            </w:r>
          </w:p>
          <w:p w14:paraId="32F5B32D">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①生活垃圾</w:t>
            </w:r>
          </w:p>
          <w:p w14:paraId="7DB52467">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生活垃圾处置执行《中华人民共和国固体废物污染环境防治法》（2020年版）、《北京市生活垃圾管理条例》（2020年5月1日起施行）中的相关规定。</w:t>
            </w:r>
          </w:p>
          <w:p w14:paraId="5A8FF548">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②一般工业固体废物</w:t>
            </w:r>
          </w:p>
          <w:p w14:paraId="52A3D149">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一般工业固体废物执行《一般工业固体废物贮存和填埋污染控制标准》（GB18599-2020）中的有关规定。</w:t>
            </w:r>
          </w:p>
          <w:p w14:paraId="7061E141">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③危险废物（医疗废物）</w:t>
            </w:r>
          </w:p>
          <w:p w14:paraId="0268466C">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医疗废物（HW01）属于危险废物，应执行以下要求。</w:t>
            </w:r>
          </w:p>
          <w:p w14:paraId="417A324E">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a.执行《中华人民共和国固体废物污染环境防治法》（2020年版）中第六章“危险废物污染环境的防治”中的规定。</w:t>
            </w:r>
          </w:p>
          <w:p w14:paraId="3FF8FF43">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b.执行《医疗废物管理条例》（中华人民共和国国务院令第380号令）中的规定。</w:t>
            </w:r>
          </w:p>
          <w:p w14:paraId="27F8460F">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c.执行《危险废物贮存污染控制标准》（GB18597-2023）、《危险废物污染防治技术政策》（环发[2001]199号）和《危险废物转移管理办法》（生态环境部、公安部、交通运输部令第23号）中的相关规定。</w:t>
            </w:r>
          </w:p>
          <w:p w14:paraId="06B6873B">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d.执行《北京市危险废物污染环境防治条例》（2020年6月5日通过，2020年9月1日实施）；以及《医疗废物专用包装袋、容器和警示标志标准》（HJ421-2008）中的规定。</w:t>
            </w:r>
          </w:p>
        </w:tc>
      </w:tr>
      <w:tr w14:paraId="39644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24" w:type="dxa"/>
            <w:vAlign w:val="center"/>
          </w:tcPr>
          <w:p w14:paraId="118AF4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4"/>
                <w:szCs w:val="24"/>
                <w:vertAlign w:val="baseline"/>
                <w:lang w:val="en-US" w:eastAsia="zh-CN"/>
              </w:rPr>
            </w:pPr>
            <w:r>
              <w:rPr>
                <w:rFonts w:hint="eastAsia" w:cs="Times New Roman"/>
                <w:sz w:val="24"/>
                <w:szCs w:val="24"/>
                <w:vertAlign w:val="baseline"/>
                <w:lang w:val="en-US" w:eastAsia="zh-CN"/>
              </w:rPr>
              <w:t>总量控制指标</w:t>
            </w:r>
          </w:p>
        </w:tc>
        <w:tc>
          <w:tcPr>
            <w:tcW w:w="8224" w:type="dxa"/>
            <w:vAlign w:val="center"/>
          </w:tcPr>
          <w:p w14:paraId="5A54686C">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1、污染物排放总量控制原则</w:t>
            </w:r>
          </w:p>
          <w:p w14:paraId="74D41958">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根据环境保护部《建设项目主要污染物排放总量指标审核及管理办法》（环发[2014]197号）、《北京市环境保护局关于转发环境保护部＜建设项目主要污染物排放总量指标审核及管理暂行办法＞的通知》（京环发[2015]19号）及《北京市环境保护局关于建设项目主要污染物排放总量指标审核及管理的补充通知》（2016年8月19日），北京市实施建设项目总量指标审核及管理的污染物包括：二氧化硫、氮氧化物、烟粉尘、挥发性有机物（工业及汽车维修行业）、化学需氧量、氨氮。</w:t>
            </w:r>
          </w:p>
          <w:p w14:paraId="586698C3">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本项目从事动物医院经营，开展动物诊疗、手术及相关服务，涉及排放的总量控制污染物为废水中的化学需氧量和氨氮。</w:t>
            </w:r>
          </w:p>
          <w:p w14:paraId="399AEE2D">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2、建设项目污染物排放总量核算</w:t>
            </w:r>
          </w:p>
          <w:p w14:paraId="1A2B1E74">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本项目产生的废水为动物诊疗废水、美容洗浴废水和生活废水。其中诊疗、美容洗浴废水经污水处理设备消毒后，与生活废水一同排入所在建筑防渗化粪池预处理，最终经市政污水管网进入北京中设水处理有限公司良乡污水处理厂集中处理。本项目废水排放量为163.94m</w:t>
            </w:r>
            <w:r>
              <w:rPr>
                <w:rFonts w:hint="eastAsia"/>
                <w:vertAlign w:val="superscript"/>
                <w:lang w:val="en-US" w:eastAsia="zh-CN"/>
              </w:rPr>
              <w:t>3</w:t>
            </w:r>
            <w:r>
              <w:rPr>
                <w:rFonts w:hint="eastAsia"/>
                <w:lang w:val="en-US" w:eastAsia="zh-CN"/>
              </w:rPr>
              <w:t>/a。</w:t>
            </w:r>
          </w:p>
          <w:p w14:paraId="4A219CB3">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北京中设水处理有限公司良乡污水处理厂</w:t>
            </w:r>
            <w:r>
              <w:rPr>
                <w:rFonts w:hint="default"/>
                <w:lang w:val="en-US" w:eastAsia="zh-CN"/>
              </w:rPr>
              <w:t>排水执行《城镇污水处理厂水污染物排放标准》（DB11/890-2012）中</w:t>
            </w:r>
            <w:r>
              <w:rPr>
                <w:rFonts w:hint="eastAsia"/>
                <w:lang w:val="en-US" w:eastAsia="zh-CN"/>
              </w:rPr>
              <w:t>“</w:t>
            </w:r>
            <w:r>
              <w:rPr>
                <w:rFonts w:hint="default"/>
                <w:lang w:val="en-US" w:eastAsia="zh-CN"/>
              </w:rPr>
              <w:t>表1新（改、扩）建城镇污水处理厂基本控制项目排放限值B标准</w:t>
            </w:r>
            <w:r>
              <w:rPr>
                <w:rFonts w:hint="eastAsia"/>
                <w:lang w:val="en-US" w:eastAsia="zh-CN"/>
              </w:rPr>
              <w:t>”</w:t>
            </w:r>
            <w:r>
              <w:rPr>
                <w:rFonts w:hint="default"/>
                <w:lang w:val="en-US" w:eastAsia="zh-CN"/>
              </w:rPr>
              <w:t>相关要求，其排水水质浓度限值为：COD</w:t>
            </w:r>
            <w:r>
              <w:rPr>
                <w:rFonts w:hint="eastAsia"/>
                <w:lang w:val="en-US" w:eastAsia="zh-CN"/>
              </w:rPr>
              <w:t>cr</w:t>
            </w:r>
            <w:r>
              <w:rPr>
                <w:rFonts w:hint="default"/>
                <w:lang w:val="en-US" w:eastAsia="zh-CN"/>
              </w:rPr>
              <w:t>：30mg/L，氨氮：1.5（2.5）mg/L（12月1日-3月31日执行2.5mg/L，其余时间执行1.5mg/L）。</w:t>
            </w:r>
          </w:p>
          <w:p w14:paraId="759763FB">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化学需氧量最大允许排放量为：</w:t>
            </w:r>
            <w:r>
              <w:rPr>
                <w:rFonts w:hint="eastAsia"/>
                <w:lang w:val="en-US" w:eastAsia="zh-CN"/>
              </w:rPr>
              <w:t>163.94</w:t>
            </w:r>
            <w:r>
              <w:rPr>
                <w:rFonts w:hint="default"/>
                <w:lang w:val="en-US" w:eastAsia="zh-CN"/>
              </w:rPr>
              <w:t>m</w:t>
            </w:r>
            <w:r>
              <w:rPr>
                <w:rFonts w:hint="default"/>
                <w:vertAlign w:val="superscript"/>
                <w:lang w:val="en-US" w:eastAsia="zh-CN"/>
              </w:rPr>
              <w:t>3</w:t>
            </w:r>
            <w:r>
              <w:rPr>
                <w:rFonts w:hint="default"/>
                <w:lang w:val="en-US" w:eastAsia="zh-CN"/>
              </w:rPr>
              <w:t>/a×30mg/L×10</w:t>
            </w:r>
            <w:r>
              <w:rPr>
                <w:rFonts w:hint="default"/>
                <w:vertAlign w:val="superscript"/>
                <w:lang w:val="en-US" w:eastAsia="zh-CN"/>
              </w:rPr>
              <w:t>-6</w:t>
            </w:r>
            <w:r>
              <w:rPr>
                <w:rFonts w:hint="default"/>
                <w:lang w:val="en-US" w:eastAsia="zh-CN"/>
              </w:rPr>
              <w:t>=</w:t>
            </w:r>
            <w:r>
              <w:rPr>
                <w:rFonts w:hint="eastAsia"/>
                <w:lang w:val="en-US" w:eastAsia="zh-CN"/>
              </w:rPr>
              <w:t>0.0049</w:t>
            </w:r>
            <w:r>
              <w:rPr>
                <w:rFonts w:hint="default"/>
                <w:lang w:val="en-US" w:eastAsia="zh-CN"/>
              </w:rPr>
              <w:t>t/a。</w:t>
            </w:r>
          </w:p>
          <w:p w14:paraId="339E6AE9">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氨氮最大允许排放量为：</w:t>
            </w:r>
            <w:r>
              <w:rPr>
                <w:rFonts w:hint="eastAsia"/>
                <w:lang w:val="en-US" w:eastAsia="zh-CN"/>
              </w:rPr>
              <w:t>163.94</w:t>
            </w:r>
            <w:r>
              <w:rPr>
                <w:rFonts w:hint="default"/>
                <w:lang w:val="en-US" w:eastAsia="zh-CN"/>
              </w:rPr>
              <w:t>m</w:t>
            </w:r>
            <w:r>
              <w:rPr>
                <w:rFonts w:hint="default"/>
                <w:vertAlign w:val="superscript"/>
                <w:lang w:val="en-US" w:eastAsia="zh-CN"/>
              </w:rPr>
              <w:t>3</w:t>
            </w:r>
            <w:r>
              <w:rPr>
                <w:rFonts w:hint="default"/>
                <w:lang w:val="en-US" w:eastAsia="zh-CN"/>
              </w:rPr>
              <w:t>/a×（1.5mg/L×2/3+2.5mg/L×1/3）×10</w:t>
            </w:r>
            <w:r>
              <w:rPr>
                <w:rFonts w:hint="default"/>
                <w:vertAlign w:val="superscript"/>
                <w:lang w:val="en-US" w:eastAsia="zh-CN"/>
              </w:rPr>
              <w:t>-6</w:t>
            </w:r>
            <w:r>
              <w:rPr>
                <w:rFonts w:hint="default"/>
                <w:lang w:val="en-US" w:eastAsia="zh-CN"/>
              </w:rPr>
              <w:t>=0.000</w:t>
            </w:r>
            <w:r>
              <w:rPr>
                <w:rFonts w:hint="eastAsia"/>
                <w:lang w:val="en-US" w:eastAsia="zh-CN"/>
              </w:rPr>
              <w:t>3</w:t>
            </w:r>
            <w:r>
              <w:rPr>
                <w:rFonts w:hint="default"/>
                <w:lang w:val="en-US" w:eastAsia="zh-CN"/>
              </w:rPr>
              <w:t>t/a。</w:t>
            </w:r>
          </w:p>
          <w:p w14:paraId="3743C8B0">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则项目水污染物排放量为化学需氧量COD</w:t>
            </w:r>
            <w:r>
              <w:rPr>
                <w:rFonts w:hint="eastAsia"/>
                <w:lang w:val="en-US" w:eastAsia="zh-CN"/>
              </w:rPr>
              <w:t>cr</w:t>
            </w:r>
            <w:r>
              <w:rPr>
                <w:rFonts w:hint="default"/>
                <w:lang w:val="en-US" w:eastAsia="zh-CN"/>
              </w:rPr>
              <w:t>：</w:t>
            </w:r>
            <w:r>
              <w:rPr>
                <w:rFonts w:hint="eastAsia"/>
                <w:lang w:val="en-US" w:eastAsia="zh-CN"/>
              </w:rPr>
              <w:t>0.0049</w:t>
            </w:r>
            <w:r>
              <w:rPr>
                <w:rFonts w:hint="default"/>
                <w:lang w:val="en-US" w:eastAsia="zh-CN"/>
              </w:rPr>
              <w:t>t/a、氨氮：0.000</w:t>
            </w:r>
            <w:r>
              <w:rPr>
                <w:rFonts w:hint="eastAsia"/>
                <w:lang w:val="en-US" w:eastAsia="zh-CN"/>
              </w:rPr>
              <w:t>3</w:t>
            </w:r>
            <w:r>
              <w:rPr>
                <w:rFonts w:hint="default"/>
                <w:lang w:val="en-US" w:eastAsia="zh-CN"/>
              </w:rPr>
              <w:t>t/a。</w:t>
            </w:r>
          </w:p>
          <w:p w14:paraId="34AC6A2A">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3、总量控制指标</w:t>
            </w:r>
          </w:p>
          <w:p w14:paraId="5417A491">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根据原北京市环境保护局《关于建设项目主要污染物排放总量指标审核及管理的补充通知（京环发[2016]24号）》中的附件1建设项目主要污染物排放总量核算方法：纳入污水管网通过污水处理设施集中处理污水的生活源建设项目水污染物按照该污水处理厂排入地表水体的标准核算排放总量。</w:t>
            </w:r>
          </w:p>
          <w:p w14:paraId="0201DA4D">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项目运营期污染物总量控制指标为CODcr：0.0049t/a，氨氮：0.0003t/a。</w:t>
            </w:r>
          </w:p>
          <w:p w14:paraId="02A38913">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1E119127">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70D2F06F">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4525551B">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011EA598">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303B3596">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58F6CC0A">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0535CEA0">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2A4BC0EB">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3F158181">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43B8D060">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1A7DA909">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62B19A53">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7F3A6C25">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405B47EA">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517BE458">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4643BE65">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1534C6F3">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75006389">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66493145">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4724AD95">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1C5E6AAE">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111F6ACF">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6D3B5F50">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tc>
      </w:tr>
    </w:tbl>
    <w:p w14:paraId="6CCF93F7">
      <w:pPr>
        <w:sectPr>
          <w:pgSz w:w="11906" w:h="16838"/>
          <w:pgMar w:top="1440" w:right="1587" w:bottom="1440"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29257D1">
      <w:pPr>
        <w:pStyle w:val="2"/>
        <w:bidi w:val="0"/>
        <w:rPr>
          <w:rFonts w:hint="default"/>
          <w:lang w:val="en-US" w:eastAsia="zh-CN"/>
        </w:rPr>
      </w:pPr>
      <w:r>
        <w:rPr>
          <w:rFonts w:hint="eastAsia"/>
          <w:lang w:val="en-US" w:eastAsia="zh-CN"/>
        </w:rPr>
        <w:t>四、主要环境影响和保护措施</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239"/>
      </w:tblGrid>
      <w:tr w14:paraId="66F7C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9" w:type="dxa"/>
            <w:vAlign w:val="center"/>
          </w:tcPr>
          <w:p w14:paraId="223AFD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4"/>
                <w:szCs w:val="24"/>
                <w:vertAlign w:val="baseline"/>
                <w:lang w:val="en-US" w:eastAsia="zh-CN"/>
              </w:rPr>
            </w:pPr>
            <w:r>
              <w:rPr>
                <w:rFonts w:hint="eastAsia" w:cs="Times New Roman"/>
                <w:sz w:val="24"/>
                <w:szCs w:val="24"/>
                <w:vertAlign w:val="baseline"/>
                <w:lang w:val="en-US" w:eastAsia="zh-CN"/>
              </w:rPr>
              <w:t>施工期环境保护措施</w:t>
            </w:r>
          </w:p>
        </w:tc>
        <w:tc>
          <w:tcPr>
            <w:tcW w:w="8239" w:type="dxa"/>
            <w:vAlign w:val="center"/>
          </w:tcPr>
          <w:p w14:paraId="73097820">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本项目租用现有厂房进行建设，无土建施工，主要工程内容为室内装修及医疗设备、环保设备的安装调试，主要污染源为装修期间的施工扬尘及装修废气、废水、噪声、建筑垃圾。</w:t>
            </w:r>
          </w:p>
          <w:p w14:paraId="0B713299">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1、施工废气环境保护措施</w:t>
            </w:r>
          </w:p>
          <w:p w14:paraId="7DC7EE10">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（1）施工扬尘</w:t>
            </w:r>
          </w:p>
          <w:p w14:paraId="3C0DC2B9">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本项目的施工过程中在对厂房现有内部构筑物的拆除、内部装修及建筑材料运输装卸环节将产生少量施工扬尘。扬尘量大小与施工现场条件、管理水平等因素有关。虽然施工过程在室内进行，扬尘不会直接对大气环境造成影响，但在物料堆放、清运建筑垃圾过程中，如果方法不当或管理不严，容容易引起扬尘污染。此外，施工期在物料运输过程中，会造成物料沿路遗撒或风吹起尘。为减少施工扬尘对周边环境的影响，拟采取如下防护措施：</w:t>
            </w:r>
          </w:p>
          <w:p w14:paraId="4C65B2A5">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①装修产生的建筑垃圾不得露天堆放，并及时清运建筑垃圾；</w:t>
            </w:r>
          </w:p>
          <w:p w14:paraId="6A35A6B1">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②在对厂房现有内部构筑物的拆除及内部装修等工作时，应关闭厂房门窗并及时清理地面尘土防止扬尘污染；</w:t>
            </w:r>
          </w:p>
          <w:p w14:paraId="062DC8E3">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③易产生扬尘的细颗粒物，应严密遮盖；运输时要防止遗撒、飞扬，卸运时应采取有效措施以减少扬尘。</w:t>
            </w:r>
          </w:p>
          <w:p w14:paraId="3A9CFE2D">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（2）装修废气</w:t>
            </w:r>
          </w:p>
          <w:p w14:paraId="2260DF92">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本项目施工过程在使用含有机成分的建筑装修材料时，会产生挥发性有机废气。为减少挥发性有机废气对周边环境的影响，本项目施工期间对挥发性废气予以重点控制，选用环保型低污染涂料，即涂料及装修材料的选取按照国家质检总局颁布的《室内装饰装修材料10项有害物质限量》规定进行，杜绝采用已被淘汰的涂料，同时保证室内足够的通风量，预计装修废气对项目外大气环境影响较小。施工期产生的扬尘和装修废气影响是暂时的，施工结束后便会消失，工程在施工期若采取以上大气污染控制措施，可有效降低施工期对周围大气环境的影响。</w:t>
            </w:r>
          </w:p>
          <w:p w14:paraId="150AE48F">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2、施工废水环境保护措施</w:t>
            </w:r>
          </w:p>
          <w:p w14:paraId="11DA580B">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本项目施工期水污染源主要为施工操作废水和现场施工人员产生的生活废水。施工操作废水主要为装修完成后使用墩布对现场地面清洁时产生废水等。据估算，该部分废水产生量约为10m</w:t>
            </w:r>
            <w:r>
              <w:rPr>
                <w:rFonts w:hint="eastAsia"/>
                <w:vertAlign w:val="superscript"/>
                <w:lang w:val="en-US" w:eastAsia="zh-CN"/>
              </w:rPr>
              <w:t>3</w:t>
            </w:r>
            <w:r>
              <w:rPr>
                <w:rFonts w:hint="eastAsia"/>
                <w:lang w:val="en-US" w:eastAsia="zh-CN"/>
              </w:rPr>
              <w:t>。生活废水主要产生于施工人员，按施工人员每人每天用水50L计，污水排放量为用水量的80%，施工人员按5人计，每天排放污水约0.2m</w:t>
            </w:r>
            <w:r>
              <w:rPr>
                <w:rFonts w:hint="eastAsia"/>
                <w:vertAlign w:val="superscript"/>
                <w:lang w:val="en-US" w:eastAsia="zh-CN"/>
              </w:rPr>
              <w:t>3</w:t>
            </w:r>
            <w:r>
              <w:rPr>
                <w:rFonts w:hint="eastAsia"/>
                <w:lang w:val="en-US" w:eastAsia="zh-CN"/>
              </w:rPr>
              <w:t>/d。按施工期30天计算，施工期共产生生活废水6m</w:t>
            </w:r>
            <w:r>
              <w:rPr>
                <w:rFonts w:hint="eastAsia"/>
                <w:vertAlign w:val="superscript"/>
                <w:lang w:val="en-US" w:eastAsia="zh-CN"/>
              </w:rPr>
              <w:t>3</w:t>
            </w:r>
            <w:r>
              <w:rPr>
                <w:rFonts w:hint="eastAsia"/>
                <w:lang w:val="en-US" w:eastAsia="zh-CN"/>
              </w:rPr>
              <w:t>。</w:t>
            </w:r>
          </w:p>
          <w:p w14:paraId="0B45DC82">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施工期间产生的废水不得随意排放，其中，地面清洁时清洗墩布产生的废水经墩布池收集后进入院区排水管网，施工人员盥洗、如厕使用所在建筑现有卫生间。项目施工期产生的地面清洁废水及施工人员生活废水最终排入市政污水管网，不会对当地水环境产生较大影响。</w:t>
            </w:r>
          </w:p>
          <w:p w14:paraId="69F82C17">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3、施工噪声环境保护措施</w:t>
            </w:r>
          </w:p>
          <w:p w14:paraId="680E8D04">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施工期间噪声主要为厂房整修工程及设备安装过程中各种施工设备运行噪声，如电锯、钻、打磨机等，为非连续式噪声。项目施工期设备噪声将会对周围环境噪声产生严重影响，噪声强度为75~100db（A）。</w:t>
            </w:r>
          </w:p>
          <w:p w14:paraId="2F0FFFDC">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为减少施工噪声对环境的影响，建设单位应采取必要的降噪措施：</w:t>
            </w:r>
          </w:p>
          <w:p w14:paraId="4F46EC21">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default"/>
                <w:lang w:val="en-US" w:eastAsia="zh-CN"/>
              </w:rPr>
              <w:t>①</w:t>
            </w:r>
            <w:r>
              <w:rPr>
                <w:rFonts w:hint="eastAsia"/>
                <w:lang w:val="en-US" w:eastAsia="zh-CN"/>
              </w:rPr>
              <w:t>降低人为噪声，按规定操作机械设备，尽量少用哨子、钟、笛等指挥作业，而代以现代化设备；模板、支架拆卸过程中，遵守作业规定，减少作业规定，减少碰撞噪声；</w:t>
            </w:r>
          </w:p>
          <w:p w14:paraId="6A16C2E0">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default"/>
                <w:lang w:val="en-US" w:eastAsia="zh-CN"/>
              </w:rPr>
              <w:t>②</w:t>
            </w:r>
            <w:r>
              <w:rPr>
                <w:rFonts w:hint="eastAsia"/>
                <w:lang w:val="en-US" w:eastAsia="zh-CN"/>
              </w:rPr>
              <w:t>选用低噪声设备；</w:t>
            </w:r>
          </w:p>
          <w:p w14:paraId="26C4062D">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default"/>
                <w:lang w:val="en-US" w:eastAsia="zh-CN"/>
              </w:rPr>
              <w:t>③</w:t>
            </w:r>
            <w:r>
              <w:rPr>
                <w:rFonts w:hint="eastAsia"/>
                <w:lang w:val="en-US" w:eastAsia="zh-CN"/>
              </w:rPr>
              <w:t>减轻设备振动；</w:t>
            </w:r>
          </w:p>
          <w:p w14:paraId="502C9BEE">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default"/>
                <w:lang w:val="en-US" w:eastAsia="zh-CN"/>
              </w:rPr>
              <w:t>④</w:t>
            </w:r>
            <w:r>
              <w:rPr>
                <w:rFonts w:hint="eastAsia"/>
                <w:lang w:val="en-US" w:eastAsia="zh-CN"/>
              </w:rPr>
              <w:t>合理安排施工作业时间，尽量避免高噪声设备同时使用，尽量缩短高噪声设备的使用时间，不在午间、夜间等噪声敏感时段进行高噪声作业；</w:t>
            </w:r>
          </w:p>
          <w:p w14:paraId="57A4B2B3">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default"/>
                <w:lang w:val="en-US" w:eastAsia="zh-CN"/>
              </w:rPr>
              <w:t>⑤</w:t>
            </w:r>
            <w:r>
              <w:rPr>
                <w:rFonts w:hint="eastAsia"/>
                <w:lang w:val="en-US" w:eastAsia="zh-CN"/>
              </w:rPr>
              <w:t>使用高噪声装修设备时尽量关闭门窗，减少对外环境的影响。</w:t>
            </w:r>
          </w:p>
          <w:p w14:paraId="4B4A418A">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施工期噪声将随着施工作业的结束而消失，噪声影响是短期的。在严格执行噪声控制措施的情况下，施工期噪声影响在短期内是可以接受的，对周边声环境的影响较小。</w:t>
            </w:r>
          </w:p>
          <w:p w14:paraId="3F2F5503">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4、固体废物环境保护措施</w:t>
            </w:r>
          </w:p>
          <w:p w14:paraId="6808A4EA">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施工期间固体废物主要为施工产生的建筑垃圾及生活垃圾。</w:t>
            </w:r>
          </w:p>
          <w:p w14:paraId="0DB27F3E">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施工期产生的建筑垃圾来自于施工过程产生的拆除物和建筑废料，应运往指定的垃圾处理场所处理、消纳，施工场地应设置施工垃圾临时存放处。生活垃圾主要为现场施工人员产生的日常生活垃圾，产生量平均每人每天0.2kg左右，每天平均施工人数约为5人，则施工期日产生活垃圾1kg。施工场地按照垃圾分类要求设置垃圾桶，施工人员应根据生活垃圾分类要求进行垃圾投放，生活垃圾最终由环卫部门定期清运。</w:t>
            </w:r>
          </w:p>
          <w:p w14:paraId="02B8913E">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本项目施工期产生的固体废物组成成分相对简单，固体废物均能得到妥善处置。因此本项目施工中产生的固体废物对当地环境影响较小。</w:t>
            </w:r>
          </w:p>
          <w:p w14:paraId="48B74480">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综上所述，施工期的环境影响是短期的，建设项目施工阶段完成后，对周边的影响可消除。由于施工期环境影响受人为和自然条件的影响较大，因此应加强对施工现场的管理，遵守北京市的有关规定（如：《北京市建设工程施工现场管理办法》和《绿色施工管理规程》），并认真落实以上提出的各项污染防治措施，坚持文明施工，接受城管部门的监督，最大限度地减少施工期间对周围环境的影响。</w:t>
            </w:r>
          </w:p>
        </w:tc>
      </w:tr>
      <w:tr w14:paraId="73080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9" w:type="dxa"/>
            <w:vAlign w:val="center"/>
          </w:tcPr>
          <w:p w14:paraId="5D4F46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4"/>
                <w:szCs w:val="24"/>
                <w:vertAlign w:val="baseline"/>
                <w:lang w:val="en-US" w:eastAsia="zh-CN"/>
              </w:rPr>
            </w:pPr>
            <w:r>
              <w:rPr>
                <w:rFonts w:hint="eastAsia" w:cs="Times New Roman"/>
                <w:sz w:val="24"/>
                <w:szCs w:val="24"/>
                <w:vertAlign w:val="baseline"/>
                <w:lang w:val="en-US" w:eastAsia="zh-CN"/>
              </w:rPr>
              <w:t>运营期环境影响和保护措施</w:t>
            </w:r>
          </w:p>
        </w:tc>
        <w:tc>
          <w:tcPr>
            <w:tcW w:w="8239" w:type="dxa"/>
            <w:vAlign w:val="center"/>
          </w:tcPr>
          <w:p w14:paraId="47998F5C">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b/>
                <w:bCs/>
                <w:lang w:val="en-US" w:eastAsia="zh-CN"/>
              </w:rPr>
              <w:t>1、大气环境影响分析</w:t>
            </w:r>
          </w:p>
          <w:p w14:paraId="78CD4023">
            <w:pPr>
              <w:keepNext w:val="0"/>
              <w:keepLines w:val="0"/>
              <w:pageBreakBefore w:val="0"/>
              <w:widowControl w:val="0"/>
              <w:kinsoku/>
              <w:wordWrap/>
              <w:overflowPunct/>
              <w:topLinePunct w:val="0"/>
              <w:autoSpaceDE/>
              <w:autoSpaceDN/>
              <w:bidi w:val="0"/>
              <w:adjustRightInd w:val="0"/>
              <w:snapToGrid w:val="0"/>
              <w:textAlignment w:val="auto"/>
              <w:rPr>
                <w:rFonts w:hint="default"/>
                <w:sz w:val="24"/>
                <w:szCs w:val="24"/>
                <w:lang w:val="en-US" w:eastAsia="zh-CN"/>
              </w:rPr>
            </w:pPr>
            <w:r>
              <w:rPr>
                <w:rFonts w:hint="eastAsia"/>
                <w:sz w:val="24"/>
                <w:szCs w:val="24"/>
                <w:lang w:val="en-US" w:eastAsia="zh-CN"/>
              </w:rPr>
              <w:t>（1）污染物分析</w:t>
            </w:r>
          </w:p>
          <w:p w14:paraId="2573519C">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运营期间，项目无燃煤、燃油、燃气设施，不设食堂；冬季供暖由市政热力提供，夏季制冷由自备空调提供。本项目诊疗及美容洗浴废水采用一体化污水消毒设施，封闭设计，无开放水面，其主要工艺为消毒，无生化工艺，项目污水处理工艺无废气排放。化验室化验环节均使用仪器设备及对动物血、尿等进行常规化验。化验过程不涉及使用化学试剂，全部为试纸或采购的各类试剂盒。故无化验废气产生、无化验试剂等危险废物产生。</w:t>
            </w:r>
          </w:p>
          <w:p w14:paraId="7ABF9950">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本项目运行后接诊的动物全部为猫、狗等家庭小动物，其自身及粪便等会产生少量NH</w:t>
            </w:r>
            <w:r>
              <w:rPr>
                <w:rFonts w:hint="eastAsia"/>
                <w:sz w:val="24"/>
                <w:szCs w:val="24"/>
                <w:vertAlign w:val="subscript"/>
                <w:lang w:val="en-US" w:eastAsia="zh-CN"/>
              </w:rPr>
              <w:t>3</w:t>
            </w:r>
            <w:r>
              <w:rPr>
                <w:rFonts w:hint="eastAsia"/>
                <w:sz w:val="24"/>
                <w:szCs w:val="24"/>
                <w:lang w:val="en-US" w:eastAsia="zh-CN"/>
              </w:rPr>
              <w:t>、H</w:t>
            </w:r>
            <w:r>
              <w:rPr>
                <w:rFonts w:hint="eastAsia"/>
                <w:sz w:val="24"/>
                <w:szCs w:val="24"/>
                <w:vertAlign w:val="subscript"/>
                <w:lang w:val="en-US" w:eastAsia="zh-CN"/>
              </w:rPr>
              <w:t>2</w:t>
            </w:r>
            <w:r>
              <w:rPr>
                <w:rFonts w:hint="eastAsia"/>
                <w:sz w:val="24"/>
                <w:szCs w:val="24"/>
                <w:lang w:val="en-US" w:eastAsia="zh-CN"/>
              </w:rPr>
              <w:t>S等异味。报告中以H</w:t>
            </w:r>
            <w:r>
              <w:rPr>
                <w:rFonts w:hint="eastAsia"/>
                <w:sz w:val="24"/>
                <w:szCs w:val="24"/>
                <w:vertAlign w:val="subscript"/>
                <w:lang w:val="en-US" w:eastAsia="zh-CN"/>
              </w:rPr>
              <w:t>2</w:t>
            </w:r>
            <w:r>
              <w:rPr>
                <w:rFonts w:hint="eastAsia"/>
                <w:sz w:val="24"/>
                <w:szCs w:val="24"/>
                <w:lang w:val="en-US" w:eastAsia="zh-CN"/>
              </w:rPr>
              <w:t>S、NH</w:t>
            </w:r>
            <w:r>
              <w:rPr>
                <w:rFonts w:hint="eastAsia"/>
                <w:sz w:val="24"/>
                <w:szCs w:val="24"/>
                <w:vertAlign w:val="subscript"/>
                <w:lang w:val="en-US" w:eastAsia="zh-CN"/>
              </w:rPr>
              <w:t>3</w:t>
            </w:r>
            <w:r>
              <w:rPr>
                <w:rFonts w:hint="eastAsia"/>
                <w:sz w:val="24"/>
                <w:szCs w:val="24"/>
                <w:lang w:val="en-US" w:eastAsia="zh-CN"/>
              </w:rPr>
              <w:t>、臭气浓度作为污染物因子进行分析计算和评价。</w:t>
            </w:r>
          </w:p>
          <w:p w14:paraId="749954B0">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（2）源强核算及产污情况</w:t>
            </w:r>
          </w:p>
          <w:p w14:paraId="71FFE18A">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1）有组织排放</w:t>
            </w:r>
          </w:p>
          <w:p w14:paraId="517A2698">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环境恶臭评价方法的新探讨》（重庆环境科学，1996年10月，李国发、黄翠花）中提及的方法：通过臭气强度分级确定臭气污染源源强。根据日本环境厅提出的以臭味的嗅觉阈值为基准，划分了6个臭气强度等级。</w:t>
            </w:r>
          </w:p>
          <w:p w14:paraId="204D6471">
            <w:pPr>
              <w:pStyle w:val="11"/>
              <w:bidi w:val="0"/>
              <w:rPr>
                <w:rFonts w:hint="default"/>
                <w:lang w:val="en-US" w:eastAsia="zh-CN"/>
              </w:rPr>
            </w:pPr>
            <w:r>
              <w:rPr>
                <w:rFonts w:hint="eastAsia"/>
                <w:lang w:val="en-US" w:eastAsia="zh-CN"/>
              </w:rPr>
              <w:t>表4-1 臭气强度分级表</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76"/>
              <w:gridCol w:w="4947"/>
            </w:tblGrid>
            <w:tr w14:paraId="040A97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4" w:type="dxa"/>
                  <w:tcBorders>
                    <w:tl2br w:val="nil"/>
                    <w:tr2bl w:val="nil"/>
                  </w:tcBorders>
                  <w:vAlign w:val="center"/>
                </w:tcPr>
                <w:p w14:paraId="7A5F1B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spacing w:val="-10"/>
                      <w:sz w:val="21"/>
                      <w:szCs w:val="21"/>
                      <w:highlight w:val="none"/>
                      <w:vertAlign w:val="baseline"/>
                      <w:lang w:val="en-US" w:eastAsia="zh-CN"/>
                    </w:rPr>
                  </w:pPr>
                  <w:r>
                    <w:rPr>
                      <w:rFonts w:hint="eastAsia"/>
                      <w:b/>
                      <w:bCs/>
                      <w:color w:val="auto"/>
                      <w:spacing w:val="-10"/>
                      <w:sz w:val="21"/>
                      <w:szCs w:val="21"/>
                      <w:highlight w:val="none"/>
                      <w:vertAlign w:val="baseline"/>
                      <w:lang w:val="en-US" w:eastAsia="zh-CN"/>
                    </w:rPr>
                    <w:t>臭气强度（级）</w:t>
                  </w:r>
                </w:p>
              </w:tc>
              <w:tc>
                <w:tcPr>
                  <w:tcW w:w="5249" w:type="dxa"/>
                  <w:tcBorders>
                    <w:tl2br w:val="nil"/>
                    <w:tr2bl w:val="nil"/>
                  </w:tcBorders>
                  <w:vAlign w:val="center"/>
                </w:tcPr>
                <w:p w14:paraId="002F5C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spacing w:val="-10"/>
                      <w:sz w:val="21"/>
                      <w:szCs w:val="21"/>
                      <w:highlight w:val="none"/>
                      <w:vertAlign w:val="baseline"/>
                      <w:lang w:val="en-US" w:eastAsia="zh-CN"/>
                    </w:rPr>
                  </w:pPr>
                  <w:r>
                    <w:rPr>
                      <w:rFonts w:hint="eastAsia"/>
                      <w:b/>
                      <w:bCs/>
                      <w:color w:val="auto"/>
                      <w:spacing w:val="-10"/>
                      <w:sz w:val="21"/>
                      <w:szCs w:val="21"/>
                      <w:highlight w:val="none"/>
                      <w:vertAlign w:val="baseline"/>
                      <w:lang w:val="en-US" w:eastAsia="zh-CN"/>
                    </w:rPr>
                    <w:t>内容</w:t>
                  </w:r>
                </w:p>
              </w:tc>
            </w:tr>
            <w:tr w14:paraId="0670AB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4" w:type="dxa"/>
                  <w:tcBorders>
                    <w:tl2br w:val="nil"/>
                    <w:tr2bl w:val="nil"/>
                  </w:tcBorders>
                  <w:vAlign w:val="center"/>
                </w:tcPr>
                <w:p w14:paraId="4E8D6C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0</w:t>
                  </w:r>
                </w:p>
              </w:tc>
              <w:tc>
                <w:tcPr>
                  <w:tcW w:w="5249" w:type="dxa"/>
                  <w:tcBorders>
                    <w:tl2br w:val="nil"/>
                    <w:tr2bl w:val="nil"/>
                  </w:tcBorders>
                  <w:vAlign w:val="center"/>
                </w:tcPr>
                <w:p w14:paraId="366963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无臭</w:t>
                  </w:r>
                </w:p>
              </w:tc>
            </w:tr>
            <w:tr w14:paraId="448296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4" w:type="dxa"/>
                  <w:tcBorders>
                    <w:tl2br w:val="nil"/>
                    <w:tr2bl w:val="nil"/>
                  </w:tcBorders>
                  <w:vAlign w:val="center"/>
                </w:tcPr>
                <w:p w14:paraId="5BC080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1</w:t>
                  </w:r>
                </w:p>
              </w:tc>
              <w:tc>
                <w:tcPr>
                  <w:tcW w:w="5249" w:type="dxa"/>
                  <w:tcBorders>
                    <w:tl2br w:val="nil"/>
                    <w:tr2bl w:val="nil"/>
                  </w:tcBorders>
                  <w:vAlign w:val="center"/>
                </w:tcPr>
                <w:p w14:paraId="206239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勉强感觉臭味存在（嗅觉阈值）</w:t>
                  </w:r>
                </w:p>
              </w:tc>
            </w:tr>
            <w:tr w14:paraId="64971E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4" w:type="dxa"/>
                  <w:tcBorders>
                    <w:tl2br w:val="nil"/>
                    <w:tr2bl w:val="nil"/>
                  </w:tcBorders>
                  <w:vAlign w:val="center"/>
                </w:tcPr>
                <w:p w14:paraId="2E1E61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2</w:t>
                  </w:r>
                </w:p>
              </w:tc>
              <w:tc>
                <w:tcPr>
                  <w:tcW w:w="5249" w:type="dxa"/>
                  <w:tcBorders>
                    <w:tl2br w:val="nil"/>
                    <w:tr2bl w:val="nil"/>
                  </w:tcBorders>
                  <w:vAlign w:val="center"/>
                </w:tcPr>
                <w:p w14:paraId="2149FD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确认臭味存在（认知阈值）</w:t>
                  </w:r>
                </w:p>
              </w:tc>
            </w:tr>
            <w:tr w14:paraId="309FE0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4" w:type="dxa"/>
                  <w:tcBorders>
                    <w:tl2br w:val="nil"/>
                    <w:tr2bl w:val="nil"/>
                  </w:tcBorders>
                  <w:vAlign w:val="center"/>
                </w:tcPr>
                <w:p w14:paraId="11DE8F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3</w:t>
                  </w:r>
                </w:p>
              </w:tc>
              <w:tc>
                <w:tcPr>
                  <w:tcW w:w="5249" w:type="dxa"/>
                  <w:tcBorders>
                    <w:tl2br w:val="nil"/>
                    <w:tr2bl w:val="nil"/>
                  </w:tcBorders>
                  <w:vAlign w:val="center"/>
                </w:tcPr>
                <w:p w14:paraId="6CA257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极易感觉臭味存在</w:t>
                  </w:r>
                </w:p>
              </w:tc>
            </w:tr>
            <w:tr w14:paraId="29414B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4" w:type="dxa"/>
                  <w:tcBorders>
                    <w:tl2br w:val="nil"/>
                    <w:tr2bl w:val="nil"/>
                  </w:tcBorders>
                  <w:vAlign w:val="center"/>
                </w:tcPr>
                <w:p w14:paraId="2F5D7E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4</w:t>
                  </w:r>
                </w:p>
              </w:tc>
              <w:tc>
                <w:tcPr>
                  <w:tcW w:w="5249" w:type="dxa"/>
                  <w:tcBorders>
                    <w:tl2br w:val="nil"/>
                    <w:tr2bl w:val="nil"/>
                  </w:tcBorders>
                  <w:vAlign w:val="center"/>
                </w:tcPr>
                <w:p w14:paraId="7D4DC1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臭气明显存在</w:t>
                  </w:r>
                </w:p>
              </w:tc>
            </w:tr>
            <w:tr w14:paraId="212F67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4" w:type="dxa"/>
                  <w:tcBorders>
                    <w:tl2br w:val="nil"/>
                    <w:tr2bl w:val="nil"/>
                  </w:tcBorders>
                  <w:vAlign w:val="center"/>
                </w:tcPr>
                <w:p w14:paraId="02D970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5</w:t>
                  </w:r>
                </w:p>
              </w:tc>
              <w:tc>
                <w:tcPr>
                  <w:tcW w:w="5249" w:type="dxa"/>
                  <w:tcBorders>
                    <w:tl2br w:val="nil"/>
                    <w:tr2bl w:val="nil"/>
                  </w:tcBorders>
                  <w:vAlign w:val="center"/>
                </w:tcPr>
                <w:p w14:paraId="437817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臭气强烈存在</w:t>
                  </w:r>
                </w:p>
              </w:tc>
            </w:tr>
          </w:tbl>
          <w:p w14:paraId="6B7205A9">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根据天津市环境保护科学研究院、国家环境保护恶臭污染控制重点实验室耿静、韩萌等人发表的《臭气强度与臭气浓度间的定量关系研究》一文，在日本的恶臭强度六级分级法基础上，对679个典型行业恶臭样品进行了臭气浓度和强度的测试，得出恶臭强度对应的臭气浓度区间见下表。</w:t>
            </w:r>
          </w:p>
          <w:p w14:paraId="53D19336">
            <w:pPr>
              <w:pStyle w:val="11"/>
              <w:bidi w:val="0"/>
              <w:rPr>
                <w:rFonts w:hint="eastAsia"/>
                <w:lang w:val="en-US" w:eastAsia="zh-CN"/>
              </w:rPr>
            </w:pPr>
            <w:r>
              <w:rPr>
                <w:rFonts w:hint="eastAsia"/>
                <w:lang w:val="en-US" w:eastAsia="zh-CN"/>
              </w:rPr>
              <w:t>表4-2 臭气强度对应的臭气浓度区间</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7"/>
              <w:gridCol w:w="660"/>
              <w:gridCol w:w="810"/>
              <w:gridCol w:w="795"/>
              <w:gridCol w:w="825"/>
              <w:gridCol w:w="1035"/>
              <w:gridCol w:w="990"/>
              <w:gridCol w:w="1230"/>
              <w:gridCol w:w="781"/>
            </w:tblGrid>
            <w:tr w14:paraId="77894D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7" w:type="dxa"/>
                  <w:tcBorders>
                    <w:tl2br w:val="nil"/>
                    <w:tr2bl w:val="nil"/>
                  </w:tcBorders>
                  <w:vAlign w:val="center"/>
                </w:tcPr>
                <w:p w14:paraId="2938C9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臭气强度（级）</w:t>
                  </w:r>
                </w:p>
              </w:tc>
              <w:tc>
                <w:tcPr>
                  <w:tcW w:w="660" w:type="dxa"/>
                  <w:tcBorders>
                    <w:tl2br w:val="nil"/>
                    <w:tr2bl w:val="nil"/>
                  </w:tcBorders>
                  <w:vAlign w:val="center"/>
                </w:tcPr>
                <w:p w14:paraId="46AC81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1</w:t>
                  </w:r>
                </w:p>
              </w:tc>
              <w:tc>
                <w:tcPr>
                  <w:tcW w:w="810" w:type="dxa"/>
                  <w:tcBorders>
                    <w:tl2br w:val="nil"/>
                    <w:tr2bl w:val="nil"/>
                  </w:tcBorders>
                  <w:vAlign w:val="center"/>
                </w:tcPr>
                <w:p w14:paraId="098EB0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1.5</w:t>
                  </w:r>
                </w:p>
              </w:tc>
              <w:tc>
                <w:tcPr>
                  <w:tcW w:w="795" w:type="dxa"/>
                  <w:tcBorders>
                    <w:tl2br w:val="nil"/>
                    <w:tr2bl w:val="nil"/>
                  </w:tcBorders>
                  <w:vAlign w:val="center"/>
                </w:tcPr>
                <w:p w14:paraId="33022C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2</w:t>
                  </w:r>
                </w:p>
              </w:tc>
              <w:tc>
                <w:tcPr>
                  <w:tcW w:w="825" w:type="dxa"/>
                  <w:tcBorders>
                    <w:tl2br w:val="nil"/>
                    <w:tr2bl w:val="nil"/>
                  </w:tcBorders>
                  <w:vAlign w:val="center"/>
                </w:tcPr>
                <w:p w14:paraId="6057B1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2.5</w:t>
                  </w:r>
                </w:p>
              </w:tc>
              <w:tc>
                <w:tcPr>
                  <w:tcW w:w="1035" w:type="dxa"/>
                  <w:tcBorders>
                    <w:tl2br w:val="nil"/>
                    <w:tr2bl w:val="nil"/>
                  </w:tcBorders>
                  <w:vAlign w:val="center"/>
                </w:tcPr>
                <w:p w14:paraId="6E1B8A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3</w:t>
                  </w:r>
                </w:p>
              </w:tc>
              <w:tc>
                <w:tcPr>
                  <w:tcW w:w="990" w:type="dxa"/>
                  <w:tcBorders>
                    <w:tl2br w:val="nil"/>
                    <w:tr2bl w:val="nil"/>
                  </w:tcBorders>
                  <w:vAlign w:val="center"/>
                </w:tcPr>
                <w:p w14:paraId="7A3268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3.5</w:t>
                  </w:r>
                </w:p>
              </w:tc>
              <w:tc>
                <w:tcPr>
                  <w:tcW w:w="1230" w:type="dxa"/>
                  <w:tcBorders>
                    <w:tl2br w:val="nil"/>
                    <w:tr2bl w:val="nil"/>
                  </w:tcBorders>
                  <w:vAlign w:val="center"/>
                </w:tcPr>
                <w:p w14:paraId="0D597F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4</w:t>
                  </w:r>
                </w:p>
              </w:tc>
              <w:tc>
                <w:tcPr>
                  <w:tcW w:w="781" w:type="dxa"/>
                  <w:tcBorders>
                    <w:tl2br w:val="nil"/>
                    <w:tr2bl w:val="nil"/>
                  </w:tcBorders>
                  <w:vAlign w:val="center"/>
                </w:tcPr>
                <w:p w14:paraId="3A886B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5</w:t>
                  </w:r>
                </w:p>
              </w:tc>
            </w:tr>
            <w:tr w14:paraId="02569B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7" w:type="dxa"/>
                  <w:tcBorders>
                    <w:tl2br w:val="nil"/>
                    <w:tr2bl w:val="nil"/>
                  </w:tcBorders>
                  <w:vAlign w:val="center"/>
                </w:tcPr>
                <w:p w14:paraId="0B02CC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臭气浓度区间</w:t>
                  </w:r>
                </w:p>
              </w:tc>
              <w:tc>
                <w:tcPr>
                  <w:tcW w:w="660" w:type="dxa"/>
                  <w:tcBorders>
                    <w:tl2br w:val="nil"/>
                    <w:tr2bl w:val="nil"/>
                  </w:tcBorders>
                  <w:vAlign w:val="center"/>
                </w:tcPr>
                <w:p w14:paraId="48DDA7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default"/>
                      <w:b w:val="0"/>
                      <w:bCs w:val="0"/>
                      <w:color w:val="auto"/>
                      <w:spacing w:val="-10"/>
                      <w:sz w:val="21"/>
                      <w:szCs w:val="21"/>
                      <w:highlight w:val="none"/>
                      <w:vertAlign w:val="baseline"/>
                      <w:lang w:val="en-US" w:eastAsia="zh-CN"/>
                    </w:rPr>
                    <w:t>＜</w:t>
                  </w:r>
                  <w:r>
                    <w:rPr>
                      <w:rFonts w:hint="eastAsia"/>
                      <w:b w:val="0"/>
                      <w:bCs w:val="0"/>
                      <w:color w:val="auto"/>
                      <w:spacing w:val="-10"/>
                      <w:sz w:val="21"/>
                      <w:szCs w:val="21"/>
                      <w:highlight w:val="none"/>
                      <w:vertAlign w:val="baseline"/>
                      <w:lang w:val="en-US" w:eastAsia="zh-CN"/>
                    </w:rPr>
                    <w:t>49</w:t>
                  </w:r>
                </w:p>
              </w:tc>
              <w:tc>
                <w:tcPr>
                  <w:tcW w:w="810" w:type="dxa"/>
                  <w:tcBorders>
                    <w:tl2br w:val="nil"/>
                    <w:tr2bl w:val="nil"/>
                  </w:tcBorders>
                  <w:vAlign w:val="center"/>
                </w:tcPr>
                <w:p w14:paraId="7F4F4D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21~98</w:t>
                  </w:r>
                </w:p>
              </w:tc>
              <w:tc>
                <w:tcPr>
                  <w:tcW w:w="795" w:type="dxa"/>
                  <w:tcBorders>
                    <w:tl2br w:val="nil"/>
                    <w:tr2bl w:val="nil"/>
                  </w:tcBorders>
                  <w:vAlign w:val="center"/>
                </w:tcPr>
                <w:p w14:paraId="4B063E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49~234</w:t>
                  </w:r>
                </w:p>
              </w:tc>
              <w:tc>
                <w:tcPr>
                  <w:tcW w:w="825" w:type="dxa"/>
                  <w:tcBorders>
                    <w:tl2br w:val="nil"/>
                    <w:tr2bl w:val="nil"/>
                  </w:tcBorders>
                  <w:vAlign w:val="center"/>
                </w:tcPr>
                <w:p w14:paraId="2D06F8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98~550</w:t>
                  </w:r>
                </w:p>
              </w:tc>
              <w:tc>
                <w:tcPr>
                  <w:tcW w:w="1035" w:type="dxa"/>
                  <w:tcBorders>
                    <w:tl2br w:val="nil"/>
                    <w:tr2bl w:val="nil"/>
                  </w:tcBorders>
                  <w:vAlign w:val="center"/>
                </w:tcPr>
                <w:p w14:paraId="23B074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234~1318</w:t>
                  </w:r>
                </w:p>
              </w:tc>
              <w:tc>
                <w:tcPr>
                  <w:tcW w:w="990" w:type="dxa"/>
                  <w:tcBorders>
                    <w:tl2br w:val="nil"/>
                    <w:tr2bl w:val="nil"/>
                  </w:tcBorders>
                  <w:vAlign w:val="center"/>
                </w:tcPr>
                <w:p w14:paraId="67579C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550~3090</w:t>
                  </w:r>
                </w:p>
              </w:tc>
              <w:tc>
                <w:tcPr>
                  <w:tcW w:w="1230" w:type="dxa"/>
                  <w:tcBorders>
                    <w:tl2br w:val="nil"/>
                    <w:tr2bl w:val="nil"/>
                  </w:tcBorders>
                  <w:vAlign w:val="center"/>
                </w:tcPr>
                <w:p w14:paraId="14B591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3090~17378</w:t>
                  </w:r>
                </w:p>
              </w:tc>
              <w:tc>
                <w:tcPr>
                  <w:tcW w:w="781" w:type="dxa"/>
                  <w:tcBorders>
                    <w:tl2br w:val="nil"/>
                    <w:tr2bl w:val="nil"/>
                  </w:tcBorders>
                  <w:vAlign w:val="center"/>
                </w:tcPr>
                <w:p w14:paraId="3AF1B8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default"/>
                      <w:b w:val="0"/>
                      <w:bCs w:val="0"/>
                      <w:color w:val="auto"/>
                      <w:spacing w:val="-10"/>
                      <w:sz w:val="21"/>
                      <w:szCs w:val="21"/>
                      <w:highlight w:val="none"/>
                      <w:vertAlign w:val="baseline"/>
                      <w:lang w:val="en-US" w:eastAsia="zh-CN"/>
                    </w:rPr>
                    <w:t>＞</w:t>
                  </w:r>
                  <w:r>
                    <w:rPr>
                      <w:rFonts w:hint="eastAsia"/>
                      <w:b w:val="0"/>
                      <w:bCs w:val="0"/>
                      <w:color w:val="auto"/>
                      <w:spacing w:val="-10"/>
                      <w:sz w:val="21"/>
                      <w:szCs w:val="21"/>
                      <w:highlight w:val="none"/>
                      <w:vertAlign w:val="baseline"/>
                      <w:lang w:val="en-US" w:eastAsia="zh-CN"/>
                    </w:rPr>
                    <w:t>17413</w:t>
                  </w:r>
                </w:p>
              </w:tc>
            </w:tr>
          </w:tbl>
          <w:p w14:paraId="14474C75">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恶臭污染物与恶臭强度对照见下表。</w:t>
            </w:r>
          </w:p>
          <w:p w14:paraId="5F148EE3">
            <w:pPr>
              <w:pStyle w:val="11"/>
              <w:bidi w:val="0"/>
              <w:rPr>
                <w:rFonts w:hint="eastAsia"/>
                <w:lang w:val="en-US" w:eastAsia="zh-CN"/>
              </w:rPr>
            </w:pPr>
            <w:r>
              <w:rPr>
                <w:rFonts w:hint="eastAsia"/>
                <w:lang w:val="en-US" w:eastAsia="zh-CN"/>
              </w:rPr>
              <w:t>表4-3 恶臭污染物浓度（ppm）与臭气浓度对照表</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949"/>
              <w:gridCol w:w="949"/>
              <w:gridCol w:w="949"/>
              <w:gridCol w:w="949"/>
              <w:gridCol w:w="949"/>
              <w:gridCol w:w="949"/>
              <w:gridCol w:w="952"/>
            </w:tblGrid>
            <w:tr w14:paraId="2B47F9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14:paraId="325485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臭气强度（级）</w:t>
                  </w:r>
                </w:p>
              </w:tc>
              <w:tc>
                <w:tcPr>
                  <w:tcW w:w="949" w:type="dxa"/>
                  <w:tcBorders>
                    <w:tl2br w:val="nil"/>
                    <w:tr2bl w:val="nil"/>
                  </w:tcBorders>
                  <w:vAlign w:val="center"/>
                </w:tcPr>
                <w:p w14:paraId="6822A8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1</w:t>
                  </w:r>
                </w:p>
              </w:tc>
              <w:tc>
                <w:tcPr>
                  <w:tcW w:w="949" w:type="dxa"/>
                  <w:tcBorders>
                    <w:tl2br w:val="nil"/>
                    <w:tr2bl w:val="nil"/>
                  </w:tcBorders>
                  <w:vAlign w:val="center"/>
                </w:tcPr>
                <w:p w14:paraId="371797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2</w:t>
                  </w:r>
                </w:p>
              </w:tc>
              <w:tc>
                <w:tcPr>
                  <w:tcW w:w="949" w:type="dxa"/>
                  <w:tcBorders>
                    <w:tl2br w:val="nil"/>
                    <w:tr2bl w:val="nil"/>
                  </w:tcBorders>
                  <w:vAlign w:val="center"/>
                </w:tcPr>
                <w:p w14:paraId="2260CC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2.5</w:t>
                  </w:r>
                </w:p>
              </w:tc>
              <w:tc>
                <w:tcPr>
                  <w:tcW w:w="949" w:type="dxa"/>
                  <w:tcBorders>
                    <w:tl2br w:val="nil"/>
                    <w:tr2bl w:val="nil"/>
                  </w:tcBorders>
                  <w:vAlign w:val="center"/>
                </w:tcPr>
                <w:p w14:paraId="3D9F17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3</w:t>
                  </w:r>
                </w:p>
              </w:tc>
              <w:tc>
                <w:tcPr>
                  <w:tcW w:w="949" w:type="dxa"/>
                  <w:tcBorders>
                    <w:tl2br w:val="nil"/>
                    <w:tr2bl w:val="nil"/>
                  </w:tcBorders>
                  <w:vAlign w:val="center"/>
                </w:tcPr>
                <w:p w14:paraId="4FC604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3.5</w:t>
                  </w:r>
                </w:p>
              </w:tc>
              <w:tc>
                <w:tcPr>
                  <w:tcW w:w="949" w:type="dxa"/>
                  <w:tcBorders>
                    <w:tl2br w:val="nil"/>
                    <w:tr2bl w:val="nil"/>
                  </w:tcBorders>
                  <w:vAlign w:val="center"/>
                </w:tcPr>
                <w:p w14:paraId="6784EF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4</w:t>
                  </w:r>
                </w:p>
              </w:tc>
              <w:tc>
                <w:tcPr>
                  <w:tcW w:w="952" w:type="dxa"/>
                  <w:tcBorders>
                    <w:tl2br w:val="nil"/>
                    <w:tr2bl w:val="nil"/>
                  </w:tcBorders>
                  <w:vAlign w:val="center"/>
                </w:tcPr>
                <w:p w14:paraId="595699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5</w:t>
                  </w:r>
                </w:p>
              </w:tc>
            </w:tr>
            <w:tr w14:paraId="0C33E5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14:paraId="529CA6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NH</w:t>
                  </w:r>
                  <w:r>
                    <w:rPr>
                      <w:rFonts w:hint="eastAsia"/>
                      <w:b w:val="0"/>
                      <w:bCs w:val="0"/>
                      <w:color w:val="auto"/>
                      <w:spacing w:val="-10"/>
                      <w:sz w:val="21"/>
                      <w:szCs w:val="21"/>
                      <w:highlight w:val="none"/>
                      <w:vertAlign w:val="subscript"/>
                      <w:lang w:val="en-US" w:eastAsia="zh-CN"/>
                    </w:rPr>
                    <w:t>3</w:t>
                  </w:r>
                </w:p>
              </w:tc>
              <w:tc>
                <w:tcPr>
                  <w:tcW w:w="949" w:type="dxa"/>
                  <w:tcBorders>
                    <w:tl2br w:val="nil"/>
                    <w:tr2bl w:val="nil"/>
                  </w:tcBorders>
                  <w:vAlign w:val="center"/>
                </w:tcPr>
                <w:p w14:paraId="748B1E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0.1</w:t>
                  </w:r>
                </w:p>
              </w:tc>
              <w:tc>
                <w:tcPr>
                  <w:tcW w:w="949" w:type="dxa"/>
                  <w:tcBorders>
                    <w:tl2br w:val="nil"/>
                    <w:tr2bl w:val="nil"/>
                  </w:tcBorders>
                  <w:vAlign w:val="center"/>
                </w:tcPr>
                <w:p w14:paraId="6EFF40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0.6</w:t>
                  </w:r>
                </w:p>
              </w:tc>
              <w:tc>
                <w:tcPr>
                  <w:tcW w:w="949" w:type="dxa"/>
                  <w:tcBorders>
                    <w:tl2br w:val="nil"/>
                    <w:tr2bl w:val="nil"/>
                  </w:tcBorders>
                  <w:vAlign w:val="center"/>
                </w:tcPr>
                <w:p w14:paraId="078D6B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1</w:t>
                  </w:r>
                </w:p>
              </w:tc>
              <w:tc>
                <w:tcPr>
                  <w:tcW w:w="949" w:type="dxa"/>
                  <w:tcBorders>
                    <w:tl2br w:val="nil"/>
                    <w:tr2bl w:val="nil"/>
                  </w:tcBorders>
                  <w:vAlign w:val="center"/>
                </w:tcPr>
                <w:p w14:paraId="7AFB43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2</w:t>
                  </w:r>
                </w:p>
              </w:tc>
              <w:tc>
                <w:tcPr>
                  <w:tcW w:w="949" w:type="dxa"/>
                  <w:tcBorders>
                    <w:tl2br w:val="nil"/>
                    <w:tr2bl w:val="nil"/>
                  </w:tcBorders>
                  <w:vAlign w:val="center"/>
                </w:tcPr>
                <w:p w14:paraId="282359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5</w:t>
                  </w:r>
                </w:p>
              </w:tc>
              <w:tc>
                <w:tcPr>
                  <w:tcW w:w="949" w:type="dxa"/>
                  <w:tcBorders>
                    <w:tl2br w:val="nil"/>
                    <w:tr2bl w:val="nil"/>
                  </w:tcBorders>
                  <w:vAlign w:val="center"/>
                </w:tcPr>
                <w:p w14:paraId="48E122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10</w:t>
                  </w:r>
                </w:p>
              </w:tc>
              <w:tc>
                <w:tcPr>
                  <w:tcW w:w="952" w:type="dxa"/>
                  <w:tcBorders>
                    <w:tl2br w:val="nil"/>
                    <w:tr2bl w:val="nil"/>
                  </w:tcBorders>
                  <w:vAlign w:val="center"/>
                </w:tcPr>
                <w:p w14:paraId="41FE2E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40</w:t>
                  </w:r>
                </w:p>
              </w:tc>
            </w:tr>
            <w:tr w14:paraId="180B76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14:paraId="4943D2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H</w:t>
                  </w:r>
                  <w:r>
                    <w:rPr>
                      <w:rFonts w:hint="eastAsia"/>
                      <w:b w:val="0"/>
                      <w:bCs w:val="0"/>
                      <w:color w:val="auto"/>
                      <w:spacing w:val="-10"/>
                      <w:sz w:val="21"/>
                      <w:szCs w:val="21"/>
                      <w:highlight w:val="none"/>
                      <w:vertAlign w:val="subscript"/>
                      <w:lang w:val="en-US" w:eastAsia="zh-CN"/>
                    </w:rPr>
                    <w:t>2</w:t>
                  </w:r>
                  <w:r>
                    <w:rPr>
                      <w:rFonts w:hint="eastAsia"/>
                      <w:b w:val="0"/>
                      <w:bCs w:val="0"/>
                      <w:color w:val="auto"/>
                      <w:spacing w:val="-10"/>
                      <w:sz w:val="21"/>
                      <w:szCs w:val="21"/>
                      <w:highlight w:val="none"/>
                      <w:vertAlign w:val="baseline"/>
                      <w:lang w:val="en-US" w:eastAsia="zh-CN"/>
                    </w:rPr>
                    <w:t>S</w:t>
                  </w:r>
                </w:p>
              </w:tc>
              <w:tc>
                <w:tcPr>
                  <w:tcW w:w="949" w:type="dxa"/>
                  <w:tcBorders>
                    <w:tl2br w:val="nil"/>
                    <w:tr2bl w:val="nil"/>
                  </w:tcBorders>
                  <w:vAlign w:val="center"/>
                </w:tcPr>
                <w:p w14:paraId="2482B2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0.005</w:t>
                  </w:r>
                </w:p>
              </w:tc>
              <w:tc>
                <w:tcPr>
                  <w:tcW w:w="949" w:type="dxa"/>
                  <w:tcBorders>
                    <w:tl2br w:val="nil"/>
                    <w:tr2bl w:val="nil"/>
                  </w:tcBorders>
                  <w:vAlign w:val="center"/>
                </w:tcPr>
                <w:p w14:paraId="2283A5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0.006</w:t>
                  </w:r>
                </w:p>
              </w:tc>
              <w:tc>
                <w:tcPr>
                  <w:tcW w:w="949" w:type="dxa"/>
                  <w:tcBorders>
                    <w:tl2br w:val="nil"/>
                    <w:tr2bl w:val="nil"/>
                  </w:tcBorders>
                  <w:vAlign w:val="center"/>
                </w:tcPr>
                <w:p w14:paraId="1E2B92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0.02</w:t>
                  </w:r>
                </w:p>
              </w:tc>
              <w:tc>
                <w:tcPr>
                  <w:tcW w:w="949" w:type="dxa"/>
                  <w:tcBorders>
                    <w:tl2br w:val="nil"/>
                    <w:tr2bl w:val="nil"/>
                  </w:tcBorders>
                  <w:vAlign w:val="center"/>
                </w:tcPr>
                <w:p w14:paraId="2336CB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0.06</w:t>
                  </w:r>
                </w:p>
              </w:tc>
              <w:tc>
                <w:tcPr>
                  <w:tcW w:w="949" w:type="dxa"/>
                  <w:tcBorders>
                    <w:tl2br w:val="nil"/>
                    <w:tr2bl w:val="nil"/>
                  </w:tcBorders>
                  <w:vAlign w:val="center"/>
                </w:tcPr>
                <w:p w14:paraId="61CAD2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0.2</w:t>
                  </w:r>
                </w:p>
              </w:tc>
              <w:tc>
                <w:tcPr>
                  <w:tcW w:w="949" w:type="dxa"/>
                  <w:tcBorders>
                    <w:tl2br w:val="nil"/>
                    <w:tr2bl w:val="nil"/>
                  </w:tcBorders>
                  <w:vAlign w:val="center"/>
                </w:tcPr>
                <w:p w14:paraId="3F7D2C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0.7</w:t>
                  </w:r>
                </w:p>
              </w:tc>
              <w:tc>
                <w:tcPr>
                  <w:tcW w:w="952" w:type="dxa"/>
                  <w:tcBorders>
                    <w:tl2br w:val="nil"/>
                    <w:tr2bl w:val="nil"/>
                  </w:tcBorders>
                  <w:vAlign w:val="center"/>
                </w:tcPr>
                <w:p w14:paraId="628B71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3</w:t>
                  </w:r>
                </w:p>
              </w:tc>
            </w:tr>
          </w:tbl>
          <w:p w14:paraId="7D709969">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本项目为动物医院，宠物接诊量较少，且无宠物寄养服务。本项目选取恶臭强度级别为1级（勉强能感觉到气味（感觉阈值）），则NH</w:t>
            </w:r>
            <w:r>
              <w:rPr>
                <w:rFonts w:hint="eastAsia"/>
                <w:sz w:val="24"/>
                <w:szCs w:val="24"/>
                <w:vertAlign w:val="subscript"/>
                <w:lang w:val="en-US" w:eastAsia="zh-CN"/>
              </w:rPr>
              <w:t>3</w:t>
            </w:r>
            <w:r>
              <w:rPr>
                <w:rFonts w:hint="eastAsia"/>
                <w:sz w:val="24"/>
                <w:szCs w:val="24"/>
                <w:lang w:val="en-US" w:eastAsia="zh-CN"/>
              </w:rPr>
              <w:t>、H</w:t>
            </w:r>
            <w:r>
              <w:rPr>
                <w:rFonts w:hint="eastAsia"/>
                <w:sz w:val="24"/>
                <w:szCs w:val="24"/>
                <w:vertAlign w:val="subscript"/>
                <w:lang w:val="en-US" w:eastAsia="zh-CN"/>
              </w:rPr>
              <w:t>2</w:t>
            </w:r>
            <w:r>
              <w:rPr>
                <w:rFonts w:hint="eastAsia"/>
                <w:sz w:val="24"/>
                <w:szCs w:val="24"/>
                <w:lang w:val="en-US" w:eastAsia="zh-CN"/>
              </w:rPr>
              <w:t>S的产生浓度分别为0.1ppm和0.005ppm。</w:t>
            </w:r>
          </w:p>
          <w:p w14:paraId="07F5F7A9">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标准状态下气体百万比浓度（pmm）与质量浓度（mg/m</w:t>
            </w:r>
            <w:r>
              <w:rPr>
                <w:rFonts w:hint="eastAsia"/>
                <w:sz w:val="24"/>
                <w:szCs w:val="24"/>
                <w:vertAlign w:val="superscript"/>
                <w:lang w:val="en-US" w:eastAsia="zh-CN"/>
              </w:rPr>
              <w:t>3</w:t>
            </w:r>
            <w:r>
              <w:rPr>
                <w:rFonts w:hint="eastAsia"/>
                <w:sz w:val="24"/>
                <w:szCs w:val="24"/>
                <w:lang w:val="en-US" w:eastAsia="zh-CN"/>
              </w:rPr>
              <w:t>）换算按下述公式：</w:t>
            </w:r>
          </w:p>
          <w:p w14:paraId="7E95A778">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m:oMathPara>
              <m:oMath>
                <m:r>
                  <m:rPr>
                    <m:sty m:val="p"/>
                  </m:rPr>
                  <w:rPr>
                    <w:rFonts w:hint="default" w:ascii="Cambria Math" w:hAnsi="Cambria Math" w:cstheme="minorBidi"/>
                    <w:kern w:val="2"/>
                    <w:sz w:val="24"/>
                    <w:szCs w:val="24"/>
                    <w:lang w:val="en-US" w:eastAsia="zh-CN" w:bidi="ar-SA"/>
                  </w:rPr>
                  <m:t>Y</m:t>
                </m:r>
                <m:d>
                  <m:dPr>
                    <m:ctrlPr>
                      <w:rPr>
                        <w:rFonts w:hint="default" w:ascii="Cambria Math" w:hAnsi="Cambria Math" w:cstheme="minorBidi"/>
                        <w:kern w:val="2"/>
                        <w:sz w:val="24"/>
                        <w:szCs w:val="24"/>
                        <w:lang w:val="en-US" w:eastAsia="zh-CN" w:bidi="ar-SA"/>
                      </w:rPr>
                    </m:ctrlPr>
                  </m:dPr>
                  <m:e>
                    <m:f>
                      <m:fPr>
                        <m:type m:val="skw"/>
                        <m:ctrlPr>
                          <w:rPr>
                            <w:rFonts w:hint="default" w:ascii="Cambria Math" w:hAnsi="Cambria Math" w:cstheme="minorBidi"/>
                            <w:kern w:val="2"/>
                            <w:sz w:val="24"/>
                            <w:szCs w:val="24"/>
                            <w:lang w:val="en-US" w:eastAsia="zh-CN" w:bidi="ar-SA"/>
                          </w:rPr>
                        </m:ctrlPr>
                      </m:fPr>
                      <m:num>
                        <m:r>
                          <m:rPr>
                            <m:sty m:val="p"/>
                          </m:rPr>
                          <w:rPr>
                            <w:rFonts w:hint="default" w:ascii="Cambria Math" w:hAnsi="Cambria Math" w:cstheme="minorBidi"/>
                            <w:kern w:val="2"/>
                            <w:sz w:val="24"/>
                            <w:szCs w:val="24"/>
                            <w:lang w:val="en-US" w:eastAsia="zh-CN" w:bidi="ar-SA"/>
                          </w:rPr>
                          <m:t>mg</m:t>
                        </m:r>
                        <m:ctrlPr>
                          <w:rPr>
                            <w:rFonts w:hint="default" w:ascii="Cambria Math" w:hAnsi="Cambria Math" w:cstheme="minorBidi"/>
                            <w:kern w:val="2"/>
                            <w:sz w:val="24"/>
                            <w:szCs w:val="24"/>
                            <w:lang w:val="en-US" w:eastAsia="zh-CN" w:bidi="ar-SA"/>
                          </w:rPr>
                        </m:ctrlPr>
                      </m:num>
                      <m:den>
                        <m:sSup>
                          <m:sSupPr>
                            <m:ctrlPr>
                              <w:rPr>
                                <w:rFonts w:hint="default" w:ascii="Cambria Math" w:hAnsi="Cambria Math" w:cstheme="minorBidi"/>
                                <w:kern w:val="2"/>
                                <w:sz w:val="24"/>
                                <w:szCs w:val="24"/>
                                <w:lang w:val="en-US" w:eastAsia="zh-CN" w:bidi="ar-SA"/>
                              </w:rPr>
                            </m:ctrlPr>
                          </m:sSupPr>
                          <m:e>
                            <m:r>
                              <m:rPr>
                                <m:sty m:val="p"/>
                              </m:rPr>
                              <w:rPr>
                                <w:rFonts w:hint="default" w:ascii="Cambria Math" w:hAnsi="Cambria Math" w:cstheme="minorBidi"/>
                                <w:kern w:val="2"/>
                                <w:sz w:val="24"/>
                                <w:szCs w:val="24"/>
                                <w:lang w:val="en-US" w:eastAsia="zh-CN" w:bidi="ar-SA"/>
                              </w:rPr>
                              <m:t>m</m:t>
                            </m:r>
                            <m:ctrlPr>
                              <w:rPr>
                                <w:rFonts w:hint="default" w:ascii="Cambria Math" w:hAnsi="Cambria Math" w:cstheme="minorBidi"/>
                                <w:kern w:val="2"/>
                                <w:sz w:val="24"/>
                                <w:szCs w:val="24"/>
                                <w:lang w:val="en-US" w:eastAsia="zh-CN" w:bidi="ar-SA"/>
                              </w:rPr>
                            </m:ctrlPr>
                          </m:e>
                          <m:sup>
                            <m:r>
                              <m:rPr>
                                <m:sty m:val="p"/>
                              </m:rPr>
                              <w:rPr>
                                <w:rFonts w:hint="default" w:ascii="Cambria Math" w:hAnsi="Cambria Math" w:cstheme="minorBidi"/>
                                <w:kern w:val="2"/>
                                <w:sz w:val="24"/>
                                <w:szCs w:val="24"/>
                                <w:lang w:val="en-US" w:eastAsia="zh-CN" w:bidi="ar-SA"/>
                              </w:rPr>
                              <m:t>3</m:t>
                            </m:r>
                            <m:ctrlPr>
                              <w:rPr>
                                <w:rFonts w:hint="default" w:ascii="Cambria Math" w:hAnsi="Cambria Math" w:cstheme="minorBidi"/>
                                <w:kern w:val="2"/>
                                <w:sz w:val="24"/>
                                <w:szCs w:val="24"/>
                                <w:lang w:val="en-US" w:eastAsia="zh-CN" w:bidi="ar-SA"/>
                              </w:rPr>
                            </m:ctrlPr>
                          </m:sup>
                        </m:sSup>
                        <m:ctrlPr>
                          <w:rPr>
                            <w:rFonts w:hint="default" w:ascii="Cambria Math" w:hAnsi="Cambria Math" w:cstheme="minorBidi"/>
                            <w:kern w:val="2"/>
                            <w:sz w:val="24"/>
                            <w:szCs w:val="24"/>
                            <w:lang w:val="en-US" w:eastAsia="zh-CN" w:bidi="ar-SA"/>
                          </w:rPr>
                        </m:ctrlPr>
                      </m:den>
                    </m:f>
                    <m:ctrlPr>
                      <w:rPr>
                        <w:rFonts w:hint="default" w:ascii="Cambria Math" w:hAnsi="Cambria Math" w:cstheme="minorBidi"/>
                        <w:kern w:val="2"/>
                        <w:sz w:val="24"/>
                        <w:szCs w:val="24"/>
                        <w:lang w:val="en-US" w:eastAsia="zh-CN" w:bidi="ar-SA"/>
                      </w:rPr>
                    </m:ctrlPr>
                  </m:e>
                </m:d>
                <m:r>
                  <m:rPr>
                    <m:sty m:val="p"/>
                  </m:rPr>
                  <w:rPr>
                    <w:rFonts w:hint="default" w:ascii="Cambria Math" w:hAnsi="Cambria Math" w:cstheme="minorBidi"/>
                    <w:kern w:val="2"/>
                    <w:sz w:val="24"/>
                    <w:szCs w:val="24"/>
                    <w:lang w:val="en-US" w:eastAsia="zh-CN" w:bidi="ar-SA"/>
                  </w:rPr>
                  <m:t>=</m:t>
                </m:r>
                <m:f>
                  <m:fPr>
                    <m:ctrlPr>
                      <w:rPr>
                        <w:rFonts w:hint="default" w:ascii="Cambria Math" w:hAnsi="Cambria Math" w:cstheme="minorBidi"/>
                        <w:kern w:val="2"/>
                        <w:sz w:val="24"/>
                        <w:szCs w:val="24"/>
                        <w:lang w:val="en-US" w:eastAsia="zh-CN" w:bidi="ar-SA"/>
                      </w:rPr>
                    </m:ctrlPr>
                  </m:fPr>
                  <m:num>
                    <m:r>
                      <m:rPr>
                        <m:sty m:val="p"/>
                      </m:rPr>
                      <w:rPr>
                        <w:rFonts w:hint="default" w:ascii="Cambria Math" w:hAnsi="Cambria Math" w:cstheme="minorBidi"/>
                        <w:kern w:val="2"/>
                        <w:sz w:val="24"/>
                        <w:szCs w:val="24"/>
                        <w:lang w:val="en-US" w:eastAsia="zh-CN" w:bidi="ar-SA"/>
                      </w:rPr>
                      <m:t>X</m:t>
                    </m:r>
                    <m:d>
                      <m:dPr>
                        <m:ctrlPr>
                          <w:rPr>
                            <w:rFonts w:hint="default" w:ascii="Cambria Math" w:hAnsi="Cambria Math" w:cstheme="minorBidi"/>
                            <w:kern w:val="2"/>
                            <w:sz w:val="24"/>
                            <w:szCs w:val="24"/>
                            <w:lang w:val="en-US" w:eastAsia="zh-CN" w:bidi="ar-SA"/>
                          </w:rPr>
                        </m:ctrlPr>
                      </m:dPr>
                      <m:e>
                        <m:r>
                          <m:rPr>
                            <m:sty m:val="p"/>
                          </m:rPr>
                          <w:rPr>
                            <w:rFonts w:hint="default" w:ascii="Cambria Math" w:hAnsi="Cambria Math" w:cstheme="minorBidi"/>
                            <w:kern w:val="2"/>
                            <w:sz w:val="24"/>
                            <w:szCs w:val="24"/>
                            <w:lang w:val="en-US" w:eastAsia="zh-CN" w:bidi="ar-SA"/>
                          </w:rPr>
                          <m:t>ppm</m:t>
                        </m:r>
                        <m:ctrlPr>
                          <w:rPr>
                            <w:rFonts w:hint="default" w:ascii="Cambria Math" w:hAnsi="Cambria Math" w:cstheme="minorBidi"/>
                            <w:kern w:val="2"/>
                            <w:sz w:val="24"/>
                            <w:szCs w:val="24"/>
                            <w:lang w:val="en-US" w:eastAsia="zh-CN" w:bidi="ar-SA"/>
                          </w:rPr>
                        </m:ctrlPr>
                      </m:e>
                    </m:d>
                    <m:r>
                      <m:rPr>
                        <m:sty m:val="p"/>
                      </m:rPr>
                      <w:rPr>
                        <w:rFonts w:ascii="Cambria Math" w:hAnsi="Cambria Math" w:cstheme="minorBidi"/>
                        <w:kern w:val="2"/>
                        <w:sz w:val="24"/>
                        <w:szCs w:val="24"/>
                        <w:lang w:val="en-US" w:bidi="ar-SA"/>
                      </w:rPr>
                      <m:t>×</m:t>
                    </m:r>
                    <m:r>
                      <m:rPr>
                        <m:sty m:val="p"/>
                      </m:rPr>
                      <w:rPr>
                        <w:rFonts w:hint="default" w:ascii="Cambria Math" w:hAnsi="Cambria Math" w:cstheme="minorBidi"/>
                        <w:kern w:val="2"/>
                        <w:sz w:val="24"/>
                        <w:szCs w:val="24"/>
                        <w:lang w:val="en-US" w:eastAsia="zh-CN" w:bidi="ar-SA"/>
                      </w:rPr>
                      <m:t>M</m:t>
                    </m:r>
                    <m:ctrlPr>
                      <w:rPr>
                        <w:rFonts w:hint="default" w:ascii="Cambria Math" w:hAnsi="Cambria Math" w:cstheme="minorBidi"/>
                        <w:kern w:val="2"/>
                        <w:sz w:val="24"/>
                        <w:szCs w:val="24"/>
                        <w:lang w:val="en-US" w:eastAsia="zh-CN" w:bidi="ar-SA"/>
                      </w:rPr>
                    </m:ctrlPr>
                  </m:num>
                  <m:den>
                    <m:r>
                      <m:rPr>
                        <m:sty m:val="p"/>
                      </m:rPr>
                      <w:rPr>
                        <w:rFonts w:hint="default" w:ascii="Cambria Math" w:hAnsi="Cambria Math" w:cstheme="minorBidi"/>
                        <w:kern w:val="2"/>
                        <w:sz w:val="24"/>
                        <w:szCs w:val="24"/>
                        <w:lang w:val="en-US" w:eastAsia="zh-CN" w:bidi="ar-SA"/>
                      </w:rPr>
                      <m:t>22.4</m:t>
                    </m:r>
                    <m:ctrlPr>
                      <w:rPr>
                        <w:rFonts w:hint="default" w:ascii="Cambria Math" w:hAnsi="Cambria Math" w:cstheme="minorBidi"/>
                        <w:kern w:val="2"/>
                        <w:sz w:val="24"/>
                        <w:szCs w:val="24"/>
                        <w:lang w:val="en-US" w:eastAsia="zh-CN" w:bidi="ar-SA"/>
                      </w:rPr>
                    </m:ctrlPr>
                  </m:den>
                </m:f>
              </m:oMath>
            </m:oMathPara>
          </w:p>
          <w:p w14:paraId="6EC77D92">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式中：</w:t>
            </w:r>
          </w:p>
          <w:p w14:paraId="2AA7C70C">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X—物质的ppm浓度；</w:t>
            </w:r>
          </w:p>
          <w:p w14:paraId="2FE5E5C0">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Y—物质的质量浓度，mg/m</w:t>
            </w:r>
            <w:r>
              <w:rPr>
                <w:rFonts w:hint="eastAsia"/>
                <w:sz w:val="24"/>
                <w:szCs w:val="24"/>
                <w:vertAlign w:val="superscript"/>
                <w:lang w:val="en-US" w:eastAsia="zh-CN"/>
              </w:rPr>
              <w:t>3</w:t>
            </w:r>
            <w:r>
              <w:rPr>
                <w:rFonts w:hint="eastAsia"/>
                <w:sz w:val="24"/>
                <w:szCs w:val="24"/>
                <w:lang w:val="en-US" w:eastAsia="zh-CN"/>
              </w:rPr>
              <w:t>；</w:t>
            </w:r>
          </w:p>
          <w:p w14:paraId="76B9645E">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M—物质的分子量；其中NH</w:t>
            </w:r>
            <w:r>
              <w:rPr>
                <w:rFonts w:hint="eastAsia"/>
                <w:sz w:val="24"/>
                <w:szCs w:val="24"/>
                <w:vertAlign w:val="subscript"/>
                <w:lang w:val="en-US" w:eastAsia="zh-CN"/>
              </w:rPr>
              <w:t>3</w:t>
            </w:r>
            <w:r>
              <w:rPr>
                <w:rFonts w:hint="eastAsia"/>
                <w:sz w:val="24"/>
                <w:szCs w:val="24"/>
                <w:lang w:val="en-US" w:eastAsia="zh-CN"/>
              </w:rPr>
              <w:t>：17.031；H</w:t>
            </w:r>
            <w:r>
              <w:rPr>
                <w:rFonts w:hint="eastAsia"/>
                <w:sz w:val="24"/>
                <w:szCs w:val="24"/>
                <w:vertAlign w:val="subscript"/>
                <w:lang w:val="en-US" w:eastAsia="zh-CN"/>
              </w:rPr>
              <w:t>2</w:t>
            </w:r>
            <w:r>
              <w:rPr>
                <w:rFonts w:hint="eastAsia"/>
                <w:sz w:val="24"/>
                <w:szCs w:val="24"/>
                <w:lang w:val="en-US" w:eastAsia="zh-CN"/>
              </w:rPr>
              <w:t>S：34.076；</w:t>
            </w:r>
          </w:p>
          <w:p w14:paraId="518775DA">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22.4—摩尔体积常数；</w:t>
            </w:r>
          </w:p>
          <w:p w14:paraId="4FDFEF5B">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计算得出：质量浓度值分别为NH</w:t>
            </w:r>
            <w:r>
              <w:rPr>
                <w:rFonts w:hint="eastAsia"/>
                <w:sz w:val="24"/>
                <w:szCs w:val="24"/>
                <w:vertAlign w:val="subscript"/>
                <w:lang w:val="en-US" w:eastAsia="zh-CN"/>
              </w:rPr>
              <w:t>3</w:t>
            </w:r>
            <w:r>
              <w:rPr>
                <w:rFonts w:hint="eastAsia"/>
                <w:sz w:val="24"/>
                <w:szCs w:val="24"/>
                <w:lang w:val="en-US" w:eastAsia="zh-CN"/>
              </w:rPr>
              <w:t>：0.08mg/m</w:t>
            </w:r>
            <w:r>
              <w:rPr>
                <w:rFonts w:hint="eastAsia"/>
                <w:sz w:val="24"/>
                <w:szCs w:val="24"/>
                <w:vertAlign w:val="superscript"/>
                <w:lang w:val="en-US" w:eastAsia="zh-CN"/>
              </w:rPr>
              <w:t>3</w:t>
            </w:r>
            <w:r>
              <w:rPr>
                <w:rFonts w:hint="eastAsia"/>
                <w:sz w:val="24"/>
                <w:szCs w:val="24"/>
                <w:lang w:val="en-US" w:eastAsia="zh-CN"/>
              </w:rPr>
              <w:t>、H</w:t>
            </w:r>
            <w:r>
              <w:rPr>
                <w:rFonts w:hint="eastAsia"/>
                <w:sz w:val="24"/>
                <w:szCs w:val="24"/>
                <w:vertAlign w:val="subscript"/>
                <w:lang w:val="en-US" w:eastAsia="zh-CN"/>
              </w:rPr>
              <w:t>2</w:t>
            </w:r>
            <w:r>
              <w:rPr>
                <w:rFonts w:hint="eastAsia"/>
                <w:sz w:val="24"/>
                <w:szCs w:val="24"/>
                <w:lang w:val="en-US" w:eastAsia="zh-CN"/>
              </w:rPr>
              <w:t>S：0.008mg/m</w:t>
            </w:r>
            <w:r>
              <w:rPr>
                <w:rFonts w:hint="eastAsia"/>
                <w:sz w:val="24"/>
                <w:szCs w:val="24"/>
                <w:vertAlign w:val="superscript"/>
                <w:lang w:val="en-US" w:eastAsia="zh-CN"/>
              </w:rPr>
              <w:t>3</w:t>
            </w:r>
            <w:r>
              <w:rPr>
                <w:rFonts w:hint="eastAsia"/>
                <w:sz w:val="24"/>
                <w:szCs w:val="24"/>
                <w:lang w:val="en-US" w:eastAsia="zh-CN"/>
              </w:rPr>
              <w:t>。</w:t>
            </w:r>
          </w:p>
          <w:p w14:paraId="687ACC35">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因此，恶臭浓度级别为1级，对应的臭气浓度＜49，按照最不利条件，本次取值49（无量纲）进行评价。</w:t>
            </w:r>
          </w:p>
          <w:p w14:paraId="7983B5E1">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本项目排风系统配套排风风机风量为1000m</w:t>
            </w:r>
            <w:r>
              <w:rPr>
                <w:rFonts w:hint="eastAsia"/>
                <w:sz w:val="24"/>
                <w:szCs w:val="24"/>
                <w:vertAlign w:val="superscript"/>
                <w:lang w:val="en-US" w:eastAsia="zh-CN"/>
              </w:rPr>
              <w:t>3</w:t>
            </w:r>
            <w:r>
              <w:rPr>
                <w:rFonts w:hint="eastAsia"/>
                <w:sz w:val="24"/>
                <w:szCs w:val="24"/>
                <w:lang w:val="en-US" w:eastAsia="zh-CN"/>
              </w:rPr>
              <w:t>/h，每天工作12h，年工作264天。排风系统内设置活性炭吸附装置，根据《活性炭吸附法治理恶臭污染》（抚顺石油化工研究院，王玉亭），活性炭对恶臭气体净化效率最高可以达到90%以上。但活性炭吸附效率受诸多因素影响，如空气湿度、温度、源强浓度、风机风量、污染物停留时间等。结合本项目实际运行情况，活性炭处理效率取75%。</w:t>
            </w:r>
          </w:p>
          <w:p w14:paraId="0F758EAC">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经计算，本项目废气中各项污染物有组织排放的产生及排放情况见下表：</w:t>
            </w:r>
          </w:p>
          <w:p w14:paraId="43B2FDE6">
            <w:pPr>
              <w:pStyle w:val="11"/>
              <w:bidi w:val="0"/>
              <w:rPr>
                <w:rFonts w:hint="eastAsia"/>
                <w:lang w:val="en-US" w:eastAsia="zh-CN"/>
              </w:rPr>
            </w:pPr>
            <w:r>
              <w:rPr>
                <w:rFonts w:hint="eastAsia"/>
                <w:lang w:val="en-US" w:eastAsia="zh-CN"/>
              </w:rPr>
              <w:t>表4-4 本项目污染物产生及排放情况一览表</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2"/>
              <w:gridCol w:w="710"/>
              <w:gridCol w:w="660"/>
              <w:gridCol w:w="810"/>
              <w:gridCol w:w="1020"/>
              <w:gridCol w:w="810"/>
              <w:gridCol w:w="675"/>
              <w:gridCol w:w="780"/>
              <w:gridCol w:w="1020"/>
              <w:gridCol w:w="736"/>
            </w:tblGrid>
            <w:tr w14:paraId="79B717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2" w:type="dxa"/>
                  <w:vMerge w:val="restart"/>
                  <w:tcBorders>
                    <w:tl2br w:val="nil"/>
                    <w:tr2bl w:val="nil"/>
                  </w:tcBorders>
                  <w:vAlign w:val="center"/>
                </w:tcPr>
                <w:p w14:paraId="233360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污染物</w:t>
                  </w:r>
                </w:p>
              </w:tc>
              <w:tc>
                <w:tcPr>
                  <w:tcW w:w="710" w:type="dxa"/>
                  <w:vMerge w:val="restart"/>
                  <w:tcBorders>
                    <w:tl2br w:val="nil"/>
                    <w:tr2bl w:val="nil"/>
                  </w:tcBorders>
                  <w:vAlign w:val="center"/>
                </w:tcPr>
                <w:p w14:paraId="6F6E39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废气量m</w:t>
                  </w:r>
                  <w:r>
                    <w:rPr>
                      <w:rFonts w:hint="eastAsia"/>
                      <w:sz w:val="21"/>
                      <w:szCs w:val="21"/>
                      <w:vertAlign w:val="superscript"/>
                      <w:lang w:val="en-US" w:eastAsia="zh-CN"/>
                    </w:rPr>
                    <w:t>3</w:t>
                  </w:r>
                  <w:r>
                    <w:rPr>
                      <w:rFonts w:hint="eastAsia"/>
                      <w:sz w:val="21"/>
                      <w:szCs w:val="21"/>
                      <w:vertAlign w:val="baseline"/>
                      <w:lang w:val="en-US" w:eastAsia="zh-CN"/>
                    </w:rPr>
                    <w:t>/h</w:t>
                  </w:r>
                </w:p>
              </w:tc>
              <w:tc>
                <w:tcPr>
                  <w:tcW w:w="660" w:type="dxa"/>
                  <w:vMerge w:val="restart"/>
                  <w:tcBorders>
                    <w:tl2br w:val="nil"/>
                    <w:tr2bl w:val="nil"/>
                  </w:tcBorders>
                  <w:vAlign w:val="center"/>
                </w:tcPr>
                <w:p w14:paraId="117155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年运行小时数</w:t>
                  </w:r>
                </w:p>
              </w:tc>
              <w:tc>
                <w:tcPr>
                  <w:tcW w:w="2640" w:type="dxa"/>
                  <w:gridSpan w:val="3"/>
                  <w:tcBorders>
                    <w:tl2br w:val="nil"/>
                    <w:tr2bl w:val="nil"/>
                  </w:tcBorders>
                  <w:vAlign w:val="center"/>
                </w:tcPr>
                <w:p w14:paraId="7A869A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污染物产生情况</w:t>
                  </w:r>
                </w:p>
              </w:tc>
              <w:tc>
                <w:tcPr>
                  <w:tcW w:w="675" w:type="dxa"/>
                  <w:vMerge w:val="restart"/>
                  <w:tcBorders>
                    <w:tl2br w:val="nil"/>
                    <w:tr2bl w:val="nil"/>
                  </w:tcBorders>
                  <w:vAlign w:val="center"/>
                </w:tcPr>
                <w:p w14:paraId="4F563F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治理措施</w:t>
                  </w:r>
                </w:p>
              </w:tc>
              <w:tc>
                <w:tcPr>
                  <w:tcW w:w="2536" w:type="dxa"/>
                  <w:gridSpan w:val="3"/>
                  <w:tcBorders>
                    <w:tl2br w:val="nil"/>
                    <w:tr2bl w:val="nil"/>
                  </w:tcBorders>
                  <w:vAlign w:val="center"/>
                </w:tcPr>
                <w:p w14:paraId="6089C5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污染物排放情况</w:t>
                  </w:r>
                </w:p>
              </w:tc>
            </w:tr>
            <w:tr w14:paraId="30A0D4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2" w:type="dxa"/>
                  <w:vMerge w:val="continue"/>
                  <w:tcBorders>
                    <w:tl2br w:val="nil"/>
                    <w:tr2bl w:val="nil"/>
                  </w:tcBorders>
                  <w:vAlign w:val="center"/>
                </w:tcPr>
                <w:p w14:paraId="6938DA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710" w:type="dxa"/>
                  <w:vMerge w:val="continue"/>
                  <w:tcBorders>
                    <w:tl2br w:val="nil"/>
                    <w:tr2bl w:val="nil"/>
                  </w:tcBorders>
                  <w:vAlign w:val="center"/>
                </w:tcPr>
                <w:p w14:paraId="07DB57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660" w:type="dxa"/>
                  <w:vMerge w:val="continue"/>
                  <w:tcBorders>
                    <w:tl2br w:val="nil"/>
                    <w:tr2bl w:val="nil"/>
                  </w:tcBorders>
                  <w:vAlign w:val="center"/>
                </w:tcPr>
                <w:p w14:paraId="04DEF8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810" w:type="dxa"/>
                  <w:tcBorders>
                    <w:tl2br w:val="nil"/>
                    <w:tr2bl w:val="nil"/>
                  </w:tcBorders>
                  <w:vAlign w:val="center"/>
                </w:tcPr>
                <w:p w14:paraId="4F6CEE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产生浓度mg/m</w:t>
                  </w:r>
                  <w:r>
                    <w:rPr>
                      <w:rFonts w:hint="eastAsia"/>
                      <w:sz w:val="21"/>
                      <w:szCs w:val="21"/>
                      <w:vertAlign w:val="superscript"/>
                      <w:lang w:val="en-US" w:eastAsia="zh-CN"/>
                    </w:rPr>
                    <w:t>3</w:t>
                  </w:r>
                </w:p>
              </w:tc>
              <w:tc>
                <w:tcPr>
                  <w:tcW w:w="1020" w:type="dxa"/>
                  <w:tcBorders>
                    <w:tl2br w:val="nil"/>
                    <w:tr2bl w:val="nil"/>
                  </w:tcBorders>
                  <w:vAlign w:val="center"/>
                </w:tcPr>
                <w:p w14:paraId="719C97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产生速率kg/h</w:t>
                  </w:r>
                </w:p>
              </w:tc>
              <w:tc>
                <w:tcPr>
                  <w:tcW w:w="810" w:type="dxa"/>
                  <w:tcBorders>
                    <w:tl2br w:val="nil"/>
                    <w:tr2bl w:val="nil"/>
                  </w:tcBorders>
                  <w:vAlign w:val="center"/>
                </w:tcPr>
                <w:p w14:paraId="5D0D52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产生量kg/a</w:t>
                  </w:r>
                </w:p>
              </w:tc>
              <w:tc>
                <w:tcPr>
                  <w:tcW w:w="675" w:type="dxa"/>
                  <w:vMerge w:val="continue"/>
                  <w:tcBorders>
                    <w:tl2br w:val="nil"/>
                    <w:tr2bl w:val="nil"/>
                  </w:tcBorders>
                  <w:vAlign w:val="center"/>
                </w:tcPr>
                <w:p w14:paraId="5B5E2A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780" w:type="dxa"/>
                  <w:tcBorders>
                    <w:tl2br w:val="nil"/>
                    <w:tr2bl w:val="nil"/>
                  </w:tcBorders>
                  <w:vAlign w:val="center"/>
                </w:tcPr>
                <w:p w14:paraId="07C0C8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排放浓度mg/m</w:t>
                  </w:r>
                  <w:r>
                    <w:rPr>
                      <w:rFonts w:hint="eastAsia"/>
                      <w:sz w:val="21"/>
                      <w:szCs w:val="21"/>
                      <w:vertAlign w:val="superscript"/>
                      <w:lang w:val="en-US" w:eastAsia="zh-CN"/>
                    </w:rPr>
                    <w:t>3</w:t>
                  </w:r>
                </w:p>
              </w:tc>
              <w:tc>
                <w:tcPr>
                  <w:tcW w:w="1020" w:type="dxa"/>
                  <w:tcBorders>
                    <w:tl2br w:val="nil"/>
                    <w:tr2bl w:val="nil"/>
                  </w:tcBorders>
                  <w:vAlign w:val="center"/>
                </w:tcPr>
                <w:p w14:paraId="2D1873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排放速率kg/h</w:t>
                  </w:r>
                </w:p>
              </w:tc>
              <w:tc>
                <w:tcPr>
                  <w:tcW w:w="736" w:type="dxa"/>
                  <w:tcBorders>
                    <w:tl2br w:val="nil"/>
                    <w:tr2bl w:val="nil"/>
                  </w:tcBorders>
                  <w:vAlign w:val="center"/>
                </w:tcPr>
                <w:p w14:paraId="4995D5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排放量kg/a</w:t>
                  </w:r>
                </w:p>
              </w:tc>
            </w:tr>
            <w:tr w14:paraId="1E4884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2" w:type="dxa"/>
                  <w:tcBorders>
                    <w:tl2br w:val="nil"/>
                    <w:tr2bl w:val="nil"/>
                  </w:tcBorders>
                  <w:vAlign w:val="center"/>
                </w:tcPr>
                <w:p w14:paraId="4B58D9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NH</w:t>
                  </w:r>
                  <w:r>
                    <w:rPr>
                      <w:rFonts w:hint="eastAsia"/>
                      <w:sz w:val="21"/>
                      <w:szCs w:val="21"/>
                      <w:vertAlign w:val="subscript"/>
                      <w:lang w:val="en-US" w:eastAsia="zh-CN"/>
                    </w:rPr>
                    <w:t>3</w:t>
                  </w:r>
                </w:p>
              </w:tc>
              <w:tc>
                <w:tcPr>
                  <w:tcW w:w="710" w:type="dxa"/>
                  <w:vMerge w:val="restart"/>
                  <w:tcBorders>
                    <w:tl2br w:val="nil"/>
                    <w:tr2bl w:val="nil"/>
                  </w:tcBorders>
                  <w:vAlign w:val="center"/>
                </w:tcPr>
                <w:p w14:paraId="0C7A5D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1000</w:t>
                  </w:r>
                </w:p>
              </w:tc>
              <w:tc>
                <w:tcPr>
                  <w:tcW w:w="660" w:type="dxa"/>
                  <w:vMerge w:val="restart"/>
                  <w:tcBorders>
                    <w:tl2br w:val="nil"/>
                    <w:tr2bl w:val="nil"/>
                  </w:tcBorders>
                  <w:vAlign w:val="center"/>
                </w:tcPr>
                <w:p w14:paraId="6D1216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3168</w:t>
                  </w:r>
                </w:p>
              </w:tc>
              <w:tc>
                <w:tcPr>
                  <w:tcW w:w="810" w:type="dxa"/>
                  <w:tcBorders>
                    <w:tl2br w:val="nil"/>
                    <w:tr2bl w:val="nil"/>
                  </w:tcBorders>
                  <w:vAlign w:val="center"/>
                </w:tcPr>
                <w:p w14:paraId="6A3719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0.08</w:t>
                  </w:r>
                </w:p>
              </w:tc>
              <w:tc>
                <w:tcPr>
                  <w:tcW w:w="1020" w:type="dxa"/>
                  <w:tcBorders>
                    <w:tl2br w:val="nil"/>
                    <w:tr2bl w:val="nil"/>
                  </w:tcBorders>
                  <w:vAlign w:val="center"/>
                </w:tcPr>
                <w:p w14:paraId="734E3C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0.00008</w:t>
                  </w:r>
                </w:p>
              </w:tc>
              <w:tc>
                <w:tcPr>
                  <w:tcW w:w="810" w:type="dxa"/>
                  <w:tcBorders>
                    <w:tl2br w:val="nil"/>
                    <w:tr2bl w:val="nil"/>
                  </w:tcBorders>
                  <w:vAlign w:val="center"/>
                </w:tcPr>
                <w:p w14:paraId="59E4FB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0.253</w:t>
                  </w:r>
                </w:p>
              </w:tc>
              <w:tc>
                <w:tcPr>
                  <w:tcW w:w="675" w:type="dxa"/>
                  <w:vMerge w:val="restart"/>
                  <w:tcBorders>
                    <w:tl2br w:val="nil"/>
                    <w:tr2bl w:val="nil"/>
                  </w:tcBorders>
                  <w:vAlign w:val="center"/>
                </w:tcPr>
                <w:p w14:paraId="42497F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活性炭吸附</w:t>
                  </w:r>
                </w:p>
              </w:tc>
              <w:tc>
                <w:tcPr>
                  <w:tcW w:w="780" w:type="dxa"/>
                  <w:tcBorders>
                    <w:tl2br w:val="nil"/>
                    <w:tr2bl w:val="nil"/>
                  </w:tcBorders>
                  <w:vAlign w:val="center"/>
                </w:tcPr>
                <w:p w14:paraId="31F435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0.02</w:t>
                  </w:r>
                </w:p>
              </w:tc>
              <w:tc>
                <w:tcPr>
                  <w:tcW w:w="1020" w:type="dxa"/>
                  <w:tcBorders>
                    <w:tl2br w:val="nil"/>
                    <w:tr2bl w:val="nil"/>
                  </w:tcBorders>
                  <w:vAlign w:val="center"/>
                </w:tcPr>
                <w:p w14:paraId="7BAEE4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0.00002</w:t>
                  </w:r>
                </w:p>
              </w:tc>
              <w:tc>
                <w:tcPr>
                  <w:tcW w:w="736" w:type="dxa"/>
                  <w:tcBorders>
                    <w:tl2br w:val="nil"/>
                    <w:tr2bl w:val="nil"/>
                  </w:tcBorders>
                  <w:vAlign w:val="center"/>
                </w:tcPr>
                <w:p w14:paraId="670B1B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0.063</w:t>
                  </w:r>
                </w:p>
              </w:tc>
            </w:tr>
            <w:tr w14:paraId="23729C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2" w:type="dxa"/>
                  <w:tcBorders>
                    <w:tl2br w:val="nil"/>
                    <w:tr2bl w:val="nil"/>
                  </w:tcBorders>
                  <w:vAlign w:val="center"/>
                </w:tcPr>
                <w:p w14:paraId="3F86FC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H</w:t>
                  </w:r>
                  <w:r>
                    <w:rPr>
                      <w:rFonts w:hint="eastAsia"/>
                      <w:sz w:val="21"/>
                      <w:szCs w:val="21"/>
                      <w:vertAlign w:val="subscript"/>
                      <w:lang w:val="en-US" w:eastAsia="zh-CN"/>
                    </w:rPr>
                    <w:t>2</w:t>
                  </w:r>
                  <w:r>
                    <w:rPr>
                      <w:rFonts w:hint="eastAsia"/>
                      <w:sz w:val="21"/>
                      <w:szCs w:val="21"/>
                      <w:vertAlign w:val="baseline"/>
                      <w:lang w:val="en-US" w:eastAsia="zh-CN"/>
                    </w:rPr>
                    <w:t>S</w:t>
                  </w:r>
                </w:p>
              </w:tc>
              <w:tc>
                <w:tcPr>
                  <w:tcW w:w="710" w:type="dxa"/>
                  <w:vMerge w:val="continue"/>
                  <w:tcBorders>
                    <w:tl2br w:val="nil"/>
                    <w:tr2bl w:val="nil"/>
                  </w:tcBorders>
                  <w:vAlign w:val="center"/>
                </w:tcPr>
                <w:p w14:paraId="37F212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660" w:type="dxa"/>
                  <w:vMerge w:val="continue"/>
                  <w:tcBorders>
                    <w:tl2br w:val="nil"/>
                    <w:tr2bl w:val="nil"/>
                  </w:tcBorders>
                  <w:vAlign w:val="center"/>
                </w:tcPr>
                <w:p w14:paraId="12CE45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810" w:type="dxa"/>
                  <w:tcBorders>
                    <w:tl2br w:val="nil"/>
                    <w:tr2bl w:val="nil"/>
                  </w:tcBorders>
                  <w:vAlign w:val="center"/>
                </w:tcPr>
                <w:p w14:paraId="7CF931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0.008</w:t>
                  </w:r>
                </w:p>
              </w:tc>
              <w:tc>
                <w:tcPr>
                  <w:tcW w:w="1020" w:type="dxa"/>
                  <w:tcBorders>
                    <w:tl2br w:val="nil"/>
                    <w:tr2bl w:val="nil"/>
                  </w:tcBorders>
                  <w:vAlign w:val="center"/>
                </w:tcPr>
                <w:p w14:paraId="22C832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0.000008</w:t>
                  </w:r>
                </w:p>
              </w:tc>
              <w:tc>
                <w:tcPr>
                  <w:tcW w:w="810" w:type="dxa"/>
                  <w:tcBorders>
                    <w:tl2br w:val="nil"/>
                    <w:tr2bl w:val="nil"/>
                  </w:tcBorders>
                  <w:vAlign w:val="center"/>
                </w:tcPr>
                <w:p w14:paraId="5EFE13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0.025</w:t>
                  </w:r>
                </w:p>
              </w:tc>
              <w:tc>
                <w:tcPr>
                  <w:tcW w:w="675" w:type="dxa"/>
                  <w:vMerge w:val="continue"/>
                  <w:tcBorders>
                    <w:tl2br w:val="nil"/>
                    <w:tr2bl w:val="nil"/>
                  </w:tcBorders>
                  <w:vAlign w:val="center"/>
                </w:tcPr>
                <w:p w14:paraId="4D94DC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780" w:type="dxa"/>
                  <w:tcBorders>
                    <w:tl2br w:val="nil"/>
                    <w:tr2bl w:val="nil"/>
                  </w:tcBorders>
                  <w:vAlign w:val="center"/>
                </w:tcPr>
                <w:p w14:paraId="1B5A3E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0.002</w:t>
                  </w:r>
                </w:p>
              </w:tc>
              <w:tc>
                <w:tcPr>
                  <w:tcW w:w="1020" w:type="dxa"/>
                  <w:tcBorders>
                    <w:tl2br w:val="nil"/>
                    <w:tr2bl w:val="nil"/>
                  </w:tcBorders>
                  <w:vAlign w:val="center"/>
                </w:tcPr>
                <w:p w14:paraId="01C0CD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0.000002</w:t>
                  </w:r>
                </w:p>
              </w:tc>
              <w:tc>
                <w:tcPr>
                  <w:tcW w:w="736" w:type="dxa"/>
                  <w:tcBorders>
                    <w:tl2br w:val="nil"/>
                    <w:tr2bl w:val="nil"/>
                  </w:tcBorders>
                  <w:vAlign w:val="center"/>
                </w:tcPr>
                <w:p w14:paraId="662C95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0.006</w:t>
                  </w:r>
                </w:p>
              </w:tc>
            </w:tr>
            <w:tr w14:paraId="6F6AC7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2" w:type="dxa"/>
                  <w:tcBorders>
                    <w:tl2br w:val="nil"/>
                    <w:tr2bl w:val="nil"/>
                  </w:tcBorders>
                  <w:vAlign w:val="center"/>
                </w:tcPr>
                <w:p w14:paraId="799A9E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臭气浓度</w:t>
                  </w:r>
                </w:p>
              </w:tc>
              <w:tc>
                <w:tcPr>
                  <w:tcW w:w="710" w:type="dxa"/>
                  <w:vMerge w:val="continue"/>
                  <w:tcBorders>
                    <w:tl2br w:val="nil"/>
                    <w:tr2bl w:val="nil"/>
                  </w:tcBorders>
                  <w:vAlign w:val="center"/>
                </w:tcPr>
                <w:p w14:paraId="13F1DC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660" w:type="dxa"/>
                  <w:vMerge w:val="continue"/>
                  <w:tcBorders>
                    <w:tl2br w:val="nil"/>
                    <w:tr2bl w:val="nil"/>
                  </w:tcBorders>
                  <w:vAlign w:val="center"/>
                </w:tcPr>
                <w:p w14:paraId="2A4795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810" w:type="dxa"/>
                  <w:tcBorders>
                    <w:tl2br w:val="nil"/>
                    <w:tr2bl w:val="nil"/>
                  </w:tcBorders>
                  <w:vAlign w:val="center"/>
                </w:tcPr>
                <w:p w14:paraId="795162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1020" w:type="dxa"/>
                  <w:tcBorders>
                    <w:tl2br w:val="nil"/>
                    <w:tr2bl w:val="nil"/>
                  </w:tcBorders>
                  <w:vAlign w:val="center"/>
                </w:tcPr>
                <w:p w14:paraId="7532DE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49</w:t>
                  </w:r>
                </w:p>
                <w:p w14:paraId="1E1478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无量纲</w:t>
                  </w:r>
                </w:p>
              </w:tc>
              <w:tc>
                <w:tcPr>
                  <w:tcW w:w="810" w:type="dxa"/>
                  <w:tcBorders>
                    <w:tl2br w:val="nil"/>
                    <w:tr2bl w:val="nil"/>
                  </w:tcBorders>
                  <w:vAlign w:val="center"/>
                </w:tcPr>
                <w:p w14:paraId="746706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675" w:type="dxa"/>
                  <w:vMerge w:val="continue"/>
                  <w:tcBorders>
                    <w:tl2br w:val="nil"/>
                    <w:tr2bl w:val="nil"/>
                  </w:tcBorders>
                  <w:vAlign w:val="center"/>
                </w:tcPr>
                <w:p w14:paraId="57A8BF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780" w:type="dxa"/>
                  <w:tcBorders>
                    <w:tl2br w:val="nil"/>
                    <w:tr2bl w:val="nil"/>
                  </w:tcBorders>
                  <w:vAlign w:val="center"/>
                </w:tcPr>
                <w:p w14:paraId="63248E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1020" w:type="dxa"/>
                  <w:tcBorders>
                    <w:tl2br w:val="nil"/>
                    <w:tr2bl w:val="nil"/>
                  </w:tcBorders>
                  <w:vAlign w:val="center"/>
                </w:tcPr>
                <w:p w14:paraId="411043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12</w:t>
                  </w:r>
                </w:p>
                <w:p w14:paraId="66D802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无量纲</w:t>
                  </w:r>
                </w:p>
              </w:tc>
              <w:tc>
                <w:tcPr>
                  <w:tcW w:w="736" w:type="dxa"/>
                  <w:tcBorders>
                    <w:tl2br w:val="nil"/>
                    <w:tr2bl w:val="nil"/>
                  </w:tcBorders>
                  <w:vAlign w:val="center"/>
                </w:tcPr>
                <w:p w14:paraId="097164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r>
          </w:tbl>
          <w:p w14:paraId="1565AE45">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2）无组织排放</w:t>
            </w:r>
          </w:p>
          <w:p w14:paraId="73E3065F">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低矮排气筒属于有组织排放，但在一定条件下也可造成与无组织排放相同的效果。本项目无组织排放相关分析如下：</w:t>
            </w:r>
          </w:p>
          <w:p w14:paraId="20446DA0">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本次环评异味无组织排放源强数据类比北京艾妮动物医院有限公司废气监测数据。该动物医院经营内容、采取的污染物防治措施等均与本项目相同。其每日接待病例（猫、狗）约20例/日，本项目与其接诊规模相近。具有可类比性。</w:t>
            </w:r>
          </w:p>
          <w:p w14:paraId="39345D92">
            <w:pPr>
              <w:pStyle w:val="11"/>
              <w:bidi w:val="0"/>
              <w:rPr>
                <w:rFonts w:hint="eastAsia"/>
                <w:lang w:val="en-US" w:eastAsia="zh-CN"/>
              </w:rPr>
            </w:pPr>
            <w:r>
              <w:rPr>
                <w:rFonts w:hint="eastAsia"/>
                <w:lang w:val="en-US" w:eastAsia="zh-CN"/>
              </w:rPr>
              <w:t>表4-5 类比项目与本项目运行情况一览表</w:t>
            </w:r>
          </w:p>
          <w:tbl>
            <w:tblPr>
              <w:tblStyle w:val="9"/>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2795"/>
              <w:gridCol w:w="2796"/>
              <w:gridCol w:w="928"/>
            </w:tblGrid>
            <w:tr w14:paraId="2BEDC1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3" w:type="dxa"/>
                  <w:tcBorders>
                    <w:tl2br w:val="nil"/>
                    <w:tr2bl w:val="nil"/>
                  </w:tcBorders>
                  <w:vAlign w:val="center"/>
                </w:tcPr>
                <w:p w14:paraId="17AE4A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项目</w:t>
                  </w:r>
                </w:p>
              </w:tc>
              <w:tc>
                <w:tcPr>
                  <w:tcW w:w="2795" w:type="dxa"/>
                  <w:tcBorders>
                    <w:tl2br w:val="nil"/>
                    <w:tr2bl w:val="nil"/>
                  </w:tcBorders>
                  <w:vAlign w:val="center"/>
                </w:tcPr>
                <w:p w14:paraId="6B604C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类比项目</w:t>
                  </w:r>
                </w:p>
              </w:tc>
              <w:tc>
                <w:tcPr>
                  <w:tcW w:w="2796" w:type="dxa"/>
                  <w:tcBorders>
                    <w:tl2br w:val="nil"/>
                    <w:tr2bl w:val="nil"/>
                  </w:tcBorders>
                  <w:vAlign w:val="center"/>
                </w:tcPr>
                <w:p w14:paraId="259091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本项目</w:t>
                  </w:r>
                </w:p>
              </w:tc>
              <w:tc>
                <w:tcPr>
                  <w:tcW w:w="928" w:type="dxa"/>
                  <w:tcBorders>
                    <w:tl2br w:val="nil"/>
                    <w:tr2bl w:val="nil"/>
                  </w:tcBorders>
                  <w:vAlign w:val="center"/>
                </w:tcPr>
                <w:p w14:paraId="17FE65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类比性分析</w:t>
                  </w:r>
                </w:p>
              </w:tc>
            </w:tr>
            <w:tr w14:paraId="669980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3" w:type="dxa"/>
                  <w:tcBorders>
                    <w:tl2br w:val="nil"/>
                    <w:tr2bl w:val="nil"/>
                  </w:tcBorders>
                  <w:vAlign w:val="center"/>
                </w:tcPr>
                <w:p w14:paraId="022988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性质</w:t>
                  </w:r>
                </w:p>
              </w:tc>
              <w:tc>
                <w:tcPr>
                  <w:tcW w:w="2795" w:type="dxa"/>
                  <w:tcBorders>
                    <w:tl2br w:val="nil"/>
                    <w:tr2bl w:val="nil"/>
                  </w:tcBorders>
                  <w:vAlign w:val="center"/>
                </w:tcPr>
                <w:p w14:paraId="63BF67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新建动物医院</w:t>
                  </w:r>
                </w:p>
              </w:tc>
              <w:tc>
                <w:tcPr>
                  <w:tcW w:w="2796" w:type="dxa"/>
                  <w:tcBorders>
                    <w:tl2br w:val="nil"/>
                    <w:tr2bl w:val="nil"/>
                  </w:tcBorders>
                  <w:vAlign w:val="center"/>
                </w:tcPr>
                <w:p w14:paraId="4F2306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新建动物医院</w:t>
                  </w:r>
                </w:p>
              </w:tc>
              <w:tc>
                <w:tcPr>
                  <w:tcW w:w="928" w:type="dxa"/>
                  <w:tcBorders>
                    <w:tl2br w:val="nil"/>
                    <w:tr2bl w:val="nil"/>
                  </w:tcBorders>
                  <w:vAlign w:val="center"/>
                </w:tcPr>
                <w:p w14:paraId="078FA5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相同</w:t>
                  </w:r>
                </w:p>
              </w:tc>
            </w:tr>
            <w:tr w14:paraId="4F667C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3" w:type="dxa"/>
                  <w:tcBorders>
                    <w:tl2br w:val="nil"/>
                    <w:tr2bl w:val="nil"/>
                  </w:tcBorders>
                  <w:vAlign w:val="center"/>
                </w:tcPr>
                <w:p w14:paraId="3F7C9A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主要经营内容</w:t>
                  </w:r>
                </w:p>
              </w:tc>
              <w:tc>
                <w:tcPr>
                  <w:tcW w:w="2795" w:type="dxa"/>
                  <w:tcBorders>
                    <w:tl2br w:val="nil"/>
                    <w:tr2bl w:val="nil"/>
                  </w:tcBorders>
                  <w:vAlign w:val="center"/>
                </w:tcPr>
                <w:p w14:paraId="7B6D08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动物美容洗浴、诊疗及手术（含三腔手术）</w:t>
                  </w:r>
                </w:p>
              </w:tc>
              <w:tc>
                <w:tcPr>
                  <w:tcW w:w="2796" w:type="dxa"/>
                  <w:tcBorders>
                    <w:tl2br w:val="nil"/>
                    <w:tr2bl w:val="nil"/>
                  </w:tcBorders>
                  <w:vAlign w:val="center"/>
                </w:tcPr>
                <w:p w14:paraId="362B41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动物美容洗浴、诊疗及手术（含三腔手术）</w:t>
                  </w:r>
                </w:p>
              </w:tc>
              <w:tc>
                <w:tcPr>
                  <w:tcW w:w="928" w:type="dxa"/>
                  <w:tcBorders>
                    <w:tl2br w:val="nil"/>
                    <w:tr2bl w:val="nil"/>
                  </w:tcBorders>
                  <w:vAlign w:val="center"/>
                </w:tcPr>
                <w:p w14:paraId="697B92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相同</w:t>
                  </w:r>
                </w:p>
              </w:tc>
            </w:tr>
            <w:tr w14:paraId="28EFD2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3" w:type="dxa"/>
                  <w:tcBorders>
                    <w:tl2br w:val="nil"/>
                    <w:tr2bl w:val="nil"/>
                  </w:tcBorders>
                  <w:vAlign w:val="center"/>
                </w:tcPr>
                <w:p w14:paraId="45202C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接诊类型</w:t>
                  </w:r>
                </w:p>
              </w:tc>
              <w:tc>
                <w:tcPr>
                  <w:tcW w:w="2795" w:type="dxa"/>
                  <w:tcBorders>
                    <w:tl2br w:val="nil"/>
                    <w:tr2bl w:val="nil"/>
                  </w:tcBorders>
                  <w:vAlign w:val="center"/>
                </w:tcPr>
                <w:p w14:paraId="44A2F0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接待猫、狗动物20例/日</w:t>
                  </w:r>
                </w:p>
              </w:tc>
              <w:tc>
                <w:tcPr>
                  <w:tcW w:w="2796" w:type="dxa"/>
                  <w:tcBorders>
                    <w:tl2br w:val="nil"/>
                    <w:tr2bl w:val="nil"/>
                  </w:tcBorders>
                  <w:vAlign w:val="center"/>
                </w:tcPr>
                <w:p w14:paraId="6A0B80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接待猫、狗动物6例/日</w:t>
                  </w:r>
                </w:p>
              </w:tc>
              <w:tc>
                <w:tcPr>
                  <w:tcW w:w="928" w:type="dxa"/>
                  <w:tcBorders>
                    <w:tl2br w:val="nil"/>
                    <w:tr2bl w:val="nil"/>
                  </w:tcBorders>
                  <w:vAlign w:val="center"/>
                </w:tcPr>
                <w:p w14:paraId="66AB45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少于类比项目</w:t>
                  </w:r>
                </w:p>
              </w:tc>
            </w:tr>
            <w:tr w14:paraId="240804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3" w:type="dxa"/>
                  <w:tcBorders>
                    <w:tl2br w:val="nil"/>
                    <w:tr2bl w:val="nil"/>
                  </w:tcBorders>
                  <w:vAlign w:val="center"/>
                </w:tcPr>
                <w:p w14:paraId="298003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污染物种类</w:t>
                  </w:r>
                </w:p>
              </w:tc>
              <w:tc>
                <w:tcPr>
                  <w:tcW w:w="2795" w:type="dxa"/>
                  <w:tcBorders>
                    <w:tl2br w:val="nil"/>
                    <w:tr2bl w:val="nil"/>
                  </w:tcBorders>
                  <w:vAlign w:val="center"/>
                </w:tcPr>
                <w:p w14:paraId="513D2A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NH</w:t>
                  </w:r>
                  <w:r>
                    <w:rPr>
                      <w:rFonts w:hint="eastAsia"/>
                      <w:sz w:val="21"/>
                      <w:szCs w:val="21"/>
                      <w:vertAlign w:val="subscript"/>
                      <w:lang w:val="en-US" w:eastAsia="zh-CN"/>
                    </w:rPr>
                    <w:t>3</w:t>
                  </w:r>
                  <w:r>
                    <w:rPr>
                      <w:rFonts w:hint="eastAsia"/>
                      <w:sz w:val="21"/>
                      <w:szCs w:val="21"/>
                      <w:vertAlign w:val="baseline"/>
                      <w:lang w:val="en-US" w:eastAsia="zh-CN"/>
                    </w:rPr>
                    <w:t>、H</w:t>
                  </w:r>
                  <w:r>
                    <w:rPr>
                      <w:rFonts w:hint="eastAsia"/>
                      <w:sz w:val="21"/>
                      <w:szCs w:val="21"/>
                      <w:vertAlign w:val="subscript"/>
                      <w:lang w:val="en-US" w:eastAsia="zh-CN"/>
                    </w:rPr>
                    <w:t>2</w:t>
                  </w:r>
                  <w:r>
                    <w:rPr>
                      <w:rFonts w:hint="eastAsia"/>
                      <w:sz w:val="21"/>
                      <w:szCs w:val="21"/>
                      <w:vertAlign w:val="baseline"/>
                      <w:lang w:val="en-US" w:eastAsia="zh-CN"/>
                    </w:rPr>
                    <w:t>S、臭气浓度</w:t>
                  </w:r>
                </w:p>
              </w:tc>
              <w:tc>
                <w:tcPr>
                  <w:tcW w:w="2796" w:type="dxa"/>
                  <w:tcBorders>
                    <w:tl2br w:val="nil"/>
                    <w:tr2bl w:val="nil"/>
                  </w:tcBorders>
                  <w:vAlign w:val="center"/>
                </w:tcPr>
                <w:p w14:paraId="5A6CAF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NH</w:t>
                  </w:r>
                  <w:r>
                    <w:rPr>
                      <w:rFonts w:hint="eastAsia"/>
                      <w:sz w:val="21"/>
                      <w:szCs w:val="21"/>
                      <w:vertAlign w:val="subscript"/>
                      <w:lang w:val="en-US" w:eastAsia="zh-CN"/>
                    </w:rPr>
                    <w:t>3</w:t>
                  </w:r>
                  <w:r>
                    <w:rPr>
                      <w:rFonts w:hint="eastAsia"/>
                      <w:sz w:val="21"/>
                      <w:szCs w:val="21"/>
                      <w:vertAlign w:val="baseline"/>
                      <w:lang w:val="en-US" w:eastAsia="zh-CN"/>
                    </w:rPr>
                    <w:t>、H</w:t>
                  </w:r>
                  <w:r>
                    <w:rPr>
                      <w:rFonts w:hint="eastAsia"/>
                      <w:sz w:val="21"/>
                      <w:szCs w:val="21"/>
                      <w:vertAlign w:val="subscript"/>
                      <w:lang w:val="en-US" w:eastAsia="zh-CN"/>
                    </w:rPr>
                    <w:t>2</w:t>
                  </w:r>
                  <w:r>
                    <w:rPr>
                      <w:rFonts w:hint="eastAsia"/>
                      <w:sz w:val="21"/>
                      <w:szCs w:val="21"/>
                      <w:vertAlign w:val="baseline"/>
                      <w:lang w:val="en-US" w:eastAsia="zh-CN"/>
                    </w:rPr>
                    <w:t>S、臭气浓度</w:t>
                  </w:r>
                </w:p>
              </w:tc>
              <w:tc>
                <w:tcPr>
                  <w:tcW w:w="928" w:type="dxa"/>
                  <w:tcBorders>
                    <w:tl2br w:val="nil"/>
                    <w:tr2bl w:val="nil"/>
                  </w:tcBorders>
                  <w:vAlign w:val="center"/>
                </w:tcPr>
                <w:p w14:paraId="173D9B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相同</w:t>
                  </w:r>
                </w:p>
              </w:tc>
            </w:tr>
            <w:tr w14:paraId="069A24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3" w:type="dxa"/>
                  <w:tcBorders>
                    <w:tl2br w:val="nil"/>
                    <w:tr2bl w:val="nil"/>
                  </w:tcBorders>
                  <w:vAlign w:val="center"/>
                </w:tcPr>
                <w:p w14:paraId="7A3D56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废气主要治理措施</w:t>
                  </w:r>
                </w:p>
              </w:tc>
              <w:tc>
                <w:tcPr>
                  <w:tcW w:w="2795" w:type="dxa"/>
                  <w:tcBorders>
                    <w:tl2br w:val="nil"/>
                    <w:tr2bl w:val="nil"/>
                  </w:tcBorders>
                  <w:vAlign w:val="center"/>
                </w:tcPr>
                <w:p w14:paraId="739606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笼子下方放有托盘，托盘中放置猫砂便于吸收粪尿，动物粪尿被猫砂吸收包裹后及时由医护人员清理并装入专门的密封袋中密封保存，将动物粪尿散发的恶臭降至最低；关闭门窗，各科室异味进行统一收集后汇集到通风管道中，异味经活性炭吸附处理后从项目东侧排风口排出室外。</w:t>
                  </w:r>
                </w:p>
              </w:tc>
              <w:tc>
                <w:tcPr>
                  <w:tcW w:w="2796" w:type="dxa"/>
                  <w:tcBorders>
                    <w:tl2br w:val="nil"/>
                    <w:tr2bl w:val="nil"/>
                  </w:tcBorders>
                  <w:vAlign w:val="center"/>
                </w:tcPr>
                <w:p w14:paraId="13721D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笼子下方放有托盘，托盘中放置猫砂便于吸收粪尿，动物粪尿被猫砂吸收包裹后及时由医护人员清理并装入专门的密封袋中密封保存，将动物粪尿散发的恶臭降至最低；关闭门窗，各科室异味进行统一收集后汇集到通风管道中，异味经活性炭吸附处理后从项目东侧排风口排出室外。</w:t>
                  </w:r>
                </w:p>
              </w:tc>
              <w:tc>
                <w:tcPr>
                  <w:tcW w:w="928" w:type="dxa"/>
                  <w:tcBorders>
                    <w:tl2br w:val="nil"/>
                    <w:tr2bl w:val="nil"/>
                  </w:tcBorders>
                  <w:vAlign w:val="center"/>
                </w:tcPr>
                <w:p w14:paraId="201C09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相同</w:t>
                  </w:r>
                </w:p>
              </w:tc>
            </w:tr>
          </w:tbl>
          <w:p w14:paraId="103C2F84">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根据北京艾妮动物医院有限公司废气监测报告（（WHZ检）字（2021）第1221-1499号），该医院周界废气监测数据为：NH</w:t>
            </w:r>
            <w:r>
              <w:rPr>
                <w:rFonts w:hint="eastAsia"/>
                <w:sz w:val="24"/>
                <w:szCs w:val="24"/>
                <w:vertAlign w:val="subscript"/>
                <w:lang w:val="en-US" w:eastAsia="zh-CN"/>
              </w:rPr>
              <w:t>3</w:t>
            </w:r>
            <w:r>
              <w:rPr>
                <w:rFonts w:hint="eastAsia"/>
                <w:sz w:val="24"/>
                <w:szCs w:val="24"/>
                <w:lang w:val="en-US" w:eastAsia="zh-CN"/>
              </w:rPr>
              <w:t>最大浓度为0.02mg/m</w:t>
            </w:r>
            <w:r>
              <w:rPr>
                <w:rFonts w:hint="eastAsia"/>
                <w:sz w:val="24"/>
                <w:szCs w:val="24"/>
                <w:vertAlign w:val="superscript"/>
                <w:lang w:val="en-US" w:eastAsia="zh-CN"/>
              </w:rPr>
              <w:t>3</w:t>
            </w:r>
            <w:r>
              <w:rPr>
                <w:rFonts w:hint="eastAsia"/>
                <w:sz w:val="24"/>
                <w:szCs w:val="24"/>
                <w:lang w:val="en-US" w:eastAsia="zh-CN"/>
              </w:rPr>
              <w:t>；H</w:t>
            </w:r>
            <w:r>
              <w:rPr>
                <w:rFonts w:hint="eastAsia"/>
                <w:sz w:val="24"/>
                <w:szCs w:val="24"/>
                <w:vertAlign w:val="subscript"/>
                <w:lang w:val="en-US" w:eastAsia="zh-CN"/>
              </w:rPr>
              <w:t>2</w:t>
            </w:r>
            <w:r>
              <w:rPr>
                <w:rFonts w:hint="eastAsia"/>
                <w:sz w:val="24"/>
                <w:szCs w:val="24"/>
                <w:lang w:val="en-US" w:eastAsia="zh-CN"/>
              </w:rPr>
              <w:t>S浓度0.003mg/m</w:t>
            </w:r>
            <w:r>
              <w:rPr>
                <w:rFonts w:hint="eastAsia"/>
                <w:sz w:val="24"/>
                <w:szCs w:val="24"/>
                <w:vertAlign w:val="superscript"/>
                <w:lang w:val="en-US" w:eastAsia="zh-CN"/>
              </w:rPr>
              <w:t>3</w:t>
            </w:r>
            <w:r>
              <w:rPr>
                <w:rFonts w:hint="eastAsia"/>
                <w:sz w:val="24"/>
                <w:szCs w:val="24"/>
                <w:lang w:val="en-US" w:eastAsia="zh-CN"/>
              </w:rPr>
              <w:t>；臭气浓度（无量纲）均小于10。本项目与北京艾妮动物医院有限公司项目类似，异味进行统一收集后汇集到排风管道中通过活性炭净化装置处理后经排风口排出室外，通过扩散后预测本项目无组织排放的废气中各污染物厂界NH</w:t>
            </w:r>
            <w:r>
              <w:rPr>
                <w:rFonts w:hint="eastAsia"/>
                <w:sz w:val="24"/>
                <w:szCs w:val="24"/>
                <w:vertAlign w:val="subscript"/>
                <w:lang w:val="en-US" w:eastAsia="zh-CN"/>
              </w:rPr>
              <w:t>3</w:t>
            </w:r>
            <w:r>
              <w:rPr>
                <w:rFonts w:hint="eastAsia"/>
                <w:sz w:val="24"/>
                <w:szCs w:val="24"/>
                <w:lang w:val="en-US" w:eastAsia="zh-CN"/>
              </w:rPr>
              <w:t>排放浓度小于0.02mg/m</w:t>
            </w:r>
            <w:r>
              <w:rPr>
                <w:rFonts w:hint="eastAsia"/>
                <w:sz w:val="24"/>
                <w:szCs w:val="24"/>
                <w:vertAlign w:val="superscript"/>
                <w:lang w:val="en-US" w:eastAsia="zh-CN"/>
              </w:rPr>
              <w:t>3</w:t>
            </w:r>
            <w:r>
              <w:rPr>
                <w:rFonts w:hint="eastAsia"/>
                <w:sz w:val="24"/>
                <w:szCs w:val="24"/>
                <w:lang w:val="en-US" w:eastAsia="zh-CN"/>
              </w:rPr>
              <w:t>，H</w:t>
            </w:r>
            <w:r>
              <w:rPr>
                <w:rFonts w:hint="eastAsia"/>
                <w:sz w:val="24"/>
                <w:szCs w:val="24"/>
                <w:vertAlign w:val="subscript"/>
                <w:lang w:val="en-US" w:eastAsia="zh-CN"/>
              </w:rPr>
              <w:t>2</w:t>
            </w:r>
            <w:r>
              <w:rPr>
                <w:rFonts w:hint="eastAsia"/>
                <w:sz w:val="24"/>
                <w:szCs w:val="24"/>
                <w:lang w:val="en-US" w:eastAsia="zh-CN"/>
              </w:rPr>
              <w:t>S浓度小于0.003mg/m</w:t>
            </w:r>
            <w:r>
              <w:rPr>
                <w:rFonts w:hint="eastAsia"/>
                <w:sz w:val="24"/>
                <w:szCs w:val="24"/>
                <w:vertAlign w:val="superscript"/>
                <w:lang w:val="en-US" w:eastAsia="zh-CN"/>
              </w:rPr>
              <w:t>3</w:t>
            </w:r>
            <w:r>
              <w:rPr>
                <w:rFonts w:hint="eastAsia"/>
                <w:sz w:val="24"/>
                <w:szCs w:val="24"/>
                <w:lang w:val="en-US" w:eastAsia="zh-CN"/>
              </w:rPr>
              <w:t>，臭气浓度（无量纲）小于10。</w:t>
            </w:r>
          </w:p>
          <w:p w14:paraId="688EAD39">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本项目厂界项目异味废气中各项污染物产生及排放情况如下表所示。</w:t>
            </w:r>
          </w:p>
          <w:p w14:paraId="504B3A06">
            <w:pPr>
              <w:pStyle w:val="11"/>
              <w:bidi w:val="0"/>
              <w:rPr>
                <w:rFonts w:hint="eastAsia"/>
                <w:lang w:val="en-US" w:eastAsia="zh-CN"/>
              </w:rPr>
            </w:pPr>
            <w:r>
              <w:rPr>
                <w:rFonts w:hint="eastAsia"/>
                <w:lang w:val="en-US" w:eastAsia="zh-CN"/>
              </w:rPr>
              <w:t>表4-6 项目废气排放情况汇总表（臭气浓度无量纲）</w:t>
            </w:r>
          </w:p>
          <w:tbl>
            <w:tblPr>
              <w:tblStyle w:val="9"/>
              <w:tblW w:w="802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077"/>
              <w:gridCol w:w="1432"/>
              <w:gridCol w:w="1227"/>
              <w:gridCol w:w="2427"/>
              <w:gridCol w:w="1181"/>
            </w:tblGrid>
            <w:tr w14:paraId="18C050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dxa"/>
                  <w:tcBorders>
                    <w:tl2br w:val="nil"/>
                    <w:tr2bl w:val="nil"/>
                  </w:tcBorders>
                  <w:vAlign w:val="center"/>
                </w:tcPr>
                <w:p w14:paraId="28BD65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序号</w:t>
                  </w:r>
                </w:p>
              </w:tc>
              <w:tc>
                <w:tcPr>
                  <w:tcW w:w="1077" w:type="dxa"/>
                  <w:tcBorders>
                    <w:tl2br w:val="nil"/>
                    <w:tr2bl w:val="nil"/>
                  </w:tcBorders>
                  <w:vAlign w:val="center"/>
                </w:tcPr>
                <w:p w14:paraId="6FD038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污染源</w:t>
                  </w:r>
                </w:p>
              </w:tc>
              <w:tc>
                <w:tcPr>
                  <w:tcW w:w="1432" w:type="dxa"/>
                  <w:tcBorders>
                    <w:tl2br w:val="nil"/>
                    <w:tr2bl w:val="nil"/>
                  </w:tcBorders>
                  <w:vAlign w:val="center"/>
                </w:tcPr>
                <w:p w14:paraId="6C31E9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污染物</w:t>
                  </w:r>
                </w:p>
              </w:tc>
              <w:tc>
                <w:tcPr>
                  <w:tcW w:w="1227" w:type="dxa"/>
                  <w:tcBorders>
                    <w:tl2br w:val="nil"/>
                    <w:tr2bl w:val="nil"/>
                  </w:tcBorders>
                  <w:vAlign w:val="center"/>
                </w:tcPr>
                <w:p w14:paraId="210649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排放方式</w:t>
                  </w:r>
                </w:p>
              </w:tc>
              <w:tc>
                <w:tcPr>
                  <w:tcW w:w="2427" w:type="dxa"/>
                  <w:tcBorders>
                    <w:tl2br w:val="nil"/>
                    <w:tr2bl w:val="nil"/>
                  </w:tcBorders>
                  <w:vAlign w:val="center"/>
                </w:tcPr>
                <w:p w14:paraId="594BF1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项目排放浓度</w:t>
                  </w:r>
                </w:p>
              </w:tc>
              <w:tc>
                <w:tcPr>
                  <w:tcW w:w="1181" w:type="dxa"/>
                  <w:tcBorders>
                    <w:tl2br w:val="nil"/>
                    <w:tr2bl w:val="nil"/>
                  </w:tcBorders>
                  <w:vAlign w:val="center"/>
                </w:tcPr>
                <w:p w14:paraId="2B2C35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排放标准</w:t>
                  </w:r>
                </w:p>
              </w:tc>
            </w:tr>
            <w:tr w14:paraId="267271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dxa"/>
                  <w:tcBorders>
                    <w:tl2br w:val="nil"/>
                    <w:tr2bl w:val="nil"/>
                  </w:tcBorders>
                  <w:vAlign w:val="center"/>
                </w:tcPr>
                <w:p w14:paraId="1D85B5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1077" w:type="dxa"/>
                  <w:vMerge w:val="restart"/>
                  <w:tcBorders>
                    <w:tl2br w:val="nil"/>
                    <w:tr2bl w:val="nil"/>
                  </w:tcBorders>
                  <w:vAlign w:val="center"/>
                </w:tcPr>
                <w:p w14:paraId="39D611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就诊动物</w:t>
                  </w:r>
                </w:p>
              </w:tc>
              <w:tc>
                <w:tcPr>
                  <w:tcW w:w="1432" w:type="dxa"/>
                  <w:tcBorders>
                    <w:tl2br w:val="nil"/>
                    <w:tr2bl w:val="nil"/>
                  </w:tcBorders>
                  <w:vAlign w:val="center"/>
                </w:tcPr>
                <w:p w14:paraId="18A1F7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H</w:t>
                  </w:r>
                  <w:r>
                    <w:rPr>
                      <w:rFonts w:hint="eastAsia"/>
                      <w:sz w:val="21"/>
                      <w:szCs w:val="21"/>
                      <w:vertAlign w:val="subscript"/>
                      <w:lang w:val="en-US" w:eastAsia="zh-CN"/>
                    </w:rPr>
                    <w:t>2</w:t>
                  </w:r>
                  <w:r>
                    <w:rPr>
                      <w:rFonts w:hint="eastAsia"/>
                      <w:sz w:val="21"/>
                      <w:szCs w:val="21"/>
                      <w:vertAlign w:val="baseline"/>
                      <w:lang w:val="en-US" w:eastAsia="zh-CN"/>
                    </w:rPr>
                    <w:t>S</w:t>
                  </w:r>
                </w:p>
              </w:tc>
              <w:tc>
                <w:tcPr>
                  <w:tcW w:w="1227" w:type="dxa"/>
                  <w:vMerge w:val="restart"/>
                  <w:tcBorders>
                    <w:tl2br w:val="nil"/>
                    <w:tr2bl w:val="nil"/>
                  </w:tcBorders>
                  <w:vAlign w:val="center"/>
                </w:tcPr>
                <w:p w14:paraId="7954DE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无组织</w:t>
                  </w:r>
                </w:p>
              </w:tc>
              <w:tc>
                <w:tcPr>
                  <w:tcW w:w="2427" w:type="dxa"/>
                  <w:tcBorders>
                    <w:tl2br w:val="nil"/>
                    <w:tr2bl w:val="nil"/>
                  </w:tcBorders>
                  <w:vAlign w:val="center"/>
                </w:tcPr>
                <w:p w14:paraId="78D197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0.003mg/m</w:t>
                  </w:r>
                  <w:r>
                    <w:rPr>
                      <w:rFonts w:hint="eastAsia"/>
                      <w:sz w:val="21"/>
                      <w:szCs w:val="21"/>
                      <w:vertAlign w:val="superscript"/>
                      <w:lang w:val="en-US" w:eastAsia="zh-CN"/>
                    </w:rPr>
                    <w:t>3</w:t>
                  </w:r>
                </w:p>
              </w:tc>
              <w:tc>
                <w:tcPr>
                  <w:tcW w:w="1181" w:type="dxa"/>
                  <w:tcBorders>
                    <w:tl2br w:val="nil"/>
                    <w:tr2bl w:val="nil"/>
                  </w:tcBorders>
                  <w:vAlign w:val="center"/>
                </w:tcPr>
                <w:p w14:paraId="3692BC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0.01mg/m</w:t>
                  </w:r>
                  <w:r>
                    <w:rPr>
                      <w:rFonts w:hint="eastAsia"/>
                      <w:sz w:val="21"/>
                      <w:szCs w:val="21"/>
                      <w:vertAlign w:val="superscript"/>
                      <w:lang w:val="en-US" w:eastAsia="zh-CN"/>
                    </w:rPr>
                    <w:t>3</w:t>
                  </w:r>
                </w:p>
              </w:tc>
            </w:tr>
            <w:tr w14:paraId="1CDDF1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dxa"/>
                  <w:tcBorders>
                    <w:tl2br w:val="nil"/>
                    <w:tr2bl w:val="nil"/>
                  </w:tcBorders>
                  <w:vAlign w:val="center"/>
                </w:tcPr>
                <w:p w14:paraId="31D8C4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w:t>
                  </w:r>
                </w:p>
              </w:tc>
              <w:tc>
                <w:tcPr>
                  <w:tcW w:w="1077" w:type="dxa"/>
                  <w:vMerge w:val="continue"/>
                  <w:tcBorders>
                    <w:tl2br w:val="nil"/>
                    <w:tr2bl w:val="nil"/>
                  </w:tcBorders>
                  <w:vAlign w:val="center"/>
                </w:tcPr>
                <w:p w14:paraId="05AD9A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432" w:type="dxa"/>
                  <w:tcBorders>
                    <w:tl2br w:val="nil"/>
                    <w:tr2bl w:val="nil"/>
                  </w:tcBorders>
                  <w:vAlign w:val="center"/>
                </w:tcPr>
                <w:p w14:paraId="237C82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NH</w:t>
                  </w:r>
                  <w:r>
                    <w:rPr>
                      <w:rFonts w:hint="eastAsia"/>
                      <w:sz w:val="21"/>
                      <w:szCs w:val="21"/>
                      <w:vertAlign w:val="subscript"/>
                      <w:lang w:val="en-US" w:eastAsia="zh-CN"/>
                    </w:rPr>
                    <w:t>3</w:t>
                  </w:r>
                </w:p>
              </w:tc>
              <w:tc>
                <w:tcPr>
                  <w:tcW w:w="1227" w:type="dxa"/>
                  <w:vMerge w:val="continue"/>
                  <w:tcBorders>
                    <w:tl2br w:val="nil"/>
                    <w:tr2bl w:val="nil"/>
                  </w:tcBorders>
                  <w:vAlign w:val="center"/>
                </w:tcPr>
                <w:p w14:paraId="54057F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2427" w:type="dxa"/>
                  <w:tcBorders>
                    <w:tl2br w:val="nil"/>
                    <w:tr2bl w:val="nil"/>
                  </w:tcBorders>
                  <w:vAlign w:val="center"/>
                </w:tcPr>
                <w:p w14:paraId="0004A5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0.02mg/m</w:t>
                  </w:r>
                  <w:r>
                    <w:rPr>
                      <w:rFonts w:hint="eastAsia"/>
                      <w:sz w:val="21"/>
                      <w:szCs w:val="21"/>
                      <w:vertAlign w:val="superscript"/>
                      <w:lang w:val="en-US" w:eastAsia="zh-CN"/>
                    </w:rPr>
                    <w:t>3</w:t>
                  </w:r>
                </w:p>
              </w:tc>
              <w:tc>
                <w:tcPr>
                  <w:tcW w:w="1181" w:type="dxa"/>
                  <w:tcBorders>
                    <w:tl2br w:val="nil"/>
                    <w:tr2bl w:val="nil"/>
                  </w:tcBorders>
                  <w:vAlign w:val="center"/>
                </w:tcPr>
                <w:p w14:paraId="36D5FB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0.2mg/m</w:t>
                  </w:r>
                  <w:r>
                    <w:rPr>
                      <w:rFonts w:hint="eastAsia"/>
                      <w:sz w:val="21"/>
                      <w:szCs w:val="21"/>
                      <w:vertAlign w:val="superscript"/>
                      <w:lang w:val="en-US" w:eastAsia="zh-CN"/>
                    </w:rPr>
                    <w:t>3</w:t>
                  </w:r>
                </w:p>
              </w:tc>
            </w:tr>
            <w:tr w14:paraId="60B819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dxa"/>
                  <w:tcBorders>
                    <w:tl2br w:val="nil"/>
                    <w:tr2bl w:val="nil"/>
                  </w:tcBorders>
                  <w:vAlign w:val="center"/>
                </w:tcPr>
                <w:p w14:paraId="7F4D9A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w:t>
                  </w:r>
                </w:p>
              </w:tc>
              <w:tc>
                <w:tcPr>
                  <w:tcW w:w="1077" w:type="dxa"/>
                  <w:vMerge w:val="continue"/>
                  <w:tcBorders>
                    <w:tl2br w:val="nil"/>
                    <w:tr2bl w:val="nil"/>
                  </w:tcBorders>
                  <w:vAlign w:val="center"/>
                </w:tcPr>
                <w:p w14:paraId="45B8C9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432" w:type="dxa"/>
                  <w:tcBorders>
                    <w:tl2br w:val="nil"/>
                    <w:tr2bl w:val="nil"/>
                  </w:tcBorders>
                  <w:vAlign w:val="center"/>
                </w:tcPr>
                <w:p w14:paraId="79015A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臭气浓度</w:t>
                  </w:r>
                </w:p>
                <w:p w14:paraId="7B326E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（无量纲）</w:t>
                  </w:r>
                </w:p>
              </w:tc>
              <w:tc>
                <w:tcPr>
                  <w:tcW w:w="1227" w:type="dxa"/>
                  <w:vMerge w:val="continue"/>
                  <w:tcBorders>
                    <w:tl2br w:val="nil"/>
                    <w:tr2bl w:val="nil"/>
                  </w:tcBorders>
                  <w:vAlign w:val="center"/>
                </w:tcPr>
                <w:p w14:paraId="7A2290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2427" w:type="dxa"/>
                  <w:tcBorders>
                    <w:tl2br w:val="nil"/>
                    <w:tr2bl w:val="nil"/>
                  </w:tcBorders>
                  <w:vAlign w:val="center"/>
                </w:tcPr>
                <w:p w14:paraId="67ECF6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＜10</w:t>
                  </w:r>
                </w:p>
              </w:tc>
              <w:tc>
                <w:tcPr>
                  <w:tcW w:w="1181" w:type="dxa"/>
                  <w:tcBorders>
                    <w:tl2br w:val="nil"/>
                    <w:tr2bl w:val="nil"/>
                  </w:tcBorders>
                  <w:vAlign w:val="center"/>
                </w:tcPr>
                <w:p w14:paraId="50167F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20</w:t>
                  </w:r>
                </w:p>
              </w:tc>
            </w:tr>
          </w:tbl>
          <w:p w14:paraId="79FE8D18">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（3）废气污染物防治措施可行性分析</w:t>
            </w:r>
          </w:p>
          <w:p w14:paraId="6C06E86E">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本项目接诊的宠物均为小猫、小狗，接诊量较小，且绝大部分宠物不长时间停留。宠物在医院内产生的粪便量极少，实际产生的异味较少，污染物浓度较低。建设单位可以通过加强管理，从污染源头减少异味散发。如对需要留观或等候的宠物置于宠物笼中，笼子下方放置猫砂托盘或尿垫等。宠物粪尿被猫砂、尿垫吸收包裹后及时由医护人员清理并装入专门的密封袋中密封保存，将宠物粪尿散发的恶臭降至最低。同时，在运营期工作时段内，对各科室均关闭门窗。对手术室、诊室等医院各房间，以及宠物笼等设施及时清洁、清理、清洗，并喷洒空气清新剂、除臭剂等清除覆盖异味，进一步避免臭味逸散造成对周围住宅居民的影响。</w:t>
            </w:r>
          </w:p>
          <w:p w14:paraId="37F0F7B1">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此外，建设单位设有排风系统，集中对室内进行排风换气。室内异味统一收集后汇集到排风管道中通过活性炭净化装置处理后经排风口排出室外。</w:t>
            </w:r>
          </w:p>
          <w:p w14:paraId="723FD154">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项目设置1台活性炭净化装置及配套排风风机，位于吊顶内。排风系统共设1个排风口，位于项目东侧，排风口高3.4m。根据《国家危险废物名录（2025版）》，吸附异味使用的活性炭不在危险废物名录范围之内，应属于一般工业固体废物。项目活性炭装置内的废活性炭定期更换，更换下的废活性炭暂存于医疗废物暂存间，定期委托有资质单位处理处置。</w:t>
            </w:r>
          </w:p>
          <w:p w14:paraId="25EA9F4E">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本项目活性炭吸附气态污染物饱合时间及用量可用下列公式计算：</w:t>
            </w:r>
          </w:p>
          <w:p w14:paraId="12AF1CE5">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m:oMathPara>
              <m:oMath>
                <m:r>
                  <m:rPr>
                    <m:sty m:val="p"/>
                  </m:rPr>
                  <w:rPr>
                    <w:rFonts w:hint="default" w:ascii="Cambria Math" w:hAnsi="Cambria Math" w:cstheme="minorBidi"/>
                    <w:kern w:val="2"/>
                    <w:sz w:val="24"/>
                    <w:szCs w:val="24"/>
                    <w:lang w:val="en-US" w:eastAsia="zh-CN" w:bidi="ar-SA"/>
                  </w:rPr>
                  <m:t>T=</m:t>
                </m:r>
                <m:f>
                  <m:fPr>
                    <m:ctrlPr>
                      <w:rPr>
                        <w:rFonts w:hint="default" w:ascii="Cambria Math" w:hAnsi="Cambria Math" w:cstheme="minorBidi"/>
                        <w:kern w:val="2"/>
                        <w:sz w:val="24"/>
                        <w:szCs w:val="24"/>
                        <w:lang w:val="en-US" w:eastAsia="zh-CN" w:bidi="ar-SA"/>
                      </w:rPr>
                    </m:ctrlPr>
                  </m:fPr>
                  <m:num>
                    <m:r>
                      <m:rPr>
                        <m:sty m:val="p"/>
                      </m:rPr>
                      <w:rPr>
                        <w:rFonts w:hint="default" w:ascii="Cambria Math" w:hAnsi="Cambria Math" w:cstheme="minorBidi"/>
                        <w:kern w:val="2"/>
                        <w:sz w:val="24"/>
                        <w:szCs w:val="24"/>
                        <w:lang w:val="en-US" w:eastAsia="zh-CN" w:bidi="ar-SA"/>
                      </w:rPr>
                      <m:t>m</m:t>
                    </m:r>
                    <m:r>
                      <m:rPr>
                        <m:sty m:val="p"/>
                      </m:rPr>
                      <w:rPr>
                        <w:rFonts w:ascii="Cambria Math" w:hAnsi="Cambria Math" w:cstheme="minorBidi"/>
                        <w:kern w:val="2"/>
                        <w:sz w:val="24"/>
                        <w:szCs w:val="24"/>
                        <w:lang w:val="en-US" w:bidi="ar-SA"/>
                      </w:rPr>
                      <m:t>×</m:t>
                    </m:r>
                    <m:r>
                      <m:rPr>
                        <m:sty m:val="p"/>
                      </m:rPr>
                      <w:rPr>
                        <w:rFonts w:hint="default" w:ascii="Cambria Math" w:hAnsi="Cambria Math" w:cstheme="minorBidi"/>
                        <w:kern w:val="2"/>
                        <w:sz w:val="24"/>
                        <w:szCs w:val="24"/>
                        <w:lang w:val="en-US" w:eastAsia="zh-CN" w:bidi="ar-SA"/>
                      </w:rPr>
                      <m:t>S</m:t>
                    </m:r>
                    <m:ctrlPr>
                      <w:rPr>
                        <w:rFonts w:hint="default" w:ascii="Cambria Math" w:hAnsi="Cambria Math" w:cstheme="minorBidi"/>
                        <w:kern w:val="2"/>
                        <w:sz w:val="24"/>
                        <w:szCs w:val="24"/>
                        <w:lang w:val="en-US" w:eastAsia="zh-CN" w:bidi="ar-SA"/>
                      </w:rPr>
                    </m:ctrlPr>
                  </m:num>
                  <m:den>
                    <m:r>
                      <m:rPr>
                        <m:sty m:val="p"/>
                      </m:rPr>
                      <w:rPr>
                        <w:rFonts w:hint="default" w:ascii="Cambria Math" w:hAnsi="Cambria Math" w:cstheme="minorBidi"/>
                        <w:kern w:val="2"/>
                        <w:sz w:val="24"/>
                        <w:szCs w:val="24"/>
                        <w:lang w:val="en-US" w:eastAsia="zh-CN" w:bidi="ar-SA"/>
                      </w:rPr>
                      <m:t>C</m:t>
                    </m:r>
                    <m:r>
                      <m:rPr>
                        <m:sty m:val="p"/>
                      </m:rPr>
                      <w:rPr>
                        <w:rFonts w:ascii="Cambria Math" w:hAnsi="Cambria Math" w:cstheme="minorBidi"/>
                        <w:kern w:val="2"/>
                        <w:sz w:val="24"/>
                        <w:szCs w:val="24"/>
                        <w:lang w:val="en-US" w:bidi="ar-SA"/>
                      </w:rPr>
                      <m:t>×</m:t>
                    </m:r>
                    <m:sSup>
                      <m:sSupPr>
                        <m:ctrlPr>
                          <w:rPr>
                            <w:rFonts w:ascii="Cambria Math" w:hAnsi="Cambria Math" w:cstheme="minorBidi"/>
                            <w:kern w:val="2"/>
                            <w:sz w:val="24"/>
                            <w:szCs w:val="24"/>
                            <w:lang w:val="en-US" w:bidi="ar-SA"/>
                          </w:rPr>
                        </m:ctrlPr>
                      </m:sSupPr>
                      <m:e>
                        <m:r>
                          <m:rPr>
                            <m:sty m:val="p"/>
                          </m:rPr>
                          <w:rPr>
                            <w:rFonts w:hint="default" w:ascii="Cambria Math" w:hAnsi="Cambria Math" w:cstheme="minorBidi"/>
                            <w:kern w:val="2"/>
                            <w:sz w:val="24"/>
                            <w:szCs w:val="24"/>
                            <w:lang w:val="en-US" w:eastAsia="zh-CN" w:bidi="ar-SA"/>
                          </w:rPr>
                          <m:t>10</m:t>
                        </m:r>
                        <m:ctrlPr>
                          <w:rPr>
                            <w:rFonts w:ascii="Cambria Math" w:hAnsi="Cambria Math" w:cstheme="minorBidi"/>
                            <w:kern w:val="2"/>
                            <w:sz w:val="24"/>
                            <w:szCs w:val="24"/>
                            <w:lang w:val="en-US" w:bidi="ar-SA"/>
                          </w:rPr>
                        </m:ctrlPr>
                      </m:e>
                      <m:sup>
                        <m:r>
                          <m:rPr>
                            <m:sty m:val="p"/>
                          </m:rPr>
                          <w:rPr>
                            <w:rFonts w:hint="default" w:ascii="Cambria Math" w:hAnsi="Cambria Math" w:cstheme="minorBidi"/>
                            <w:kern w:val="2"/>
                            <w:sz w:val="24"/>
                            <w:szCs w:val="24"/>
                            <w:lang w:val="en-US" w:eastAsia="zh-CN" w:bidi="ar-SA"/>
                          </w:rPr>
                          <m:t>−6</m:t>
                        </m:r>
                        <m:ctrlPr>
                          <w:rPr>
                            <w:rFonts w:ascii="Cambria Math" w:hAnsi="Cambria Math" w:cstheme="minorBidi"/>
                            <w:kern w:val="2"/>
                            <w:sz w:val="24"/>
                            <w:szCs w:val="24"/>
                            <w:lang w:val="en-US" w:bidi="ar-SA"/>
                          </w:rPr>
                        </m:ctrlPr>
                      </m:sup>
                    </m:sSup>
                    <m:r>
                      <m:rPr>
                        <m:sty m:val="p"/>
                      </m:rPr>
                      <w:rPr>
                        <w:rFonts w:ascii="Cambria Math" w:hAnsi="Cambria Math" w:cstheme="minorBidi"/>
                        <w:kern w:val="2"/>
                        <w:sz w:val="24"/>
                        <w:szCs w:val="24"/>
                        <w:lang w:val="en-US" w:bidi="ar-SA"/>
                      </w:rPr>
                      <m:t>×</m:t>
                    </m:r>
                    <m:r>
                      <m:rPr>
                        <m:sty m:val="p"/>
                      </m:rPr>
                      <w:rPr>
                        <w:rFonts w:hint="default" w:ascii="Cambria Math" w:hAnsi="Cambria Math" w:cstheme="minorBidi"/>
                        <w:kern w:val="2"/>
                        <w:sz w:val="24"/>
                        <w:szCs w:val="24"/>
                        <w:lang w:val="en-US" w:eastAsia="zh-CN" w:bidi="ar-SA"/>
                      </w:rPr>
                      <m:t>Q</m:t>
                    </m:r>
                    <m:r>
                      <m:rPr>
                        <m:sty m:val="p"/>
                      </m:rPr>
                      <w:rPr>
                        <w:rFonts w:ascii="Cambria Math" w:hAnsi="Cambria Math" w:cstheme="minorBidi"/>
                        <w:kern w:val="2"/>
                        <w:sz w:val="24"/>
                        <w:szCs w:val="24"/>
                        <w:lang w:val="en-US" w:bidi="ar-SA"/>
                      </w:rPr>
                      <m:t>×</m:t>
                    </m:r>
                    <m:r>
                      <m:rPr>
                        <m:sty m:val="p"/>
                      </m:rPr>
                      <w:rPr>
                        <w:rFonts w:hint="default" w:ascii="Cambria Math" w:hAnsi="Cambria Math" w:cstheme="minorBidi"/>
                        <w:kern w:val="2"/>
                        <w:sz w:val="24"/>
                        <w:szCs w:val="24"/>
                        <w:lang w:val="en-US" w:eastAsia="zh-CN" w:bidi="ar-SA"/>
                      </w:rPr>
                      <m:t>t</m:t>
                    </m:r>
                    <m:ctrlPr>
                      <w:rPr>
                        <w:rFonts w:hint="default" w:ascii="Cambria Math" w:hAnsi="Cambria Math" w:cstheme="minorBidi"/>
                        <w:kern w:val="2"/>
                        <w:sz w:val="24"/>
                        <w:szCs w:val="24"/>
                        <w:lang w:val="en-US" w:eastAsia="zh-CN" w:bidi="ar-SA"/>
                      </w:rPr>
                    </m:ctrlPr>
                  </m:den>
                </m:f>
              </m:oMath>
            </m:oMathPara>
          </w:p>
          <w:p w14:paraId="45BE9ADE">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式中：</w:t>
            </w:r>
          </w:p>
          <w:p w14:paraId="7D5F3691">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T—更换周期（活性炭饱和时间），d；项目取值264d；</w:t>
            </w:r>
          </w:p>
          <w:p w14:paraId="7DB59FB3">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m—活性炭用量，kg；</w:t>
            </w:r>
          </w:p>
          <w:p w14:paraId="6F3E29E2">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S—动态吸附量，按10%取值；</w:t>
            </w:r>
          </w:p>
          <w:p w14:paraId="66A52CFB">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C—活性炭削减的气态污染物浓度，mg/m</w:t>
            </w:r>
            <w:r>
              <w:rPr>
                <w:rFonts w:hint="eastAsia"/>
                <w:sz w:val="24"/>
                <w:szCs w:val="24"/>
                <w:vertAlign w:val="superscript"/>
                <w:lang w:val="en-US" w:eastAsia="zh-CN"/>
              </w:rPr>
              <w:t>3</w:t>
            </w:r>
            <w:r>
              <w:rPr>
                <w:rFonts w:hint="eastAsia"/>
                <w:sz w:val="24"/>
                <w:szCs w:val="24"/>
                <w:lang w:val="en-US" w:eastAsia="zh-CN"/>
              </w:rPr>
              <w:t>；</w:t>
            </w:r>
          </w:p>
          <w:p w14:paraId="6946587A">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Q—风量，m</w:t>
            </w:r>
            <w:r>
              <w:rPr>
                <w:rFonts w:hint="eastAsia"/>
                <w:sz w:val="24"/>
                <w:szCs w:val="24"/>
                <w:vertAlign w:val="superscript"/>
                <w:lang w:val="en-US" w:eastAsia="zh-CN"/>
              </w:rPr>
              <w:t>3</w:t>
            </w:r>
            <w:r>
              <w:rPr>
                <w:rFonts w:hint="eastAsia"/>
                <w:sz w:val="24"/>
                <w:szCs w:val="24"/>
                <w:lang w:val="en-US" w:eastAsia="zh-CN"/>
              </w:rPr>
              <w:t>/h；项目风机风量1000m</w:t>
            </w:r>
            <w:r>
              <w:rPr>
                <w:rFonts w:hint="eastAsia"/>
                <w:sz w:val="24"/>
                <w:szCs w:val="24"/>
                <w:vertAlign w:val="superscript"/>
                <w:lang w:val="en-US" w:eastAsia="zh-CN"/>
              </w:rPr>
              <w:t>3</w:t>
            </w:r>
            <w:r>
              <w:rPr>
                <w:rFonts w:hint="eastAsia"/>
                <w:sz w:val="24"/>
                <w:szCs w:val="24"/>
                <w:lang w:val="en-US" w:eastAsia="zh-CN"/>
              </w:rPr>
              <w:t>/h；</w:t>
            </w:r>
          </w:p>
          <w:p w14:paraId="707FB547">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t—运行时间，h/d；排风机日运行时间12h。</w:t>
            </w:r>
          </w:p>
          <w:p w14:paraId="73130143">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以1年期活性炭达到饱和的使用量计算，活性炭年用量约为2.1kg时能满足项目1年的废气净化要求。项目净化装置活性炭装填量为2kg，考虑到项目运行过程中温度、湿度、以及其他影响因素对活性炭性能的影响，且实际操作中不会在活性炭达到饱和值时才进行更换，故要求建设单位每半年进行1次活性炭更换工作。即项目年使用活性炭的量为4kg/a。</w:t>
            </w:r>
          </w:p>
          <w:p w14:paraId="1F97A31B">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根据《排污许可证申请与核发技术规范 总则》（HJ942-2018）4.5.2.1中恶臭治理措施为水洗、吸收、氧化、活性炭吸附等，本项目室内异味统一收集后汇集到排风管道中经活性炭吸附装置处理后通过排气筒排出室外，本项目利用活性炭吸附技术属于可行性技术。</w:t>
            </w:r>
          </w:p>
          <w:p w14:paraId="3C7963EE">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活性炭吸附原理：当废气由风机提供动力，负压进入吸附箱后进入活性炭吸附层，由于活性炭吸附剂表面上存在着未平衡和未饱和的分子引力或化学键力，因此，当活性炭吸附剂的表面与气体接触时，就能吸引气体分子使其浓聚并保持在活性炭表面，此现象称为吸附。利用活性炭吸附剂表面的吸附能力，使废气与大表面的多孔性活性炭吸附剂相接触，废气中的污染物被吸附在活性炭表面上，使其与其他混合物分离，净化后的气体高空排放。</w:t>
            </w:r>
          </w:p>
          <w:p w14:paraId="6D6F2991">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（4）废气排放达标分析</w:t>
            </w:r>
          </w:p>
          <w:p w14:paraId="6561D8B6">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本项目废气达标性见下表：</w:t>
            </w:r>
          </w:p>
          <w:p w14:paraId="30E0EA08">
            <w:pPr>
              <w:pStyle w:val="11"/>
              <w:bidi w:val="0"/>
              <w:rPr>
                <w:rFonts w:hint="eastAsia"/>
                <w:lang w:val="en-US" w:eastAsia="zh-CN"/>
              </w:rPr>
            </w:pPr>
            <w:r>
              <w:rPr>
                <w:rFonts w:hint="eastAsia"/>
                <w:lang w:val="en-US" w:eastAsia="zh-CN"/>
              </w:rPr>
              <w:t>表4-7 大气污染物排放达标分析一览表</w:t>
            </w:r>
          </w:p>
          <w:tbl>
            <w:tblPr>
              <w:tblStyle w:val="9"/>
              <w:tblW w:w="802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6"/>
              <w:gridCol w:w="1200"/>
              <w:gridCol w:w="1140"/>
              <w:gridCol w:w="1080"/>
              <w:gridCol w:w="885"/>
              <w:gridCol w:w="1095"/>
              <w:gridCol w:w="1095"/>
              <w:gridCol w:w="660"/>
            </w:tblGrid>
            <w:tr w14:paraId="3BE8AA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6" w:type="dxa"/>
                  <w:vMerge w:val="restart"/>
                  <w:tcBorders>
                    <w:tl2br w:val="nil"/>
                    <w:tr2bl w:val="nil"/>
                  </w:tcBorders>
                  <w:vAlign w:val="center"/>
                </w:tcPr>
                <w:p w14:paraId="484BD2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排放形式</w:t>
                  </w:r>
                </w:p>
              </w:tc>
              <w:tc>
                <w:tcPr>
                  <w:tcW w:w="1200" w:type="dxa"/>
                  <w:vMerge w:val="restart"/>
                  <w:tcBorders>
                    <w:tl2br w:val="nil"/>
                    <w:tr2bl w:val="nil"/>
                  </w:tcBorders>
                  <w:vAlign w:val="center"/>
                </w:tcPr>
                <w:p w14:paraId="6020CB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污染物</w:t>
                  </w:r>
                </w:p>
              </w:tc>
              <w:tc>
                <w:tcPr>
                  <w:tcW w:w="3105" w:type="dxa"/>
                  <w:gridSpan w:val="3"/>
                  <w:tcBorders>
                    <w:tl2br w:val="nil"/>
                    <w:tr2bl w:val="nil"/>
                  </w:tcBorders>
                  <w:vAlign w:val="center"/>
                </w:tcPr>
                <w:p w14:paraId="04B3AE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排放情况</w:t>
                  </w:r>
                </w:p>
              </w:tc>
              <w:tc>
                <w:tcPr>
                  <w:tcW w:w="2190" w:type="dxa"/>
                  <w:gridSpan w:val="2"/>
                  <w:tcBorders>
                    <w:tl2br w:val="nil"/>
                    <w:tr2bl w:val="nil"/>
                  </w:tcBorders>
                  <w:vAlign w:val="center"/>
                </w:tcPr>
                <w:p w14:paraId="5DE9D1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执行标准</w:t>
                  </w:r>
                </w:p>
              </w:tc>
              <w:tc>
                <w:tcPr>
                  <w:tcW w:w="660" w:type="dxa"/>
                  <w:vMerge w:val="restart"/>
                  <w:tcBorders>
                    <w:tl2br w:val="nil"/>
                    <w:tr2bl w:val="nil"/>
                  </w:tcBorders>
                  <w:vAlign w:val="center"/>
                </w:tcPr>
                <w:p w14:paraId="4DB38C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是否达标</w:t>
                  </w:r>
                </w:p>
              </w:tc>
            </w:tr>
            <w:tr w14:paraId="4EFC07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6" w:type="dxa"/>
                  <w:vMerge w:val="continue"/>
                  <w:tcBorders>
                    <w:tl2br w:val="nil"/>
                    <w:tr2bl w:val="nil"/>
                  </w:tcBorders>
                  <w:vAlign w:val="center"/>
                </w:tcPr>
                <w:p w14:paraId="4003DE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200" w:type="dxa"/>
                  <w:vMerge w:val="continue"/>
                  <w:tcBorders>
                    <w:tl2br w:val="nil"/>
                    <w:tr2bl w:val="nil"/>
                  </w:tcBorders>
                  <w:vAlign w:val="center"/>
                </w:tcPr>
                <w:p w14:paraId="17C998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140" w:type="dxa"/>
                  <w:tcBorders>
                    <w:tl2br w:val="nil"/>
                    <w:tr2bl w:val="nil"/>
                  </w:tcBorders>
                  <w:vAlign w:val="center"/>
                </w:tcPr>
                <w:p w14:paraId="7D40F5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排放浓度mg/m</w:t>
                  </w:r>
                  <w:r>
                    <w:rPr>
                      <w:rFonts w:hint="eastAsia"/>
                      <w:b w:val="0"/>
                      <w:bCs w:val="0"/>
                      <w:sz w:val="21"/>
                      <w:szCs w:val="21"/>
                      <w:vertAlign w:val="superscript"/>
                      <w:lang w:val="en-US" w:eastAsia="zh-CN"/>
                    </w:rPr>
                    <w:t>3</w:t>
                  </w:r>
                </w:p>
              </w:tc>
              <w:tc>
                <w:tcPr>
                  <w:tcW w:w="1080" w:type="dxa"/>
                  <w:tcBorders>
                    <w:tl2br w:val="nil"/>
                    <w:tr2bl w:val="nil"/>
                  </w:tcBorders>
                  <w:vAlign w:val="center"/>
                </w:tcPr>
                <w:p w14:paraId="270770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排放速率kg/h</w:t>
                  </w:r>
                </w:p>
              </w:tc>
              <w:tc>
                <w:tcPr>
                  <w:tcW w:w="885" w:type="dxa"/>
                  <w:tcBorders>
                    <w:tl2br w:val="nil"/>
                    <w:tr2bl w:val="nil"/>
                  </w:tcBorders>
                  <w:vAlign w:val="center"/>
                </w:tcPr>
                <w:p w14:paraId="57E885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排放量kg/a</w:t>
                  </w:r>
                </w:p>
              </w:tc>
              <w:tc>
                <w:tcPr>
                  <w:tcW w:w="1095" w:type="dxa"/>
                  <w:tcBorders>
                    <w:tl2br w:val="nil"/>
                    <w:tr2bl w:val="nil"/>
                  </w:tcBorders>
                  <w:vAlign w:val="center"/>
                </w:tcPr>
                <w:p w14:paraId="0548BC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排放浓度mg/m</w:t>
                  </w:r>
                  <w:r>
                    <w:rPr>
                      <w:rFonts w:hint="eastAsia"/>
                      <w:b w:val="0"/>
                      <w:bCs w:val="0"/>
                      <w:sz w:val="21"/>
                      <w:szCs w:val="21"/>
                      <w:vertAlign w:val="superscript"/>
                      <w:lang w:val="en-US" w:eastAsia="zh-CN"/>
                    </w:rPr>
                    <w:t>3</w:t>
                  </w:r>
                </w:p>
              </w:tc>
              <w:tc>
                <w:tcPr>
                  <w:tcW w:w="1095" w:type="dxa"/>
                  <w:tcBorders>
                    <w:tl2br w:val="nil"/>
                    <w:tr2bl w:val="nil"/>
                  </w:tcBorders>
                  <w:vAlign w:val="center"/>
                </w:tcPr>
                <w:p w14:paraId="115887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排放速率kg/h</w:t>
                  </w:r>
                </w:p>
              </w:tc>
              <w:tc>
                <w:tcPr>
                  <w:tcW w:w="660" w:type="dxa"/>
                  <w:vMerge w:val="continue"/>
                  <w:tcBorders>
                    <w:tl2br w:val="nil"/>
                    <w:tr2bl w:val="nil"/>
                  </w:tcBorders>
                  <w:vAlign w:val="center"/>
                </w:tcPr>
                <w:p w14:paraId="6E3475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r>
            <w:tr w14:paraId="781211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6" w:type="dxa"/>
                  <w:vMerge w:val="restart"/>
                  <w:tcBorders>
                    <w:tl2br w:val="nil"/>
                    <w:tr2bl w:val="nil"/>
                  </w:tcBorders>
                  <w:vAlign w:val="center"/>
                </w:tcPr>
                <w:p w14:paraId="00AAB3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有组织DA001</w:t>
                  </w:r>
                </w:p>
              </w:tc>
              <w:tc>
                <w:tcPr>
                  <w:tcW w:w="1200" w:type="dxa"/>
                  <w:tcBorders>
                    <w:tl2br w:val="nil"/>
                    <w:tr2bl w:val="nil"/>
                  </w:tcBorders>
                  <w:shd w:val="clear" w:color="auto" w:fill="auto"/>
                  <w:vAlign w:val="center"/>
                </w:tcPr>
                <w:p w14:paraId="27D6F5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H</w:t>
                  </w:r>
                  <w:r>
                    <w:rPr>
                      <w:rFonts w:hint="eastAsia"/>
                      <w:sz w:val="21"/>
                      <w:szCs w:val="21"/>
                      <w:vertAlign w:val="subscript"/>
                      <w:lang w:val="en-US" w:eastAsia="zh-CN"/>
                    </w:rPr>
                    <w:t>2</w:t>
                  </w:r>
                  <w:r>
                    <w:rPr>
                      <w:rFonts w:hint="eastAsia"/>
                      <w:sz w:val="21"/>
                      <w:szCs w:val="21"/>
                      <w:vertAlign w:val="baseline"/>
                      <w:lang w:val="en-US" w:eastAsia="zh-CN"/>
                    </w:rPr>
                    <w:t>S</w:t>
                  </w:r>
                </w:p>
              </w:tc>
              <w:tc>
                <w:tcPr>
                  <w:tcW w:w="1140" w:type="dxa"/>
                  <w:tcBorders>
                    <w:tl2br w:val="nil"/>
                    <w:tr2bl w:val="nil"/>
                  </w:tcBorders>
                  <w:shd w:val="clear" w:color="auto" w:fill="auto"/>
                  <w:vAlign w:val="center"/>
                </w:tcPr>
                <w:p w14:paraId="6C7866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0.002</w:t>
                  </w:r>
                </w:p>
              </w:tc>
              <w:tc>
                <w:tcPr>
                  <w:tcW w:w="1080" w:type="dxa"/>
                  <w:tcBorders>
                    <w:tl2br w:val="nil"/>
                    <w:tr2bl w:val="nil"/>
                  </w:tcBorders>
                  <w:shd w:val="clear" w:color="auto" w:fill="auto"/>
                  <w:vAlign w:val="center"/>
                </w:tcPr>
                <w:p w14:paraId="4C8261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0.000002</w:t>
                  </w:r>
                </w:p>
              </w:tc>
              <w:tc>
                <w:tcPr>
                  <w:tcW w:w="885" w:type="dxa"/>
                  <w:tcBorders>
                    <w:tl2br w:val="nil"/>
                    <w:tr2bl w:val="nil"/>
                  </w:tcBorders>
                  <w:shd w:val="clear"/>
                  <w:vAlign w:val="center"/>
                </w:tcPr>
                <w:p w14:paraId="3CD74A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1"/>
                      <w:szCs w:val="21"/>
                      <w:highlight w:val="none"/>
                      <w:vertAlign w:val="baseline"/>
                      <w:lang w:val="en-US" w:eastAsia="zh-CN" w:bidi="ar-SA"/>
                    </w:rPr>
                  </w:pPr>
                  <w:r>
                    <w:rPr>
                      <w:rFonts w:hint="eastAsia"/>
                      <w:sz w:val="21"/>
                      <w:szCs w:val="21"/>
                      <w:highlight w:val="none"/>
                      <w:vertAlign w:val="baseline"/>
                      <w:lang w:val="en-US" w:eastAsia="zh-CN"/>
                    </w:rPr>
                    <w:t>0.006</w:t>
                  </w:r>
                </w:p>
              </w:tc>
              <w:tc>
                <w:tcPr>
                  <w:tcW w:w="1095" w:type="dxa"/>
                  <w:tcBorders>
                    <w:tl2br w:val="nil"/>
                    <w:tr2bl w:val="nil"/>
                  </w:tcBorders>
                  <w:vAlign w:val="center"/>
                </w:tcPr>
                <w:p w14:paraId="2172F3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0.05</w:t>
                  </w:r>
                </w:p>
              </w:tc>
              <w:tc>
                <w:tcPr>
                  <w:tcW w:w="1095" w:type="dxa"/>
                  <w:tcBorders>
                    <w:tl2br w:val="nil"/>
                    <w:tr2bl w:val="nil"/>
                  </w:tcBorders>
                  <w:vAlign w:val="center"/>
                </w:tcPr>
                <w:p w14:paraId="1FEB42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0.00046</w:t>
                  </w:r>
                </w:p>
              </w:tc>
              <w:tc>
                <w:tcPr>
                  <w:tcW w:w="660" w:type="dxa"/>
                  <w:tcBorders>
                    <w:tl2br w:val="nil"/>
                    <w:tr2bl w:val="nil"/>
                  </w:tcBorders>
                  <w:vAlign w:val="center"/>
                </w:tcPr>
                <w:p w14:paraId="6BDBED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达标</w:t>
                  </w:r>
                </w:p>
              </w:tc>
            </w:tr>
            <w:tr w14:paraId="72863E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6" w:type="dxa"/>
                  <w:vMerge w:val="continue"/>
                  <w:tcBorders>
                    <w:tl2br w:val="nil"/>
                    <w:tr2bl w:val="nil"/>
                  </w:tcBorders>
                  <w:vAlign w:val="center"/>
                </w:tcPr>
                <w:p w14:paraId="79D6FA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200" w:type="dxa"/>
                  <w:tcBorders>
                    <w:tl2br w:val="nil"/>
                    <w:tr2bl w:val="nil"/>
                  </w:tcBorders>
                  <w:shd w:val="clear" w:color="auto" w:fill="auto"/>
                  <w:vAlign w:val="center"/>
                </w:tcPr>
                <w:p w14:paraId="28F034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NH</w:t>
                  </w:r>
                  <w:r>
                    <w:rPr>
                      <w:rFonts w:hint="eastAsia"/>
                      <w:sz w:val="21"/>
                      <w:szCs w:val="21"/>
                      <w:vertAlign w:val="subscript"/>
                      <w:lang w:val="en-US" w:eastAsia="zh-CN"/>
                    </w:rPr>
                    <w:t>3</w:t>
                  </w:r>
                </w:p>
              </w:tc>
              <w:tc>
                <w:tcPr>
                  <w:tcW w:w="1140" w:type="dxa"/>
                  <w:tcBorders>
                    <w:tl2br w:val="nil"/>
                    <w:tr2bl w:val="nil"/>
                  </w:tcBorders>
                  <w:shd w:val="clear" w:color="auto" w:fill="auto"/>
                  <w:vAlign w:val="center"/>
                </w:tcPr>
                <w:p w14:paraId="464C09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0.02</w:t>
                  </w:r>
                </w:p>
              </w:tc>
              <w:tc>
                <w:tcPr>
                  <w:tcW w:w="1080" w:type="dxa"/>
                  <w:tcBorders>
                    <w:tl2br w:val="nil"/>
                    <w:tr2bl w:val="nil"/>
                  </w:tcBorders>
                  <w:shd w:val="clear" w:color="auto" w:fill="auto"/>
                  <w:vAlign w:val="center"/>
                </w:tcPr>
                <w:p w14:paraId="6C8B74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0.00002</w:t>
                  </w:r>
                </w:p>
              </w:tc>
              <w:tc>
                <w:tcPr>
                  <w:tcW w:w="885" w:type="dxa"/>
                  <w:tcBorders>
                    <w:tl2br w:val="nil"/>
                    <w:tr2bl w:val="nil"/>
                  </w:tcBorders>
                  <w:shd w:val="clear"/>
                  <w:vAlign w:val="center"/>
                </w:tcPr>
                <w:p w14:paraId="68FB6B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1"/>
                      <w:szCs w:val="21"/>
                      <w:highlight w:val="none"/>
                      <w:vertAlign w:val="baseline"/>
                      <w:lang w:val="en-US" w:eastAsia="zh-CN" w:bidi="ar-SA"/>
                    </w:rPr>
                  </w:pPr>
                  <w:r>
                    <w:rPr>
                      <w:rFonts w:hint="eastAsia"/>
                      <w:sz w:val="21"/>
                      <w:szCs w:val="21"/>
                      <w:highlight w:val="none"/>
                      <w:vertAlign w:val="baseline"/>
                      <w:lang w:val="en-US" w:eastAsia="zh-CN"/>
                    </w:rPr>
                    <w:t>0.063</w:t>
                  </w:r>
                </w:p>
              </w:tc>
              <w:tc>
                <w:tcPr>
                  <w:tcW w:w="1095" w:type="dxa"/>
                  <w:tcBorders>
                    <w:tl2br w:val="nil"/>
                    <w:tr2bl w:val="nil"/>
                  </w:tcBorders>
                  <w:vAlign w:val="center"/>
                </w:tcPr>
                <w:p w14:paraId="4302F5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1.0</w:t>
                  </w:r>
                </w:p>
              </w:tc>
              <w:tc>
                <w:tcPr>
                  <w:tcW w:w="1095" w:type="dxa"/>
                  <w:tcBorders>
                    <w:tl2br w:val="nil"/>
                    <w:tr2bl w:val="nil"/>
                  </w:tcBorders>
                  <w:vAlign w:val="center"/>
                </w:tcPr>
                <w:p w14:paraId="0F3A1C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0.0093</w:t>
                  </w:r>
                </w:p>
              </w:tc>
              <w:tc>
                <w:tcPr>
                  <w:tcW w:w="660" w:type="dxa"/>
                  <w:tcBorders>
                    <w:tl2br w:val="nil"/>
                    <w:tr2bl w:val="nil"/>
                  </w:tcBorders>
                  <w:vAlign w:val="center"/>
                </w:tcPr>
                <w:p w14:paraId="715CBF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达标</w:t>
                  </w:r>
                </w:p>
              </w:tc>
            </w:tr>
            <w:tr w14:paraId="70C4A3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6" w:type="dxa"/>
                  <w:vMerge w:val="continue"/>
                  <w:tcBorders>
                    <w:tl2br w:val="nil"/>
                    <w:tr2bl w:val="nil"/>
                  </w:tcBorders>
                  <w:vAlign w:val="center"/>
                </w:tcPr>
                <w:p w14:paraId="5BF309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200" w:type="dxa"/>
                  <w:tcBorders>
                    <w:tl2br w:val="nil"/>
                    <w:tr2bl w:val="nil"/>
                  </w:tcBorders>
                  <w:shd w:val="clear" w:color="auto" w:fill="auto"/>
                  <w:vAlign w:val="center"/>
                </w:tcPr>
                <w:p w14:paraId="05D94A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臭气浓度</w:t>
                  </w:r>
                </w:p>
                <w:p w14:paraId="0BBDB0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（无量纲）</w:t>
                  </w:r>
                </w:p>
              </w:tc>
              <w:tc>
                <w:tcPr>
                  <w:tcW w:w="1140" w:type="dxa"/>
                  <w:tcBorders>
                    <w:tl2br w:val="nil"/>
                    <w:tr2bl w:val="nil"/>
                  </w:tcBorders>
                  <w:shd w:val="clear" w:color="auto" w:fill="auto"/>
                  <w:vAlign w:val="center"/>
                </w:tcPr>
                <w:p w14:paraId="6F29B9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w:t>
                  </w:r>
                </w:p>
              </w:tc>
              <w:tc>
                <w:tcPr>
                  <w:tcW w:w="1080" w:type="dxa"/>
                  <w:tcBorders>
                    <w:tl2br w:val="nil"/>
                    <w:tr2bl w:val="nil"/>
                  </w:tcBorders>
                  <w:shd w:val="clear" w:color="auto" w:fill="auto"/>
                  <w:vAlign w:val="center"/>
                </w:tcPr>
                <w:p w14:paraId="29A5B9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12</w:t>
                  </w:r>
                </w:p>
                <w:p w14:paraId="62C428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无量纲</w:t>
                  </w:r>
                </w:p>
              </w:tc>
              <w:tc>
                <w:tcPr>
                  <w:tcW w:w="885" w:type="dxa"/>
                  <w:tcBorders>
                    <w:tl2br w:val="nil"/>
                    <w:tr2bl w:val="nil"/>
                  </w:tcBorders>
                  <w:shd w:val="clear" w:color="auto" w:fill="auto"/>
                  <w:vAlign w:val="center"/>
                </w:tcPr>
                <w:p w14:paraId="07839F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w:t>
                  </w:r>
                </w:p>
              </w:tc>
              <w:tc>
                <w:tcPr>
                  <w:tcW w:w="1095" w:type="dxa"/>
                  <w:tcBorders>
                    <w:tl2br w:val="nil"/>
                    <w:tr2bl w:val="nil"/>
                  </w:tcBorders>
                  <w:vAlign w:val="center"/>
                </w:tcPr>
                <w:p w14:paraId="40EECA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1095" w:type="dxa"/>
                  <w:tcBorders>
                    <w:tl2br w:val="nil"/>
                    <w:tr2bl w:val="nil"/>
                  </w:tcBorders>
                  <w:vAlign w:val="center"/>
                </w:tcPr>
                <w:p w14:paraId="1F318F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25.69</w:t>
                  </w:r>
                </w:p>
              </w:tc>
              <w:tc>
                <w:tcPr>
                  <w:tcW w:w="660" w:type="dxa"/>
                  <w:tcBorders>
                    <w:tl2br w:val="nil"/>
                    <w:tr2bl w:val="nil"/>
                  </w:tcBorders>
                  <w:vAlign w:val="center"/>
                </w:tcPr>
                <w:p w14:paraId="4D1E56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达标</w:t>
                  </w:r>
                </w:p>
              </w:tc>
            </w:tr>
            <w:tr w14:paraId="773A5B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6" w:type="dxa"/>
                  <w:vMerge w:val="restart"/>
                  <w:tcBorders>
                    <w:tl2br w:val="nil"/>
                    <w:tr2bl w:val="nil"/>
                  </w:tcBorders>
                  <w:vAlign w:val="center"/>
                </w:tcPr>
                <w:p w14:paraId="78F868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无组织</w:t>
                  </w:r>
                </w:p>
              </w:tc>
              <w:tc>
                <w:tcPr>
                  <w:tcW w:w="1200" w:type="dxa"/>
                  <w:tcBorders>
                    <w:tl2br w:val="nil"/>
                    <w:tr2bl w:val="nil"/>
                  </w:tcBorders>
                  <w:shd w:val="clear" w:color="auto" w:fill="auto"/>
                  <w:vAlign w:val="center"/>
                </w:tcPr>
                <w:p w14:paraId="7E56A0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H</w:t>
                  </w:r>
                  <w:r>
                    <w:rPr>
                      <w:rFonts w:hint="eastAsia"/>
                      <w:sz w:val="21"/>
                      <w:szCs w:val="21"/>
                      <w:vertAlign w:val="subscript"/>
                      <w:lang w:val="en-US" w:eastAsia="zh-CN"/>
                    </w:rPr>
                    <w:t>2</w:t>
                  </w:r>
                  <w:r>
                    <w:rPr>
                      <w:rFonts w:hint="eastAsia"/>
                      <w:sz w:val="21"/>
                      <w:szCs w:val="21"/>
                      <w:vertAlign w:val="baseline"/>
                      <w:lang w:val="en-US" w:eastAsia="zh-CN"/>
                    </w:rPr>
                    <w:t>S</w:t>
                  </w:r>
                </w:p>
              </w:tc>
              <w:tc>
                <w:tcPr>
                  <w:tcW w:w="1140" w:type="dxa"/>
                  <w:tcBorders>
                    <w:tl2br w:val="nil"/>
                    <w:tr2bl w:val="nil"/>
                  </w:tcBorders>
                  <w:vAlign w:val="center"/>
                </w:tcPr>
                <w:p w14:paraId="0748B4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0.003</w:t>
                  </w:r>
                </w:p>
              </w:tc>
              <w:tc>
                <w:tcPr>
                  <w:tcW w:w="1080" w:type="dxa"/>
                  <w:tcBorders>
                    <w:tl2br w:val="nil"/>
                    <w:tr2bl w:val="nil"/>
                  </w:tcBorders>
                  <w:shd w:val="clear" w:color="auto" w:fill="auto"/>
                  <w:vAlign w:val="center"/>
                </w:tcPr>
                <w:p w14:paraId="161477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w:t>
                  </w:r>
                </w:p>
              </w:tc>
              <w:tc>
                <w:tcPr>
                  <w:tcW w:w="885" w:type="dxa"/>
                  <w:tcBorders>
                    <w:tl2br w:val="nil"/>
                    <w:tr2bl w:val="nil"/>
                  </w:tcBorders>
                  <w:vAlign w:val="center"/>
                </w:tcPr>
                <w:p w14:paraId="10E678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1095" w:type="dxa"/>
                  <w:tcBorders>
                    <w:tl2br w:val="nil"/>
                    <w:tr2bl w:val="nil"/>
                  </w:tcBorders>
                  <w:vAlign w:val="center"/>
                </w:tcPr>
                <w:p w14:paraId="7D2A25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0.01</w:t>
                  </w:r>
                </w:p>
              </w:tc>
              <w:tc>
                <w:tcPr>
                  <w:tcW w:w="1095" w:type="dxa"/>
                  <w:tcBorders>
                    <w:tl2br w:val="nil"/>
                    <w:tr2bl w:val="nil"/>
                  </w:tcBorders>
                  <w:vAlign w:val="center"/>
                </w:tcPr>
                <w:p w14:paraId="228E77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660" w:type="dxa"/>
                  <w:tcBorders>
                    <w:tl2br w:val="nil"/>
                    <w:tr2bl w:val="nil"/>
                  </w:tcBorders>
                  <w:vAlign w:val="center"/>
                </w:tcPr>
                <w:p w14:paraId="1C316D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达标</w:t>
                  </w:r>
                </w:p>
              </w:tc>
            </w:tr>
            <w:tr w14:paraId="53AE93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6" w:type="dxa"/>
                  <w:vMerge w:val="continue"/>
                  <w:vAlign w:val="center"/>
                </w:tcPr>
                <w:p w14:paraId="3A8FE2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200" w:type="dxa"/>
                  <w:shd w:val="clear" w:color="auto" w:fill="auto"/>
                  <w:vAlign w:val="center"/>
                </w:tcPr>
                <w:p w14:paraId="1C62E0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NH</w:t>
                  </w:r>
                  <w:r>
                    <w:rPr>
                      <w:rFonts w:hint="eastAsia"/>
                      <w:sz w:val="21"/>
                      <w:szCs w:val="21"/>
                      <w:vertAlign w:val="subscript"/>
                      <w:lang w:val="en-US" w:eastAsia="zh-CN"/>
                    </w:rPr>
                    <w:t>3</w:t>
                  </w:r>
                </w:p>
              </w:tc>
              <w:tc>
                <w:tcPr>
                  <w:tcW w:w="1140" w:type="dxa"/>
                  <w:vAlign w:val="center"/>
                </w:tcPr>
                <w:p w14:paraId="686927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0.02</w:t>
                  </w:r>
                </w:p>
              </w:tc>
              <w:tc>
                <w:tcPr>
                  <w:tcW w:w="1080" w:type="dxa"/>
                  <w:shd w:val="clear" w:color="auto" w:fill="auto"/>
                  <w:vAlign w:val="center"/>
                </w:tcPr>
                <w:p w14:paraId="4E2EAA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w:t>
                  </w:r>
                </w:p>
              </w:tc>
              <w:tc>
                <w:tcPr>
                  <w:tcW w:w="885" w:type="dxa"/>
                  <w:vAlign w:val="center"/>
                </w:tcPr>
                <w:p w14:paraId="579230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1095" w:type="dxa"/>
                  <w:vAlign w:val="center"/>
                </w:tcPr>
                <w:p w14:paraId="3A12F7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0.2</w:t>
                  </w:r>
                </w:p>
              </w:tc>
              <w:tc>
                <w:tcPr>
                  <w:tcW w:w="1095" w:type="dxa"/>
                  <w:vAlign w:val="center"/>
                </w:tcPr>
                <w:p w14:paraId="54D389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660" w:type="dxa"/>
                  <w:vAlign w:val="center"/>
                </w:tcPr>
                <w:p w14:paraId="545671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达标</w:t>
                  </w:r>
                </w:p>
              </w:tc>
            </w:tr>
            <w:tr w14:paraId="3388FD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6" w:type="dxa"/>
                  <w:vMerge w:val="continue"/>
                  <w:vAlign w:val="center"/>
                </w:tcPr>
                <w:p w14:paraId="612C9E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200" w:type="dxa"/>
                  <w:shd w:val="clear" w:color="auto" w:fill="auto"/>
                  <w:vAlign w:val="center"/>
                </w:tcPr>
                <w:p w14:paraId="30EB14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臭气浓度</w:t>
                  </w:r>
                </w:p>
                <w:p w14:paraId="2D5E49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（无量纲）</w:t>
                  </w:r>
                </w:p>
              </w:tc>
              <w:tc>
                <w:tcPr>
                  <w:tcW w:w="1140" w:type="dxa"/>
                  <w:vAlign w:val="center"/>
                </w:tcPr>
                <w:p w14:paraId="15CDAE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＜10</w:t>
                  </w:r>
                </w:p>
                <w:p w14:paraId="2645F9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无量纲</w:t>
                  </w:r>
                </w:p>
              </w:tc>
              <w:tc>
                <w:tcPr>
                  <w:tcW w:w="1080" w:type="dxa"/>
                  <w:shd w:val="clear" w:color="auto" w:fill="auto"/>
                  <w:vAlign w:val="center"/>
                </w:tcPr>
                <w:p w14:paraId="1F6715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w:t>
                  </w:r>
                </w:p>
              </w:tc>
              <w:tc>
                <w:tcPr>
                  <w:tcW w:w="885" w:type="dxa"/>
                  <w:vAlign w:val="center"/>
                </w:tcPr>
                <w:p w14:paraId="71EE77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1095" w:type="dxa"/>
                  <w:vAlign w:val="center"/>
                </w:tcPr>
                <w:p w14:paraId="7CDE5E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20无量纲</w:t>
                  </w:r>
                </w:p>
              </w:tc>
              <w:tc>
                <w:tcPr>
                  <w:tcW w:w="1095" w:type="dxa"/>
                  <w:vAlign w:val="center"/>
                </w:tcPr>
                <w:p w14:paraId="28B6DD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660" w:type="dxa"/>
                  <w:vAlign w:val="center"/>
                </w:tcPr>
                <w:p w14:paraId="6DE469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达标</w:t>
                  </w:r>
                </w:p>
              </w:tc>
            </w:tr>
          </w:tbl>
          <w:p w14:paraId="70BD738E">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由上表可知，在采取上述措施后，项目废气中污染物排放满足北京市《大气污染物综合排放标准》（DB11/501-2017）中“表3生产工艺废气及其他废气大气污染物排放限值”的要求，项目废气不会对周边大气环境产生重大不利影响。</w:t>
            </w:r>
          </w:p>
          <w:p w14:paraId="25261227">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（5）废气排放信息</w:t>
            </w:r>
          </w:p>
          <w:p w14:paraId="5ED074B5">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本项目废气类别、污染物及污染治理设施信息见表4-8，废气排放口基本情况见下表。</w:t>
            </w:r>
          </w:p>
          <w:p w14:paraId="1894DD64">
            <w:pPr>
              <w:pStyle w:val="11"/>
              <w:bidi w:val="0"/>
              <w:rPr>
                <w:rFonts w:hint="eastAsia"/>
                <w:lang w:val="en-US" w:eastAsia="zh-CN"/>
              </w:rPr>
            </w:pPr>
            <w:r>
              <w:rPr>
                <w:rFonts w:hint="eastAsia"/>
                <w:lang w:val="en-US" w:eastAsia="zh-CN"/>
              </w:rPr>
              <w:t>表4-8 废气类别及污染治理设施信息表</w:t>
            </w:r>
          </w:p>
          <w:tbl>
            <w:tblPr>
              <w:tblStyle w:val="9"/>
              <w:tblW w:w="802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3"/>
              <w:gridCol w:w="765"/>
              <w:gridCol w:w="750"/>
              <w:gridCol w:w="825"/>
              <w:gridCol w:w="738"/>
              <w:gridCol w:w="738"/>
              <w:gridCol w:w="738"/>
              <w:gridCol w:w="738"/>
              <w:gridCol w:w="738"/>
              <w:gridCol w:w="675"/>
              <w:gridCol w:w="856"/>
            </w:tblGrid>
            <w:tr w14:paraId="493CA8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dxa"/>
                  <w:vMerge w:val="restart"/>
                  <w:tcBorders>
                    <w:tl2br w:val="nil"/>
                    <w:tr2bl w:val="nil"/>
                  </w:tcBorders>
                  <w:vAlign w:val="center"/>
                </w:tcPr>
                <w:p w14:paraId="688E63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序号</w:t>
                  </w:r>
                </w:p>
              </w:tc>
              <w:tc>
                <w:tcPr>
                  <w:tcW w:w="765" w:type="dxa"/>
                  <w:vMerge w:val="restart"/>
                  <w:tcBorders>
                    <w:tl2br w:val="nil"/>
                    <w:tr2bl w:val="nil"/>
                  </w:tcBorders>
                  <w:vAlign w:val="center"/>
                </w:tcPr>
                <w:p w14:paraId="77D87D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排放形式</w:t>
                  </w:r>
                </w:p>
              </w:tc>
              <w:tc>
                <w:tcPr>
                  <w:tcW w:w="750" w:type="dxa"/>
                  <w:vMerge w:val="restart"/>
                  <w:tcBorders>
                    <w:tl2br w:val="nil"/>
                    <w:tr2bl w:val="nil"/>
                  </w:tcBorders>
                  <w:vAlign w:val="center"/>
                </w:tcPr>
                <w:p w14:paraId="5B5DA6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废气类别</w:t>
                  </w:r>
                </w:p>
              </w:tc>
              <w:tc>
                <w:tcPr>
                  <w:tcW w:w="825" w:type="dxa"/>
                  <w:vMerge w:val="restart"/>
                  <w:tcBorders>
                    <w:tl2br w:val="nil"/>
                    <w:tr2bl w:val="nil"/>
                  </w:tcBorders>
                  <w:vAlign w:val="center"/>
                </w:tcPr>
                <w:p w14:paraId="2B9DAA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污染物种类</w:t>
                  </w:r>
                </w:p>
              </w:tc>
              <w:tc>
                <w:tcPr>
                  <w:tcW w:w="3690" w:type="dxa"/>
                  <w:gridSpan w:val="5"/>
                  <w:tcBorders>
                    <w:tl2br w:val="nil"/>
                    <w:tr2bl w:val="nil"/>
                  </w:tcBorders>
                  <w:vAlign w:val="center"/>
                </w:tcPr>
                <w:p w14:paraId="1406D8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污染治理设施</w:t>
                  </w:r>
                </w:p>
              </w:tc>
              <w:tc>
                <w:tcPr>
                  <w:tcW w:w="675" w:type="dxa"/>
                  <w:vMerge w:val="restart"/>
                  <w:tcBorders>
                    <w:tl2br w:val="nil"/>
                    <w:tr2bl w:val="nil"/>
                  </w:tcBorders>
                  <w:vAlign w:val="center"/>
                </w:tcPr>
                <w:p w14:paraId="392380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排放去向</w:t>
                  </w:r>
                </w:p>
              </w:tc>
              <w:tc>
                <w:tcPr>
                  <w:tcW w:w="856" w:type="dxa"/>
                  <w:vMerge w:val="restart"/>
                  <w:tcBorders>
                    <w:tl2br w:val="nil"/>
                    <w:tr2bl w:val="nil"/>
                  </w:tcBorders>
                  <w:vAlign w:val="center"/>
                </w:tcPr>
                <w:p w14:paraId="14329C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排放口编号</w:t>
                  </w:r>
                </w:p>
              </w:tc>
            </w:tr>
            <w:tr w14:paraId="38FF0E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dxa"/>
                  <w:vMerge w:val="continue"/>
                  <w:tcBorders>
                    <w:tl2br w:val="nil"/>
                    <w:tr2bl w:val="nil"/>
                  </w:tcBorders>
                  <w:vAlign w:val="center"/>
                </w:tcPr>
                <w:p w14:paraId="500609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765" w:type="dxa"/>
                  <w:vMerge w:val="continue"/>
                  <w:tcBorders>
                    <w:tl2br w:val="nil"/>
                    <w:tr2bl w:val="nil"/>
                  </w:tcBorders>
                  <w:vAlign w:val="center"/>
                </w:tcPr>
                <w:p w14:paraId="15CC41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750" w:type="dxa"/>
                  <w:vMerge w:val="continue"/>
                  <w:tcBorders>
                    <w:tl2br w:val="nil"/>
                    <w:tr2bl w:val="nil"/>
                  </w:tcBorders>
                  <w:vAlign w:val="center"/>
                </w:tcPr>
                <w:p w14:paraId="4F80B8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825" w:type="dxa"/>
                  <w:vMerge w:val="continue"/>
                  <w:tcBorders>
                    <w:tl2br w:val="nil"/>
                    <w:tr2bl w:val="nil"/>
                  </w:tcBorders>
                  <w:vAlign w:val="center"/>
                </w:tcPr>
                <w:p w14:paraId="449FF6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738" w:type="dxa"/>
                  <w:tcBorders>
                    <w:tl2br w:val="nil"/>
                    <w:tr2bl w:val="nil"/>
                  </w:tcBorders>
                  <w:vAlign w:val="center"/>
                </w:tcPr>
                <w:p w14:paraId="211D52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名称</w:t>
                  </w:r>
                </w:p>
              </w:tc>
              <w:tc>
                <w:tcPr>
                  <w:tcW w:w="738" w:type="dxa"/>
                  <w:tcBorders>
                    <w:tl2br w:val="nil"/>
                    <w:tr2bl w:val="nil"/>
                  </w:tcBorders>
                  <w:vAlign w:val="center"/>
                </w:tcPr>
                <w:p w14:paraId="37A76F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风量m</w:t>
                  </w:r>
                  <w:r>
                    <w:rPr>
                      <w:rFonts w:hint="eastAsia"/>
                      <w:sz w:val="21"/>
                      <w:szCs w:val="21"/>
                      <w:vertAlign w:val="superscript"/>
                      <w:lang w:val="en-US" w:eastAsia="zh-CN"/>
                    </w:rPr>
                    <w:t>3</w:t>
                  </w:r>
                  <w:r>
                    <w:rPr>
                      <w:rFonts w:hint="eastAsia"/>
                      <w:sz w:val="21"/>
                      <w:szCs w:val="21"/>
                      <w:vertAlign w:val="baseline"/>
                      <w:lang w:val="en-US" w:eastAsia="zh-CN"/>
                    </w:rPr>
                    <w:t>/h</w:t>
                  </w:r>
                </w:p>
              </w:tc>
              <w:tc>
                <w:tcPr>
                  <w:tcW w:w="738" w:type="dxa"/>
                  <w:tcBorders>
                    <w:tl2br w:val="nil"/>
                    <w:tr2bl w:val="nil"/>
                  </w:tcBorders>
                  <w:vAlign w:val="center"/>
                </w:tcPr>
                <w:p w14:paraId="4C8ED2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收集效率%</w:t>
                  </w:r>
                </w:p>
              </w:tc>
              <w:tc>
                <w:tcPr>
                  <w:tcW w:w="738" w:type="dxa"/>
                  <w:tcBorders>
                    <w:tl2br w:val="nil"/>
                    <w:tr2bl w:val="nil"/>
                  </w:tcBorders>
                  <w:vAlign w:val="center"/>
                </w:tcPr>
                <w:p w14:paraId="15B030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治理工艺去除率%</w:t>
                  </w:r>
                </w:p>
              </w:tc>
              <w:tc>
                <w:tcPr>
                  <w:tcW w:w="738" w:type="dxa"/>
                  <w:tcBorders>
                    <w:tl2br w:val="nil"/>
                    <w:tr2bl w:val="nil"/>
                  </w:tcBorders>
                  <w:vAlign w:val="center"/>
                </w:tcPr>
                <w:p w14:paraId="6B3E53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是否为可行技术</w:t>
                  </w:r>
                </w:p>
              </w:tc>
              <w:tc>
                <w:tcPr>
                  <w:tcW w:w="675" w:type="dxa"/>
                  <w:vMerge w:val="continue"/>
                  <w:tcBorders>
                    <w:tl2br w:val="nil"/>
                    <w:tr2bl w:val="nil"/>
                  </w:tcBorders>
                  <w:vAlign w:val="center"/>
                </w:tcPr>
                <w:p w14:paraId="64471E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856" w:type="dxa"/>
                  <w:vMerge w:val="continue"/>
                  <w:tcBorders>
                    <w:tl2br w:val="nil"/>
                    <w:tr2bl w:val="nil"/>
                  </w:tcBorders>
                  <w:vAlign w:val="center"/>
                </w:tcPr>
                <w:p w14:paraId="28E45E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r>
            <w:tr w14:paraId="4E4C34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dxa"/>
                  <w:vMerge w:val="restart"/>
                  <w:tcBorders>
                    <w:tl2br w:val="nil"/>
                    <w:tr2bl w:val="nil"/>
                  </w:tcBorders>
                  <w:vAlign w:val="center"/>
                </w:tcPr>
                <w:p w14:paraId="11FE0E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765" w:type="dxa"/>
                  <w:vMerge w:val="restart"/>
                  <w:tcBorders>
                    <w:tl2br w:val="nil"/>
                    <w:tr2bl w:val="nil"/>
                  </w:tcBorders>
                  <w:vAlign w:val="center"/>
                </w:tcPr>
                <w:p w14:paraId="0C00A6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有组织</w:t>
                  </w:r>
                </w:p>
              </w:tc>
              <w:tc>
                <w:tcPr>
                  <w:tcW w:w="750" w:type="dxa"/>
                  <w:vMerge w:val="restart"/>
                  <w:tcBorders>
                    <w:tl2br w:val="nil"/>
                    <w:tr2bl w:val="nil"/>
                  </w:tcBorders>
                  <w:vAlign w:val="center"/>
                </w:tcPr>
                <w:p w14:paraId="598CF9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动物自身异味及粪便</w:t>
                  </w:r>
                </w:p>
              </w:tc>
              <w:tc>
                <w:tcPr>
                  <w:tcW w:w="825" w:type="dxa"/>
                  <w:tcBorders>
                    <w:tl2br w:val="nil"/>
                    <w:tr2bl w:val="nil"/>
                  </w:tcBorders>
                  <w:shd w:val="clear" w:color="auto" w:fill="auto"/>
                  <w:vAlign w:val="center"/>
                </w:tcPr>
                <w:p w14:paraId="45940F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H</w:t>
                  </w:r>
                  <w:r>
                    <w:rPr>
                      <w:rFonts w:hint="eastAsia"/>
                      <w:sz w:val="21"/>
                      <w:szCs w:val="21"/>
                      <w:vertAlign w:val="subscript"/>
                      <w:lang w:val="en-US" w:eastAsia="zh-CN"/>
                    </w:rPr>
                    <w:t>2</w:t>
                  </w:r>
                  <w:r>
                    <w:rPr>
                      <w:rFonts w:hint="eastAsia"/>
                      <w:sz w:val="21"/>
                      <w:szCs w:val="21"/>
                      <w:vertAlign w:val="baseline"/>
                      <w:lang w:val="en-US" w:eastAsia="zh-CN"/>
                    </w:rPr>
                    <w:t>S</w:t>
                  </w:r>
                </w:p>
              </w:tc>
              <w:tc>
                <w:tcPr>
                  <w:tcW w:w="738" w:type="dxa"/>
                  <w:vMerge w:val="restart"/>
                  <w:tcBorders>
                    <w:tl2br w:val="nil"/>
                    <w:tr2bl w:val="nil"/>
                  </w:tcBorders>
                  <w:vAlign w:val="center"/>
                </w:tcPr>
                <w:p w14:paraId="1976D5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活性炭吸附装置、喷洒除臭剂</w:t>
                  </w:r>
                </w:p>
              </w:tc>
              <w:tc>
                <w:tcPr>
                  <w:tcW w:w="738" w:type="dxa"/>
                  <w:vMerge w:val="restart"/>
                  <w:tcBorders>
                    <w:tl2br w:val="nil"/>
                    <w:tr2bl w:val="nil"/>
                  </w:tcBorders>
                  <w:vAlign w:val="center"/>
                </w:tcPr>
                <w:p w14:paraId="05357F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1000</w:t>
                  </w:r>
                </w:p>
              </w:tc>
              <w:tc>
                <w:tcPr>
                  <w:tcW w:w="738" w:type="dxa"/>
                  <w:vMerge w:val="restart"/>
                  <w:tcBorders>
                    <w:tl2br w:val="nil"/>
                    <w:tr2bl w:val="nil"/>
                  </w:tcBorders>
                  <w:vAlign w:val="center"/>
                </w:tcPr>
                <w:p w14:paraId="2252DD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100</w:t>
                  </w:r>
                </w:p>
              </w:tc>
              <w:tc>
                <w:tcPr>
                  <w:tcW w:w="738" w:type="dxa"/>
                  <w:vMerge w:val="restart"/>
                  <w:tcBorders>
                    <w:tl2br w:val="nil"/>
                    <w:tr2bl w:val="nil"/>
                  </w:tcBorders>
                  <w:vAlign w:val="center"/>
                </w:tcPr>
                <w:p w14:paraId="6C4167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75</w:t>
                  </w:r>
                </w:p>
              </w:tc>
              <w:tc>
                <w:tcPr>
                  <w:tcW w:w="738" w:type="dxa"/>
                  <w:vMerge w:val="restart"/>
                  <w:tcBorders>
                    <w:tl2br w:val="nil"/>
                    <w:tr2bl w:val="nil"/>
                  </w:tcBorders>
                  <w:vAlign w:val="center"/>
                </w:tcPr>
                <w:p w14:paraId="3DBE85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是</w:t>
                  </w:r>
                </w:p>
              </w:tc>
              <w:tc>
                <w:tcPr>
                  <w:tcW w:w="675" w:type="dxa"/>
                  <w:vMerge w:val="restart"/>
                  <w:tcBorders>
                    <w:tl2br w:val="nil"/>
                    <w:tr2bl w:val="nil"/>
                  </w:tcBorders>
                  <w:vAlign w:val="center"/>
                </w:tcPr>
                <w:p w14:paraId="54E7C4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经3.4m高排风口排放</w:t>
                  </w:r>
                </w:p>
              </w:tc>
              <w:tc>
                <w:tcPr>
                  <w:tcW w:w="856" w:type="dxa"/>
                  <w:vMerge w:val="restart"/>
                  <w:tcBorders>
                    <w:tl2br w:val="nil"/>
                    <w:tr2bl w:val="nil"/>
                  </w:tcBorders>
                  <w:vAlign w:val="center"/>
                </w:tcPr>
                <w:p w14:paraId="6AE782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DA001</w:t>
                  </w:r>
                </w:p>
              </w:tc>
            </w:tr>
            <w:tr w14:paraId="453B59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dxa"/>
                  <w:vMerge w:val="continue"/>
                  <w:tcBorders>
                    <w:tl2br w:val="nil"/>
                    <w:tr2bl w:val="nil"/>
                  </w:tcBorders>
                  <w:vAlign w:val="center"/>
                </w:tcPr>
                <w:p w14:paraId="0E371A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765" w:type="dxa"/>
                  <w:vMerge w:val="continue"/>
                  <w:tcBorders>
                    <w:tl2br w:val="nil"/>
                    <w:tr2bl w:val="nil"/>
                  </w:tcBorders>
                  <w:vAlign w:val="center"/>
                </w:tcPr>
                <w:p w14:paraId="049FAC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750" w:type="dxa"/>
                  <w:vMerge w:val="continue"/>
                  <w:tcBorders>
                    <w:tl2br w:val="nil"/>
                    <w:tr2bl w:val="nil"/>
                  </w:tcBorders>
                  <w:vAlign w:val="center"/>
                </w:tcPr>
                <w:p w14:paraId="014870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825" w:type="dxa"/>
                  <w:tcBorders>
                    <w:tl2br w:val="nil"/>
                    <w:tr2bl w:val="nil"/>
                  </w:tcBorders>
                  <w:shd w:val="clear" w:color="auto" w:fill="auto"/>
                  <w:vAlign w:val="center"/>
                </w:tcPr>
                <w:p w14:paraId="3524D2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NH</w:t>
                  </w:r>
                  <w:r>
                    <w:rPr>
                      <w:rFonts w:hint="eastAsia"/>
                      <w:sz w:val="21"/>
                      <w:szCs w:val="21"/>
                      <w:vertAlign w:val="subscript"/>
                      <w:lang w:val="en-US" w:eastAsia="zh-CN"/>
                    </w:rPr>
                    <w:t>3</w:t>
                  </w:r>
                </w:p>
              </w:tc>
              <w:tc>
                <w:tcPr>
                  <w:tcW w:w="738" w:type="dxa"/>
                  <w:vMerge w:val="continue"/>
                  <w:tcBorders>
                    <w:tl2br w:val="nil"/>
                    <w:tr2bl w:val="nil"/>
                  </w:tcBorders>
                  <w:vAlign w:val="center"/>
                </w:tcPr>
                <w:p w14:paraId="415DD4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738" w:type="dxa"/>
                  <w:vMerge w:val="continue"/>
                  <w:tcBorders>
                    <w:tl2br w:val="nil"/>
                    <w:tr2bl w:val="nil"/>
                  </w:tcBorders>
                  <w:vAlign w:val="center"/>
                </w:tcPr>
                <w:p w14:paraId="0958C1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738" w:type="dxa"/>
                  <w:vMerge w:val="continue"/>
                  <w:tcBorders>
                    <w:tl2br w:val="nil"/>
                    <w:tr2bl w:val="nil"/>
                  </w:tcBorders>
                  <w:vAlign w:val="center"/>
                </w:tcPr>
                <w:p w14:paraId="3A704C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738" w:type="dxa"/>
                  <w:vMerge w:val="continue"/>
                  <w:tcBorders>
                    <w:tl2br w:val="nil"/>
                    <w:tr2bl w:val="nil"/>
                  </w:tcBorders>
                  <w:vAlign w:val="center"/>
                </w:tcPr>
                <w:p w14:paraId="7B2A6C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738" w:type="dxa"/>
                  <w:vMerge w:val="continue"/>
                  <w:tcBorders>
                    <w:tl2br w:val="nil"/>
                    <w:tr2bl w:val="nil"/>
                  </w:tcBorders>
                  <w:vAlign w:val="center"/>
                </w:tcPr>
                <w:p w14:paraId="6C188E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675" w:type="dxa"/>
                  <w:vMerge w:val="continue"/>
                  <w:tcBorders>
                    <w:tl2br w:val="nil"/>
                    <w:tr2bl w:val="nil"/>
                  </w:tcBorders>
                  <w:vAlign w:val="center"/>
                </w:tcPr>
                <w:p w14:paraId="30AD4D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856" w:type="dxa"/>
                  <w:vMerge w:val="continue"/>
                  <w:tcBorders>
                    <w:tl2br w:val="nil"/>
                    <w:tr2bl w:val="nil"/>
                  </w:tcBorders>
                  <w:vAlign w:val="center"/>
                </w:tcPr>
                <w:p w14:paraId="704530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r>
            <w:tr w14:paraId="41280D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dxa"/>
                  <w:vMerge w:val="continue"/>
                  <w:tcBorders>
                    <w:tl2br w:val="nil"/>
                    <w:tr2bl w:val="nil"/>
                  </w:tcBorders>
                  <w:vAlign w:val="center"/>
                </w:tcPr>
                <w:p w14:paraId="0BF05A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765" w:type="dxa"/>
                  <w:vMerge w:val="continue"/>
                  <w:tcBorders>
                    <w:tl2br w:val="nil"/>
                    <w:tr2bl w:val="nil"/>
                  </w:tcBorders>
                  <w:vAlign w:val="center"/>
                </w:tcPr>
                <w:p w14:paraId="46EE72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750" w:type="dxa"/>
                  <w:vMerge w:val="continue"/>
                  <w:tcBorders>
                    <w:tl2br w:val="nil"/>
                    <w:tr2bl w:val="nil"/>
                  </w:tcBorders>
                  <w:vAlign w:val="center"/>
                </w:tcPr>
                <w:p w14:paraId="558A1D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825" w:type="dxa"/>
                  <w:tcBorders>
                    <w:tl2br w:val="nil"/>
                    <w:tr2bl w:val="nil"/>
                  </w:tcBorders>
                  <w:shd w:val="clear" w:color="auto" w:fill="auto"/>
                  <w:vAlign w:val="center"/>
                </w:tcPr>
                <w:p w14:paraId="3CAB28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臭气浓度</w:t>
                  </w:r>
                </w:p>
              </w:tc>
              <w:tc>
                <w:tcPr>
                  <w:tcW w:w="738" w:type="dxa"/>
                  <w:vMerge w:val="continue"/>
                  <w:tcBorders>
                    <w:tl2br w:val="nil"/>
                    <w:tr2bl w:val="nil"/>
                  </w:tcBorders>
                  <w:vAlign w:val="center"/>
                </w:tcPr>
                <w:p w14:paraId="3A1B0F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738" w:type="dxa"/>
                  <w:vMerge w:val="continue"/>
                  <w:tcBorders>
                    <w:tl2br w:val="nil"/>
                    <w:tr2bl w:val="nil"/>
                  </w:tcBorders>
                  <w:vAlign w:val="center"/>
                </w:tcPr>
                <w:p w14:paraId="5B9911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738" w:type="dxa"/>
                  <w:vMerge w:val="continue"/>
                  <w:tcBorders>
                    <w:tl2br w:val="nil"/>
                    <w:tr2bl w:val="nil"/>
                  </w:tcBorders>
                  <w:vAlign w:val="center"/>
                </w:tcPr>
                <w:p w14:paraId="2F974A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738" w:type="dxa"/>
                  <w:vMerge w:val="continue"/>
                  <w:tcBorders>
                    <w:tl2br w:val="nil"/>
                    <w:tr2bl w:val="nil"/>
                  </w:tcBorders>
                  <w:vAlign w:val="center"/>
                </w:tcPr>
                <w:p w14:paraId="2C0FFE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738" w:type="dxa"/>
                  <w:vMerge w:val="continue"/>
                  <w:tcBorders>
                    <w:tl2br w:val="nil"/>
                    <w:tr2bl w:val="nil"/>
                  </w:tcBorders>
                  <w:vAlign w:val="center"/>
                </w:tcPr>
                <w:p w14:paraId="33D1C1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675" w:type="dxa"/>
                  <w:vMerge w:val="continue"/>
                  <w:tcBorders>
                    <w:tl2br w:val="nil"/>
                    <w:tr2bl w:val="nil"/>
                  </w:tcBorders>
                  <w:vAlign w:val="center"/>
                </w:tcPr>
                <w:p w14:paraId="2B671C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856" w:type="dxa"/>
                  <w:vMerge w:val="continue"/>
                  <w:tcBorders>
                    <w:tl2br w:val="nil"/>
                    <w:tr2bl w:val="nil"/>
                  </w:tcBorders>
                  <w:vAlign w:val="center"/>
                </w:tcPr>
                <w:p w14:paraId="091F16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r>
            <w:tr w14:paraId="18CCA7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dxa"/>
                  <w:vMerge w:val="restart"/>
                  <w:vAlign w:val="center"/>
                </w:tcPr>
                <w:p w14:paraId="1D84F5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w:t>
                  </w:r>
                </w:p>
              </w:tc>
              <w:tc>
                <w:tcPr>
                  <w:tcW w:w="765" w:type="dxa"/>
                  <w:vMerge w:val="restart"/>
                  <w:vAlign w:val="center"/>
                </w:tcPr>
                <w:p w14:paraId="70DD44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无组织</w:t>
                  </w:r>
                </w:p>
              </w:tc>
              <w:tc>
                <w:tcPr>
                  <w:tcW w:w="750" w:type="dxa"/>
                  <w:vMerge w:val="restart"/>
                  <w:vAlign w:val="center"/>
                </w:tcPr>
                <w:p w14:paraId="57FF49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动物自身异味及粪便</w:t>
                  </w:r>
                </w:p>
              </w:tc>
              <w:tc>
                <w:tcPr>
                  <w:tcW w:w="825" w:type="dxa"/>
                  <w:shd w:val="clear" w:color="auto" w:fill="auto"/>
                  <w:vAlign w:val="center"/>
                </w:tcPr>
                <w:p w14:paraId="0D161C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H</w:t>
                  </w:r>
                  <w:r>
                    <w:rPr>
                      <w:rFonts w:hint="eastAsia"/>
                      <w:sz w:val="21"/>
                      <w:szCs w:val="21"/>
                      <w:vertAlign w:val="subscript"/>
                      <w:lang w:val="en-US" w:eastAsia="zh-CN"/>
                    </w:rPr>
                    <w:t>2</w:t>
                  </w:r>
                  <w:r>
                    <w:rPr>
                      <w:rFonts w:hint="eastAsia"/>
                      <w:sz w:val="21"/>
                      <w:szCs w:val="21"/>
                      <w:vertAlign w:val="baseline"/>
                      <w:lang w:val="en-US" w:eastAsia="zh-CN"/>
                    </w:rPr>
                    <w:t>S</w:t>
                  </w:r>
                </w:p>
              </w:tc>
              <w:tc>
                <w:tcPr>
                  <w:tcW w:w="738" w:type="dxa"/>
                  <w:vMerge w:val="continue"/>
                  <w:vAlign w:val="center"/>
                </w:tcPr>
                <w:p w14:paraId="74C3B1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738" w:type="dxa"/>
                  <w:vMerge w:val="restart"/>
                  <w:vAlign w:val="center"/>
                </w:tcPr>
                <w:p w14:paraId="6740A8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738" w:type="dxa"/>
                  <w:vMerge w:val="restart"/>
                  <w:vAlign w:val="center"/>
                </w:tcPr>
                <w:p w14:paraId="7E5887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738" w:type="dxa"/>
                  <w:vMerge w:val="restart"/>
                  <w:vAlign w:val="center"/>
                </w:tcPr>
                <w:p w14:paraId="122993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738" w:type="dxa"/>
                  <w:vMerge w:val="restart"/>
                  <w:vAlign w:val="center"/>
                </w:tcPr>
                <w:p w14:paraId="06173A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是</w:t>
                  </w:r>
                </w:p>
              </w:tc>
              <w:tc>
                <w:tcPr>
                  <w:tcW w:w="675" w:type="dxa"/>
                  <w:vMerge w:val="restart"/>
                  <w:vAlign w:val="center"/>
                </w:tcPr>
                <w:p w14:paraId="347EAC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856" w:type="dxa"/>
                  <w:vMerge w:val="restart"/>
                  <w:vAlign w:val="center"/>
                </w:tcPr>
                <w:p w14:paraId="661D31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r>
            <w:tr w14:paraId="57E7B3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dxa"/>
                  <w:vMerge w:val="continue"/>
                  <w:vAlign w:val="center"/>
                </w:tcPr>
                <w:p w14:paraId="2D5926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765" w:type="dxa"/>
                  <w:vMerge w:val="continue"/>
                  <w:vAlign w:val="center"/>
                </w:tcPr>
                <w:p w14:paraId="4129BC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750" w:type="dxa"/>
                  <w:vMerge w:val="continue"/>
                  <w:vAlign w:val="center"/>
                </w:tcPr>
                <w:p w14:paraId="5C6D6A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825" w:type="dxa"/>
                  <w:shd w:val="clear" w:color="auto" w:fill="auto"/>
                  <w:vAlign w:val="center"/>
                </w:tcPr>
                <w:p w14:paraId="352D54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NH</w:t>
                  </w:r>
                  <w:r>
                    <w:rPr>
                      <w:rFonts w:hint="eastAsia"/>
                      <w:sz w:val="21"/>
                      <w:szCs w:val="21"/>
                      <w:vertAlign w:val="subscript"/>
                      <w:lang w:val="en-US" w:eastAsia="zh-CN"/>
                    </w:rPr>
                    <w:t>3</w:t>
                  </w:r>
                </w:p>
              </w:tc>
              <w:tc>
                <w:tcPr>
                  <w:tcW w:w="738" w:type="dxa"/>
                  <w:vMerge w:val="continue"/>
                  <w:vAlign w:val="center"/>
                </w:tcPr>
                <w:p w14:paraId="168BD5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738" w:type="dxa"/>
                  <w:vMerge w:val="continue"/>
                  <w:vAlign w:val="center"/>
                </w:tcPr>
                <w:p w14:paraId="05C57F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738" w:type="dxa"/>
                  <w:vMerge w:val="continue"/>
                  <w:vAlign w:val="center"/>
                </w:tcPr>
                <w:p w14:paraId="4FC71C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738" w:type="dxa"/>
                  <w:vMerge w:val="continue"/>
                  <w:vAlign w:val="center"/>
                </w:tcPr>
                <w:p w14:paraId="7E799B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738" w:type="dxa"/>
                  <w:vMerge w:val="continue"/>
                  <w:vAlign w:val="center"/>
                </w:tcPr>
                <w:p w14:paraId="37692B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675" w:type="dxa"/>
                  <w:vMerge w:val="continue"/>
                  <w:vAlign w:val="center"/>
                </w:tcPr>
                <w:p w14:paraId="0633B8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856" w:type="dxa"/>
                  <w:vMerge w:val="continue"/>
                  <w:vAlign w:val="center"/>
                </w:tcPr>
                <w:p w14:paraId="32706B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r>
            <w:tr w14:paraId="0D560D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dxa"/>
                  <w:vMerge w:val="continue"/>
                  <w:vAlign w:val="center"/>
                </w:tcPr>
                <w:p w14:paraId="0256F3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765" w:type="dxa"/>
                  <w:vMerge w:val="continue"/>
                  <w:vAlign w:val="center"/>
                </w:tcPr>
                <w:p w14:paraId="2CCECF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750" w:type="dxa"/>
                  <w:vMerge w:val="continue"/>
                  <w:vAlign w:val="center"/>
                </w:tcPr>
                <w:p w14:paraId="1F4F62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825" w:type="dxa"/>
                  <w:shd w:val="clear" w:color="auto" w:fill="auto"/>
                  <w:vAlign w:val="center"/>
                </w:tcPr>
                <w:p w14:paraId="6AFEFE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臭气浓度</w:t>
                  </w:r>
                </w:p>
              </w:tc>
              <w:tc>
                <w:tcPr>
                  <w:tcW w:w="738" w:type="dxa"/>
                  <w:vMerge w:val="continue"/>
                  <w:vAlign w:val="center"/>
                </w:tcPr>
                <w:p w14:paraId="3F2E98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738" w:type="dxa"/>
                  <w:vMerge w:val="continue"/>
                  <w:vAlign w:val="center"/>
                </w:tcPr>
                <w:p w14:paraId="10B59C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738" w:type="dxa"/>
                  <w:vMerge w:val="continue"/>
                  <w:vAlign w:val="center"/>
                </w:tcPr>
                <w:p w14:paraId="59F01A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738" w:type="dxa"/>
                  <w:vMerge w:val="continue"/>
                  <w:vAlign w:val="center"/>
                </w:tcPr>
                <w:p w14:paraId="2799B4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738" w:type="dxa"/>
                  <w:vMerge w:val="continue"/>
                  <w:vAlign w:val="center"/>
                </w:tcPr>
                <w:p w14:paraId="79D2A1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675" w:type="dxa"/>
                  <w:vMerge w:val="continue"/>
                  <w:vAlign w:val="center"/>
                </w:tcPr>
                <w:p w14:paraId="6B69A1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856" w:type="dxa"/>
                  <w:vMerge w:val="continue"/>
                  <w:vAlign w:val="center"/>
                </w:tcPr>
                <w:p w14:paraId="07BEB1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r>
            <w:tr w14:paraId="4B3AE2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24" w:type="dxa"/>
                  <w:gridSpan w:val="11"/>
                  <w:vAlign w:val="center"/>
                </w:tcPr>
                <w:p w14:paraId="35929B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lang w:val="en-US" w:eastAsia="zh-CN"/>
                    </w:rPr>
                  </w:pPr>
                  <w:r>
                    <w:rPr>
                      <w:rFonts w:hint="eastAsia"/>
                      <w:sz w:val="21"/>
                      <w:szCs w:val="21"/>
                      <w:vertAlign w:val="baseline"/>
                      <w:lang w:val="en-US" w:eastAsia="zh-CN"/>
                    </w:rPr>
                    <w:t>注：低矮排气筒属于有组织排放，但在一定条件下也可造成与无组织排放相同的效果。因此本项目分析无组织排放。</w:t>
                  </w:r>
                </w:p>
              </w:tc>
            </w:tr>
          </w:tbl>
          <w:p w14:paraId="2232C217">
            <w:pPr>
              <w:pStyle w:val="11"/>
              <w:bidi w:val="0"/>
              <w:rPr>
                <w:rFonts w:hint="eastAsia"/>
                <w:lang w:val="en-US" w:eastAsia="zh-CN"/>
              </w:rPr>
            </w:pPr>
            <w:r>
              <w:rPr>
                <w:rFonts w:hint="eastAsia"/>
                <w:lang w:val="en-US" w:eastAsia="zh-CN"/>
              </w:rPr>
              <w:t>表4-9 废气排放口基本情况表</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7"/>
              <w:gridCol w:w="1993"/>
              <w:gridCol w:w="919"/>
              <w:gridCol w:w="1470"/>
              <w:gridCol w:w="990"/>
              <w:gridCol w:w="1314"/>
            </w:tblGrid>
            <w:tr w14:paraId="3B2676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9" w:type="dxa"/>
                  <w:tcBorders>
                    <w:tl2br w:val="nil"/>
                    <w:tr2bl w:val="nil"/>
                  </w:tcBorders>
                  <w:vAlign w:val="center"/>
                </w:tcPr>
                <w:p w14:paraId="27AFD6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pacing w:val="-10"/>
                      <w:sz w:val="21"/>
                      <w:szCs w:val="21"/>
                      <w:highlight w:val="none"/>
                      <w:vertAlign w:val="baseline"/>
                      <w:lang w:val="en-US" w:eastAsia="zh-CN"/>
                    </w:rPr>
                  </w:pPr>
                  <w:r>
                    <w:rPr>
                      <w:rFonts w:hint="default" w:ascii="Times New Roman" w:hAnsi="Times New Roman" w:cs="Times New Roman"/>
                      <w:b/>
                      <w:bCs/>
                      <w:color w:val="auto"/>
                      <w:spacing w:val="-10"/>
                      <w:sz w:val="21"/>
                      <w:szCs w:val="21"/>
                      <w:highlight w:val="none"/>
                      <w:vertAlign w:val="baseline"/>
                      <w:lang w:val="en-US" w:eastAsia="zh-CN"/>
                    </w:rPr>
                    <w:t>排放口编号</w:t>
                  </w:r>
                </w:p>
              </w:tc>
              <w:tc>
                <w:tcPr>
                  <w:tcW w:w="2115" w:type="dxa"/>
                  <w:tcBorders>
                    <w:tl2br w:val="nil"/>
                    <w:tr2bl w:val="nil"/>
                  </w:tcBorders>
                  <w:vAlign w:val="center"/>
                </w:tcPr>
                <w:p w14:paraId="23ED68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pacing w:val="-10"/>
                      <w:sz w:val="21"/>
                      <w:szCs w:val="21"/>
                      <w:highlight w:val="none"/>
                      <w:vertAlign w:val="baseline"/>
                      <w:lang w:val="en-US" w:eastAsia="zh-CN"/>
                    </w:rPr>
                  </w:pPr>
                  <w:r>
                    <w:rPr>
                      <w:rFonts w:hint="default" w:ascii="Times New Roman" w:hAnsi="Times New Roman" w:cs="Times New Roman"/>
                      <w:b/>
                      <w:bCs/>
                      <w:color w:val="auto"/>
                      <w:spacing w:val="-10"/>
                      <w:sz w:val="21"/>
                      <w:szCs w:val="21"/>
                      <w:highlight w:val="none"/>
                      <w:vertAlign w:val="baseline"/>
                      <w:lang w:val="en-US" w:eastAsia="zh-CN"/>
                    </w:rPr>
                    <w:t>地理坐标</w:t>
                  </w:r>
                </w:p>
              </w:tc>
              <w:tc>
                <w:tcPr>
                  <w:tcW w:w="975" w:type="dxa"/>
                  <w:tcBorders>
                    <w:tl2br w:val="nil"/>
                    <w:tr2bl w:val="nil"/>
                  </w:tcBorders>
                  <w:vAlign w:val="center"/>
                </w:tcPr>
                <w:p w14:paraId="37C78E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pacing w:val="-10"/>
                      <w:sz w:val="21"/>
                      <w:szCs w:val="21"/>
                      <w:highlight w:val="none"/>
                      <w:vertAlign w:val="baseline"/>
                      <w:lang w:val="en-US" w:eastAsia="zh-CN"/>
                    </w:rPr>
                  </w:pPr>
                  <w:r>
                    <w:rPr>
                      <w:rFonts w:hint="default" w:ascii="Times New Roman" w:hAnsi="Times New Roman" w:cs="Times New Roman"/>
                      <w:b/>
                      <w:bCs/>
                      <w:color w:val="auto"/>
                      <w:spacing w:val="-10"/>
                      <w:sz w:val="21"/>
                      <w:szCs w:val="21"/>
                      <w:highlight w:val="none"/>
                      <w:vertAlign w:val="baseline"/>
                      <w:lang w:val="en-US" w:eastAsia="zh-CN"/>
                    </w:rPr>
                    <w:t>高度m</w:t>
                  </w:r>
                </w:p>
              </w:tc>
              <w:tc>
                <w:tcPr>
                  <w:tcW w:w="1560" w:type="dxa"/>
                  <w:tcBorders>
                    <w:tl2br w:val="nil"/>
                    <w:tr2bl w:val="nil"/>
                  </w:tcBorders>
                  <w:vAlign w:val="center"/>
                </w:tcPr>
                <w:p w14:paraId="601D52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pacing w:val="-10"/>
                      <w:sz w:val="21"/>
                      <w:szCs w:val="21"/>
                      <w:highlight w:val="none"/>
                      <w:vertAlign w:val="baseline"/>
                      <w:lang w:val="en-US" w:eastAsia="zh-CN"/>
                    </w:rPr>
                  </w:pPr>
                  <w:r>
                    <w:rPr>
                      <w:rFonts w:hint="default" w:ascii="Times New Roman" w:hAnsi="Times New Roman" w:cs="Times New Roman"/>
                      <w:b/>
                      <w:bCs/>
                      <w:color w:val="auto"/>
                      <w:spacing w:val="-10"/>
                      <w:sz w:val="21"/>
                      <w:szCs w:val="21"/>
                      <w:highlight w:val="none"/>
                      <w:vertAlign w:val="baseline"/>
                      <w:lang w:val="en-US" w:eastAsia="zh-CN"/>
                    </w:rPr>
                    <w:t>排气筒内径m</w:t>
                  </w:r>
                </w:p>
              </w:tc>
              <w:tc>
                <w:tcPr>
                  <w:tcW w:w="1050" w:type="dxa"/>
                  <w:tcBorders>
                    <w:tl2br w:val="nil"/>
                    <w:tr2bl w:val="nil"/>
                  </w:tcBorders>
                  <w:vAlign w:val="center"/>
                </w:tcPr>
                <w:p w14:paraId="3758A6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pacing w:val="-10"/>
                      <w:sz w:val="21"/>
                      <w:szCs w:val="21"/>
                      <w:highlight w:val="none"/>
                      <w:vertAlign w:val="baseline"/>
                      <w:lang w:val="en-US" w:eastAsia="zh-CN"/>
                    </w:rPr>
                  </w:pPr>
                  <w:r>
                    <w:rPr>
                      <w:rFonts w:hint="default" w:ascii="Times New Roman" w:hAnsi="Times New Roman" w:cs="Times New Roman"/>
                      <w:b/>
                      <w:bCs/>
                      <w:color w:val="auto"/>
                      <w:spacing w:val="-10"/>
                      <w:sz w:val="21"/>
                      <w:szCs w:val="21"/>
                      <w:highlight w:val="none"/>
                      <w:vertAlign w:val="baseline"/>
                      <w:lang w:val="en-US" w:eastAsia="zh-CN"/>
                    </w:rPr>
                    <w:t>温度℃</w:t>
                  </w:r>
                </w:p>
              </w:tc>
              <w:tc>
                <w:tcPr>
                  <w:tcW w:w="1394" w:type="dxa"/>
                  <w:tcBorders>
                    <w:tl2br w:val="nil"/>
                    <w:tr2bl w:val="nil"/>
                  </w:tcBorders>
                  <w:vAlign w:val="center"/>
                </w:tcPr>
                <w:p w14:paraId="271989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pacing w:val="-10"/>
                      <w:sz w:val="21"/>
                      <w:szCs w:val="21"/>
                      <w:highlight w:val="none"/>
                      <w:vertAlign w:val="baseline"/>
                      <w:lang w:val="en-US" w:eastAsia="zh-CN"/>
                    </w:rPr>
                  </w:pPr>
                  <w:r>
                    <w:rPr>
                      <w:rFonts w:hint="default" w:ascii="Times New Roman" w:hAnsi="Times New Roman" w:cs="Times New Roman"/>
                      <w:b/>
                      <w:bCs/>
                      <w:color w:val="auto"/>
                      <w:spacing w:val="-10"/>
                      <w:sz w:val="21"/>
                      <w:szCs w:val="21"/>
                      <w:highlight w:val="none"/>
                      <w:vertAlign w:val="baseline"/>
                      <w:lang w:val="en-US" w:eastAsia="zh-CN"/>
                    </w:rPr>
                    <w:t>排放口类型</w:t>
                  </w:r>
                </w:p>
              </w:tc>
            </w:tr>
            <w:tr w14:paraId="7A6C05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9" w:type="dxa"/>
                  <w:tcBorders>
                    <w:tl2br w:val="nil"/>
                    <w:tr2bl w:val="nil"/>
                  </w:tcBorders>
                  <w:vAlign w:val="center"/>
                </w:tcPr>
                <w:p w14:paraId="36DA36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pacing w:val="-10"/>
                      <w:sz w:val="21"/>
                      <w:szCs w:val="21"/>
                      <w:highlight w:val="none"/>
                      <w:vertAlign w:val="baseline"/>
                      <w:lang w:val="en-US" w:eastAsia="zh-CN"/>
                    </w:rPr>
                  </w:pPr>
                  <w:r>
                    <w:rPr>
                      <w:rFonts w:hint="eastAsia" w:ascii="Times New Roman" w:hAnsi="Times New Roman" w:cs="Times New Roman"/>
                      <w:b w:val="0"/>
                      <w:bCs w:val="0"/>
                      <w:color w:val="auto"/>
                      <w:spacing w:val="-10"/>
                      <w:sz w:val="21"/>
                      <w:szCs w:val="21"/>
                      <w:highlight w:val="none"/>
                      <w:vertAlign w:val="baseline"/>
                      <w:lang w:val="en-US" w:eastAsia="zh-CN"/>
                    </w:rPr>
                    <w:t>DA001</w:t>
                  </w:r>
                </w:p>
              </w:tc>
              <w:tc>
                <w:tcPr>
                  <w:tcW w:w="2115" w:type="dxa"/>
                  <w:tcBorders>
                    <w:tl2br w:val="nil"/>
                    <w:tr2bl w:val="nil"/>
                  </w:tcBorders>
                  <w:vAlign w:val="center"/>
                </w:tcPr>
                <w:p w14:paraId="54F5DB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pacing w:val="-10"/>
                      <w:sz w:val="21"/>
                      <w:szCs w:val="21"/>
                      <w:highlight w:val="none"/>
                      <w:vertAlign w:val="baseline"/>
                      <w:lang w:val="en-US" w:eastAsia="zh-CN"/>
                    </w:rPr>
                  </w:pPr>
                  <w:r>
                    <w:rPr>
                      <w:rFonts w:hint="default" w:ascii="Times New Roman" w:hAnsi="Times New Roman" w:cs="Times New Roman"/>
                      <w:b w:val="0"/>
                      <w:bCs w:val="0"/>
                      <w:color w:val="auto"/>
                      <w:spacing w:val="-10"/>
                      <w:sz w:val="21"/>
                      <w:szCs w:val="21"/>
                      <w:highlight w:val="none"/>
                      <w:vertAlign w:val="baseline"/>
                      <w:lang w:val="en-US" w:eastAsia="zh-CN"/>
                    </w:rPr>
                    <w:t>东经116°</w:t>
                  </w:r>
                  <w:r>
                    <w:rPr>
                      <w:rFonts w:hint="eastAsia" w:cs="Times New Roman"/>
                      <w:b w:val="0"/>
                      <w:bCs w:val="0"/>
                      <w:color w:val="auto"/>
                      <w:spacing w:val="-10"/>
                      <w:sz w:val="21"/>
                      <w:szCs w:val="21"/>
                      <w:highlight w:val="none"/>
                      <w:vertAlign w:val="baseline"/>
                      <w:lang w:val="en-US" w:eastAsia="zh-CN"/>
                    </w:rPr>
                    <w:t>17</w:t>
                  </w:r>
                  <w:r>
                    <w:rPr>
                      <w:rFonts w:hint="default" w:ascii="Times New Roman" w:hAnsi="Times New Roman" w:cs="Times New Roman"/>
                      <w:b w:val="0"/>
                      <w:bCs w:val="0"/>
                      <w:color w:val="auto"/>
                      <w:spacing w:val="-10"/>
                      <w:sz w:val="21"/>
                      <w:szCs w:val="21"/>
                      <w:highlight w:val="none"/>
                      <w:vertAlign w:val="baseline"/>
                      <w:lang w:val="en-US" w:eastAsia="zh-CN"/>
                    </w:rPr>
                    <w:t>′</w:t>
                  </w:r>
                  <w:r>
                    <w:rPr>
                      <w:rFonts w:hint="eastAsia" w:cs="Times New Roman"/>
                      <w:b w:val="0"/>
                      <w:bCs w:val="0"/>
                      <w:color w:val="auto"/>
                      <w:spacing w:val="-10"/>
                      <w:sz w:val="21"/>
                      <w:szCs w:val="21"/>
                      <w:highlight w:val="none"/>
                      <w:vertAlign w:val="baseline"/>
                      <w:lang w:val="en-US" w:eastAsia="zh-CN"/>
                    </w:rPr>
                    <w:t>41.412</w:t>
                  </w:r>
                  <w:r>
                    <w:rPr>
                      <w:rFonts w:hint="default" w:ascii="Times New Roman" w:hAnsi="Times New Roman" w:cs="Times New Roman"/>
                      <w:b w:val="0"/>
                      <w:bCs w:val="0"/>
                      <w:color w:val="auto"/>
                      <w:spacing w:val="-10"/>
                      <w:sz w:val="21"/>
                      <w:szCs w:val="21"/>
                      <w:highlight w:val="none"/>
                      <w:vertAlign w:val="baseline"/>
                      <w:lang w:val="en-US" w:eastAsia="zh-CN"/>
                    </w:rPr>
                    <w:t>″</w:t>
                  </w:r>
                </w:p>
                <w:p w14:paraId="22C7FA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pacing w:val="-10"/>
                      <w:sz w:val="21"/>
                      <w:szCs w:val="21"/>
                      <w:highlight w:val="none"/>
                      <w:vertAlign w:val="baseline"/>
                      <w:lang w:val="en-US" w:eastAsia="zh-CN"/>
                    </w:rPr>
                  </w:pPr>
                  <w:r>
                    <w:rPr>
                      <w:rFonts w:hint="default" w:ascii="Times New Roman" w:hAnsi="Times New Roman" w:cs="Times New Roman"/>
                      <w:b w:val="0"/>
                      <w:bCs w:val="0"/>
                      <w:color w:val="auto"/>
                      <w:spacing w:val="-10"/>
                      <w:sz w:val="21"/>
                      <w:szCs w:val="21"/>
                      <w:highlight w:val="none"/>
                      <w:vertAlign w:val="baseline"/>
                      <w:lang w:val="en-US" w:eastAsia="zh-CN"/>
                    </w:rPr>
                    <w:t>北纬39°</w:t>
                  </w:r>
                  <w:r>
                    <w:rPr>
                      <w:rFonts w:hint="eastAsia" w:cs="Times New Roman"/>
                      <w:b w:val="0"/>
                      <w:bCs w:val="0"/>
                      <w:color w:val="auto"/>
                      <w:spacing w:val="-10"/>
                      <w:sz w:val="21"/>
                      <w:szCs w:val="21"/>
                      <w:highlight w:val="none"/>
                      <w:vertAlign w:val="baseline"/>
                      <w:lang w:val="en-US" w:eastAsia="zh-CN"/>
                    </w:rPr>
                    <w:t>49</w:t>
                  </w:r>
                  <w:r>
                    <w:rPr>
                      <w:rFonts w:hint="default" w:ascii="Times New Roman" w:hAnsi="Times New Roman" w:cs="Times New Roman"/>
                      <w:b w:val="0"/>
                      <w:bCs w:val="0"/>
                      <w:color w:val="auto"/>
                      <w:spacing w:val="-10"/>
                      <w:sz w:val="21"/>
                      <w:szCs w:val="21"/>
                      <w:highlight w:val="none"/>
                      <w:vertAlign w:val="baseline"/>
                      <w:lang w:val="en-US" w:eastAsia="zh-CN"/>
                    </w:rPr>
                    <w:t>′</w:t>
                  </w:r>
                  <w:r>
                    <w:rPr>
                      <w:rFonts w:hint="eastAsia" w:cs="Times New Roman"/>
                      <w:b w:val="0"/>
                      <w:bCs w:val="0"/>
                      <w:color w:val="auto"/>
                      <w:spacing w:val="-10"/>
                      <w:sz w:val="21"/>
                      <w:szCs w:val="21"/>
                      <w:highlight w:val="none"/>
                      <w:vertAlign w:val="baseline"/>
                      <w:lang w:val="en-US" w:eastAsia="zh-CN"/>
                    </w:rPr>
                    <w:t>55.896</w:t>
                  </w:r>
                  <w:r>
                    <w:rPr>
                      <w:rFonts w:hint="default" w:ascii="Times New Roman" w:hAnsi="Times New Roman" w:cs="Times New Roman"/>
                      <w:b w:val="0"/>
                      <w:bCs w:val="0"/>
                      <w:color w:val="auto"/>
                      <w:spacing w:val="-10"/>
                      <w:sz w:val="21"/>
                      <w:szCs w:val="21"/>
                      <w:highlight w:val="none"/>
                      <w:vertAlign w:val="baseline"/>
                      <w:lang w:val="en-US" w:eastAsia="zh-CN"/>
                    </w:rPr>
                    <w:t>″</w:t>
                  </w:r>
                </w:p>
              </w:tc>
              <w:tc>
                <w:tcPr>
                  <w:tcW w:w="975" w:type="dxa"/>
                  <w:tcBorders>
                    <w:tl2br w:val="nil"/>
                    <w:tr2bl w:val="nil"/>
                  </w:tcBorders>
                  <w:vAlign w:val="center"/>
                </w:tcPr>
                <w:p w14:paraId="0DFFA3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pacing w:val="-10"/>
                      <w:sz w:val="21"/>
                      <w:szCs w:val="21"/>
                      <w:highlight w:val="none"/>
                      <w:vertAlign w:val="baseline"/>
                      <w:lang w:val="en-US" w:eastAsia="zh-CN"/>
                    </w:rPr>
                  </w:pPr>
                  <w:r>
                    <w:rPr>
                      <w:rFonts w:hint="eastAsia" w:cs="Times New Roman"/>
                      <w:b w:val="0"/>
                      <w:bCs w:val="0"/>
                      <w:color w:val="auto"/>
                      <w:spacing w:val="-10"/>
                      <w:sz w:val="21"/>
                      <w:szCs w:val="21"/>
                      <w:highlight w:val="none"/>
                      <w:vertAlign w:val="baseline"/>
                      <w:lang w:val="en-US" w:eastAsia="zh-CN"/>
                    </w:rPr>
                    <w:t>3.4</w:t>
                  </w:r>
                </w:p>
              </w:tc>
              <w:tc>
                <w:tcPr>
                  <w:tcW w:w="1560" w:type="dxa"/>
                  <w:tcBorders>
                    <w:tl2br w:val="nil"/>
                    <w:tr2bl w:val="nil"/>
                  </w:tcBorders>
                  <w:vAlign w:val="center"/>
                </w:tcPr>
                <w:p w14:paraId="70523E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pacing w:val="-10"/>
                      <w:sz w:val="21"/>
                      <w:szCs w:val="21"/>
                      <w:highlight w:val="none"/>
                      <w:vertAlign w:val="baseline"/>
                      <w:lang w:val="en-US" w:eastAsia="zh-CN"/>
                    </w:rPr>
                  </w:pPr>
                  <w:r>
                    <w:rPr>
                      <w:rFonts w:hint="default" w:ascii="Times New Roman" w:hAnsi="Times New Roman" w:cs="Times New Roman"/>
                      <w:b w:val="0"/>
                      <w:bCs w:val="0"/>
                      <w:color w:val="auto"/>
                      <w:spacing w:val="-10"/>
                      <w:sz w:val="21"/>
                      <w:szCs w:val="21"/>
                      <w:highlight w:val="none"/>
                      <w:vertAlign w:val="baseline"/>
                      <w:lang w:val="en-US" w:eastAsia="zh-CN"/>
                    </w:rPr>
                    <w:t>0.2</w:t>
                  </w:r>
                </w:p>
              </w:tc>
              <w:tc>
                <w:tcPr>
                  <w:tcW w:w="1050" w:type="dxa"/>
                  <w:tcBorders>
                    <w:tl2br w:val="nil"/>
                    <w:tr2bl w:val="nil"/>
                  </w:tcBorders>
                  <w:vAlign w:val="center"/>
                </w:tcPr>
                <w:p w14:paraId="2B554E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pacing w:val="-10"/>
                      <w:sz w:val="21"/>
                      <w:szCs w:val="21"/>
                      <w:highlight w:val="none"/>
                      <w:vertAlign w:val="baseline"/>
                      <w:lang w:val="en-US" w:eastAsia="zh-CN"/>
                    </w:rPr>
                  </w:pPr>
                  <w:r>
                    <w:rPr>
                      <w:rFonts w:hint="eastAsia" w:cs="Times New Roman"/>
                      <w:b w:val="0"/>
                      <w:bCs w:val="0"/>
                      <w:color w:val="auto"/>
                      <w:spacing w:val="-10"/>
                      <w:sz w:val="21"/>
                      <w:szCs w:val="21"/>
                      <w:highlight w:val="none"/>
                      <w:vertAlign w:val="baseline"/>
                      <w:lang w:val="en-US" w:eastAsia="zh-CN"/>
                    </w:rPr>
                    <w:t>与外环境相同</w:t>
                  </w:r>
                </w:p>
              </w:tc>
              <w:tc>
                <w:tcPr>
                  <w:tcW w:w="1394" w:type="dxa"/>
                  <w:tcBorders>
                    <w:tl2br w:val="nil"/>
                    <w:tr2bl w:val="nil"/>
                  </w:tcBorders>
                  <w:vAlign w:val="center"/>
                </w:tcPr>
                <w:p w14:paraId="6254C2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pacing w:val="-10"/>
                      <w:sz w:val="21"/>
                      <w:szCs w:val="21"/>
                      <w:highlight w:val="none"/>
                      <w:vertAlign w:val="baseline"/>
                      <w:lang w:val="en-US" w:eastAsia="zh-CN"/>
                    </w:rPr>
                  </w:pPr>
                  <w:r>
                    <w:rPr>
                      <w:rFonts w:hint="default" w:ascii="Times New Roman" w:hAnsi="Times New Roman" w:cs="Times New Roman"/>
                      <w:b w:val="0"/>
                      <w:bCs w:val="0"/>
                      <w:color w:val="auto"/>
                      <w:spacing w:val="-10"/>
                      <w:sz w:val="21"/>
                      <w:szCs w:val="21"/>
                      <w:highlight w:val="none"/>
                      <w:vertAlign w:val="baseline"/>
                      <w:lang w:val="en-US" w:eastAsia="zh-CN"/>
                    </w:rPr>
                    <w:t>一般排放口</w:t>
                  </w:r>
                </w:p>
              </w:tc>
            </w:tr>
          </w:tbl>
          <w:p w14:paraId="2F4A37F4">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（6）非正常情况排放</w:t>
            </w:r>
          </w:p>
          <w:p w14:paraId="1A08F42A">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项目废气非正常排放情况是指污染物治理设施停运进行检修，或者运行出现故障，达不到应有治理效率的情况下的污染物排放。本项目可能出现非正常排放的原因主要为排风系统故障、活性炭饱和或失活等情形，从而导致废气不经治理或未达到治理效果直接排放。出现该类情况时，污染物排放计算具体情况见下表。</w:t>
            </w:r>
          </w:p>
          <w:p w14:paraId="2E963E8A">
            <w:pPr>
              <w:pStyle w:val="11"/>
              <w:bidi w:val="0"/>
              <w:rPr>
                <w:rFonts w:hint="eastAsia"/>
                <w:lang w:val="en-US" w:eastAsia="zh-CN"/>
              </w:rPr>
            </w:pPr>
            <w:r>
              <w:rPr>
                <w:rFonts w:hint="eastAsia"/>
                <w:lang w:val="en-US" w:eastAsia="zh-CN"/>
              </w:rPr>
              <w:t>表4-10 项目废气非正常排放情况汇总表（臭气浓度无量纲）</w:t>
            </w:r>
          </w:p>
          <w:tbl>
            <w:tblPr>
              <w:tblStyle w:val="9"/>
              <w:tblW w:w="802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1695"/>
              <w:gridCol w:w="960"/>
              <w:gridCol w:w="1095"/>
              <w:gridCol w:w="1110"/>
              <w:gridCol w:w="2057"/>
            </w:tblGrid>
            <w:tr w14:paraId="5B47DE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vMerge w:val="restart"/>
                  <w:tcBorders>
                    <w:tl2br w:val="nil"/>
                    <w:tr2bl w:val="nil"/>
                  </w:tcBorders>
                  <w:vAlign w:val="center"/>
                </w:tcPr>
                <w:p w14:paraId="140536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污染物</w:t>
                  </w:r>
                </w:p>
              </w:tc>
              <w:tc>
                <w:tcPr>
                  <w:tcW w:w="1695" w:type="dxa"/>
                  <w:vMerge w:val="restart"/>
                  <w:tcBorders>
                    <w:tl2br w:val="nil"/>
                    <w:tr2bl w:val="nil"/>
                  </w:tcBorders>
                  <w:vAlign w:val="center"/>
                </w:tcPr>
                <w:p w14:paraId="5AFAEF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sz w:val="21"/>
                      <w:szCs w:val="21"/>
                      <w:vertAlign w:val="baseline"/>
                      <w:lang w:val="en-US" w:eastAsia="zh-CN"/>
                    </w:rPr>
                  </w:pPr>
                  <w:r>
                    <w:rPr>
                      <w:rFonts w:hint="eastAsia"/>
                      <w:b/>
                      <w:bCs/>
                      <w:sz w:val="21"/>
                      <w:szCs w:val="21"/>
                      <w:vertAlign w:val="baseline"/>
                      <w:lang w:val="en-US" w:eastAsia="zh-CN"/>
                    </w:rPr>
                    <w:t>非正常排放情况</w:t>
                  </w:r>
                </w:p>
                <w:p w14:paraId="201D45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排放浓度mg/m</w:t>
                  </w:r>
                  <w:r>
                    <w:rPr>
                      <w:rFonts w:hint="eastAsia"/>
                      <w:b/>
                      <w:bCs/>
                      <w:sz w:val="21"/>
                      <w:szCs w:val="21"/>
                      <w:vertAlign w:val="superscript"/>
                      <w:lang w:val="en-US" w:eastAsia="zh-CN"/>
                    </w:rPr>
                    <w:t>3</w:t>
                  </w:r>
                </w:p>
              </w:tc>
              <w:tc>
                <w:tcPr>
                  <w:tcW w:w="3165" w:type="dxa"/>
                  <w:gridSpan w:val="3"/>
                  <w:tcBorders>
                    <w:tl2br w:val="nil"/>
                    <w:tr2bl w:val="nil"/>
                  </w:tcBorders>
                  <w:vAlign w:val="center"/>
                </w:tcPr>
                <w:p w14:paraId="192C42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非正常排放因素</w:t>
                  </w:r>
                </w:p>
              </w:tc>
              <w:tc>
                <w:tcPr>
                  <w:tcW w:w="2057" w:type="dxa"/>
                  <w:vMerge w:val="restart"/>
                  <w:tcBorders>
                    <w:tl2br w:val="nil"/>
                    <w:tr2bl w:val="nil"/>
                  </w:tcBorders>
                  <w:vAlign w:val="center"/>
                </w:tcPr>
                <w:p w14:paraId="6014F7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b/>
                      <w:bCs/>
                      <w:sz w:val="21"/>
                      <w:szCs w:val="21"/>
                      <w:vertAlign w:val="baseline"/>
                      <w:lang w:val="en-US" w:eastAsia="zh-CN"/>
                    </w:rPr>
                    <w:t>应对措施</w:t>
                  </w:r>
                </w:p>
              </w:tc>
            </w:tr>
            <w:tr w14:paraId="129F49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vMerge w:val="continue"/>
                  <w:tcBorders>
                    <w:tl2br w:val="nil"/>
                    <w:tr2bl w:val="nil"/>
                  </w:tcBorders>
                  <w:vAlign w:val="center"/>
                </w:tcPr>
                <w:p w14:paraId="030846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695" w:type="dxa"/>
                  <w:vMerge w:val="continue"/>
                  <w:tcBorders>
                    <w:tl2br w:val="nil"/>
                    <w:tr2bl w:val="nil"/>
                  </w:tcBorders>
                  <w:vAlign w:val="center"/>
                </w:tcPr>
                <w:p w14:paraId="735994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960" w:type="dxa"/>
                  <w:tcBorders>
                    <w:tl2br w:val="nil"/>
                    <w:tr2bl w:val="nil"/>
                  </w:tcBorders>
                  <w:vAlign w:val="center"/>
                </w:tcPr>
                <w:p w14:paraId="5AC53E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原因</w:t>
                  </w:r>
                </w:p>
              </w:tc>
              <w:tc>
                <w:tcPr>
                  <w:tcW w:w="1095" w:type="dxa"/>
                  <w:tcBorders>
                    <w:tl2br w:val="nil"/>
                    <w:tr2bl w:val="nil"/>
                  </w:tcBorders>
                  <w:vAlign w:val="center"/>
                </w:tcPr>
                <w:p w14:paraId="75A32E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可能频次</w:t>
                  </w:r>
                </w:p>
              </w:tc>
              <w:tc>
                <w:tcPr>
                  <w:tcW w:w="1110" w:type="dxa"/>
                  <w:tcBorders>
                    <w:tl2br w:val="nil"/>
                    <w:tr2bl w:val="nil"/>
                  </w:tcBorders>
                  <w:vAlign w:val="center"/>
                </w:tcPr>
                <w:p w14:paraId="198992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持续时间</w:t>
                  </w:r>
                </w:p>
              </w:tc>
              <w:tc>
                <w:tcPr>
                  <w:tcW w:w="2057" w:type="dxa"/>
                  <w:vMerge w:val="continue"/>
                  <w:tcBorders>
                    <w:tl2br w:val="nil"/>
                    <w:tr2bl w:val="nil"/>
                  </w:tcBorders>
                  <w:vAlign w:val="center"/>
                </w:tcPr>
                <w:p w14:paraId="2253BF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r>
            <w:tr w14:paraId="3BFD4E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tcBorders>
                    <w:tl2br w:val="nil"/>
                    <w:tr2bl w:val="nil"/>
                  </w:tcBorders>
                  <w:shd w:val="clear" w:color="auto" w:fill="auto"/>
                  <w:vAlign w:val="center"/>
                </w:tcPr>
                <w:p w14:paraId="422324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H</w:t>
                  </w:r>
                  <w:r>
                    <w:rPr>
                      <w:rFonts w:hint="eastAsia"/>
                      <w:sz w:val="21"/>
                      <w:szCs w:val="21"/>
                      <w:vertAlign w:val="subscript"/>
                      <w:lang w:val="en-US" w:eastAsia="zh-CN"/>
                    </w:rPr>
                    <w:t>2</w:t>
                  </w:r>
                  <w:r>
                    <w:rPr>
                      <w:rFonts w:hint="eastAsia"/>
                      <w:sz w:val="21"/>
                      <w:szCs w:val="21"/>
                      <w:vertAlign w:val="baseline"/>
                      <w:lang w:val="en-US" w:eastAsia="zh-CN"/>
                    </w:rPr>
                    <w:t>S</w:t>
                  </w:r>
                </w:p>
              </w:tc>
              <w:tc>
                <w:tcPr>
                  <w:tcW w:w="1695" w:type="dxa"/>
                  <w:tcBorders>
                    <w:tl2br w:val="nil"/>
                    <w:tr2bl w:val="nil"/>
                  </w:tcBorders>
                  <w:vAlign w:val="center"/>
                </w:tcPr>
                <w:p w14:paraId="535256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0.008</w:t>
                  </w:r>
                </w:p>
              </w:tc>
              <w:tc>
                <w:tcPr>
                  <w:tcW w:w="960" w:type="dxa"/>
                  <w:vMerge w:val="restart"/>
                  <w:tcBorders>
                    <w:tl2br w:val="nil"/>
                    <w:tr2bl w:val="nil"/>
                  </w:tcBorders>
                  <w:vAlign w:val="center"/>
                </w:tcPr>
                <w:p w14:paraId="2A433D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default"/>
                      <w:sz w:val="21"/>
                      <w:szCs w:val="21"/>
                      <w:vertAlign w:val="baseline"/>
                      <w:lang w:val="en-US" w:eastAsia="zh-CN"/>
                    </w:rPr>
                    <w:t>①排风系统故障；</w:t>
                  </w:r>
                </w:p>
                <w:p w14:paraId="40B2CE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default"/>
                      <w:sz w:val="21"/>
                      <w:szCs w:val="21"/>
                      <w:vertAlign w:val="baseline"/>
                      <w:lang w:val="en-US" w:eastAsia="zh-CN"/>
                    </w:rPr>
                    <w:t>②活性炭饱和或失活。</w:t>
                  </w:r>
                </w:p>
              </w:tc>
              <w:tc>
                <w:tcPr>
                  <w:tcW w:w="1095" w:type="dxa"/>
                  <w:vMerge w:val="restart"/>
                  <w:tcBorders>
                    <w:tl2br w:val="nil"/>
                    <w:tr2bl w:val="nil"/>
                  </w:tcBorders>
                  <w:vAlign w:val="center"/>
                </w:tcPr>
                <w:p w14:paraId="3C98FA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w:t>
                  </w:r>
                  <w:r>
                    <w:rPr>
                      <w:rFonts w:hint="eastAsia"/>
                      <w:sz w:val="21"/>
                      <w:szCs w:val="21"/>
                      <w:vertAlign w:val="baseline"/>
                      <w:lang w:val="en-US" w:eastAsia="zh-CN"/>
                    </w:rPr>
                    <w:t>1次/a</w:t>
                  </w:r>
                </w:p>
              </w:tc>
              <w:tc>
                <w:tcPr>
                  <w:tcW w:w="1110" w:type="dxa"/>
                  <w:vMerge w:val="restart"/>
                  <w:tcBorders>
                    <w:tl2br w:val="nil"/>
                    <w:tr2bl w:val="nil"/>
                  </w:tcBorders>
                  <w:vAlign w:val="center"/>
                </w:tcPr>
                <w:p w14:paraId="30A771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w:t>
                  </w:r>
                  <w:r>
                    <w:rPr>
                      <w:rFonts w:hint="eastAsia"/>
                      <w:sz w:val="21"/>
                      <w:szCs w:val="21"/>
                      <w:vertAlign w:val="baseline"/>
                      <w:lang w:val="en-US" w:eastAsia="zh-CN"/>
                    </w:rPr>
                    <w:t>2h/次</w:t>
                  </w:r>
                </w:p>
              </w:tc>
              <w:tc>
                <w:tcPr>
                  <w:tcW w:w="2057" w:type="dxa"/>
                  <w:vMerge w:val="restart"/>
                  <w:tcBorders>
                    <w:tl2br w:val="nil"/>
                    <w:tr2bl w:val="nil"/>
                  </w:tcBorders>
                  <w:vAlign w:val="center"/>
                </w:tcPr>
                <w:p w14:paraId="0D723A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default"/>
                      <w:sz w:val="21"/>
                      <w:szCs w:val="21"/>
                      <w:vertAlign w:val="baseline"/>
                      <w:lang w:val="en-US" w:eastAsia="zh-CN"/>
                    </w:rPr>
                    <w:t>①立即停止运行，待相关设备设施修复后再行开展经营活动；②定期检查保养相关设备及设施；③常备新鲜活性炭，并妥善保存；④加强管理，检查设施运行情况。</w:t>
                  </w:r>
                </w:p>
              </w:tc>
            </w:tr>
            <w:tr w14:paraId="774BD8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tcBorders>
                    <w:tl2br w:val="nil"/>
                    <w:tr2bl w:val="nil"/>
                  </w:tcBorders>
                  <w:shd w:val="clear" w:color="auto" w:fill="auto"/>
                  <w:vAlign w:val="center"/>
                </w:tcPr>
                <w:p w14:paraId="45FA91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NH</w:t>
                  </w:r>
                  <w:r>
                    <w:rPr>
                      <w:rFonts w:hint="eastAsia"/>
                      <w:sz w:val="21"/>
                      <w:szCs w:val="21"/>
                      <w:vertAlign w:val="subscript"/>
                      <w:lang w:val="en-US" w:eastAsia="zh-CN"/>
                    </w:rPr>
                    <w:t>3</w:t>
                  </w:r>
                </w:p>
              </w:tc>
              <w:tc>
                <w:tcPr>
                  <w:tcW w:w="1695" w:type="dxa"/>
                  <w:tcBorders>
                    <w:tl2br w:val="nil"/>
                    <w:tr2bl w:val="nil"/>
                  </w:tcBorders>
                  <w:vAlign w:val="center"/>
                </w:tcPr>
                <w:p w14:paraId="06DFC1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0.08</w:t>
                  </w:r>
                </w:p>
              </w:tc>
              <w:tc>
                <w:tcPr>
                  <w:tcW w:w="960" w:type="dxa"/>
                  <w:vMerge w:val="continue"/>
                  <w:tcBorders>
                    <w:tl2br w:val="nil"/>
                    <w:tr2bl w:val="nil"/>
                  </w:tcBorders>
                  <w:vAlign w:val="center"/>
                </w:tcPr>
                <w:p w14:paraId="57E90D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095" w:type="dxa"/>
                  <w:vMerge w:val="continue"/>
                  <w:tcBorders>
                    <w:tl2br w:val="nil"/>
                    <w:tr2bl w:val="nil"/>
                  </w:tcBorders>
                  <w:vAlign w:val="center"/>
                </w:tcPr>
                <w:p w14:paraId="2525BF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110" w:type="dxa"/>
                  <w:vMerge w:val="continue"/>
                  <w:tcBorders>
                    <w:tl2br w:val="nil"/>
                    <w:tr2bl w:val="nil"/>
                  </w:tcBorders>
                  <w:vAlign w:val="center"/>
                </w:tcPr>
                <w:p w14:paraId="3F398C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2057" w:type="dxa"/>
                  <w:vMerge w:val="continue"/>
                  <w:tcBorders>
                    <w:tl2br w:val="nil"/>
                    <w:tr2bl w:val="nil"/>
                  </w:tcBorders>
                  <w:vAlign w:val="center"/>
                </w:tcPr>
                <w:p w14:paraId="71B5AE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r>
            <w:tr w14:paraId="076AAA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tcBorders>
                    <w:tl2br w:val="nil"/>
                    <w:tr2bl w:val="nil"/>
                  </w:tcBorders>
                  <w:shd w:val="clear" w:color="auto" w:fill="auto"/>
                  <w:vAlign w:val="center"/>
                </w:tcPr>
                <w:p w14:paraId="6AE2AB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臭气浓度</w:t>
                  </w:r>
                </w:p>
              </w:tc>
              <w:tc>
                <w:tcPr>
                  <w:tcW w:w="1695" w:type="dxa"/>
                  <w:tcBorders>
                    <w:tl2br w:val="nil"/>
                    <w:tr2bl w:val="nil"/>
                  </w:tcBorders>
                  <w:vAlign w:val="center"/>
                </w:tcPr>
                <w:p w14:paraId="26E05D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w:t>
                  </w:r>
                  <w:r>
                    <w:rPr>
                      <w:rFonts w:hint="eastAsia"/>
                      <w:sz w:val="21"/>
                      <w:szCs w:val="21"/>
                      <w:vertAlign w:val="baseline"/>
                      <w:lang w:val="en-US" w:eastAsia="zh-CN"/>
                    </w:rPr>
                    <w:t>25</w:t>
                  </w:r>
                </w:p>
              </w:tc>
              <w:tc>
                <w:tcPr>
                  <w:tcW w:w="960" w:type="dxa"/>
                  <w:vMerge w:val="continue"/>
                  <w:tcBorders>
                    <w:tl2br w:val="nil"/>
                    <w:tr2bl w:val="nil"/>
                  </w:tcBorders>
                  <w:vAlign w:val="center"/>
                </w:tcPr>
                <w:p w14:paraId="4D43BA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095" w:type="dxa"/>
                  <w:vMerge w:val="continue"/>
                  <w:tcBorders>
                    <w:tl2br w:val="nil"/>
                    <w:tr2bl w:val="nil"/>
                  </w:tcBorders>
                  <w:vAlign w:val="center"/>
                </w:tcPr>
                <w:p w14:paraId="0584FA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110" w:type="dxa"/>
                  <w:vMerge w:val="continue"/>
                  <w:tcBorders>
                    <w:tl2br w:val="nil"/>
                    <w:tr2bl w:val="nil"/>
                  </w:tcBorders>
                  <w:vAlign w:val="center"/>
                </w:tcPr>
                <w:p w14:paraId="3A5BC0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2057" w:type="dxa"/>
                  <w:vMerge w:val="continue"/>
                  <w:tcBorders>
                    <w:tl2br w:val="nil"/>
                    <w:tr2bl w:val="nil"/>
                  </w:tcBorders>
                  <w:vAlign w:val="center"/>
                </w:tcPr>
                <w:p w14:paraId="15E47B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r>
            <w:tr w14:paraId="4096D2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25" w:type="dxa"/>
                  <w:gridSpan w:val="6"/>
                  <w:tcBorders>
                    <w:tl2br w:val="nil"/>
                    <w:tr2bl w:val="nil"/>
                  </w:tcBorders>
                  <w:vAlign w:val="center"/>
                </w:tcPr>
                <w:p w14:paraId="2B8D4E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default"/>
                      <w:sz w:val="21"/>
                      <w:szCs w:val="21"/>
                      <w:vertAlign w:val="baseline"/>
                      <w:lang w:val="en-US" w:eastAsia="zh-CN"/>
                    </w:rPr>
                    <w:t>非正常情况下的污染物排放浓度即为污染物产生浓度（未经治理），可以通过各污染物治理后的排放浓度与废气净化效率进行反推计算得出</w:t>
                  </w:r>
                </w:p>
              </w:tc>
            </w:tr>
          </w:tbl>
          <w:p w14:paraId="45F77862">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经分析计算，本项目建成后医院非正常情况存在时间较短，发生非正常情况时医院产生的废气对周围大气环境和大气环境保护目标影响较小。</w:t>
            </w:r>
          </w:p>
          <w:p w14:paraId="2A21D156">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为杜绝废气非正常排放情况的发生，本项目采取以下措施确保废气达标排放：</w:t>
            </w:r>
          </w:p>
          <w:p w14:paraId="6B1A27AB">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①建立健全环保管理机构，定期对医院管理人员和技术人员进行岗位培训，加强环保意识；</w:t>
            </w:r>
          </w:p>
          <w:p w14:paraId="1A39D973">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②加强活性炭的巡检力度，及时发现并处理设备产生的隐患；</w:t>
            </w:r>
          </w:p>
          <w:p w14:paraId="7CD699C7">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③及时对室内及宠物笼等设施进行清理清洁，定期在各房间及走廊过道内喷洒除臭剂、空气清新剂等辅助措施；</w:t>
            </w:r>
          </w:p>
          <w:p w14:paraId="25AE637C">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④按计划定期更换活性炭，定期对设备进行维护保养。</w:t>
            </w:r>
          </w:p>
          <w:p w14:paraId="766F3904">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（7）废气监测计划</w:t>
            </w:r>
          </w:p>
          <w:p w14:paraId="12B5231D">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根据《排污单位自行监测技术指南 总则》（HJ 819-2017），项目废气监测计划见下表。</w:t>
            </w:r>
          </w:p>
          <w:p w14:paraId="50E48B88">
            <w:pPr>
              <w:pStyle w:val="11"/>
              <w:bidi w:val="0"/>
              <w:rPr>
                <w:rFonts w:hint="eastAsia"/>
                <w:lang w:val="en-US" w:eastAsia="zh-CN"/>
              </w:rPr>
            </w:pPr>
            <w:r>
              <w:rPr>
                <w:rFonts w:hint="eastAsia"/>
                <w:lang w:val="en-US" w:eastAsia="zh-CN"/>
              </w:rPr>
              <w:t>表4-11 项目废气监测计划</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1305"/>
              <w:gridCol w:w="1256"/>
              <w:gridCol w:w="1525"/>
              <w:gridCol w:w="1020"/>
              <w:gridCol w:w="1720"/>
            </w:tblGrid>
            <w:tr w14:paraId="00D85E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1197" w:type="dxa"/>
                  <w:vMerge w:val="restart"/>
                  <w:tcBorders>
                    <w:tl2br w:val="nil"/>
                    <w:tr2bl w:val="nil"/>
                  </w:tcBorders>
                  <w:vAlign w:val="center"/>
                </w:tcPr>
                <w:p w14:paraId="45A02E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监测内容</w:t>
                  </w:r>
                </w:p>
              </w:tc>
              <w:tc>
                <w:tcPr>
                  <w:tcW w:w="1305" w:type="dxa"/>
                  <w:vMerge w:val="restart"/>
                  <w:tcBorders>
                    <w:tl2br w:val="nil"/>
                    <w:tr2bl w:val="nil"/>
                  </w:tcBorders>
                  <w:vAlign w:val="center"/>
                </w:tcPr>
                <w:p w14:paraId="6D93AF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排污口</w:t>
                  </w:r>
                </w:p>
              </w:tc>
              <w:tc>
                <w:tcPr>
                  <w:tcW w:w="1256" w:type="dxa"/>
                  <w:vMerge w:val="restart"/>
                  <w:tcBorders>
                    <w:tl2br w:val="nil"/>
                    <w:tr2bl w:val="nil"/>
                  </w:tcBorders>
                  <w:vAlign w:val="center"/>
                </w:tcPr>
                <w:p w14:paraId="1187F2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监测项目</w:t>
                  </w:r>
                </w:p>
              </w:tc>
              <w:tc>
                <w:tcPr>
                  <w:tcW w:w="4265" w:type="dxa"/>
                  <w:gridSpan w:val="3"/>
                  <w:tcBorders>
                    <w:tl2br w:val="nil"/>
                    <w:tr2bl w:val="nil"/>
                  </w:tcBorders>
                  <w:vAlign w:val="center"/>
                </w:tcPr>
                <w:p w14:paraId="4BFBA9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环境监测</w:t>
                  </w:r>
                </w:p>
              </w:tc>
            </w:tr>
            <w:tr w14:paraId="4B9D28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7" w:type="dxa"/>
                  <w:vMerge w:val="continue"/>
                  <w:tcBorders>
                    <w:tl2br w:val="nil"/>
                    <w:tr2bl w:val="nil"/>
                  </w:tcBorders>
                  <w:vAlign w:val="center"/>
                </w:tcPr>
                <w:p w14:paraId="6E285D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305" w:type="dxa"/>
                  <w:vMerge w:val="continue"/>
                  <w:tcBorders>
                    <w:tl2br w:val="nil"/>
                    <w:tr2bl w:val="nil"/>
                  </w:tcBorders>
                  <w:vAlign w:val="center"/>
                </w:tcPr>
                <w:p w14:paraId="7355BA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256" w:type="dxa"/>
                  <w:vMerge w:val="continue"/>
                  <w:tcBorders>
                    <w:tl2br w:val="nil"/>
                    <w:tr2bl w:val="nil"/>
                  </w:tcBorders>
                  <w:vAlign w:val="center"/>
                </w:tcPr>
                <w:p w14:paraId="56F05E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525" w:type="dxa"/>
                  <w:tcBorders>
                    <w:tl2br w:val="nil"/>
                    <w:tr2bl w:val="nil"/>
                  </w:tcBorders>
                  <w:vAlign w:val="center"/>
                </w:tcPr>
                <w:p w14:paraId="49ECB4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位置</w:t>
                  </w:r>
                </w:p>
              </w:tc>
              <w:tc>
                <w:tcPr>
                  <w:tcW w:w="1020" w:type="dxa"/>
                  <w:tcBorders>
                    <w:tl2br w:val="nil"/>
                    <w:tr2bl w:val="nil"/>
                  </w:tcBorders>
                  <w:vAlign w:val="center"/>
                </w:tcPr>
                <w:p w14:paraId="1A0408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频次</w:t>
                  </w:r>
                </w:p>
              </w:tc>
              <w:tc>
                <w:tcPr>
                  <w:tcW w:w="1720" w:type="dxa"/>
                  <w:tcBorders>
                    <w:tl2br w:val="nil"/>
                    <w:tr2bl w:val="nil"/>
                  </w:tcBorders>
                  <w:vAlign w:val="center"/>
                </w:tcPr>
                <w:p w14:paraId="1FF60D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计划</w:t>
                  </w:r>
                </w:p>
              </w:tc>
            </w:tr>
            <w:tr w14:paraId="464BD5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7" w:type="dxa"/>
                  <w:vMerge w:val="restart"/>
                  <w:tcBorders>
                    <w:tl2br w:val="nil"/>
                    <w:tr2bl w:val="nil"/>
                  </w:tcBorders>
                  <w:vAlign w:val="center"/>
                </w:tcPr>
                <w:p w14:paraId="66912A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动物异味</w:t>
                  </w:r>
                </w:p>
              </w:tc>
              <w:tc>
                <w:tcPr>
                  <w:tcW w:w="1305" w:type="dxa"/>
                  <w:vMerge w:val="restart"/>
                  <w:tcBorders>
                    <w:tl2br w:val="nil"/>
                    <w:tr2bl w:val="nil"/>
                  </w:tcBorders>
                  <w:vAlign w:val="center"/>
                </w:tcPr>
                <w:p w14:paraId="341095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有组织排放</w:t>
                  </w:r>
                </w:p>
              </w:tc>
              <w:tc>
                <w:tcPr>
                  <w:tcW w:w="1256" w:type="dxa"/>
                  <w:tcBorders>
                    <w:tl2br w:val="nil"/>
                    <w:tr2bl w:val="nil"/>
                  </w:tcBorders>
                  <w:shd w:val="clear" w:color="auto" w:fill="auto"/>
                  <w:vAlign w:val="center"/>
                </w:tcPr>
                <w:p w14:paraId="548F3B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H</w:t>
                  </w:r>
                  <w:r>
                    <w:rPr>
                      <w:rFonts w:hint="eastAsia"/>
                      <w:sz w:val="21"/>
                      <w:szCs w:val="21"/>
                      <w:vertAlign w:val="subscript"/>
                      <w:lang w:val="en-US" w:eastAsia="zh-CN"/>
                    </w:rPr>
                    <w:t>2</w:t>
                  </w:r>
                  <w:r>
                    <w:rPr>
                      <w:rFonts w:hint="eastAsia"/>
                      <w:sz w:val="21"/>
                      <w:szCs w:val="21"/>
                      <w:vertAlign w:val="baseline"/>
                      <w:lang w:val="en-US" w:eastAsia="zh-CN"/>
                    </w:rPr>
                    <w:t>S</w:t>
                  </w:r>
                </w:p>
              </w:tc>
              <w:tc>
                <w:tcPr>
                  <w:tcW w:w="1525" w:type="dxa"/>
                  <w:vMerge w:val="restart"/>
                  <w:tcBorders>
                    <w:tl2br w:val="nil"/>
                    <w:tr2bl w:val="nil"/>
                  </w:tcBorders>
                  <w:vAlign w:val="center"/>
                </w:tcPr>
                <w:p w14:paraId="7DA4F9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DA001</w:t>
                  </w:r>
                </w:p>
              </w:tc>
              <w:tc>
                <w:tcPr>
                  <w:tcW w:w="1020" w:type="dxa"/>
                  <w:vMerge w:val="restart"/>
                  <w:tcBorders>
                    <w:tl2br w:val="nil"/>
                    <w:tr2bl w:val="nil"/>
                  </w:tcBorders>
                  <w:vAlign w:val="center"/>
                </w:tcPr>
                <w:p w14:paraId="71F5F4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1次/年</w:t>
                  </w:r>
                </w:p>
              </w:tc>
              <w:tc>
                <w:tcPr>
                  <w:tcW w:w="1720" w:type="dxa"/>
                  <w:vMerge w:val="restart"/>
                  <w:tcBorders>
                    <w:tl2br w:val="nil"/>
                    <w:tr2bl w:val="nil"/>
                  </w:tcBorders>
                  <w:vAlign w:val="center"/>
                </w:tcPr>
                <w:p w14:paraId="5342A5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委托具有CMA相关资质的第三方机构监测</w:t>
                  </w:r>
                </w:p>
              </w:tc>
            </w:tr>
            <w:tr w14:paraId="79620B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7" w:type="dxa"/>
                  <w:vMerge w:val="continue"/>
                  <w:tcBorders>
                    <w:tl2br w:val="nil"/>
                    <w:tr2bl w:val="nil"/>
                  </w:tcBorders>
                  <w:vAlign w:val="center"/>
                </w:tcPr>
                <w:p w14:paraId="7935BB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305" w:type="dxa"/>
                  <w:vMerge w:val="continue"/>
                  <w:tcBorders>
                    <w:tl2br w:val="nil"/>
                    <w:tr2bl w:val="nil"/>
                  </w:tcBorders>
                  <w:vAlign w:val="center"/>
                </w:tcPr>
                <w:p w14:paraId="7834BB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256" w:type="dxa"/>
                  <w:tcBorders>
                    <w:tl2br w:val="nil"/>
                    <w:tr2bl w:val="nil"/>
                  </w:tcBorders>
                  <w:shd w:val="clear" w:color="auto" w:fill="auto"/>
                  <w:vAlign w:val="center"/>
                </w:tcPr>
                <w:p w14:paraId="1E53C2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NH</w:t>
                  </w:r>
                  <w:r>
                    <w:rPr>
                      <w:rFonts w:hint="eastAsia"/>
                      <w:sz w:val="21"/>
                      <w:szCs w:val="21"/>
                      <w:vertAlign w:val="subscript"/>
                      <w:lang w:val="en-US" w:eastAsia="zh-CN"/>
                    </w:rPr>
                    <w:t>3</w:t>
                  </w:r>
                </w:p>
              </w:tc>
              <w:tc>
                <w:tcPr>
                  <w:tcW w:w="1525" w:type="dxa"/>
                  <w:vMerge w:val="continue"/>
                  <w:tcBorders>
                    <w:tl2br w:val="nil"/>
                    <w:tr2bl w:val="nil"/>
                  </w:tcBorders>
                  <w:vAlign w:val="center"/>
                </w:tcPr>
                <w:p w14:paraId="587764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020" w:type="dxa"/>
                  <w:vMerge w:val="continue"/>
                  <w:tcBorders>
                    <w:tl2br w:val="nil"/>
                    <w:tr2bl w:val="nil"/>
                  </w:tcBorders>
                  <w:vAlign w:val="center"/>
                </w:tcPr>
                <w:p w14:paraId="5956FB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720" w:type="dxa"/>
                  <w:vMerge w:val="continue"/>
                  <w:tcBorders>
                    <w:tl2br w:val="nil"/>
                    <w:tr2bl w:val="nil"/>
                  </w:tcBorders>
                  <w:vAlign w:val="center"/>
                </w:tcPr>
                <w:p w14:paraId="50AEAA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r>
            <w:tr w14:paraId="1D7CF9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7" w:type="dxa"/>
                  <w:vMerge w:val="continue"/>
                  <w:tcBorders>
                    <w:tl2br w:val="nil"/>
                    <w:tr2bl w:val="nil"/>
                  </w:tcBorders>
                  <w:vAlign w:val="center"/>
                </w:tcPr>
                <w:p w14:paraId="7D0033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305" w:type="dxa"/>
                  <w:vMerge w:val="continue"/>
                  <w:tcBorders>
                    <w:tl2br w:val="nil"/>
                    <w:tr2bl w:val="nil"/>
                  </w:tcBorders>
                  <w:vAlign w:val="center"/>
                </w:tcPr>
                <w:p w14:paraId="6A0FA3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256" w:type="dxa"/>
                  <w:tcBorders>
                    <w:tl2br w:val="nil"/>
                    <w:tr2bl w:val="nil"/>
                  </w:tcBorders>
                  <w:shd w:val="clear" w:color="auto" w:fill="auto"/>
                  <w:vAlign w:val="center"/>
                </w:tcPr>
                <w:p w14:paraId="78506B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臭气浓度</w:t>
                  </w:r>
                </w:p>
              </w:tc>
              <w:tc>
                <w:tcPr>
                  <w:tcW w:w="1525" w:type="dxa"/>
                  <w:vMerge w:val="continue"/>
                  <w:tcBorders>
                    <w:tl2br w:val="nil"/>
                    <w:tr2bl w:val="nil"/>
                  </w:tcBorders>
                  <w:vAlign w:val="center"/>
                </w:tcPr>
                <w:p w14:paraId="2D5D72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020" w:type="dxa"/>
                  <w:vMerge w:val="continue"/>
                  <w:tcBorders>
                    <w:tl2br w:val="nil"/>
                    <w:tr2bl w:val="nil"/>
                  </w:tcBorders>
                  <w:vAlign w:val="center"/>
                </w:tcPr>
                <w:p w14:paraId="38C32E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720" w:type="dxa"/>
                  <w:vMerge w:val="continue"/>
                  <w:tcBorders>
                    <w:tl2br w:val="nil"/>
                    <w:tr2bl w:val="nil"/>
                  </w:tcBorders>
                  <w:vAlign w:val="center"/>
                </w:tcPr>
                <w:p w14:paraId="350659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r>
            <w:tr w14:paraId="337FB8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7" w:type="dxa"/>
                  <w:vMerge w:val="continue"/>
                  <w:tcBorders>
                    <w:tl2br w:val="nil"/>
                    <w:tr2bl w:val="nil"/>
                  </w:tcBorders>
                  <w:vAlign w:val="center"/>
                </w:tcPr>
                <w:p w14:paraId="535511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305" w:type="dxa"/>
                  <w:vMerge w:val="restart"/>
                  <w:tcBorders>
                    <w:tl2br w:val="nil"/>
                    <w:tr2bl w:val="nil"/>
                  </w:tcBorders>
                  <w:vAlign w:val="center"/>
                </w:tcPr>
                <w:p w14:paraId="351FA8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无组织排放</w:t>
                  </w:r>
                </w:p>
              </w:tc>
              <w:tc>
                <w:tcPr>
                  <w:tcW w:w="1256" w:type="dxa"/>
                  <w:tcBorders>
                    <w:tl2br w:val="nil"/>
                    <w:tr2bl w:val="nil"/>
                  </w:tcBorders>
                  <w:vAlign w:val="center"/>
                </w:tcPr>
                <w:p w14:paraId="4D49FD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H</w:t>
                  </w:r>
                  <w:r>
                    <w:rPr>
                      <w:rFonts w:hint="eastAsia"/>
                      <w:sz w:val="21"/>
                      <w:szCs w:val="21"/>
                      <w:vertAlign w:val="subscript"/>
                      <w:lang w:val="en-US" w:eastAsia="zh-CN"/>
                    </w:rPr>
                    <w:t>2</w:t>
                  </w:r>
                  <w:r>
                    <w:rPr>
                      <w:rFonts w:hint="eastAsia"/>
                      <w:sz w:val="21"/>
                      <w:szCs w:val="21"/>
                      <w:vertAlign w:val="baseline"/>
                      <w:lang w:val="en-US" w:eastAsia="zh-CN"/>
                    </w:rPr>
                    <w:t>S</w:t>
                  </w:r>
                </w:p>
              </w:tc>
              <w:tc>
                <w:tcPr>
                  <w:tcW w:w="1525" w:type="dxa"/>
                  <w:vMerge w:val="restart"/>
                  <w:tcBorders>
                    <w:tl2br w:val="nil"/>
                    <w:tr2bl w:val="nil"/>
                  </w:tcBorders>
                  <w:vAlign w:val="center"/>
                </w:tcPr>
                <w:p w14:paraId="3A9F19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单位周界无组织排放监控点</w:t>
                  </w:r>
                </w:p>
              </w:tc>
              <w:tc>
                <w:tcPr>
                  <w:tcW w:w="1020" w:type="dxa"/>
                  <w:vMerge w:val="restart"/>
                  <w:tcBorders>
                    <w:tl2br w:val="nil"/>
                    <w:tr2bl w:val="nil"/>
                  </w:tcBorders>
                  <w:vAlign w:val="center"/>
                </w:tcPr>
                <w:p w14:paraId="394AAD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1次/年</w:t>
                  </w:r>
                </w:p>
              </w:tc>
              <w:tc>
                <w:tcPr>
                  <w:tcW w:w="1720" w:type="dxa"/>
                  <w:vMerge w:val="continue"/>
                  <w:tcBorders>
                    <w:tl2br w:val="nil"/>
                    <w:tr2bl w:val="nil"/>
                  </w:tcBorders>
                  <w:vAlign w:val="center"/>
                </w:tcPr>
                <w:p w14:paraId="6CC21D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r>
            <w:tr w14:paraId="6D50E2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7" w:type="dxa"/>
                  <w:vMerge w:val="continue"/>
                  <w:tcBorders>
                    <w:tl2br w:val="nil"/>
                    <w:tr2bl w:val="nil"/>
                  </w:tcBorders>
                  <w:vAlign w:val="center"/>
                </w:tcPr>
                <w:p w14:paraId="7AE690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305" w:type="dxa"/>
                  <w:vMerge w:val="continue"/>
                  <w:tcBorders>
                    <w:tl2br w:val="nil"/>
                    <w:tr2bl w:val="nil"/>
                  </w:tcBorders>
                  <w:vAlign w:val="center"/>
                </w:tcPr>
                <w:p w14:paraId="313C87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256" w:type="dxa"/>
                  <w:tcBorders>
                    <w:tl2br w:val="nil"/>
                    <w:tr2bl w:val="nil"/>
                  </w:tcBorders>
                  <w:vAlign w:val="center"/>
                </w:tcPr>
                <w:p w14:paraId="6E61FC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NH</w:t>
                  </w:r>
                  <w:r>
                    <w:rPr>
                      <w:rFonts w:hint="eastAsia"/>
                      <w:sz w:val="21"/>
                      <w:szCs w:val="21"/>
                      <w:vertAlign w:val="subscript"/>
                      <w:lang w:val="en-US" w:eastAsia="zh-CN"/>
                    </w:rPr>
                    <w:t>3</w:t>
                  </w:r>
                </w:p>
              </w:tc>
              <w:tc>
                <w:tcPr>
                  <w:tcW w:w="1525" w:type="dxa"/>
                  <w:vMerge w:val="continue"/>
                  <w:tcBorders>
                    <w:tl2br w:val="nil"/>
                    <w:tr2bl w:val="nil"/>
                  </w:tcBorders>
                  <w:vAlign w:val="center"/>
                </w:tcPr>
                <w:p w14:paraId="168405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020" w:type="dxa"/>
                  <w:vMerge w:val="continue"/>
                  <w:tcBorders>
                    <w:tl2br w:val="nil"/>
                    <w:tr2bl w:val="nil"/>
                  </w:tcBorders>
                  <w:vAlign w:val="center"/>
                </w:tcPr>
                <w:p w14:paraId="6A29C0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720" w:type="dxa"/>
                  <w:vMerge w:val="continue"/>
                  <w:tcBorders>
                    <w:tl2br w:val="nil"/>
                    <w:tr2bl w:val="nil"/>
                  </w:tcBorders>
                  <w:vAlign w:val="center"/>
                </w:tcPr>
                <w:p w14:paraId="0A328A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r>
            <w:tr w14:paraId="4C4790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7" w:type="dxa"/>
                  <w:vMerge w:val="continue"/>
                  <w:tcBorders>
                    <w:tl2br w:val="nil"/>
                    <w:tr2bl w:val="nil"/>
                  </w:tcBorders>
                  <w:vAlign w:val="center"/>
                </w:tcPr>
                <w:p w14:paraId="569FDA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305" w:type="dxa"/>
                  <w:vMerge w:val="continue"/>
                  <w:tcBorders>
                    <w:tl2br w:val="nil"/>
                    <w:tr2bl w:val="nil"/>
                  </w:tcBorders>
                  <w:vAlign w:val="center"/>
                </w:tcPr>
                <w:p w14:paraId="4C161D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256" w:type="dxa"/>
                  <w:tcBorders>
                    <w:tl2br w:val="nil"/>
                    <w:tr2bl w:val="nil"/>
                  </w:tcBorders>
                  <w:vAlign w:val="center"/>
                </w:tcPr>
                <w:p w14:paraId="431203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臭气浓度</w:t>
                  </w:r>
                </w:p>
              </w:tc>
              <w:tc>
                <w:tcPr>
                  <w:tcW w:w="1525" w:type="dxa"/>
                  <w:vMerge w:val="continue"/>
                  <w:tcBorders>
                    <w:tl2br w:val="nil"/>
                    <w:tr2bl w:val="nil"/>
                  </w:tcBorders>
                  <w:vAlign w:val="center"/>
                </w:tcPr>
                <w:p w14:paraId="5B112C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020" w:type="dxa"/>
                  <w:vMerge w:val="continue"/>
                  <w:tcBorders>
                    <w:tl2br w:val="nil"/>
                    <w:tr2bl w:val="nil"/>
                  </w:tcBorders>
                  <w:vAlign w:val="center"/>
                </w:tcPr>
                <w:p w14:paraId="404CC6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720" w:type="dxa"/>
                  <w:vMerge w:val="continue"/>
                  <w:tcBorders>
                    <w:tl2br w:val="nil"/>
                    <w:tr2bl w:val="nil"/>
                  </w:tcBorders>
                  <w:vAlign w:val="center"/>
                </w:tcPr>
                <w:p w14:paraId="5E5874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r>
          </w:tbl>
          <w:p w14:paraId="31CF0E51">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b/>
                <w:bCs/>
                <w:lang w:val="en-US" w:eastAsia="zh-CN"/>
              </w:rPr>
              <w:t>2、水环境影响分析</w:t>
            </w:r>
          </w:p>
          <w:p w14:paraId="578624CC">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（1）废水源强核算</w:t>
            </w:r>
          </w:p>
          <w:p w14:paraId="15B43255">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本项目总排水量为0.62m</w:t>
            </w:r>
            <w:r>
              <w:rPr>
                <w:rFonts w:hint="eastAsia"/>
                <w:vertAlign w:val="superscript"/>
                <w:lang w:val="en-US" w:eastAsia="zh-CN"/>
              </w:rPr>
              <w:t>3</w:t>
            </w:r>
            <w:r>
              <w:rPr>
                <w:rFonts w:hint="eastAsia"/>
                <w:lang w:val="en-US" w:eastAsia="zh-CN"/>
              </w:rPr>
              <w:t>/d、163.94m</w:t>
            </w:r>
            <w:r>
              <w:rPr>
                <w:rFonts w:hint="eastAsia"/>
                <w:vertAlign w:val="superscript"/>
                <w:lang w:val="en-US" w:eastAsia="zh-CN"/>
              </w:rPr>
              <w:t>3</w:t>
            </w:r>
            <w:r>
              <w:rPr>
                <w:rFonts w:hint="eastAsia"/>
                <w:lang w:val="en-US" w:eastAsia="zh-CN"/>
              </w:rPr>
              <w:t>/a，其中动物诊疗废水排水量为0.08m</w:t>
            </w:r>
            <w:r>
              <w:rPr>
                <w:rFonts w:hint="eastAsia"/>
                <w:vertAlign w:val="superscript"/>
                <w:lang w:val="en-US" w:eastAsia="zh-CN"/>
              </w:rPr>
              <w:t>3</w:t>
            </w:r>
            <w:r>
              <w:rPr>
                <w:rFonts w:hint="eastAsia"/>
                <w:lang w:val="en-US" w:eastAsia="zh-CN"/>
              </w:rPr>
              <w:t>/d、21.38m</w:t>
            </w:r>
            <w:r>
              <w:rPr>
                <w:rFonts w:hint="eastAsia"/>
                <w:vertAlign w:val="superscript"/>
                <w:lang w:val="en-US" w:eastAsia="zh-CN"/>
              </w:rPr>
              <w:t>3</w:t>
            </w:r>
            <w:r>
              <w:rPr>
                <w:rFonts w:hint="eastAsia"/>
                <w:lang w:val="en-US" w:eastAsia="zh-CN"/>
              </w:rPr>
              <w:t>/a，美容洗浴废水排水量为0.32m</w:t>
            </w:r>
            <w:r>
              <w:rPr>
                <w:rFonts w:hint="eastAsia"/>
                <w:vertAlign w:val="superscript"/>
                <w:lang w:val="en-US" w:eastAsia="zh-CN"/>
              </w:rPr>
              <w:t>3</w:t>
            </w:r>
            <w:r>
              <w:rPr>
                <w:rFonts w:hint="eastAsia"/>
                <w:lang w:val="en-US" w:eastAsia="zh-CN"/>
              </w:rPr>
              <w:t>/d、85.54m</w:t>
            </w:r>
            <w:r>
              <w:rPr>
                <w:rFonts w:hint="eastAsia"/>
                <w:vertAlign w:val="superscript"/>
                <w:lang w:val="en-US" w:eastAsia="zh-CN"/>
              </w:rPr>
              <w:t>3</w:t>
            </w:r>
            <w:r>
              <w:rPr>
                <w:rFonts w:hint="eastAsia"/>
                <w:lang w:val="en-US" w:eastAsia="zh-CN"/>
              </w:rPr>
              <w:t>/a，生活废水排水量为0.22m</w:t>
            </w:r>
            <w:r>
              <w:rPr>
                <w:rFonts w:hint="eastAsia"/>
                <w:vertAlign w:val="superscript"/>
                <w:lang w:val="en-US" w:eastAsia="zh-CN"/>
              </w:rPr>
              <w:t>3</w:t>
            </w:r>
            <w:r>
              <w:rPr>
                <w:rFonts w:hint="eastAsia"/>
                <w:lang w:val="en-US" w:eastAsia="zh-CN"/>
              </w:rPr>
              <w:t>/d、57.02m</w:t>
            </w:r>
            <w:r>
              <w:rPr>
                <w:rFonts w:hint="eastAsia"/>
                <w:vertAlign w:val="superscript"/>
                <w:lang w:val="en-US" w:eastAsia="zh-CN"/>
              </w:rPr>
              <w:t>3</w:t>
            </w:r>
            <w:r>
              <w:rPr>
                <w:rFonts w:hint="eastAsia"/>
                <w:lang w:val="en-US" w:eastAsia="zh-CN"/>
              </w:rPr>
              <w:t>/a。动物诊疗废水和美容洗浴废水经污水处理设施消毒处理后，同生活废水一同排入所在建筑防渗化粪池进行预处理，最终经市政污水管网排入北京中设水处理有限公司良乡污水处理厂。</w:t>
            </w:r>
          </w:p>
          <w:p w14:paraId="472D13CE">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项目生活污水水质参照《水工业工程设计手册建筑和小区给水排水》中，P650表12-41公共建筑生活污水水质的数据。废水中主要污染物浓度变化范围：CODcr：350~450mg/L、BOD</w:t>
            </w:r>
            <w:r>
              <w:rPr>
                <w:rFonts w:hint="eastAsia"/>
                <w:vertAlign w:val="subscript"/>
                <w:lang w:val="en-US" w:eastAsia="zh-CN"/>
              </w:rPr>
              <w:t>5</w:t>
            </w:r>
            <w:r>
              <w:rPr>
                <w:rFonts w:hint="eastAsia"/>
                <w:lang w:val="en-US" w:eastAsia="zh-CN"/>
              </w:rPr>
              <w:t>：180~250mg/L、SS：200~300mg/L、氨氮：35~40mg/L，均取最大值。粪大肠菌群参考《酶底物法测定东莞市地下水、地表水、生活污水中粪大肠菌群、总大肠菌群的研究》（广东化工2021年第9期第48卷，刘文亮，东莞市环境监测中心站，广东东莞523000）中生活污水实际样品粪大肠菌群检测结果在1400~1700MPN/L，本项目取最大值。</w:t>
            </w:r>
          </w:p>
          <w:p w14:paraId="6FFEB3ED">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动物诊疗废水、美容洗浴废水参照《医院污水处理工程技术规范》（HJ2029-2013）中医疗废水浓度范围为：pH：6.5~9（无量纲）、COD：150~300mg/L、BOD</w:t>
            </w:r>
            <w:r>
              <w:rPr>
                <w:rFonts w:hint="eastAsia"/>
                <w:vertAlign w:val="subscript"/>
                <w:lang w:val="en-US" w:eastAsia="zh-CN"/>
              </w:rPr>
              <w:t>5</w:t>
            </w:r>
            <w:r>
              <w:rPr>
                <w:rFonts w:hint="eastAsia"/>
                <w:lang w:val="en-US" w:eastAsia="zh-CN"/>
              </w:rPr>
              <w:t>：80~150mg/L、SS：40~120mg/L、粪大肠菌群：1.0×10</w:t>
            </w:r>
            <w:r>
              <w:rPr>
                <w:rFonts w:hint="eastAsia"/>
                <w:vertAlign w:val="superscript"/>
                <w:lang w:val="en-US" w:eastAsia="zh-CN"/>
              </w:rPr>
              <w:t>6</w:t>
            </w:r>
            <w:r>
              <w:rPr>
                <w:rFonts w:hint="eastAsia"/>
                <w:lang w:val="en-US" w:eastAsia="zh-CN"/>
              </w:rPr>
              <w:t>~3.0×10</w:t>
            </w:r>
            <w:r>
              <w:rPr>
                <w:rFonts w:hint="eastAsia"/>
                <w:vertAlign w:val="superscript"/>
                <w:lang w:val="en-US" w:eastAsia="zh-CN"/>
              </w:rPr>
              <w:t>8</w:t>
            </w:r>
            <w:r>
              <w:rPr>
                <w:rFonts w:hint="eastAsia"/>
                <w:lang w:val="en-US" w:eastAsia="zh-CN"/>
              </w:rPr>
              <w:t>MPN/L、氨氮：20~45mg/L。本项目均按高限取值，即诊疗废水、美容洗浴废水中主要污染物产生浓度是CODcr：300mg/L、BOD</w:t>
            </w:r>
            <w:r>
              <w:rPr>
                <w:rFonts w:hint="eastAsia"/>
                <w:vertAlign w:val="subscript"/>
                <w:lang w:val="en-US" w:eastAsia="zh-CN"/>
              </w:rPr>
              <w:t>5</w:t>
            </w:r>
            <w:r>
              <w:rPr>
                <w:rFonts w:hint="eastAsia"/>
                <w:lang w:val="en-US" w:eastAsia="zh-CN"/>
              </w:rPr>
              <w:t>：150mg/L、SS：120mg/L、氨氮：45mg/L、粪大肠菌群3.0×10</w:t>
            </w:r>
            <w:r>
              <w:rPr>
                <w:rFonts w:hint="eastAsia"/>
                <w:vertAlign w:val="superscript"/>
                <w:lang w:val="en-US" w:eastAsia="zh-CN"/>
              </w:rPr>
              <w:t>8</w:t>
            </w:r>
            <w:r>
              <w:rPr>
                <w:rFonts w:hint="eastAsia"/>
                <w:lang w:val="en-US" w:eastAsia="zh-CN"/>
              </w:rPr>
              <w:t>MPN/L。</w:t>
            </w:r>
          </w:p>
          <w:p w14:paraId="721F2AB1">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（2）治理措施</w:t>
            </w:r>
          </w:p>
          <w:p w14:paraId="3C2E6239">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本项目安装1套污水处理设备对动物诊疗废水、美容洗浴废水进行消毒处理，设备位于化验室，设备日处理能力均为1m</w:t>
            </w:r>
            <w:r>
              <w:rPr>
                <w:rFonts w:hint="eastAsia"/>
                <w:vertAlign w:val="superscript"/>
                <w:lang w:val="en-US" w:eastAsia="zh-CN"/>
              </w:rPr>
              <w:t>3</w:t>
            </w:r>
            <w:r>
              <w:rPr>
                <w:rFonts w:hint="eastAsia"/>
                <w:lang w:val="en-US" w:eastAsia="zh-CN"/>
              </w:rPr>
              <w:t>/d，采用次氯酸钠消毒工艺。污水处理流程为：</w:t>
            </w:r>
          </w:p>
          <w:p w14:paraId="57C7416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pPr>
            <w:r>
              <w:rPr>
                <w:rFonts w:hint="eastAsia"/>
                <w:lang w:val="en-US" w:eastAsia="zh-CN"/>
              </w:rPr>
              <w:drawing>
                <wp:inline distT="0" distB="0" distL="114300" distR="114300">
                  <wp:extent cx="3959860" cy="1913255"/>
                  <wp:effectExtent l="0" t="0" r="0" b="0"/>
                  <wp:docPr id="1" name="ECB019B1-382A-4266-B25C-5B523AA43C14-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3" descr="wps"/>
                          <pic:cNvPicPr>
                            <a:picLocks noChangeAspect="1"/>
                          </pic:cNvPicPr>
                        </pic:nvPicPr>
                        <pic:blipFill>
                          <a:blip r:embed="rId20"/>
                          <a:stretch>
                            <a:fillRect/>
                          </a:stretch>
                        </pic:blipFill>
                        <pic:spPr>
                          <a:xfrm>
                            <a:off x="0" y="0"/>
                            <a:ext cx="3959860" cy="1913255"/>
                          </a:xfrm>
                          <a:prstGeom prst="rect">
                            <a:avLst/>
                          </a:prstGeom>
                        </pic:spPr>
                      </pic:pic>
                    </a:graphicData>
                  </a:graphic>
                </wp:inline>
              </w:drawing>
            </w:r>
          </w:p>
          <w:p w14:paraId="3DB68D1A">
            <w:pPr>
              <w:pStyle w:val="11"/>
              <w:bidi w:val="0"/>
              <w:rPr>
                <w:rFonts w:hint="default"/>
                <w:lang w:val="en-US" w:eastAsia="zh-CN"/>
              </w:rPr>
            </w:pPr>
            <w:r>
              <w:rPr>
                <w:rFonts w:hint="eastAsia"/>
                <w:lang w:val="en-US" w:eastAsia="zh-CN"/>
              </w:rPr>
              <w:t>图4-1 污水处理设备处理工艺示意图</w:t>
            </w:r>
          </w:p>
          <w:p w14:paraId="15296922">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废水汇入调节池，经停留时间1小时后，再自流至消毒池。消毒单元采用手工定时投放次氯酸钠消毒药剂，废水与消毒剂充分混合反应，停留时间为1小时，可保证消毒效果。</w:t>
            </w:r>
          </w:p>
          <w:p w14:paraId="03D4C056">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（3）环境影响分析</w:t>
            </w:r>
          </w:p>
          <w:p w14:paraId="5AE8AE1F">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1）废水排放分析</w:t>
            </w:r>
          </w:p>
          <w:p w14:paraId="698EE46E">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根据《次氯酸钠和二氧化氯消毒液对城市污水消毒效果的研究》，10mg/L次氯酸钠（以有效氯计）接触20min对粪大肠菌群的去除率为99.999%。化粪池预处理效率参照《化粪池原理及水污染物去除率》中数据，化粪池对CODcr的处理效率约为15%，BOD</w:t>
            </w:r>
            <w:r>
              <w:rPr>
                <w:rFonts w:hint="eastAsia"/>
                <w:vertAlign w:val="subscript"/>
                <w:lang w:val="en-US" w:eastAsia="zh-CN"/>
              </w:rPr>
              <w:t>5</w:t>
            </w:r>
            <w:r>
              <w:rPr>
                <w:rFonts w:hint="eastAsia"/>
                <w:lang w:val="en-US" w:eastAsia="zh-CN"/>
              </w:rPr>
              <w:t>的处理效率约为9%，SS的处理效率约为30%，氨氮的处理效率约为3%。</w:t>
            </w:r>
          </w:p>
          <w:p w14:paraId="029AEA2D">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项目动物诊疗废水、美容洗浴废水经污水处理设备处理前后，与生活污水一同排入集中化粪池，经化粪池预处理前后的水质情况、各项污染物的产生量、排放量，见下表。</w:t>
            </w:r>
          </w:p>
          <w:p w14:paraId="71AB0172">
            <w:pPr>
              <w:pStyle w:val="11"/>
              <w:bidi w:val="0"/>
              <w:rPr>
                <w:rFonts w:hint="default"/>
                <w:lang w:val="en-US" w:eastAsia="zh-CN"/>
              </w:rPr>
            </w:pPr>
            <w:r>
              <w:rPr>
                <w:rFonts w:hint="eastAsia"/>
                <w:lang w:val="en-US" w:eastAsia="zh-CN"/>
              </w:rPr>
              <w:t>表4-12 项目水污染物产生量排放量一览表</w:t>
            </w:r>
          </w:p>
          <w:tbl>
            <w:tblPr>
              <w:tblStyle w:val="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81"/>
              <w:gridCol w:w="927"/>
              <w:gridCol w:w="927"/>
              <w:gridCol w:w="927"/>
              <w:gridCol w:w="927"/>
              <w:gridCol w:w="927"/>
              <w:gridCol w:w="1304"/>
            </w:tblGrid>
            <w:tr w14:paraId="1D2185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81" w:type="dxa"/>
                  <w:tcBorders>
                    <w:tl2br w:val="nil"/>
                    <w:tr2bl w:val="nil"/>
                  </w:tcBorders>
                  <w:vAlign w:val="center"/>
                </w:tcPr>
                <w:p w14:paraId="3E3A4B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指标</w:t>
                  </w:r>
                </w:p>
              </w:tc>
              <w:tc>
                <w:tcPr>
                  <w:tcW w:w="927" w:type="dxa"/>
                  <w:tcBorders>
                    <w:tl2br w:val="nil"/>
                    <w:tr2bl w:val="nil"/>
                  </w:tcBorders>
                  <w:vAlign w:val="center"/>
                </w:tcPr>
                <w:p w14:paraId="0EFFA3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CODcr</w:t>
                  </w:r>
                </w:p>
              </w:tc>
              <w:tc>
                <w:tcPr>
                  <w:tcW w:w="927" w:type="dxa"/>
                  <w:tcBorders>
                    <w:tl2br w:val="nil"/>
                    <w:tr2bl w:val="nil"/>
                  </w:tcBorders>
                  <w:vAlign w:val="center"/>
                </w:tcPr>
                <w:p w14:paraId="3CB258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BOD</w:t>
                  </w:r>
                  <w:r>
                    <w:rPr>
                      <w:rFonts w:hint="eastAsia"/>
                      <w:b/>
                      <w:bCs/>
                      <w:sz w:val="21"/>
                      <w:szCs w:val="21"/>
                      <w:vertAlign w:val="subscript"/>
                      <w:lang w:val="en-US" w:eastAsia="zh-CN"/>
                    </w:rPr>
                    <w:t>5</w:t>
                  </w:r>
                </w:p>
              </w:tc>
              <w:tc>
                <w:tcPr>
                  <w:tcW w:w="927" w:type="dxa"/>
                  <w:tcBorders>
                    <w:tl2br w:val="nil"/>
                    <w:tr2bl w:val="nil"/>
                  </w:tcBorders>
                  <w:vAlign w:val="center"/>
                </w:tcPr>
                <w:p w14:paraId="08A518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NH</w:t>
                  </w:r>
                  <w:r>
                    <w:rPr>
                      <w:rFonts w:hint="eastAsia"/>
                      <w:b/>
                      <w:bCs/>
                      <w:sz w:val="21"/>
                      <w:szCs w:val="21"/>
                      <w:vertAlign w:val="subscript"/>
                      <w:lang w:val="en-US" w:eastAsia="zh-CN"/>
                    </w:rPr>
                    <w:t>3</w:t>
                  </w:r>
                  <w:r>
                    <w:rPr>
                      <w:rFonts w:hint="eastAsia"/>
                      <w:b/>
                      <w:bCs/>
                      <w:sz w:val="21"/>
                      <w:szCs w:val="21"/>
                      <w:vertAlign w:val="baseline"/>
                      <w:lang w:val="en-US" w:eastAsia="zh-CN"/>
                    </w:rPr>
                    <w:t>-N</w:t>
                  </w:r>
                </w:p>
              </w:tc>
              <w:tc>
                <w:tcPr>
                  <w:tcW w:w="927" w:type="dxa"/>
                  <w:tcBorders>
                    <w:tl2br w:val="nil"/>
                    <w:tr2bl w:val="nil"/>
                  </w:tcBorders>
                  <w:vAlign w:val="center"/>
                </w:tcPr>
                <w:p w14:paraId="276DCE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SS</w:t>
                  </w:r>
                </w:p>
              </w:tc>
              <w:tc>
                <w:tcPr>
                  <w:tcW w:w="927" w:type="dxa"/>
                  <w:tcBorders>
                    <w:tl2br w:val="nil"/>
                    <w:tr2bl w:val="nil"/>
                  </w:tcBorders>
                  <w:vAlign w:val="center"/>
                </w:tcPr>
                <w:p w14:paraId="759843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总余氯</w:t>
                  </w:r>
                </w:p>
              </w:tc>
              <w:tc>
                <w:tcPr>
                  <w:tcW w:w="1304" w:type="dxa"/>
                  <w:tcBorders>
                    <w:tl2br w:val="nil"/>
                    <w:tr2bl w:val="nil"/>
                  </w:tcBorders>
                  <w:vAlign w:val="center"/>
                </w:tcPr>
                <w:p w14:paraId="55F304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粪大肠菌群</w:t>
                  </w:r>
                </w:p>
              </w:tc>
            </w:tr>
            <w:tr w14:paraId="10BE2B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81" w:type="dxa"/>
                  <w:tcBorders>
                    <w:tl2br w:val="nil"/>
                    <w:tr2bl w:val="nil"/>
                  </w:tcBorders>
                  <w:vAlign w:val="center"/>
                </w:tcPr>
                <w:p w14:paraId="457BF2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诊疗废水、美容洗浴废水处理前污染物产生浓度（mg/L）</w:t>
                  </w:r>
                </w:p>
              </w:tc>
              <w:tc>
                <w:tcPr>
                  <w:tcW w:w="927" w:type="dxa"/>
                  <w:tcBorders>
                    <w:tl2br w:val="nil"/>
                    <w:tr2bl w:val="nil"/>
                  </w:tcBorders>
                  <w:vAlign w:val="center"/>
                </w:tcPr>
                <w:p w14:paraId="22421F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300</w:t>
                  </w:r>
                </w:p>
              </w:tc>
              <w:tc>
                <w:tcPr>
                  <w:tcW w:w="927" w:type="dxa"/>
                  <w:tcBorders>
                    <w:tl2br w:val="nil"/>
                    <w:tr2bl w:val="nil"/>
                  </w:tcBorders>
                  <w:vAlign w:val="center"/>
                </w:tcPr>
                <w:p w14:paraId="7FCB8E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150</w:t>
                  </w:r>
                </w:p>
              </w:tc>
              <w:tc>
                <w:tcPr>
                  <w:tcW w:w="927" w:type="dxa"/>
                  <w:tcBorders>
                    <w:tl2br w:val="nil"/>
                    <w:tr2bl w:val="nil"/>
                  </w:tcBorders>
                  <w:vAlign w:val="center"/>
                </w:tcPr>
                <w:p w14:paraId="5B9787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45</w:t>
                  </w:r>
                </w:p>
              </w:tc>
              <w:tc>
                <w:tcPr>
                  <w:tcW w:w="927" w:type="dxa"/>
                  <w:tcBorders>
                    <w:tl2br w:val="nil"/>
                    <w:tr2bl w:val="nil"/>
                  </w:tcBorders>
                  <w:vAlign w:val="center"/>
                </w:tcPr>
                <w:p w14:paraId="0A4470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120</w:t>
                  </w:r>
                </w:p>
              </w:tc>
              <w:tc>
                <w:tcPr>
                  <w:tcW w:w="927" w:type="dxa"/>
                  <w:tcBorders>
                    <w:tl2br w:val="nil"/>
                    <w:tr2bl w:val="nil"/>
                  </w:tcBorders>
                  <w:vAlign w:val="center"/>
                </w:tcPr>
                <w:p w14:paraId="14A054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w:t>
                  </w:r>
                </w:p>
              </w:tc>
              <w:tc>
                <w:tcPr>
                  <w:tcW w:w="1304" w:type="dxa"/>
                  <w:tcBorders>
                    <w:tl2br w:val="nil"/>
                    <w:tr2bl w:val="nil"/>
                  </w:tcBorders>
                  <w:vAlign w:val="center"/>
                </w:tcPr>
                <w:p w14:paraId="7041CB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superscript"/>
                      <w:lang w:val="en-US" w:eastAsia="zh-CN"/>
                    </w:rPr>
                  </w:pPr>
                  <w:r>
                    <w:rPr>
                      <w:rFonts w:hint="eastAsia"/>
                      <w:sz w:val="21"/>
                      <w:szCs w:val="21"/>
                      <w:vertAlign w:val="baseline"/>
                      <w:lang w:val="en-US" w:eastAsia="zh-CN"/>
                    </w:rPr>
                    <w:t>3.0×10</w:t>
                  </w:r>
                  <w:r>
                    <w:rPr>
                      <w:rFonts w:hint="eastAsia"/>
                      <w:sz w:val="21"/>
                      <w:szCs w:val="21"/>
                      <w:vertAlign w:val="superscript"/>
                      <w:lang w:val="en-US" w:eastAsia="zh-CN"/>
                    </w:rPr>
                    <w:t>8</w:t>
                  </w:r>
                </w:p>
                <w:p w14:paraId="0E40CC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MPN/L</w:t>
                  </w:r>
                </w:p>
              </w:tc>
            </w:tr>
            <w:tr w14:paraId="42CA20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81" w:type="dxa"/>
                  <w:tcBorders>
                    <w:tl2br w:val="nil"/>
                    <w:tr2bl w:val="nil"/>
                  </w:tcBorders>
                  <w:vAlign w:val="center"/>
                </w:tcPr>
                <w:p w14:paraId="4C39DF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诊疗废水、美容洗浴废水各污染物产生量（t/a）</w:t>
                  </w:r>
                </w:p>
              </w:tc>
              <w:tc>
                <w:tcPr>
                  <w:tcW w:w="927" w:type="dxa"/>
                  <w:tcBorders>
                    <w:tl2br w:val="nil"/>
                    <w:tr2bl w:val="nil"/>
                  </w:tcBorders>
                  <w:vAlign w:val="center"/>
                </w:tcPr>
                <w:p w14:paraId="4704ED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0.032</w:t>
                  </w:r>
                </w:p>
              </w:tc>
              <w:tc>
                <w:tcPr>
                  <w:tcW w:w="927" w:type="dxa"/>
                  <w:tcBorders>
                    <w:tl2br w:val="nil"/>
                    <w:tr2bl w:val="nil"/>
                  </w:tcBorders>
                  <w:vAlign w:val="center"/>
                </w:tcPr>
                <w:p w14:paraId="23774D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0.016</w:t>
                  </w:r>
                </w:p>
              </w:tc>
              <w:tc>
                <w:tcPr>
                  <w:tcW w:w="927" w:type="dxa"/>
                  <w:tcBorders>
                    <w:tl2br w:val="nil"/>
                    <w:tr2bl w:val="nil"/>
                  </w:tcBorders>
                  <w:vAlign w:val="center"/>
                </w:tcPr>
                <w:p w14:paraId="7B0A0B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0.005</w:t>
                  </w:r>
                </w:p>
              </w:tc>
              <w:tc>
                <w:tcPr>
                  <w:tcW w:w="927" w:type="dxa"/>
                  <w:tcBorders>
                    <w:tl2br w:val="nil"/>
                    <w:tr2bl w:val="nil"/>
                  </w:tcBorders>
                  <w:vAlign w:val="center"/>
                </w:tcPr>
                <w:p w14:paraId="3E958F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0.013</w:t>
                  </w:r>
                </w:p>
              </w:tc>
              <w:tc>
                <w:tcPr>
                  <w:tcW w:w="927" w:type="dxa"/>
                  <w:tcBorders>
                    <w:tl2br w:val="nil"/>
                    <w:tr2bl w:val="nil"/>
                  </w:tcBorders>
                  <w:vAlign w:val="center"/>
                </w:tcPr>
                <w:p w14:paraId="7AF6DE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c>
                <w:tcPr>
                  <w:tcW w:w="1304" w:type="dxa"/>
                  <w:tcBorders>
                    <w:tl2br w:val="nil"/>
                    <w:tr2bl w:val="nil"/>
                  </w:tcBorders>
                  <w:vAlign w:val="center"/>
                </w:tcPr>
                <w:p w14:paraId="5AC537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r>
            <w:tr w14:paraId="10CA8F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81" w:type="dxa"/>
                  <w:tcBorders>
                    <w:tl2br w:val="nil"/>
                    <w:tr2bl w:val="nil"/>
                  </w:tcBorders>
                  <w:vAlign w:val="center"/>
                </w:tcPr>
                <w:p w14:paraId="722AB2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污水处理设备去除率（次氯酸钠消毒）</w:t>
                  </w:r>
                </w:p>
              </w:tc>
              <w:tc>
                <w:tcPr>
                  <w:tcW w:w="927" w:type="dxa"/>
                  <w:tcBorders>
                    <w:tl2br w:val="nil"/>
                    <w:tr2bl w:val="nil"/>
                  </w:tcBorders>
                  <w:vAlign w:val="center"/>
                </w:tcPr>
                <w:p w14:paraId="54C33E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c>
                <w:tcPr>
                  <w:tcW w:w="927" w:type="dxa"/>
                  <w:tcBorders>
                    <w:tl2br w:val="nil"/>
                    <w:tr2bl w:val="nil"/>
                  </w:tcBorders>
                  <w:vAlign w:val="center"/>
                </w:tcPr>
                <w:p w14:paraId="4B67A8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c>
                <w:tcPr>
                  <w:tcW w:w="927" w:type="dxa"/>
                  <w:tcBorders>
                    <w:tl2br w:val="nil"/>
                    <w:tr2bl w:val="nil"/>
                  </w:tcBorders>
                  <w:vAlign w:val="center"/>
                </w:tcPr>
                <w:p w14:paraId="3979A7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c>
                <w:tcPr>
                  <w:tcW w:w="927" w:type="dxa"/>
                  <w:tcBorders>
                    <w:tl2br w:val="nil"/>
                    <w:tr2bl w:val="nil"/>
                  </w:tcBorders>
                  <w:vAlign w:val="center"/>
                </w:tcPr>
                <w:p w14:paraId="1E8689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c>
                <w:tcPr>
                  <w:tcW w:w="927" w:type="dxa"/>
                  <w:tcBorders>
                    <w:tl2br w:val="nil"/>
                    <w:tr2bl w:val="nil"/>
                  </w:tcBorders>
                  <w:vAlign w:val="center"/>
                </w:tcPr>
                <w:p w14:paraId="0E1958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c>
                <w:tcPr>
                  <w:tcW w:w="1304" w:type="dxa"/>
                  <w:tcBorders>
                    <w:tl2br w:val="nil"/>
                    <w:tr2bl w:val="nil"/>
                  </w:tcBorders>
                  <w:vAlign w:val="center"/>
                </w:tcPr>
                <w:p w14:paraId="7BC2F0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＞99.999%</w:t>
                  </w:r>
                </w:p>
              </w:tc>
            </w:tr>
            <w:tr w14:paraId="06775C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81" w:type="dxa"/>
                  <w:tcBorders>
                    <w:tl2br w:val="nil"/>
                    <w:tr2bl w:val="nil"/>
                  </w:tcBorders>
                  <w:vAlign w:val="center"/>
                </w:tcPr>
                <w:p w14:paraId="596370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诊疗废水、美容洗浴废水处理后排放浓度（mg/L）</w:t>
                  </w:r>
                </w:p>
              </w:tc>
              <w:tc>
                <w:tcPr>
                  <w:tcW w:w="927" w:type="dxa"/>
                  <w:tcBorders>
                    <w:tl2br w:val="nil"/>
                    <w:tr2bl w:val="nil"/>
                  </w:tcBorders>
                  <w:vAlign w:val="center"/>
                </w:tcPr>
                <w:p w14:paraId="30C66E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300</w:t>
                  </w:r>
                </w:p>
              </w:tc>
              <w:tc>
                <w:tcPr>
                  <w:tcW w:w="927" w:type="dxa"/>
                  <w:tcBorders>
                    <w:tl2br w:val="nil"/>
                    <w:tr2bl w:val="nil"/>
                  </w:tcBorders>
                  <w:vAlign w:val="center"/>
                </w:tcPr>
                <w:p w14:paraId="7DB0C9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150</w:t>
                  </w:r>
                </w:p>
              </w:tc>
              <w:tc>
                <w:tcPr>
                  <w:tcW w:w="927" w:type="dxa"/>
                  <w:tcBorders>
                    <w:tl2br w:val="nil"/>
                    <w:tr2bl w:val="nil"/>
                  </w:tcBorders>
                  <w:vAlign w:val="center"/>
                </w:tcPr>
                <w:p w14:paraId="6EF526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45</w:t>
                  </w:r>
                </w:p>
              </w:tc>
              <w:tc>
                <w:tcPr>
                  <w:tcW w:w="927" w:type="dxa"/>
                  <w:tcBorders>
                    <w:tl2br w:val="nil"/>
                    <w:tr2bl w:val="nil"/>
                  </w:tcBorders>
                  <w:vAlign w:val="center"/>
                </w:tcPr>
                <w:p w14:paraId="78D1C2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120</w:t>
                  </w:r>
                </w:p>
              </w:tc>
              <w:tc>
                <w:tcPr>
                  <w:tcW w:w="927" w:type="dxa"/>
                  <w:tcBorders>
                    <w:tl2br w:val="nil"/>
                    <w:tr2bl w:val="nil"/>
                  </w:tcBorders>
                  <w:vAlign w:val="center"/>
                </w:tcPr>
                <w:p w14:paraId="6F758E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2~8</w:t>
                  </w:r>
                </w:p>
              </w:tc>
              <w:tc>
                <w:tcPr>
                  <w:tcW w:w="1304" w:type="dxa"/>
                  <w:tcBorders>
                    <w:tl2br w:val="nil"/>
                    <w:tr2bl w:val="nil"/>
                  </w:tcBorders>
                  <w:vAlign w:val="center"/>
                </w:tcPr>
                <w:p w14:paraId="3F15B2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＜3000</w:t>
                  </w:r>
                </w:p>
                <w:p w14:paraId="1D5B7E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MPN/L</w:t>
                  </w:r>
                </w:p>
              </w:tc>
            </w:tr>
            <w:tr w14:paraId="761978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81" w:type="dxa"/>
                  <w:tcBorders>
                    <w:tl2br w:val="nil"/>
                    <w:tr2bl w:val="nil"/>
                  </w:tcBorders>
                  <w:vAlign w:val="center"/>
                </w:tcPr>
                <w:p w14:paraId="2FE308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诊疗废水、美容洗浴废水各污染物排放量（t/a）</w:t>
                  </w:r>
                </w:p>
              </w:tc>
              <w:tc>
                <w:tcPr>
                  <w:tcW w:w="927" w:type="dxa"/>
                  <w:tcBorders>
                    <w:tl2br w:val="nil"/>
                    <w:tr2bl w:val="nil"/>
                  </w:tcBorders>
                  <w:vAlign w:val="center"/>
                </w:tcPr>
                <w:p w14:paraId="1FBE74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0.032</w:t>
                  </w:r>
                </w:p>
              </w:tc>
              <w:tc>
                <w:tcPr>
                  <w:tcW w:w="927" w:type="dxa"/>
                  <w:tcBorders>
                    <w:tl2br w:val="nil"/>
                    <w:tr2bl w:val="nil"/>
                  </w:tcBorders>
                  <w:vAlign w:val="center"/>
                </w:tcPr>
                <w:p w14:paraId="2B1ED6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0.016</w:t>
                  </w:r>
                </w:p>
              </w:tc>
              <w:tc>
                <w:tcPr>
                  <w:tcW w:w="927" w:type="dxa"/>
                  <w:tcBorders>
                    <w:tl2br w:val="nil"/>
                    <w:tr2bl w:val="nil"/>
                  </w:tcBorders>
                  <w:vAlign w:val="center"/>
                </w:tcPr>
                <w:p w14:paraId="662223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0.005</w:t>
                  </w:r>
                </w:p>
              </w:tc>
              <w:tc>
                <w:tcPr>
                  <w:tcW w:w="927" w:type="dxa"/>
                  <w:tcBorders>
                    <w:tl2br w:val="nil"/>
                    <w:tr2bl w:val="nil"/>
                  </w:tcBorders>
                  <w:vAlign w:val="center"/>
                </w:tcPr>
                <w:p w14:paraId="4D80C8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0.013</w:t>
                  </w:r>
                </w:p>
              </w:tc>
              <w:tc>
                <w:tcPr>
                  <w:tcW w:w="927" w:type="dxa"/>
                  <w:tcBorders>
                    <w:tl2br w:val="nil"/>
                    <w:tr2bl w:val="nil"/>
                  </w:tcBorders>
                  <w:vAlign w:val="center"/>
                </w:tcPr>
                <w:p w14:paraId="1C21C0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c>
                <w:tcPr>
                  <w:tcW w:w="1304" w:type="dxa"/>
                  <w:tcBorders>
                    <w:tl2br w:val="nil"/>
                    <w:tr2bl w:val="nil"/>
                  </w:tcBorders>
                  <w:vAlign w:val="center"/>
                </w:tcPr>
                <w:p w14:paraId="7E30B6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r>
            <w:tr w14:paraId="5567F2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81" w:type="dxa"/>
                  <w:tcBorders>
                    <w:tl2br w:val="nil"/>
                    <w:tr2bl w:val="nil"/>
                  </w:tcBorders>
                  <w:vAlign w:val="center"/>
                </w:tcPr>
                <w:p w14:paraId="44E26F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生活废水产生浓度（mg/L）</w:t>
                  </w:r>
                </w:p>
              </w:tc>
              <w:tc>
                <w:tcPr>
                  <w:tcW w:w="927" w:type="dxa"/>
                  <w:tcBorders>
                    <w:tl2br w:val="nil"/>
                    <w:tr2bl w:val="nil"/>
                  </w:tcBorders>
                  <w:vAlign w:val="center"/>
                </w:tcPr>
                <w:p w14:paraId="46E672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450</w:t>
                  </w:r>
                </w:p>
              </w:tc>
              <w:tc>
                <w:tcPr>
                  <w:tcW w:w="927" w:type="dxa"/>
                  <w:tcBorders>
                    <w:tl2br w:val="nil"/>
                    <w:tr2bl w:val="nil"/>
                  </w:tcBorders>
                  <w:vAlign w:val="center"/>
                </w:tcPr>
                <w:p w14:paraId="42FCE5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250</w:t>
                  </w:r>
                </w:p>
              </w:tc>
              <w:tc>
                <w:tcPr>
                  <w:tcW w:w="927" w:type="dxa"/>
                  <w:tcBorders>
                    <w:tl2br w:val="nil"/>
                    <w:tr2bl w:val="nil"/>
                  </w:tcBorders>
                  <w:vAlign w:val="center"/>
                </w:tcPr>
                <w:p w14:paraId="4C1030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40</w:t>
                  </w:r>
                </w:p>
              </w:tc>
              <w:tc>
                <w:tcPr>
                  <w:tcW w:w="927" w:type="dxa"/>
                  <w:tcBorders>
                    <w:tl2br w:val="nil"/>
                    <w:tr2bl w:val="nil"/>
                  </w:tcBorders>
                  <w:vAlign w:val="center"/>
                </w:tcPr>
                <w:p w14:paraId="67ECED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300</w:t>
                  </w:r>
                </w:p>
              </w:tc>
              <w:tc>
                <w:tcPr>
                  <w:tcW w:w="927" w:type="dxa"/>
                  <w:tcBorders>
                    <w:tl2br w:val="nil"/>
                    <w:tr2bl w:val="nil"/>
                  </w:tcBorders>
                  <w:vAlign w:val="center"/>
                </w:tcPr>
                <w:p w14:paraId="46353D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w:t>
                  </w:r>
                </w:p>
              </w:tc>
              <w:tc>
                <w:tcPr>
                  <w:tcW w:w="1304" w:type="dxa"/>
                  <w:tcBorders>
                    <w:tl2br w:val="nil"/>
                    <w:tr2bl w:val="nil"/>
                  </w:tcBorders>
                  <w:vAlign w:val="center"/>
                </w:tcPr>
                <w:p w14:paraId="5C9E6D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1700</w:t>
                  </w:r>
                </w:p>
                <w:p w14:paraId="1012EC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MPN/L</w:t>
                  </w:r>
                </w:p>
              </w:tc>
            </w:tr>
            <w:tr w14:paraId="7060C9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81" w:type="dxa"/>
                  <w:tcBorders>
                    <w:tl2br w:val="nil"/>
                    <w:tr2bl w:val="nil"/>
                  </w:tcBorders>
                  <w:vAlign w:val="center"/>
                </w:tcPr>
                <w:p w14:paraId="0A7CBC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生活废水各污染物产生量（t/a）</w:t>
                  </w:r>
                </w:p>
              </w:tc>
              <w:tc>
                <w:tcPr>
                  <w:tcW w:w="927" w:type="dxa"/>
                  <w:tcBorders>
                    <w:tl2br w:val="nil"/>
                    <w:tr2bl w:val="nil"/>
                  </w:tcBorders>
                  <w:vAlign w:val="center"/>
                </w:tcPr>
                <w:p w14:paraId="7A0E2F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0.026</w:t>
                  </w:r>
                </w:p>
              </w:tc>
              <w:tc>
                <w:tcPr>
                  <w:tcW w:w="927" w:type="dxa"/>
                  <w:tcBorders>
                    <w:tl2br w:val="nil"/>
                    <w:tr2bl w:val="nil"/>
                  </w:tcBorders>
                  <w:vAlign w:val="center"/>
                </w:tcPr>
                <w:p w14:paraId="11C473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0.014</w:t>
                  </w:r>
                </w:p>
              </w:tc>
              <w:tc>
                <w:tcPr>
                  <w:tcW w:w="927" w:type="dxa"/>
                  <w:tcBorders>
                    <w:tl2br w:val="nil"/>
                    <w:tr2bl w:val="nil"/>
                  </w:tcBorders>
                  <w:vAlign w:val="center"/>
                </w:tcPr>
                <w:p w14:paraId="688D6F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0.002</w:t>
                  </w:r>
                </w:p>
              </w:tc>
              <w:tc>
                <w:tcPr>
                  <w:tcW w:w="927" w:type="dxa"/>
                  <w:tcBorders>
                    <w:tl2br w:val="nil"/>
                    <w:tr2bl w:val="nil"/>
                  </w:tcBorders>
                  <w:vAlign w:val="center"/>
                </w:tcPr>
                <w:p w14:paraId="499057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0.017</w:t>
                  </w:r>
                </w:p>
              </w:tc>
              <w:tc>
                <w:tcPr>
                  <w:tcW w:w="927" w:type="dxa"/>
                  <w:tcBorders>
                    <w:tl2br w:val="nil"/>
                    <w:tr2bl w:val="nil"/>
                  </w:tcBorders>
                  <w:vAlign w:val="center"/>
                </w:tcPr>
                <w:p w14:paraId="580087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c>
                <w:tcPr>
                  <w:tcW w:w="1304" w:type="dxa"/>
                  <w:tcBorders>
                    <w:tl2br w:val="nil"/>
                    <w:tr2bl w:val="nil"/>
                  </w:tcBorders>
                  <w:vAlign w:val="center"/>
                </w:tcPr>
                <w:p w14:paraId="5BAEDE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r>
            <w:tr w14:paraId="470A68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81" w:type="dxa"/>
                  <w:tcBorders>
                    <w:tl2br w:val="nil"/>
                    <w:tr2bl w:val="nil"/>
                  </w:tcBorders>
                  <w:vAlign w:val="center"/>
                </w:tcPr>
                <w:p w14:paraId="0B6D49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综合废水各污染物产生量（t/a）</w:t>
                  </w:r>
                </w:p>
              </w:tc>
              <w:tc>
                <w:tcPr>
                  <w:tcW w:w="927" w:type="dxa"/>
                  <w:tcBorders>
                    <w:tl2br w:val="nil"/>
                    <w:tr2bl w:val="nil"/>
                  </w:tcBorders>
                  <w:vAlign w:val="center"/>
                </w:tcPr>
                <w:p w14:paraId="68B7B1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0.058</w:t>
                  </w:r>
                </w:p>
              </w:tc>
              <w:tc>
                <w:tcPr>
                  <w:tcW w:w="927" w:type="dxa"/>
                  <w:tcBorders>
                    <w:tl2br w:val="nil"/>
                    <w:tr2bl w:val="nil"/>
                  </w:tcBorders>
                  <w:vAlign w:val="center"/>
                </w:tcPr>
                <w:p w14:paraId="53D36E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0.030</w:t>
                  </w:r>
                </w:p>
              </w:tc>
              <w:tc>
                <w:tcPr>
                  <w:tcW w:w="927" w:type="dxa"/>
                  <w:tcBorders>
                    <w:tl2br w:val="nil"/>
                    <w:tr2bl w:val="nil"/>
                  </w:tcBorders>
                  <w:vAlign w:val="center"/>
                </w:tcPr>
                <w:p w14:paraId="3AD05E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0.007</w:t>
                  </w:r>
                </w:p>
              </w:tc>
              <w:tc>
                <w:tcPr>
                  <w:tcW w:w="927" w:type="dxa"/>
                  <w:tcBorders>
                    <w:tl2br w:val="nil"/>
                    <w:tr2bl w:val="nil"/>
                  </w:tcBorders>
                  <w:vAlign w:val="center"/>
                </w:tcPr>
                <w:p w14:paraId="0583D3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0.030</w:t>
                  </w:r>
                </w:p>
              </w:tc>
              <w:tc>
                <w:tcPr>
                  <w:tcW w:w="927" w:type="dxa"/>
                  <w:tcBorders>
                    <w:tl2br w:val="nil"/>
                    <w:tr2bl w:val="nil"/>
                  </w:tcBorders>
                  <w:vAlign w:val="center"/>
                </w:tcPr>
                <w:p w14:paraId="11B802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c>
                <w:tcPr>
                  <w:tcW w:w="1304" w:type="dxa"/>
                  <w:tcBorders>
                    <w:tl2br w:val="nil"/>
                    <w:tr2bl w:val="nil"/>
                  </w:tcBorders>
                  <w:vAlign w:val="center"/>
                </w:tcPr>
                <w:p w14:paraId="6C74EC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r>
            <w:tr w14:paraId="3C9D1F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81" w:type="dxa"/>
                  <w:tcBorders>
                    <w:tl2br w:val="nil"/>
                    <w:tr2bl w:val="nil"/>
                  </w:tcBorders>
                  <w:vAlign w:val="center"/>
                </w:tcPr>
                <w:p w14:paraId="498AE4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综合废水各污染物产生浓度（mg/L）</w:t>
                  </w:r>
                </w:p>
              </w:tc>
              <w:tc>
                <w:tcPr>
                  <w:tcW w:w="927" w:type="dxa"/>
                  <w:tcBorders>
                    <w:tl2br w:val="nil"/>
                    <w:tr2bl w:val="nil"/>
                  </w:tcBorders>
                  <w:vAlign w:val="center"/>
                </w:tcPr>
                <w:p w14:paraId="429991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354</w:t>
                  </w:r>
                </w:p>
              </w:tc>
              <w:tc>
                <w:tcPr>
                  <w:tcW w:w="927" w:type="dxa"/>
                  <w:tcBorders>
                    <w:tl2br w:val="nil"/>
                    <w:tr2bl w:val="nil"/>
                  </w:tcBorders>
                  <w:vAlign w:val="center"/>
                </w:tcPr>
                <w:p w14:paraId="563290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183</w:t>
                  </w:r>
                </w:p>
              </w:tc>
              <w:tc>
                <w:tcPr>
                  <w:tcW w:w="927" w:type="dxa"/>
                  <w:tcBorders>
                    <w:tl2br w:val="nil"/>
                    <w:tr2bl w:val="nil"/>
                  </w:tcBorders>
                  <w:vAlign w:val="center"/>
                </w:tcPr>
                <w:p w14:paraId="31B26C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43</w:t>
                  </w:r>
                </w:p>
              </w:tc>
              <w:tc>
                <w:tcPr>
                  <w:tcW w:w="927" w:type="dxa"/>
                  <w:tcBorders>
                    <w:tl2br w:val="nil"/>
                    <w:tr2bl w:val="nil"/>
                  </w:tcBorders>
                  <w:vAlign w:val="center"/>
                </w:tcPr>
                <w:p w14:paraId="775BEF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183</w:t>
                  </w:r>
                </w:p>
              </w:tc>
              <w:tc>
                <w:tcPr>
                  <w:tcW w:w="927" w:type="dxa"/>
                  <w:tcBorders>
                    <w:tl2br w:val="nil"/>
                    <w:tr2bl w:val="nil"/>
                  </w:tcBorders>
                  <w:vAlign w:val="center"/>
                </w:tcPr>
                <w:p w14:paraId="79C40C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2~8</w:t>
                  </w:r>
                </w:p>
              </w:tc>
              <w:tc>
                <w:tcPr>
                  <w:tcW w:w="1304" w:type="dxa"/>
                  <w:tcBorders>
                    <w:tl2br w:val="nil"/>
                    <w:tr2bl w:val="nil"/>
                  </w:tcBorders>
                  <w:vAlign w:val="center"/>
                </w:tcPr>
                <w:p w14:paraId="12E729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＜2325</w:t>
                  </w:r>
                </w:p>
                <w:p w14:paraId="420477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MPN/L</w:t>
                  </w:r>
                </w:p>
              </w:tc>
            </w:tr>
            <w:tr w14:paraId="4D0877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81" w:type="dxa"/>
                  <w:tcBorders>
                    <w:tl2br w:val="nil"/>
                    <w:tr2bl w:val="nil"/>
                  </w:tcBorders>
                  <w:vAlign w:val="center"/>
                </w:tcPr>
                <w:p w14:paraId="4D5E7A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化粪池去除率</w:t>
                  </w:r>
                </w:p>
              </w:tc>
              <w:tc>
                <w:tcPr>
                  <w:tcW w:w="927" w:type="dxa"/>
                  <w:tcBorders>
                    <w:tl2br w:val="nil"/>
                    <w:tr2bl w:val="nil"/>
                  </w:tcBorders>
                  <w:vAlign w:val="center"/>
                </w:tcPr>
                <w:p w14:paraId="2C0F77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15%</w:t>
                  </w:r>
                </w:p>
              </w:tc>
              <w:tc>
                <w:tcPr>
                  <w:tcW w:w="927" w:type="dxa"/>
                  <w:tcBorders>
                    <w:tl2br w:val="nil"/>
                    <w:tr2bl w:val="nil"/>
                  </w:tcBorders>
                  <w:vAlign w:val="center"/>
                </w:tcPr>
                <w:p w14:paraId="488F56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9%</w:t>
                  </w:r>
                </w:p>
              </w:tc>
              <w:tc>
                <w:tcPr>
                  <w:tcW w:w="927" w:type="dxa"/>
                  <w:tcBorders>
                    <w:tl2br w:val="nil"/>
                    <w:tr2bl w:val="nil"/>
                  </w:tcBorders>
                  <w:vAlign w:val="center"/>
                </w:tcPr>
                <w:p w14:paraId="1C0DA3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w:t>
                  </w:r>
                </w:p>
              </w:tc>
              <w:tc>
                <w:tcPr>
                  <w:tcW w:w="927" w:type="dxa"/>
                  <w:tcBorders>
                    <w:tl2br w:val="nil"/>
                    <w:tr2bl w:val="nil"/>
                  </w:tcBorders>
                  <w:vAlign w:val="center"/>
                </w:tcPr>
                <w:p w14:paraId="414E33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30%</w:t>
                  </w:r>
                </w:p>
              </w:tc>
              <w:tc>
                <w:tcPr>
                  <w:tcW w:w="927" w:type="dxa"/>
                  <w:tcBorders>
                    <w:tl2br w:val="nil"/>
                    <w:tr2bl w:val="nil"/>
                  </w:tcBorders>
                  <w:vAlign w:val="center"/>
                </w:tcPr>
                <w:p w14:paraId="6508E9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c>
                <w:tcPr>
                  <w:tcW w:w="1304" w:type="dxa"/>
                  <w:tcBorders>
                    <w:tl2br w:val="nil"/>
                    <w:tr2bl w:val="nil"/>
                  </w:tcBorders>
                  <w:vAlign w:val="center"/>
                </w:tcPr>
                <w:p w14:paraId="7EE8BE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r>
            <w:tr w14:paraId="0EC0CA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81" w:type="dxa"/>
                  <w:tcBorders>
                    <w:tl2br w:val="nil"/>
                    <w:tr2bl w:val="nil"/>
                  </w:tcBorders>
                  <w:vAlign w:val="center"/>
                </w:tcPr>
                <w:p w14:paraId="34F86B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化粪池处理后各污染物产生浓度（mg/L）</w:t>
                  </w:r>
                </w:p>
              </w:tc>
              <w:tc>
                <w:tcPr>
                  <w:tcW w:w="927" w:type="dxa"/>
                  <w:tcBorders>
                    <w:tl2br w:val="nil"/>
                    <w:tr2bl w:val="nil"/>
                  </w:tcBorders>
                  <w:vAlign w:val="center"/>
                </w:tcPr>
                <w:p w14:paraId="7274AA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300</w:t>
                  </w:r>
                </w:p>
              </w:tc>
              <w:tc>
                <w:tcPr>
                  <w:tcW w:w="927" w:type="dxa"/>
                  <w:tcBorders>
                    <w:tl2br w:val="nil"/>
                    <w:tr2bl w:val="nil"/>
                  </w:tcBorders>
                  <w:vAlign w:val="center"/>
                </w:tcPr>
                <w:p w14:paraId="141ACD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167</w:t>
                  </w:r>
                </w:p>
              </w:tc>
              <w:tc>
                <w:tcPr>
                  <w:tcW w:w="927" w:type="dxa"/>
                  <w:tcBorders>
                    <w:tl2br w:val="nil"/>
                    <w:tr2bl w:val="nil"/>
                  </w:tcBorders>
                  <w:vAlign w:val="center"/>
                </w:tcPr>
                <w:p w14:paraId="1026A8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42</w:t>
                  </w:r>
                </w:p>
              </w:tc>
              <w:tc>
                <w:tcPr>
                  <w:tcW w:w="927" w:type="dxa"/>
                  <w:tcBorders>
                    <w:tl2br w:val="nil"/>
                    <w:tr2bl w:val="nil"/>
                  </w:tcBorders>
                  <w:vAlign w:val="center"/>
                </w:tcPr>
                <w:p w14:paraId="7D3D66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128</w:t>
                  </w:r>
                </w:p>
              </w:tc>
              <w:tc>
                <w:tcPr>
                  <w:tcW w:w="927" w:type="dxa"/>
                  <w:tcBorders>
                    <w:tl2br w:val="nil"/>
                    <w:tr2bl w:val="nil"/>
                  </w:tcBorders>
                  <w:vAlign w:val="center"/>
                </w:tcPr>
                <w:p w14:paraId="2C6F81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＜8</w:t>
                  </w:r>
                </w:p>
              </w:tc>
              <w:tc>
                <w:tcPr>
                  <w:tcW w:w="1304" w:type="dxa"/>
                  <w:tcBorders>
                    <w:tl2br w:val="nil"/>
                    <w:tr2bl w:val="nil"/>
                  </w:tcBorders>
                  <w:vAlign w:val="center"/>
                </w:tcPr>
                <w:p w14:paraId="47A593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r>
            <w:tr w14:paraId="2CD39A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81" w:type="dxa"/>
                  <w:tcBorders>
                    <w:tl2br w:val="nil"/>
                    <w:tr2bl w:val="nil"/>
                  </w:tcBorders>
                  <w:vAlign w:val="center"/>
                </w:tcPr>
                <w:p w14:paraId="495077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污染物排放量（t/a）</w:t>
                  </w:r>
                </w:p>
              </w:tc>
              <w:tc>
                <w:tcPr>
                  <w:tcW w:w="927" w:type="dxa"/>
                  <w:tcBorders>
                    <w:tl2br w:val="nil"/>
                    <w:tr2bl w:val="nil"/>
                  </w:tcBorders>
                  <w:vAlign w:val="center"/>
                </w:tcPr>
                <w:p w14:paraId="5004AD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0.049</w:t>
                  </w:r>
                </w:p>
              </w:tc>
              <w:tc>
                <w:tcPr>
                  <w:tcW w:w="927" w:type="dxa"/>
                  <w:tcBorders>
                    <w:tl2br w:val="nil"/>
                    <w:tr2bl w:val="nil"/>
                  </w:tcBorders>
                  <w:vAlign w:val="center"/>
                </w:tcPr>
                <w:p w14:paraId="0D19C3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0.027</w:t>
                  </w:r>
                </w:p>
              </w:tc>
              <w:tc>
                <w:tcPr>
                  <w:tcW w:w="927" w:type="dxa"/>
                  <w:tcBorders>
                    <w:tl2br w:val="nil"/>
                    <w:tr2bl w:val="nil"/>
                  </w:tcBorders>
                  <w:vAlign w:val="center"/>
                </w:tcPr>
                <w:p w14:paraId="4DBD93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0.007</w:t>
                  </w:r>
                </w:p>
              </w:tc>
              <w:tc>
                <w:tcPr>
                  <w:tcW w:w="927" w:type="dxa"/>
                  <w:tcBorders>
                    <w:tl2br w:val="nil"/>
                    <w:tr2bl w:val="nil"/>
                  </w:tcBorders>
                  <w:vAlign w:val="center"/>
                </w:tcPr>
                <w:p w14:paraId="0AB21E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0.021</w:t>
                  </w:r>
                </w:p>
              </w:tc>
              <w:tc>
                <w:tcPr>
                  <w:tcW w:w="927" w:type="dxa"/>
                  <w:tcBorders>
                    <w:tl2br w:val="nil"/>
                    <w:tr2bl w:val="nil"/>
                  </w:tcBorders>
                  <w:vAlign w:val="center"/>
                </w:tcPr>
                <w:p w14:paraId="46A0C1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c>
                <w:tcPr>
                  <w:tcW w:w="1304" w:type="dxa"/>
                  <w:tcBorders>
                    <w:tl2br w:val="nil"/>
                    <w:tr2bl w:val="nil"/>
                  </w:tcBorders>
                  <w:vAlign w:val="center"/>
                </w:tcPr>
                <w:p w14:paraId="212339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r>
            <w:tr w14:paraId="25A589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81" w:type="dxa"/>
                  <w:tcBorders>
                    <w:tl2br w:val="nil"/>
                    <w:tr2bl w:val="nil"/>
                  </w:tcBorders>
                  <w:vAlign w:val="center"/>
                </w:tcPr>
                <w:p w14:paraId="78C371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排放标准（mg/L）</w:t>
                  </w:r>
                </w:p>
              </w:tc>
              <w:tc>
                <w:tcPr>
                  <w:tcW w:w="927" w:type="dxa"/>
                  <w:tcBorders>
                    <w:tl2br w:val="nil"/>
                    <w:tr2bl w:val="nil"/>
                  </w:tcBorders>
                  <w:vAlign w:val="center"/>
                </w:tcPr>
                <w:p w14:paraId="5B7137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500</w:t>
                  </w:r>
                </w:p>
              </w:tc>
              <w:tc>
                <w:tcPr>
                  <w:tcW w:w="927" w:type="dxa"/>
                  <w:tcBorders>
                    <w:tl2br w:val="nil"/>
                    <w:tr2bl w:val="nil"/>
                  </w:tcBorders>
                  <w:vAlign w:val="center"/>
                </w:tcPr>
                <w:p w14:paraId="24F442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300</w:t>
                  </w:r>
                </w:p>
              </w:tc>
              <w:tc>
                <w:tcPr>
                  <w:tcW w:w="927" w:type="dxa"/>
                  <w:tcBorders>
                    <w:tl2br w:val="nil"/>
                    <w:tr2bl w:val="nil"/>
                  </w:tcBorders>
                  <w:vAlign w:val="center"/>
                </w:tcPr>
                <w:p w14:paraId="0B70F5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45</w:t>
                  </w:r>
                </w:p>
              </w:tc>
              <w:tc>
                <w:tcPr>
                  <w:tcW w:w="927" w:type="dxa"/>
                  <w:tcBorders>
                    <w:tl2br w:val="nil"/>
                    <w:tr2bl w:val="nil"/>
                  </w:tcBorders>
                  <w:vAlign w:val="center"/>
                </w:tcPr>
                <w:p w14:paraId="5F85FE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400</w:t>
                  </w:r>
                </w:p>
              </w:tc>
              <w:tc>
                <w:tcPr>
                  <w:tcW w:w="927" w:type="dxa"/>
                  <w:tcBorders>
                    <w:tl2br w:val="nil"/>
                    <w:tr2bl w:val="nil"/>
                  </w:tcBorders>
                  <w:vAlign w:val="center"/>
                </w:tcPr>
                <w:p w14:paraId="3C434B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8</w:t>
                  </w:r>
                </w:p>
              </w:tc>
              <w:tc>
                <w:tcPr>
                  <w:tcW w:w="1304" w:type="dxa"/>
                  <w:tcBorders>
                    <w:tl2br w:val="nil"/>
                    <w:tr2bl w:val="nil"/>
                  </w:tcBorders>
                  <w:vAlign w:val="center"/>
                </w:tcPr>
                <w:p w14:paraId="3082B5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10000</w:t>
                  </w:r>
                </w:p>
                <w:p w14:paraId="5F0380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MPN/L</w:t>
                  </w:r>
                </w:p>
              </w:tc>
            </w:tr>
          </w:tbl>
          <w:p w14:paraId="160EE517">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由上表可知，项目动物诊疗废水、美容洗浴废水经污水处理设备消毒处理后，与生活污水一同排入所在建筑防渗化粪池处理。项目综合废水中各污染物排放浓度符合北京市《水污染物综合排放标准》（DB11/307-2013）中排入公共污水处理系统的水污染物排放限值。</w:t>
            </w:r>
          </w:p>
          <w:p w14:paraId="16F31E16">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2）非正常情况排放</w:t>
            </w:r>
          </w:p>
          <w:p w14:paraId="01B3663A">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项目废水非正常排放情况是指污水处理设备停运进行检修，或者运行出现故障，达不到应有治理效率的情况下的污染物排放。本项目废水可能出现非正常排放的原因主要为污水处理设备故障不运行，以及消毒剂加药泵故障未加药或过量加药；超负荷接诊时，污水池存纳的废水超过有效容积等。出现该类情况时，污染物排放具体情况见下表。</w:t>
            </w:r>
          </w:p>
          <w:p w14:paraId="34B5794D">
            <w:pPr>
              <w:pStyle w:val="11"/>
              <w:bidi w:val="0"/>
              <w:rPr>
                <w:rFonts w:hint="default"/>
                <w:lang w:val="en-US" w:eastAsia="zh-CN"/>
              </w:rPr>
            </w:pPr>
            <w:r>
              <w:rPr>
                <w:rFonts w:hint="eastAsia"/>
                <w:lang w:val="en-US" w:eastAsia="zh-CN"/>
              </w:rPr>
              <w:t>表4-13 项目废水非正常排放情况汇总表</w:t>
            </w:r>
          </w:p>
          <w:tbl>
            <w:tblPr>
              <w:tblStyle w:val="9"/>
              <w:tblW w:w="802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1110"/>
              <w:gridCol w:w="1215"/>
              <w:gridCol w:w="1080"/>
              <w:gridCol w:w="1125"/>
              <w:gridCol w:w="2177"/>
            </w:tblGrid>
            <w:tr w14:paraId="482706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1318" w:type="dxa"/>
                  <w:vMerge w:val="restart"/>
                  <w:tcBorders>
                    <w:tl2br w:val="nil"/>
                    <w:tr2bl w:val="nil"/>
                  </w:tcBorders>
                  <w:vAlign w:val="center"/>
                </w:tcPr>
                <w:p w14:paraId="1EC345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主要污染物</w:t>
                  </w:r>
                </w:p>
              </w:tc>
              <w:tc>
                <w:tcPr>
                  <w:tcW w:w="1110" w:type="dxa"/>
                  <w:vMerge w:val="restart"/>
                  <w:tcBorders>
                    <w:tl2br w:val="nil"/>
                    <w:tr2bl w:val="nil"/>
                  </w:tcBorders>
                  <w:vAlign w:val="center"/>
                </w:tcPr>
                <w:p w14:paraId="0560FE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非正常排放情况排放浓度</w:t>
                  </w:r>
                </w:p>
              </w:tc>
              <w:tc>
                <w:tcPr>
                  <w:tcW w:w="3420" w:type="dxa"/>
                  <w:gridSpan w:val="3"/>
                  <w:tcBorders>
                    <w:tl2br w:val="nil"/>
                    <w:tr2bl w:val="nil"/>
                  </w:tcBorders>
                  <w:vAlign w:val="center"/>
                </w:tcPr>
                <w:p w14:paraId="7B9386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非正常排放因素</w:t>
                  </w:r>
                </w:p>
              </w:tc>
              <w:tc>
                <w:tcPr>
                  <w:tcW w:w="2177" w:type="dxa"/>
                  <w:vMerge w:val="restart"/>
                  <w:tcBorders>
                    <w:tl2br w:val="nil"/>
                    <w:tr2bl w:val="nil"/>
                  </w:tcBorders>
                  <w:vAlign w:val="center"/>
                </w:tcPr>
                <w:p w14:paraId="4994A8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b/>
                      <w:bCs/>
                      <w:sz w:val="21"/>
                      <w:szCs w:val="21"/>
                      <w:vertAlign w:val="baseline"/>
                      <w:lang w:val="en-US" w:eastAsia="zh-CN"/>
                    </w:rPr>
                    <w:t>应对措施</w:t>
                  </w:r>
                </w:p>
              </w:tc>
            </w:tr>
            <w:tr w14:paraId="5911E0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8" w:type="dxa"/>
                  <w:vMerge w:val="continue"/>
                  <w:tcBorders>
                    <w:tl2br w:val="nil"/>
                    <w:tr2bl w:val="nil"/>
                  </w:tcBorders>
                  <w:vAlign w:val="center"/>
                </w:tcPr>
                <w:p w14:paraId="6F29DE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110" w:type="dxa"/>
                  <w:vMerge w:val="continue"/>
                  <w:tcBorders>
                    <w:tl2br w:val="nil"/>
                    <w:tr2bl w:val="nil"/>
                  </w:tcBorders>
                  <w:vAlign w:val="center"/>
                </w:tcPr>
                <w:p w14:paraId="5A09CE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215" w:type="dxa"/>
                  <w:tcBorders>
                    <w:tl2br w:val="nil"/>
                    <w:tr2bl w:val="nil"/>
                  </w:tcBorders>
                  <w:vAlign w:val="center"/>
                </w:tcPr>
                <w:p w14:paraId="52A47C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原因</w:t>
                  </w:r>
                </w:p>
              </w:tc>
              <w:tc>
                <w:tcPr>
                  <w:tcW w:w="1080" w:type="dxa"/>
                  <w:tcBorders>
                    <w:tl2br w:val="nil"/>
                    <w:tr2bl w:val="nil"/>
                  </w:tcBorders>
                  <w:vAlign w:val="center"/>
                </w:tcPr>
                <w:p w14:paraId="017081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可能频次</w:t>
                  </w:r>
                </w:p>
              </w:tc>
              <w:tc>
                <w:tcPr>
                  <w:tcW w:w="1125" w:type="dxa"/>
                  <w:tcBorders>
                    <w:tl2br w:val="nil"/>
                    <w:tr2bl w:val="nil"/>
                  </w:tcBorders>
                  <w:vAlign w:val="center"/>
                </w:tcPr>
                <w:p w14:paraId="2E730A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持续时间</w:t>
                  </w:r>
                </w:p>
              </w:tc>
              <w:tc>
                <w:tcPr>
                  <w:tcW w:w="2177" w:type="dxa"/>
                  <w:vMerge w:val="continue"/>
                  <w:tcBorders>
                    <w:tl2br w:val="nil"/>
                    <w:tr2bl w:val="nil"/>
                  </w:tcBorders>
                  <w:vAlign w:val="center"/>
                </w:tcPr>
                <w:p w14:paraId="23B85E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r>
            <w:tr w14:paraId="2C7DEE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8" w:type="dxa"/>
                  <w:tcBorders>
                    <w:tl2br w:val="nil"/>
                    <w:tr2bl w:val="nil"/>
                  </w:tcBorders>
                  <w:shd w:val="clear" w:color="auto" w:fill="auto"/>
                  <w:vAlign w:val="center"/>
                </w:tcPr>
                <w:p w14:paraId="7A8561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cstheme="minorBidi"/>
                      <w:kern w:val="2"/>
                      <w:sz w:val="21"/>
                      <w:szCs w:val="21"/>
                      <w:vertAlign w:val="baseline"/>
                      <w:lang w:val="en-US" w:eastAsia="zh-CN" w:bidi="ar-SA"/>
                    </w:rPr>
                    <w:t>粪大肠菌群</w:t>
                  </w:r>
                </w:p>
              </w:tc>
              <w:tc>
                <w:tcPr>
                  <w:tcW w:w="1110" w:type="dxa"/>
                  <w:tcBorders>
                    <w:tl2br w:val="nil"/>
                    <w:tr2bl w:val="nil"/>
                  </w:tcBorders>
                  <w:vAlign w:val="center"/>
                </w:tcPr>
                <w:p w14:paraId="4DE765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superscript"/>
                      <w:lang w:val="en-US" w:eastAsia="zh-CN"/>
                    </w:rPr>
                  </w:pPr>
                  <w:r>
                    <w:rPr>
                      <w:rFonts w:hint="eastAsia"/>
                      <w:sz w:val="21"/>
                      <w:szCs w:val="21"/>
                      <w:vertAlign w:val="baseline"/>
                      <w:lang w:val="en-US" w:eastAsia="zh-CN"/>
                    </w:rPr>
                    <w:t>3.0×10</w:t>
                  </w:r>
                  <w:r>
                    <w:rPr>
                      <w:rFonts w:hint="eastAsia"/>
                      <w:sz w:val="21"/>
                      <w:szCs w:val="21"/>
                      <w:vertAlign w:val="superscript"/>
                      <w:lang w:val="en-US" w:eastAsia="zh-CN"/>
                    </w:rPr>
                    <w:t>8</w:t>
                  </w:r>
                </w:p>
                <w:p w14:paraId="17B142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MPN/L</w:t>
                  </w:r>
                </w:p>
              </w:tc>
              <w:tc>
                <w:tcPr>
                  <w:tcW w:w="1215" w:type="dxa"/>
                  <w:vMerge w:val="restart"/>
                  <w:tcBorders>
                    <w:tl2br w:val="nil"/>
                    <w:tr2bl w:val="nil"/>
                  </w:tcBorders>
                  <w:vAlign w:val="center"/>
                </w:tcPr>
                <w:p w14:paraId="381EAA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default"/>
                      <w:sz w:val="21"/>
                      <w:szCs w:val="21"/>
                      <w:vertAlign w:val="baseline"/>
                      <w:lang w:val="en-US" w:eastAsia="zh-CN"/>
                    </w:rPr>
                    <w:t>①污水处理设备故障，设备停运；</w:t>
                  </w:r>
                </w:p>
                <w:p w14:paraId="6CBEEA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default"/>
                      <w:sz w:val="21"/>
                      <w:szCs w:val="21"/>
                      <w:vertAlign w:val="baseline"/>
                      <w:lang w:val="en-US" w:eastAsia="zh-CN"/>
                    </w:rPr>
                    <w:t>②加药系统故障，消毒剂未加或过量；</w:t>
                  </w:r>
                </w:p>
                <w:p w14:paraId="37C503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default"/>
                      <w:sz w:val="21"/>
                      <w:szCs w:val="21"/>
                      <w:vertAlign w:val="baseline"/>
                      <w:lang w:val="en-US" w:eastAsia="zh-CN"/>
                    </w:rPr>
                    <w:t>③超负荷运行，废水水量超过设计要求。</w:t>
                  </w:r>
                </w:p>
              </w:tc>
              <w:tc>
                <w:tcPr>
                  <w:tcW w:w="1080" w:type="dxa"/>
                  <w:vMerge w:val="restart"/>
                  <w:tcBorders>
                    <w:tl2br w:val="nil"/>
                    <w:tr2bl w:val="nil"/>
                  </w:tcBorders>
                  <w:vAlign w:val="center"/>
                </w:tcPr>
                <w:p w14:paraId="277B62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w:t>
                  </w:r>
                </w:p>
                <w:p w14:paraId="22468A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1次/a</w:t>
                  </w:r>
                </w:p>
              </w:tc>
              <w:tc>
                <w:tcPr>
                  <w:tcW w:w="1125" w:type="dxa"/>
                  <w:vMerge w:val="restart"/>
                  <w:tcBorders>
                    <w:tl2br w:val="nil"/>
                    <w:tr2bl w:val="nil"/>
                  </w:tcBorders>
                  <w:vAlign w:val="center"/>
                </w:tcPr>
                <w:p w14:paraId="0ED77D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w:t>
                  </w:r>
                </w:p>
                <w:p w14:paraId="7553DC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1小时/次</w:t>
                  </w:r>
                </w:p>
              </w:tc>
              <w:tc>
                <w:tcPr>
                  <w:tcW w:w="2177" w:type="dxa"/>
                  <w:vMerge w:val="restart"/>
                  <w:tcBorders>
                    <w:tl2br w:val="nil"/>
                    <w:tr2bl w:val="nil"/>
                  </w:tcBorders>
                  <w:vAlign w:val="center"/>
                </w:tcPr>
                <w:p w14:paraId="2B100C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default"/>
                      <w:sz w:val="21"/>
                      <w:szCs w:val="21"/>
                      <w:vertAlign w:val="baseline"/>
                      <w:lang w:val="en-US" w:eastAsia="zh-CN"/>
                    </w:rPr>
                    <w:t>①立即停止产生污水的诊疗项目，待相关设备设施修复后再行开展经营活动；</w:t>
                  </w:r>
                </w:p>
                <w:p w14:paraId="3B58AF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default"/>
                      <w:sz w:val="21"/>
                      <w:szCs w:val="21"/>
                      <w:vertAlign w:val="baseline"/>
                      <w:lang w:val="en-US" w:eastAsia="zh-CN"/>
                    </w:rPr>
                    <w:t>②定期检查保养相关设备及设施；</w:t>
                  </w:r>
                </w:p>
                <w:p w14:paraId="04CDDC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default"/>
                      <w:sz w:val="21"/>
                      <w:szCs w:val="21"/>
                      <w:vertAlign w:val="baseline"/>
                      <w:lang w:val="en-US" w:eastAsia="zh-CN"/>
                    </w:rPr>
                    <w:t>③院内可预备三氯异氰尿酸消毒片，设备故障或遇水量高负荷不能保证停留时间时，采取人工加药；</w:t>
                  </w:r>
                </w:p>
                <w:p w14:paraId="1E8CE0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default"/>
                      <w:sz w:val="21"/>
                      <w:szCs w:val="21"/>
                      <w:vertAlign w:val="baseline"/>
                      <w:lang w:val="en-US" w:eastAsia="zh-CN"/>
                    </w:rPr>
                    <w:t>④加强管理，检查设施运行情况。</w:t>
                  </w:r>
                </w:p>
              </w:tc>
            </w:tr>
            <w:tr w14:paraId="759D61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8" w:type="dxa"/>
                  <w:tcBorders>
                    <w:tl2br w:val="nil"/>
                    <w:tr2bl w:val="nil"/>
                  </w:tcBorders>
                  <w:shd w:val="clear" w:color="auto" w:fill="auto"/>
                  <w:vAlign w:val="center"/>
                </w:tcPr>
                <w:p w14:paraId="6964E0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cstheme="minorBidi"/>
                      <w:kern w:val="2"/>
                      <w:sz w:val="21"/>
                      <w:szCs w:val="21"/>
                      <w:vertAlign w:val="baseline"/>
                      <w:lang w:val="en-US" w:eastAsia="zh-CN" w:bidi="ar-SA"/>
                    </w:rPr>
                    <w:t>总余氯</w:t>
                  </w:r>
                </w:p>
              </w:tc>
              <w:tc>
                <w:tcPr>
                  <w:tcW w:w="1110" w:type="dxa"/>
                  <w:tcBorders>
                    <w:tl2br w:val="nil"/>
                    <w:tr2bl w:val="nil"/>
                  </w:tcBorders>
                  <w:vAlign w:val="center"/>
                </w:tcPr>
                <w:p w14:paraId="1C75B0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w:t>
                  </w:r>
                  <w:r>
                    <w:rPr>
                      <w:rFonts w:hint="eastAsia"/>
                      <w:sz w:val="21"/>
                      <w:szCs w:val="21"/>
                      <w:vertAlign w:val="baseline"/>
                      <w:lang w:val="en-US" w:eastAsia="zh-CN"/>
                    </w:rPr>
                    <w:t>8</w:t>
                  </w:r>
                  <w:r>
                    <w:rPr>
                      <w:rFonts w:hint="eastAsia"/>
                      <w:b w:val="0"/>
                      <w:bCs w:val="0"/>
                      <w:sz w:val="21"/>
                      <w:szCs w:val="21"/>
                      <w:vertAlign w:val="baseline"/>
                      <w:lang w:val="en-US" w:eastAsia="zh-CN"/>
                    </w:rPr>
                    <w:t>mg/m</w:t>
                  </w:r>
                  <w:r>
                    <w:rPr>
                      <w:rFonts w:hint="eastAsia"/>
                      <w:b w:val="0"/>
                      <w:bCs w:val="0"/>
                      <w:sz w:val="21"/>
                      <w:szCs w:val="21"/>
                      <w:vertAlign w:val="superscript"/>
                      <w:lang w:val="en-US" w:eastAsia="zh-CN"/>
                    </w:rPr>
                    <w:t>3</w:t>
                  </w:r>
                </w:p>
              </w:tc>
              <w:tc>
                <w:tcPr>
                  <w:tcW w:w="1215" w:type="dxa"/>
                  <w:vMerge w:val="continue"/>
                  <w:tcBorders>
                    <w:tl2br w:val="nil"/>
                    <w:tr2bl w:val="nil"/>
                  </w:tcBorders>
                  <w:vAlign w:val="center"/>
                </w:tcPr>
                <w:p w14:paraId="5032AA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080" w:type="dxa"/>
                  <w:vMerge w:val="continue"/>
                  <w:tcBorders>
                    <w:tl2br w:val="nil"/>
                    <w:tr2bl w:val="nil"/>
                  </w:tcBorders>
                  <w:vAlign w:val="center"/>
                </w:tcPr>
                <w:p w14:paraId="7DD401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125" w:type="dxa"/>
                  <w:vMerge w:val="continue"/>
                  <w:tcBorders>
                    <w:tl2br w:val="nil"/>
                    <w:tr2bl w:val="nil"/>
                  </w:tcBorders>
                  <w:vAlign w:val="center"/>
                </w:tcPr>
                <w:p w14:paraId="5A3C76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2177" w:type="dxa"/>
                  <w:vMerge w:val="continue"/>
                  <w:tcBorders>
                    <w:tl2br w:val="nil"/>
                    <w:tr2bl w:val="nil"/>
                  </w:tcBorders>
                  <w:vAlign w:val="center"/>
                </w:tcPr>
                <w:p w14:paraId="40393C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r>
          </w:tbl>
          <w:p w14:paraId="076EB787">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经分析，项目非正常工况存在时间较短，由于污水处理设备具有调节池，可以存纳废水，在非正常工况较短时间内不会发生废水外排情况。同时为避免废水的非正常排放，建设单位须加强污水处理设备的管理，定期检修及保养，确保环保设施正常运行。此外，建设单位应加强对员工的环保意识及相关知识的培训与管理，由专人每日检查环保治理设备或设施的运行状况。</w:t>
            </w:r>
          </w:p>
          <w:p w14:paraId="223D8594">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3）污水处理措施可行性分析</w:t>
            </w:r>
          </w:p>
          <w:p w14:paraId="408719EE">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项目动物诊疗废水产生于手术室、化验室等，美容洗浴废水产生于美容洗浴室，建设单位在化验室安装污水处理设备，保证废水全部收集并进行消毒处理。</w:t>
            </w:r>
          </w:p>
          <w:p w14:paraId="647B3B5D">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根据污水处理工程设计单位提供的项目污水处理方案，污水设备处理能力为1m</w:t>
            </w:r>
            <w:r>
              <w:rPr>
                <w:rFonts w:hint="eastAsia"/>
                <w:vertAlign w:val="superscript"/>
                <w:lang w:val="en-US" w:eastAsia="zh-CN"/>
              </w:rPr>
              <w:t>3</w:t>
            </w:r>
            <w:r>
              <w:rPr>
                <w:rFonts w:hint="eastAsia"/>
                <w:lang w:val="en-US" w:eastAsia="zh-CN"/>
              </w:rPr>
              <w:t>/d。本项目动物诊疗废水、美容洗··浴废水最大排放量为0.40m</w:t>
            </w:r>
            <w:r>
              <w:rPr>
                <w:rFonts w:hint="eastAsia"/>
                <w:vertAlign w:val="superscript"/>
                <w:lang w:val="en-US" w:eastAsia="zh-CN"/>
              </w:rPr>
              <w:t>3</w:t>
            </w:r>
            <w:r>
              <w:rPr>
                <w:rFonts w:hint="eastAsia"/>
                <w:lang w:val="en-US" w:eastAsia="zh-CN"/>
              </w:rPr>
              <w:t>/d，如遇设备故障不能正常运行时，医院立即联系厂家，第一时间进行故障排查或现场维修。如果未能完成维修的，项目方应根据自身经营情况，停止产生污水的诊疗项目，待设备维修完毕后再恢复开诊。</w:t>
            </w:r>
          </w:p>
          <w:p w14:paraId="2647CDCC">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项目采取上述措施后，项目不会出现未经处理的动物诊疗废水、美容洗浴废水直接排放的问题。综上，本项目污水治理措施可行。</w:t>
            </w:r>
          </w:p>
          <w:p w14:paraId="7C5214B0">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4）排入污水处理厂的可行性分析</w:t>
            </w:r>
          </w:p>
          <w:p w14:paraId="2F895309">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项目废水最终汇入北京中设水处理有限公司良乡污水处理厂，北京中设水处理有限公司良乡污水处理厂设在南四环路与公路环间的绿化带内，流域范围包括石景山区、海淀区、西城区的部分地区，以及西南郊和南郊大部分地区，规划流域面积223.5平方公里，设计处理规模为60万m</w:t>
            </w:r>
            <w:r>
              <w:rPr>
                <w:rFonts w:hint="eastAsia"/>
                <w:vertAlign w:val="superscript"/>
                <w:lang w:val="en-US" w:eastAsia="zh-CN"/>
              </w:rPr>
              <w:t>3</w:t>
            </w:r>
            <w:r>
              <w:rPr>
                <w:rFonts w:hint="eastAsia"/>
                <w:lang w:val="en-US" w:eastAsia="zh-CN"/>
              </w:rPr>
              <w:t>/d。北京中设水处理有限公司良乡污水处理厂设计进水水质为化学需氧量500mg/L、五日生化需氧量300mg/L、悬浮物400mg/L、氨氮45mg/L。设计出水水质达到北京市《城镇污水处理厂水污染物排放标准》（DB11/890-2012）中“表1 新（改、扩）建城镇污水处理厂基本控制项目排放限值B标准”相关要求，即化学需氧量30mg/L、五日生化需氧量6mg/L、悬浮物5mg/L、氨氮1.5（2.5）mg/L。</w:t>
            </w:r>
          </w:p>
          <w:p w14:paraId="3D066991">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根据北京北排水环境发展有限公司北京中设水处理有限公司良乡污水处理厂发布的2021年度《企业自行监测年度报告》，北京中设水处理有限公司良乡污水处理厂2021年运行365天，累计处理污水19085.1227万m</w:t>
            </w:r>
            <w:r>
              <w:rPr>
                <w:rFonts w:hint="eastAsia"/>
                <w:vertAlign w:val="superscript"/>
                <w:lang w:val="en-US" w:eastAsia="zh-CN"/>
              </w:rPr>
              <w:t>3</w:t>
            </w:r>
            <w:r>
              <w:rPr>
                <w:rFonts w:hint="eastAsia"/>
                <w:lang w:val="en-US" w:eastAsia="zh-CN"/>
              </w:rPr>
              <w:t>，平均每日处理污水52.29万m</w:t>
            </w:r>
            <w:r>
              <w:rPr>
                <w:rFonts w:hint="eastAsia"/>
                <w:vertAlign w:val="superscript"/>
                <w:lang w:val="en-US" w:eastAsia="zh-CN"/>
              </w:rPr>
              <w:t>3</w:t>
            </w:r>
            <w:r>
              <w:rPr>
                <w:rFonts w:hint="eastAsia"/>
                <w:lang w:val="en-US" w:eastAsia="zh-CN"/>
              </w:rPr>
              <w:t>，污染物检测全部达到排放标准。项目运营期废水最大排放量为0.78m</w:t>
            </w:r>
            <w:r>
              <w:rPr>
                <w:rFonts w:hint="eastAsia"/>
                <w:vertAlign w:val="superscript"/>
                <w:lang w:val="en-US" w:eastAsia="zh-CN"/>
              </w:rPr>
              <w:t>3</w:t>
            </w:r>
            <w:r>
              <w:rPr>
                <w:rFonts w:hint="eastAsia"/>
                <w:lang w:val="en-US" w:eastAsia="zh-CN"/>
              </w:rPr>
              <w:t>/d，占小红门污水处理厂可接纳污水处理能力的比例很小，且项目排水水质能够达到北京市《水污染物综合排放标准》（DB11/307-2013）中排入公共污水处理系统的水污染物排放限值。故北京中设水处理有限公司良乡污水处理厂接纳项目污水不会造成明显的负荷冲击。</w:t>
            </w:r>
          </w:p>
          <w:p w14:paraId="39BE5427">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因此，本项目废水最终排入北京中设水处理有限公司良乡污水处理厂是可行的。</w:t>
            </w:r>
          </w:p>
          <w:p w14:paraId="046C0E8D">
            <w:pPr>
              <w:pStyle w:val="11"/>
              <w:bidi w:val="0"/>
              <w:rPr>
                <w:rFonts w:hint="eastAsia"/>
                <w:lang w:val="en-US" w:eastAsia="zh-CN"/>
              </w:rPr>
            </w:pPr>
            <w:r>
              <w:rPr>
                <w:rFonts w:hint="eastAsia"/>
                <w:lang w:val="en-US" w:eastAsia="zh-CN"/>
              </w:rPr>
              <w:t>表4-14 项目废水治理措施及排放口说明汇总表</w:t>
            </w:r>
          </w:p>
          <w:tbl>
            <w:tblPr>
              <w:tblStyle w:val="9"/>
              <w:tblW w:w="802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1"/>
              <w:gridCol w:w="915"/>
              <w:gridCol w:w="675"/>
              <w:gridCol w:w="1485"/>
              <w:gridCol w:w="885"/>
              <w:gridCol w:w="1294"/>
              <w:gridCol w:w="1091"/>
              <w:gridCol w:w="915"/>
            </w:tblGrid>
            <w:tr w14:paraId="77939A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dxa"/>
                  <w:vMerge w:val="restart"/>
                  <w:tcBorders>
                    <w:tl2br w:val="nil"/>
                    <w:tr2bl w:val="nil"/>
                  </w:tcBorders>
                  <w:vAlign w:val="center"/>
                </w:tcPr>
                <w:p w14:paraId="44EC07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废水类别</w:t>
                  </w:r>
                </w:p>
              </w:tc>
              <w:tc>
                <w:tcPr>
                  <w:tcW w:w="915" w:type="dxa"/>
                  <w:vMerge w:val="restart"/>
                  <w:tcBorders>
                    <w:tl2br w:val="nil"/>
                    <w:tr2bl w:val="nil"/>
                  </w:tcBorders>
                  <w:vAlign w:val="center"/>
                </w:tcPr>
                <w:p w14:paraId="7012D1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污染物</w:t>
                  </w:r>
                </w:p>
              </w:tc>
              <w:tc>
                <w:tcPr>
                  <w:tcW w:w="3045" w:type="dxa"/>
                  <w:gridSpan w:val="3"/>
                  <w:tcBorders>
                    <w:tl2br w:val="nil"/>
                    <w:tr2bl w:val="nil"/>
                  </w:tcBorders>
                  <w:vAlign w:val="center"/>
                </w:tcPr>
                <w:p w14:paraId="1F5EC9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废水治理措施</w:t>
                  </w:r>
                </w:p>
              </w:tc>
              <w:tc>
                <w:tcPr>
                  <w:tcW w:w="1294" w:type="dxa"/>
                  <w:vMerge w:val="restart"/>
                  <w:tcBorders>
                    <w:tl2br w:val="nil"/>
                    <w:tr2bl w:val="nil"/>
                  </w:tcBorders>
                  <w:vAlign w:val="center"/>
                </w:tcPr>
                <w:p w14:paraId="47E055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highlight w:val="none"/>
                      <w:vertAlign w:val="baseline"/>
                      <w:lang w:val="en-US" w:eastAsia="zh-CN"/>
                    </w:rPr>
                    <w:t>废水排放口编号及位置</w:t>
                  </w:r>
                </w:p>
              </w:tc>
              <w:tc>
                <w:tcPr>
                  <w:tcW w:w="1091" w:type="dxa"/>
                  <w:vMerge w:val="restart"/>
                  <w:tcBorders>
                    <w:tl2br w:val="nil"/>
                    <w:tr2bl w:val="nil"/>
                  </w:tcBorders>
                  <w:vAlign w:val="center"/>
                </w:tcPr>
                <w:p w14:paraId="2D8F5D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排放去向</w:t>
                  </w:r>
                </w:p>
              </w:tc>
              <w:tc>
                <w:tcPr>
                  <w:tcW w:w="915" w:type="dxa"/>
                  <w:vMerge w:val="restart"/>
                  <w:tcBorders>
                    <w:tl2br w:val="nil"/>
                    <w:tr2bl w:val="nil"/>
                  </w:tcBorders>
                  <w:vAlign w:val="center"/>
                </w:tcPr>
                <w:p w14:paraId="689CF0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sz w:val="21"/>
                      <w:szCs w:val="21"/>
                      <w:vertAlign w:val="baseline"/>
                      <w:lang w:val="en-US" w:eastAsia="zh-CN"/>
                    </w:rPr>
                  </w:pPr>
                  <w:r>
                    <w:rPr>
                      <w:rFonts w:hint="eastAsia"/>
                      <w:b/>
                      <w:bCs/>
                      <w:sz w:val="21"/>
                      <w:szCs w:val="21"/>
                      <w:vertAlign w:val="baseline"/>
                      <w:lang w:val="en-US" w:eastAsia="zh-CN"/>
                    </w:rPr>
                    <w:t>排放</w:t>
                  </w:r>
                </w:p>
                <w:p w14:paraId="3ACC7F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规律</w:t>
                  </w:r>
                </w:p>
              </w:tc>
            </w:tr>
            <w:tr w14:paraId="1DDB82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dxa"/>
                  <w:vMerge w:val="continue"/>
                  <w:tcBorders>
                    <w:tl2br w:val="nil"/>
                    <w:tr2bl w:val="nil"/>
                  </w:tcBorders>
                  <w:vAlign w:val="center"/>
                </w:tcPr>
                <w:p w14:paraId="4712A7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915" w:type="dxa"/>
                  <w:vMerge w:val="continue"/>
                  <w:tcBorders>
                    <w:tl2br w:val="nil"/>
                    <w:tr2bl w:val="nil"/>
                  </w:tcBorders>
                  <w:vAlign w:val="center"/>
                </w:tcPr>
                <w:p w14:paraId="6EBEE3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675" w:type="dxa"/>
                  <w:tcBorders>
                    <w:tl2br w:val="nil"/>
                    <w:tr2bl w:val="nil"/>
                  </w:tcBorders>
                  <w:vAlign w:val="center"/>
                </w:tcPr>
                <w:p w14:paraId="7488B8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编号名称</w:t>
                  </w:r>
                </w:p>
              </w:tc>
              <w:tc>
                <w:tcPr>
                  <w:tcW w:w="1485" w:type="dxa"/>
                  <w:tcBorders>
                    <w:tl2br w:val="nil"/>
                    <w:tr2bl w:val="nil"/>
                  </w:tcBorders>
                  <w:vAlign w:val="center"/>
                </w:tcPr>
                <w:p w14:paraId="098ED3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工艺</w:t>
                  </w:r>
                </w:p>
              </w:tc>
              <w:tc>
                <w:tcPr>
                  <w:tcW w:w="885" w:type="dxa"/>
                  <w:tcBorders>
                    <w:tl2br w:val="nil"/>
                    <w:tr2bl w:val="nil"/>
                  </w:tcBorders>
                  <w:vAlign w:val="center"/>
                </w:tcPr>
                <w:p w14:paraId="31A19C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处理量</w:t>
                  </w:r>
                </w:p>
              </w:tc>
              <w:tc>
                <w:tcPr>
                  <w:tcW w:w="1294" w:type="dxa"/>
                  <w:vMerge w:val="continue"/>
                  <w:tcBorders>
                    <w:tl2br w:val="nil"/>
                    <w:tr2bl w:val="nil"/>
                  </w:tcBorders>
                  <w:vAlign w:val="center"/>
                </w:tcPr>
                <w:p w14:paraId="7A2DB5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091" w:type="dxa"/>
                  <w:vMerge w:val="continue"/>
                  <w:tcBorders>
                    <w:tl2br w:val="nil"/>
                    <w:tr2bl w:val="nil"/>
                  </w:tcBorders>
                  <w:vAlign w:val="center"/>
                </w:tcPr>
                <w:p w14:paraId="6D9F4F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915" w:type="dxa"/>
                  <w:vMerge w:val="continue"/>
                  <w:tcBorders>
                    <w:tl2br w:val="nil"/>
                    <w:tr2bl w:val="nil"/>
                  </w:tcBorders>
                  <w:vAlign w:val="center"/>
                </w:tcPr>
                <w:p w14:paraId="47C08C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r>
            <w:tr w14:paraId="1FD76D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dxa"/>
                  <w:vMerge w:val="restart"/>
                  <w:tcBorders>
                    <w:tl2br w:val="nil"/>
                    <w:tr2bl w:val="nil"/>
                  </w:tcBorders>
                  <w:vAlign w:val="center"/>
                </w:tcPr>
                <w:p w14:paraId="092C99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诊疗废水、美容洗浴废水、生活废水</w:t>
                  </w:r>
                </w:p>
              </w:tc>
              <w:tc>
                <w:tcPr>
                  <w:tcW w:w="915" w:type="dxa"/>
                  <w:vMerge w:val="restart"/>
                  <w:tcBorders>
                    <w:tl2br w:val="nil"/>
                    <w:tr2bl w:val="nil"/>
                  </w:tcBorders>
                  <w:vAlign w:val="center"/>
                </w:tcPr>
                <w:p w14:paraId="141397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pH</w:t>
                  </w:r>
                </w:p>
                <w:p w14:paraId="315156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CODcr</w:t>
                  </w:r>
                </w:p>
                <w:p w14:paraId="663F8A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BOD</w:t>
                  </w:r>
                  <w:r>
                    <w:rPr>
                      <w:rFonts w:hint="eastAsia"/>
                      <w:sz w:val="21"/>
                      <w:szCs w:val="21"/>
                      <w:vertAlign w:val="subscript"/>
                      <w:lang w:val="en-US" w:eastAsia="zh-CN"/>
                    </w:rPr>
                    <w:t>5</w:t>
                  </w:r>
                </w:p>
                <w:p w14:paraId="3EE4E2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SS</w:t>
                  </w:r>
                </w:p>
                <w:p w14:paraId="5ADC42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NH</w:t>
                  </w:r>
                  <w:r>
                    <w:rPr>
                      <w:rFonts w:hint="eastAsia"/>
                      <w:sz w:val="21"/>
                      <w:szCs w:val="21"/>
                      <w:vertAlign w:val="subscript"/>
                      <w:lang w:val="en-US" w:eastAsia="zh-CN"/>
                    </w:rPr>
                    <w:t>3</w:t>
                  </w:r>
                  <w:r>
                    <w:rPr>
                      <w:rFonts w:hint="eastAsia"/>
                      <w:sz w:val="21"/>
                      <w:szCs w:val="21"/>
                      <w:vertAlign w:val="baseline"/>
                      <w:lang w:val="en-US" w:eastAsia="zh-CN"/>
                    </w:rPr>
                    <w:t>-N</w:t>
                  </w:r>
                </w:p>
                <w:p w14:paraId="682FD1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总余氯</w:t>
                  </w:r>
                </w:p>
                <w:p w14:paraId="58FB81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粪大肠菌群</w:t>
                  </w:r>
                </w:p>
              </w:tc>
              <w:tc>
                <w:tcPr>
                  <w:tcW w:w="675" w:type="dxa"/>
                  <w:tcBorders>
                    <w:tl2br w:val="nil"/>
                    <w:tr2bl w:val="nil"/>
                  </w:tcBorders>
                  <w:vAlign w:val="center"/>
                </w:tcPr>
                <w:p w14:paraId="457415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污水处理设备</w:t>
                  </w:r>
                </w:p>
              </w:tc>
              <w:tc>
                <w:tcPr>
                  <w:tcW w:w="1485" w:type="dxa"/>
                  <w:tcBorders>
                    <w:tl2br w:val="nil"/>
                    <w:tr2bl w:val="nil"/>
                  </w:tcBorders>
                  <w:vAlign w:val="center"/>
                </w:tcPr>
                <w:p w14:paraId="2423FB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采用次氯酸钠消毒，对粪大肠菌群去除率99.999%</w:t>
                  </w:r>
                </w:p>
              </w:tc>
              <w:tc>
                <w:tcPr>
                  <w:tcW w:w="885" w:type="dxa"/>
                  <w:tcBorders>
                    <w:tl2br w:val="nil"/>
                    <w:tr2bl w:val="nil"/>
                  </w:tcBorders>
                  <w:vAlign w:val="center"/>
                </w:tcPr>
                <w:p w14:paraId="3844CD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1.0m</w:t>
                  </w:r>
                  <w:r>
                    <w:rPr>
                      <w:rFonts w:hint="eastAsia"/>
                      <w:sz w:val="21"/>
                      <w:szCs w:val="21"/>
                      <w:vertAlign w:val="superscript"/>
                      <w:lang w:val="en-US" w:eastAsia="zh-CN"/>
                    </w:rPr>
                    <w:t>3</w:t>
                  </w:r>
                  <w:r>
                    <w:rPr>
                      <w:rFonts w:hint="eastAsia"/>
                      <w:sz w:val="21"/>
                      <w:szCs w:val="21"/>
                      <w:vertAlign w:val="baseline"/>
                      <w:lang w:val="en-US" w:eastAsia="zh-CN"/>
                    </w:rPr>
                    <w:t>/d</w:t>
                  </w:r>
                </w:p>
              </w:tc>
              <w:tc>
                <w:tcPr>
                  <w:tcW w:w="1294" w:type="dxa"/>
                  <w:vMerge w:val="restart"/>
                  <w:tcBorders>
                    <w:tl2br w:val="nil"/>
                    <w:tr2bl w:val="nil"/>
                  </w:tcBorders>
                  <w:vAlign w:val="center"/>
                </w:tcPr>
                <w:p w14:paraId="512940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DW001</w:t>
                  </w:r>
                </w:p>
                <w:p w14:paraId="4BF418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东经：116.</w:t>
                  </w:r>
                  <w:r>
                    <w:rPr>
                      <w:rFonts w:hint="eastAsia"/>
                      <w:sz w:val="21"/>
                      <w:szCs w:val="21"/>
                      <w:vertAlign w:val="baseline"/>
                      <w:lang w:val="en-US" w:eastAsia="zh-CN"/>
                    </w:rPr>
                    <w:t>132394</w:t>
                  </w:r>
                  <w:r>
                    <w:rPr>
                      <w:rFonts w:hint="default"/>
                      <w:sz w:val="21"/>
                      <w:szCs w:val="21"/>
                      <w:vertAlign w:val="baseline"/>
                      <w:lang w:val="en-US" w:eastAsia="zh-CN"/>
                    </w:rPr>
                    <w:t>°</w:t>
                  </w:r>
                </w:p>
                <w:p w14:paraId="3F325C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北纬39.</w:t>
                  </w:r>
                  <w:r>
                    <w:rPr>
                      <w:rFonts w:hint="eastAsia"/>
                      <w:sz w:val="21"/>
                      <w:szCs w:val="21"/>
                      <w:vertAlign w:val="baseline"/>
                      <w:lang w:val="en-US" w:eastAsia="zh-CN"/>
                    </w:rPr>
                    <w:t>732442</w:t>
                  </w:r>
                  <w:r>
                    <w:rPr>
                      <w:rFonts w:hint="default"/>
                      <w:sz w:val="21"/>
                      <w:szCs w:val="21"/>
                      <w:vertAlign w:val="baseline"/>
                      <w:lang w:val="en-US" w:eastAsia="zh-CN"/>
                    </w:rPr>
                    <w:t>°</w:t>
                  </w:r>
                </w:p>
              </w:tc>
              <w:tc>
                <w:tcPr>
                  <w:tcW w:w="1091" w:type="dxa"/>
                  <w:vMerge w:val="restart"/>
                  <w:tcBorders>
                    <w:tl2br w:val="nil"/>
                    <w:tr2bl w:val="nil"/>
                  </w:tcBorders>
                  <w:vAlign w:val="center"/>
                </w:tcPr>
                <w:p w14:paraId="0B113B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诊疗废水经消毒后与生活污水排入所在建筑防渗化粪池，最终经市政污水管网排入</w:t>
                  </w:r>
                  <w:r>
                    <w:rPr>
                      <w:rFonts w:hint="eastAsia"/>
                      <w:sz w:val="21"/>
                      <w:szCs w:val="21"/>
                      <w:vertAlign w:val="baseline"/>
                      <w:lang w:val="en-US" w:eastAsia="zh-CN"/>
                    </w:rPr>
                    <w:t>北京中设水处理有限公司良乡污水处理厂</w:t>
                  </w:r>
                </w:p>
              </w:tc>
              <w:tc>
                <w:tcPr>
                  <w:tcW w:w="915" w:type="dxa"/>
                  <w:vMerge w:val="restart"/>
                  <w:tcBorders>
                    <w:tl2br w:val="nil"/>
                    <w:tr2bl w:val="nil"/>
                  </w:tcBorders>
                  <w:vAlign w:val="center"/>
                </w:tcPr>
                <w:p w14:paraId="0930CE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间断排放排放期间流量不稳定且无规律，但不属于冲击性排放</w:t>
                  </w:r>
                </w:p>
              </w:tc>
            </w:tr>
            <w:tr w14:paraId="685C9F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dxa"/>
                  <w:vMerge w:val="continue"/>
                  <w:tcBorders>
                    <w:tl2br w:val="nil"/>
                    <w:tr2bl w:val="nil"/>
                  </w:tcBorders>
                  <w:vAlign w:val="center"/>
                </w:tcPr>
                <w:p w14:paraId="5D34A8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915" w:type="dxa"/>
                  <w:vMerge w:val="continue"/>
                  <w:tcBorders>
                    <w:tl2br w:val="nil"/>
                    <w:tr2bl w:val="nil"/>
                  </w:tcBorders>
                  <w:vAlign w:val="center"/>
                </w:tcPr>
                <w:p w14:paraId="52945D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675" w:type="dxa"/>
                  <w:tcBorders>
                    <w:tl2br w:val="nil"/>
                    <w:tr2bl w:val="nil"/>
                  </w:tcBorders>
                  <w:vAlign w:val="center"/>
                </w:tcPr>
                <w:p w14:paraId="7E7025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化粪池</w:t>
                  </w:r>
                </w:p>
              </w:tc>
              <w:tc>
                <w:tcPr>
                  <w:tcW w:w="1485" w:type="dxa"/>
                  <w:tcBorders>
                    <w:tl2br w:val="nil"/>
                    <w:tr2bl w:val="nil"/>
                  </w:tcBorders>
                  <w:vAlign w:val="center"/>
                </w:tcPr>
                <w:p w14:paraId="756528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厌氧</w:t>
                  </w:r>
                </w:p>
                <w:p w14:paraId="1F4984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发酵</w:t>
                  </w:r>
                </w:p>
              </w:tc>
              <w:tc>
                <w:tcPr>
                  <w:tcW w:w="885" w:type="dxa"/>
                  <w:tcBorders>
                    <w:tl2br w:val="nil"/>
                    <w:tr2bl w:val="nil"/>
                  </w:tcBorders>
                  <w:vAlign w:val="center"/>
                </w:tcPr>
                <w:p w14:paraId="7D7A5F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1294" w:type="dxa"/>
                  <w:vMerge w:val="continue"/>
                  <w:tcBorders>
                    <w:tl2br w:val="nil"/>
                    <w:tr2bl w:val="nil"/>
                  </w:tcBorders>
                  <w:vAlign w:val="center"/>
                </w:tcPr>
                <w:p w14:paraId="15A8D3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091" w:type="dxa"/>
                  <w:vMerge w:val="continue"/>
                  <w:tcBorders>
                    <w:tl2br w:val="nil"/>
                    <w:tr2bl w:val="nil"/>
                  </w:tcBorders>
                  <w:vAlign w:val="center"/>
                </w:tcPr>
                <w:p w14:paraId="3735CA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915" w:type="dxa"/>
                  <w:vMerge w:val="continue"/>
                  <w:tcBorders>
                    <w:tl2br w:val="nil"/>
                    <w:tr2bl w:val="nil"/>
                  </w:tcBorders>
                  <w:vAlign w:val="center"/>
                </w:tcPr>
                <w:p w14:paraId="1ACE0A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r>
          </w:tbl>
          <w:p w14:paraId="74240B52">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（4）水环境影响结论</w:t>
            </w:r>
          </w:p>
          <w:p w14:paraId="59EB00B6">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项目排放的废水为动物诊疗废水、美容洗浴废水和生活污水。其中诊疗废水经污水处理设备处理达标后与生活污水一同排入所在建筑防渗化粪池，最终经市政污水管网汇入北京中设水处理有限公司良乡污水处理厂集中处理。项目购置安装1台污水处理设备，采用次氯酸钠消毒工艺对诊疗废水消毒处理。经预测计算，项目废水排放浓度能够符合北京市《水污染物合排放标准》（DB11/307-2013）中排入公共污水处理系统的水污染物限值，可达标排放。废水不直接排入地表水体，对当地水环境影响很小。本项目污水处理设备安装区采取防渗处理。在日常运行时，将加强对污水处理设施的管理，确保污水稳定达标排放。</w:t>
            </w:r>
          </w:p>
          <w:p w14:paraId="5208DC09">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根据《排污单位自行监测技术指南 总则》（HJ 819-2017），项目废水监测计划见下表。</w:t>
            </w:r>
          </w:p>
          <w:p w14:paraId="058419A8">
            <w:pPr>
              <w:pStyle w:val="11"/>
              <w:bidi w:val="0"/>
              <w:rPr>
                <w:rFonts w:hint="default"/>
                <w:lang w:val="en-US" w:eastAsia="zh-CN"/>
              </w:rPr>
            </w:pPr>
            <w:r>
              <w:rPr>
                <w:rFonts w:hint="eastAsia"/>
                <w:lang w:val="en-US" w:eastAsia="zh-CN"/>
              </w:rPr>
              <w:t>表4-15 项目废水监测计划</w:t>
            </w:r>
          </w:p>
          <w:tbl>
            <w:tblPr>
              <w:tblStyle w:val="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1140"/>
              <w:gridCol w:w="1395"/>
              <w:gridCol w:w="1485"/>
              <w:gridCol w:w="690"/>
              <w:gridCol w:w="1080"/>
              <w:gridCol w:w="809"/>
            </w:tblGrid>
            <w:tr w14:paraId="419C50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1" w:type="dxa"/>
                  <w:vMerge w:val="restart"/>
                  <w:tcBorders>
                    <w:tl2br w:val="nil"/>
                    <w:tr2bl w:val="nil"/>
                  </w:tcBorders>
                  <w:vAlign w:val="center"/>
                </w:tcPr>
                <w:p w14:paraId="6EA764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监测内容</w:t>
                  </w:r>
                </w:p>
              </w:tc>
              <w:tc>
                <w:tcPr>
                  <w:tcW w:w="1140" w:type="dxa"/>
                  <w:vMerge w:val="restart"/>
                  <w:tcBorders>
                    <w:tl2br w:val="nil"/>
                    <w:tr2bl w:val="nil"/>
                  </w:tcBorders>
                  <w:vAlign w:val="center"/>
                </w:tcPr>
                <w:p w14:paraId="0FEE66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排污口数量及位置</w:t>
                  </w:r>
                </w:p>
              </w:tc>
              <w:tc>
                <w:tcPr>
                  <w:tcW w:w="1395" w:type="dxa"/>
                  <w:vMerge w:val="restart"/>
                  <w:tcBorders>
                    <w:tl2br w:val="nil"/>
                    <w:tr2bl w:val="nil"/>
                  </w:tcBorders>
                  <w:vAlign w:val="center"/>
                </w:tcPr>
                <w:p w14:paraId="156EED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监测项目</w:t>
                  </w:r>
                </w:p>
              </w:tc>
              <w:tc>
                <w:tcPr>
                  <w:tcW w:w="1485" w:type="dxa"/>
                  <w:vMerge w:val="restart"/>
                  <w:tcBorders>
                    <w:tl2br w:val="nil"/>
                    <w:tr2bl w:val="nil"/>
                  </w:tcBorders>
                  <w:vAlign w:val="center"/>
                </w:tcPr>
                <w:p w14:paraId="3AEE81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排放限值</w:t>
                  </w:r>
                </w:p>
              </w:tc>
              <w:tc>
                <w:tcPr>
                  <w:tcW w:w="690" w:type="dxa"/>
                  <w:vMerge w:val="restart"/>
                  <w:tcBorders>
                    <w:tl2br w:val="nil"/>
                    <w:tr2bl w:val="nil"/>
                  </w:tcBorders>
                  <w:vAlign w:val="center"/>
                </w:tcPr>
                <w:p w14:paraId="641F9E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排放方式</w:t>
                  </w:r>
                </w:p>
              </w:tc>
              <w:tc>
                <w:tcPr>
                  <w:tcW w:w="1889" w:type="dxa"/>
                  <w:gridSpan w:val="2"/>
                  <w:tcBorders>
                    <w:tl2br w:val="nil"/>
                    <w:tr2bl w:val="nil"/>
                  </w:tcBorders>
                  <w:vAlign w:val="center"/>
                </w:tcPr>
                <w:p w14:paraId="7E41C3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环境监测</w:t>
                  </w:r>
                </w:p>
              </w:tc>
            </w:tr>
            <w:tr w14:paraId="3364D4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1" w:type="dxa"/>
                  <w:vMerge w:val="continue"/>
                  <w:tcBorders>
                    <w:tl2br w:val="nil"/>
                    <w:tr2bl w:val="nil"/>
                  </w:tcBorders>
                  <w:vAlign w:val="center"/>
                </w:tcPr>
                <w:p w14:paraId="411E07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140" w:type="dxa"/>
                  <w:vMerge w:val="continue"/>
                  <w:tcBorders>
                    <w:tl2br w:val="nil"/>
                    <w:tr2bl w:val="nil"/>
                  </w:tcBorders>
                  <w:vAlign w:val="center"/>
                </w:tcPr>
                <w:p w14:paraId="7EC94F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395" w:type="dxa"/>
                  <w:vMerge w:val="continue"/>
                  <w:tcBorders>
                    <w:tl2br w:val="nil"/>
                    <w:tr2bl w:val="nil"/>
                  </w:tcBorders>
                  <w:vAlign w:val="center"/>
                </w:tcPr>
                <w:p w14:paraId="70E208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485" w:type="dxa"/>
                  <w:vMerge w:val="continue"/>
                  <w:tcBorders>
                    <w:tl2br w:val="nil"/>
                    <w:tr2bl w:val="nil"/>
                  </w:tcBorders>
                  <w:vAlign w:val="center"/>
                </w:tcPr>
                <w:p w14:paraId="6FB850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690" w:type="dxa"/>
                  <w:vMerge w:val="continue"/>
                  <w:tcBorders>
                    <w:tl2br w:val="nil"/>
                    <w:tr2bl w:val="nil"/>
                  </w:tcBorders>
                  <w:vAlign w:val="center"/>
                </w:tcPr>
                <w:p w14:paraId="5EDCD7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080" w:type="dxa"/>
                  <w:tcBorders>
                    <w:tl2br w:val="nil"/>
                    <w:tr2bl w:val="nil"/>
                  </w:tcBorders>
                  <w:vAlign w:val="center"/>
                </w:tcPr>
                <w:p w14:paraId="520947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频次</w:t>
                  </w:r>
                </w:p>
              </w:tc>
              <w:tc>
                <w:tcPr>
                  <w:tcW w:w="809" w:type="dxa"/>
                  <w:tcBorders>
                    <w:tl2br w:val="nil"/>
                    <w:tr2bl w:val="nil"/>
                  </w:tcBorders>
                  <w:vAlign w:val="center"/>
                </w:tcPr>
                <w:p w14:paraId="1EFA4C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计划</w:t>
                  </w:r>
                </w:p>
              </w:tc>
            </w:tr>
            <w:tr w14:paraId="03AE19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1" w:type="dxa"/>
                  <w:vMerge w:val="restart"/>
                  <w:tcBorders>
                    <w:tl2br w:val="nil"/>
                    <w:tr2bl w:val="nil"/>
                  </w:tcBorders>
                  <w:vAlign w:val="center"/>
                </w:tcPr>
                <w:p w14:paraId="7A4295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诊疗废水、美容洗浴废水、生活废水</w:t>
                  </w:r>
                </w:p>
              </w:tc>
              <w:tc>
                <w:tcPr>
                  <w:tcW w:w="1140" w:type="dxa"/>
                  <w:vMerge w:val="restart"/>
                  <w:tcBorders>
                    <w:tl2br w:val="nil"/>
                    <w:tr2bl w:val="nil"/>
                  </w:tcBorders>
                  <w:vAlign w:val="center"/>
                </w:tcPr>
                <w:p w14:paraId="208B26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废水总排口DW001</w:t>
                  </w:r>
                </w:p>
              </w:tc>
              <w:tc>
                <w:tcPr>
                  <w:tcW w:w="1395" w:type="dxa"/>
                  <w:tcBorders>
                    <w:tl2br w:val="nil"/>
                    <w:tr2bl w:val="nil"/>
                  </w:tcBorders>
                  <w:vAlign w:val="center"/>
                </w:tcPr>
                <w:p w14:paraId="02497E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pH</w:t>
                  </w:r>
                </w:p>
              </w:tc>
              <w:tc>
                <w:tcPr>
                  <w:tcW w:w="1485" w:type="dxa"/>
                  <w:tcBorders>
                    <w:tl2br w:val="nil"/>
                    <w:tr2bl w:val="nil"/>
                  </w:tcBorders>
                  <w:vAlign w:val="center"/>
                </w:tcPr>
                <w:p w14:paraId="22B79A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6.5~9</w:t>
                  </w:r>
                </w:p>
              </w:tc>
              <w:tc>
                <w:tcPr>
                  <w:tcW w:w="690" w:type="dxa"/>
                  <w:vMerge w:val="restart"/>
                  <w:tcBorders>
                    <w:tl2br w:val="nil"/>
                    <w:tr2bl w:val="nil"/>
                  </w:tcBorders>
                  <w:vAlign w:val="center"/>
                </w:tcPr>
                <w:p w14:paraId="595F74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间接排放</w:t>
                  </w:r>
                </w:p>
              </w:tc>
              <w:tc>
                <w:tcPr>
                  <w:tcW w:w="1080" w:type="dxa"/>
                  <w:tcBorders>
                    <w:tl2br w:val="nil"/>
                    <w:tr2bl w:val="nil"/>
                  </w:tcBorders>
                  <w:vAlign w:val="center"/>
                </w:tcPr>
                <w:p w14:paraId="36FE3D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1次/年</w:t>
                  </w:r>
                </w:p>
              </w:tc>
              <w:tc>
                <w:tcPr>
                  <w:tcW w:w="809" w:type="dxa"/>
                  <w:vMerge w:val="restart"/>
                  <w:tcBorders>
                    <w:tl2br w:val="nil"/>
                    <w:tr2bl w:val="nil"/>
                  </w:tcBorders>
                  <w:vAlign w:val="center"/>
                </w:tcPr>
                <w:p w14:paraId="7DE9B9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委托具有CMA相关资质的第三方机构进行监测</w:t>
                  </w:r>
                </w:p>
              </w:tc>
            </w:tr>
            <w:tr w14:paraId="23BF13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1" w:type="dxa"/>
                  <w:vMerge w:val="continue"/>
                  <w:tcBorders>
                    <w:tl2br w:val="nil"/>
                    <w:tr2bl w:val="nil"/>
                  </w:tcBorders>
                  <w:vAlign w:val="center"/>
                </w:tcPr>
                <w:p w14:paraId="5C358E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140" w:type="dxa"/>
                  <w:vMerge w:val="continue"/>
                  <w:tcBorders>
                    <w:tl2br w:val="nil"/>
                    <w:tr2bl w:val="nil"/>
                  </w:tcBorders>
                  <w:vAlign w:val="center"/>
                </w:tcPr>
                <w:p w14:paraId="3C44C4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395" w:type="dxa"/>
                  <w:tcBorders>
                    <w:tl2br w:val="nil"/>
                    <w:tr2bl w:val="nil"/>
                  </w:tcBorders>
                  <w:vAlign w:val="center"/>
                </w:tcPr>
                <w:p w14:paraId="3608C5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CODcr</w:t>
                  </w:r>
                </w:p>
              </w:tc>
              <w:tc>
                <w:tcPr>
                  <w:tcW w:w="1485" w:type="dxa"/>
                  <w:tcBorders>
                    <w:tl2br w:val="nil"/>
                    <w:tr2bl w:val="nil"/>
                  </w:tcBorders>
                  <w:vAlign w:val="center"/>
                </w:tcPr>
                <w:p w14:paraId="701AC8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500mg/L</w:t>
                  </w:r>
                </w:p>
              </w:tc>
              <w:tc>
                <w:tcPr>
                  <w:tcW w:w="690" w:type="dxa"/>
                  <w:vMerge w:val="continue"/>
                  <w:tcBorders>
                    <w:tl2br w:val="nil"/>
                    <w:tr2bl w:val="nil"/>
                  </w:tcBorders>
                  <w:vAlign w:val="center"/>
                </w:tcPr>
                <w:p w14:paraId="13EBB2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080" w:type="dxa"/>
                  <w:vMerge w:val="restart"/>
                  <w:tcBorders>
                    <w:tl2br w:val="nil"/>
                    <w:tr2bl w:val="nil"/>
                  </w:tcBorders>
                  <w:vAlign w:val="center"/>
                </w:tcPr>
                <w:p w14:paraId="531DBC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1次/季度</w:t>
                  </w:r>
                </w:p>
              </w:tc>
              <w:tc>
                <w:tcPr>
                  <w:tcW w:w="809" w:type="dxa"/>
                  <w:vMerge w:val="continue"/>
                  <w:tcBorders>
                    <w:tl2br w:val="nil"/>
                    <w:tr2bl w:val="nil"/>
                  </w:tcBorders>
                  <w:vAlign w:val="center"/>
                </w:tcPr>
                <w:p w14:paraId="410988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r>
            <w:tr w14:paraId="5E37FB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1" w:type="dxa"/>
                  <w:vMerge w:val="continue"/>
                  <w:tcBorders>
                    <w:tl2br w:val="nil"/>
                    <w:tr2bl w:val="nil"/>
                  </w:tcBorders>
                  <w:vAlign w:val="center"/>
                </w:tcPr>
                <w:p w14:paraId="738763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140" w:type="dxa"/>
                  <w:vMerge w:val="continue"/>
                  <w:tcBorders>
                    <w:tl2br w:val="nil"/>
                    <w:tr2bl w:val="nil"/>
                  </w:tcBorders>
                  <w:vAlign w:val="center"/>
                </w:tcPr>
                <w:p w14:paraId="51FD1E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395" w:type="dxa"/>
                  <w:tcBorders>
                    <w:tl2br w:val="nil"/>
                    <w:tr2bl w:val="nil"/>
                  </w:tcBorders>
                  <w:vAlign w:val="center"/>
                </w:tcPr>
                <w:p w14:paraId="58EA05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BOD</w:t>
                  </w:r>
                  <w:r>
                    <w:rPr>
                      <w:rFonts w:hint="eastAsia"/>
                      <w:sz w:val="21"/>
                      <w:szCs w:val="21"/>
                      <w:vertAlign w:val="subscript"/>
                      <w:lang w:val="en-US" w:eastAsia="zh-CN"/>
                    </w:rPr>
                    <w:t>5</w:t>
                  </w:r>
                </w:p>
              </w:tc>
              <w:tc>
                <w:tcPr>
                  <w:tcW w:w="1485" w:type="dxa"/>
                  <w:tcBorders>
                    <w:tl2br w:val="nil"/>
                    <w:tr2bl w:val="nil"/>
                  </w:tcBorders>
                  <w:vAlign w:val="center"/>
                </w:tcPr>
                <w:p w14:paraId="03EEAB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300mg/L</w:t>
                  </w:r>
                </w:p>
              </w:tc>
              <w:tc>
                <w:tcPr>
                  <w:tcW w:w="690" w:type="dxa"/>
                  <w:vMerge w:val="continue"/>
                  <w:tcBorders>
                    <w:tl2br w:val="nil"/>
                    <w:tr2bl w:val="nil"/>
                  </w:tcBorders>
                  <w:vAlign w:val="center"/>
                </w:tcPr>
                <w:p w14:paraId="2869AA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080" w:type="dxa"/>
                  <w:vMerge w:val="continue"/>
                  <w:tcBorders>
                    <w:tl2br w:val="nil"/>
                    <w:tr2bl w:val="nil"/>
                  </w:tcBorders>
                  <w:vAlign w:val="center"/>
                </w:tcPr>
                <w:p w14:paraId="6E8BED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809" w:type="dxa"/>
                  <w:vMerge w:val="continue"/>
                  <w:tcBorders>
                    <w:tl2br w:val="nil"/>
                    <w:tr2bl w:val="nil"/>
                  </w:tcBorders>
                  <w:vAlign w:val="center"/>
                </w:tcPr>
                <w:p w14:paraId="2205ED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r>
            <w:tr w14:paraId="32867B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1" w:type="dxa"/>
                  <w:vMerge w:val="continue"/>
                  <w:tcBorders>
                    <w:tl2br w:val="nil"/>
                    <w:tr2bl w:val="nil"/>
                  </w:tcBorders>
                  <w:vAlign w:val="center"/>
                </w:tcPr>
                <w:p w14:paraId="3C47D6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140" w:type="dxa"/>
                  <w:vMerge w:val="continue"/>
                  <w:tcBorders>
                    <w:tl2br w:val="nil"/>
                    <w:tr2bl w:val="nil"/>
                  </w:tcBorders>
                  <w:vAlign w:val="center"/>
                </w:tcPr>
                <w:p w14:paraId="7CE126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395" w:type="dxa"/>
                  <w:tcBorders>
                    <w:tl2br w:val="nil"/>
                    <w:tr2bl w:val="nil"/>
                  </w:tcBorders>
                  <w:vAlign w:val="center"/>
                </w:tcPr>
                <w:p w14:paraId="4F6051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SS</w:t>
                  </w:r>
                </w:p>
              </w:tc>
              <w:tc>
                <w:tcPr>
                  <w:tcW w:w="1485" w:type="dxa"/>
                  <w:tcBorders>
                    <w:tl2br w:val="nil"/>
                    <w:tr2bl w:val="nil"/>
                  </w:tcBorders>
                  <w:vAlign w:val="center"/>
                </w:tcPr>
                <w:p w14:paraId="563753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400mg/L</w:t>
                  </w:r>
                </w:p>
              </w:tc>
              <w:tc>
                <w:tcPr>
                  <w:tcW w:w="690" w:type="dxa"/>
                  <w:vMerge w:val="continue"/>
                  <w:tcBorders>
                    <w:tl2br w:val="nil"/>
                    <w:tr2bl w:val="nil"/>
                  </w:tcBorders>
                  <w:vAlign w:val="center"/>
                </w:tcPr>
                <w:p w14:paraId="54A854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080" w:type="dxa"/>
                  <w:vMerge w:val="continue"/>
                  <w:tcBorders>
                    <w:tl2br w:val="nil"/>
                    <w:tr2bl w:val="nil"/>
                  </w:tcBorders>
                  <w:vAlign w:val="center"/>
                </w:tcPr>
                <w:p w14:paraId="0FF97D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809" w:type="dxa"/>
                  <w:vMerge w:val="continue"/>
                  <w:tcBorders>
                    <w:tl2br w:val="nil"/>
                    <w:tr2bl w:val="nil"/>
                  </w:tcBorders>
                  <w:vAlign w:val="center"/>
                </w:tcPr>
                <w:p w14:paraId="1DDA10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r>
            <w:tr w14:paraId="1EDF01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1" w:type="dxa"/>
                  <w:vMerge w:val="continue"/>
                  <w:tcBorders>
                    <w:tl2br w:val="nil"/>
                    <w:tr2bl w:val="nil"/>
                  </w:tcBorders>
                  <w:vAlign w:val="center"/>
                </w:tcPr>
                <w:p w14:paraId="3DE4DC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140" w:type="dxa"/>
                  <w:vMerge w:val="continue"/>
                  <w:tcBorders>
                    <w:tl2br w:val="nil"/>
                    <w:tr2bl w:val="nil"/>
                  </w:tcBorders>
                  <w:vAlign w:val="center"/>
                </w:tcPr>
                <w:p w14:paraId="5C1C7A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395" w:type="dxa"/>
                  <w:tcBorders>
                    <w:tl2br w:val="nil"/>
                    <w:tr2bl w:val="nil"/>
                  </w:tcBorders>
                  <w:vAlign w:val="center"/>
                </w:tcPr>
                <w:p w14:paraId="0E0F1F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NH</w:t>
                  </w:r>
                  <w:r>
                    <w:rPr>
                      <w:rFonts w:hint="eastAsia"/>
                      <w:sz w:val="21"/>
                      <w:szCs w:val="21"/>
                      <w:vertAlign w:val="subscript"/>
                      <w:lang w:val="en-US" w:eastAsia="zh-CN"/>
                    </w:rPr>
                    <w:t>3</w:t>
                  </w:r>
                  <w:r>
                    <w:rPr>
                      <w:rFonts w:hint="eastAsia"/>
                      <w:sz w:val="21"/>
                      <w:szCs w:val="21"/>
                      <w:vertAlign w:val="baseline"/>
                      <w:lang w:val="en-US" w:eastAsia="zh-CN"/>
                    </w:rPr>
                    <w:t>-N</w:t>
                  </w:r>
                </w:p>
              </w:tc>
              <w:tc>
                <w:tcPr>
                  <w:tcW w:w="1485" w:type="dxa"/>
                  <w:tcBorders>
                    <w:tl2br w:val="nil"/>
                    <w:tr2bl w:val="nil"/>
                  </w:tcBorders>
                  <w:vAlign w:val="center"/>
                </w:tcPr>
                <w:p w14:paraId="4B8E80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45mg/L</w:t>
                  </w:r>
                </w:p>
              </w:tc>
              <w:tc>
                <w:tcPr>
                  <w:tcW w:w="690" w:type="dxa"/>
                  <w:vMerge w:val="continue"/>
                  <w:tcBorders>
                    <w:tl2br w:val="nil"/>
                    <w:tr2bl w:val="nil"/>
                  </w:tcBorders>
                  <w:vAlign w:val="center"/>
                </w:tcPr>
                <w:p w14:paraId="76004F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080" w:type="dxa"/>
                  <w:vMerge w:val="continue"/>
                  <w:tcBorders>
                    <w:tl2br w:val="nil"/>
                    <w:tr2bl w:val="nil"/>
                  </w:tcBorders>
                  <w:vAlign w:val="center"/>
                </w:tcPr>
                <w:p w14:paraId="4AFEE5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809" w:type="dxa"/>
                  <w:vMerge w:val="continue"/>
                  <w:tcBorders>
                    <w:tl2br w:val="nil"/>
                    <w:tr2bl w:val="nil"/>
                  </w:tcBorders>
                  <w:vAlign w:val="center"/>
                </w:tcPr>
                <w:p w14:paraId="2D4B93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r>
            <w:tr w14:paraId="6631B4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1" w:type="dxa"/>
                  <w:vMerge w:val="continue"/>
                  <w:tcBorders>
                    <w:tl2br w:val="nil"/>
                    <w:tr2bl w:val="nil"/>
                  </w:tcBorders>
                  <w:vAlign w:val="center"/>
                </w:tcPr>
                <w:p w14:paraId="58288E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140" w:type="dxa"/>
                  <w:vMerge w:val="continue"/>
                  <w:tcBorders>
                    <w:tl2br w:val="nil"/>
                    <w:tr2bl w:val="nil"/>
                  </w:tcBorders>
                  <w:vAlign w:val="center"/>
                </w:tcPr>
                <w:p w14:paraId="432935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395" w:type="dxa"/>
                  <w:tcBorders>
                    <w:tl2br w:val="nil"/>
                    <w:tr2bl w:val="nil"/>
                  </w:tcBorders>
                  <w:vAlign w:val="center"/>
                </w:tcPr>
                <w:p w14:paraId="6C6B9F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总余氯</w:t>
                  </w:r>
                </w:p>
              </w:tc>
              <w:tc>
                <w:tcPr>
                  <w:tcW w:w="1485" w:type="dxa"/>
                  <w:tcBorders>
                    <w:tl2br w:val="nil"/>
                    <w:tr2bl w:val="nil"/>
                  </w:tcBorders>
                  <w:vAlign w:val="center"/>
                </w:tcPr>
                <w:p w14:paraId="210AAB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8mg/L</w:t>
                  </w:r>
                </w:p>
              </w:tc>
              <w:tc>
                <w:tcPr>
                  <w:tcW w:w="690" w:type="dxa"/>
                  <w:vMerge w:val="continue"/>
                  <w:tcBorders>
                    <w:tl2br w:val="nil"/>
                    <w:tr2bl w:val="nil"/>
                  </w:tcBorders>
                  <w:vAlign w:val="center"/>
                </w:tcPr>
                <w:p w14:paraId="29748F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080" w:type="dxa"/>
                  <w:vMerge w:val="restart"/>
                  <w:tcBorders>
                    <w:tl2br w:val="nil"/>
                    <w:tr2bl w:val="nil"/>
                  </w:tcBorders>
                  <w:vAlign w:val="center"/>
                </w:tcPr>
                <w:p w14:paraId="7D1A0C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1次/年</w:t>
                  </w:r>
                </w:p>
              </w:tc>
              <w:tc>
                <w:tcPr>
                  <w:tcW w:w="809" w:type="dxa"/>
                  <w:vMerge w:val="continue"/>
                  <w:tcBorders>
                    <w:tl2br w:val="nil"/>
                    <w:tr2bl w:val="nil"/>
                  </w:tcBorders>
                  <w:vAlign w:val="center"/>
                </w:tcPr>
                <w:p w14:paraId="1FF453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r>
            <w:tr w14:paraId="7B8231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1" w:type="dxa"/>
                  <w:vMerge w:val="continue"/>
                  <w:tcBorders>
                    <w:tl2br w:val="nil"/>
                    <w:tr2bl w:val="nil"/>
                  </w:tcBorders>
                  <w:vAlign w:val="center"/>
                </w:tcPr>
                <w:p w14:paraId="6A87BA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140" w:type="dxa"/>
                  <w:vMerge w:val="continue"/>
                  <w:tcBorders>
                    <w:tl2br w:val="nil"/>
                    <w:tr2bl w:val="nil"/>
                  </w:tcBorders>
                  <w:vAlign w:val="center"/>
                </w:tcPr>
                <w:p w14:paraId="6F896C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395" w:type="dxa"/>
                  <w:tcBorders>
                    <w:tl2br w:val="nil"/>
                    <w:tr2bl w:val="nil"/>
                  </w:tcBorders>
                  <w:vAlign w:val="center"/>
                </w:tcPr>
                <w:p w14:paraId="3D520B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粪大肠菌群</w:t>
                  </w:r>
                </w:p>
              </w:tc>
              <w:tc>
                <w:tcPr>
                  <w:tcW w:w="1485" w:type="dxa"/>
                  <w:tcBorders>
                    <w:tl2br w:val="nil"/>
                    <w:tr2bl w:val="nil"/>
                  </w:tcBorders>
                  <w:vAlign w:val="center"/>
                </w:tcPr>
                <w:p w14:paraId="45F587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10000MPN/L</w:t>
                  </w:r>
                </w:p>
              </w:tc>
              <w:tc>
                <w:tcPr>
                  <w:tcW w:w="690" w:type="dxa"/>
                  <w:vMerge w:val="continue"/>
                  <w:tcBorders>
                    <w:tl2br w:val="nil"/>
                    <w:tr2bl w:val="nil"/>
                  </w:tcBorders>
                  <w:vAlign w:val="center"/>
                </w:tcPr>
                <w:p w14:paraId="79061B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080" w:type="dxa"/>
                  <w:vMerge w:val="continue"/>
                  <w:tcBorders>
                    <w:tl2br w:val="nil"/>
                    <w:tr2bl w:val="nil"/>
                  </w:tcBorders>
                  <w:vAlign w:val="center"/>
                </w:tcPr>
                <w:p w14:paraId="4A359D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809" w:type="dxa"/>
                  <w:vMerge w:val="continue"/>
                  <w:tcBorders>
                    <w:tl2br w:val="nil"/>
                    <w:tr2bl w:val="nil"/>
                  </w:tcBorders>
                  <w:vAlign w:val="center"/>
                </w:tcPr>
                <w:p w14:paraId="04EE74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r>
            <w:tr w14:paraId="735604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1" w:type="dxa"/>
                  <w:tcBorders>
                    <w:tl2br w:val="nil"/>
                    <w:tr2bl w:val="nil"/>
                  </w:tcBorders>
                  <w:vAlign w:val="center"/>
                </w:tcPr>
                <w:p w14:paraId="5B0E74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备注</w:t>
                  </w:r>
                </w:p>
              </w:tc>
              <w:tc>
                <w:tcPr>
                  <w:tcW w:w="6599" w:type="dxa"/>
                  <w:gridSpan w:val="6"/>
                  <w:tcBorders>
                    <w:tl2br w:val="nil"/>
                    <w:tr2bl w:val="nil"/>
                  </w:tcBorders>
                  <w:vAlign w:val="center"/>
                </w:tcPr>
                <w:p w14:paraId="5317D0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在公众对项目投诉的情况时，建设单位应按照相关要求增加监测频次</w:t>
                  </w:r>
                </w:p>
              </w:tc>
            </w:tr>
          </w:tbl>
          <w:p w14:paraId="32DE7275">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b/>
                <w:bCs/>
                <w:lang w:val="en-US" w:eastAsia="zh-CN"/>
              </w:rPr>
              <w:t>3、声环境影响分析</w:t>
            </w:r>
          </w:p>
          <w:p w14:paraId="7A1A6CD6">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（1）噪声源强及防治措施</w:t>
            </w:r>
          </w:p>
          <w:p w14:paraId="16444D8F">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本项目营运期噪声源主要包括污水处理设备水泵、排风机、空调外机。</w:t>
            </w:r>
          </w:p>
          <w:p w14:paraId="77B1B093">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本项目主要噪声源强及采取的主要防治措施详见下表。</w:t>
            </w:r>
          </w:p>
          <w:p w14:paraId="7262348B">
            <w:pPr>
              <w:pStyle w:val="11"/>
              <w:bidi w:val="0"/>
              <w:rPr>
                <w:rFonts w:hint="default"/>
                <w:lang w:val="en-US" w:eastAsia="zh-CN"/>
              </w:rPr>
            </w:pPr>
            <w:r>
              <w:rPr>
                <w:rFonts w:hint="eastAsia"/>
                <w:lang w:val="en-US" w:eastAsia="zh-CN"/>
              </w:rPr>
              <w:t>表4-16 项目噪声源及源强  （dB(A)）</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17"/>
              <w:gridCol w:w="840"/>
              <w:gridCol w:w="1395"/>
              <w:gridCol w:w="1245"/>
              <w:gridCol w:w="1230"/>
              <w:gridCol w:w="1696"/>
            </w:tblGrid>
            <w:tr w14:paraId="388E24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7" w:type="dxa"/>
                  <w:tcBorders>
                    <w:tl2br w:val="nil"/>
                    <w:tr2bl w:val="nil"/>
                  </w:tcBorders>
                  <w:vAlign w:val="center"/>
                </w:tcPr>
                <w:p w14:paraId="0F900A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噪声源</w:t>
                  </w:r>
                </w:p>
              </w:tc>
              <w:tc>
                <w:tcPr>
                  <w:tcW w:w="840" w:type="dxa"/>
                  <w:tcBorders>
                    <w:tl2br w:val="nil"/>
                    <w:tr2bl w:val="nil"/>
                  </w:tcBorders>
                  <w:vAlign w:val="center"/>
                </w:tcPr>
                <w:p w14:paraId="2112E1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数量</w:t>
                  </w:r>
                </w:p>
              </w:tc>
              <w:tc>
                <w:tcPr>
                  <w:tcW w:w="1395" w:type="dxa"/>
                  <w:tcBorders>
                    <w:tl2br w:val="nil"/>
                    <w:tr2bl w:val="nil"/>
                  </w:tcBorders>
                  <w:vAlign w:val="center"/>
                </w:tcPr>
                <w:p w14:paraId="399124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位置</w:t>
                  </w:r>
                </w:p>
              </w:tc>
              <w:tc>
                <w:tcPr>
                  <w:tcW w:w="1245" w:type="dxa"/>
                  <w:tcBorders>
                    <w:tl2br w:val="nil"/>
                    <w:tr2bl w:val="nil"/>
                  </w:tcBorders>
                  <w:vAlign w:val="center"/>
                </w:tcPr>
                <w:p w14:paraId="1F3ABD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持续时间</w:t>
                  </w:r>
                </w:p>
              </w:tc>
              <w:tc>
                <w:tcPr>
                  <w:tcW w:w="1230" w:type="dxa"/>
                  <w:tcBorders>
                    <w:tl2br w:val="nil"/>
                    <w:tr2bl w:val="nil"/>
                  </w:tcBorders>
                  <w:vAlign w:val="center"/>
                </w:tcPr>
                <w:p w14:paraId="5CC43F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声源源强</w:t>
                  </w:r>
                </w:p>
              </w:tc>
              <w:tc>
                <w:tcPr>
                  <w:tcW w:w="1696" w:type="dxa"/>
                  <w:tcBorders>
                    <w:tl2br w:val="nil"/>
                    <w:tr2bl w:val="nil"/>
                  </w:tcBorders>
                  <w:vAlign w:val="center"/>
                </w:tcPr>
                <w:p w14:paraId="5FA0B6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治理措施</w:t>
                  </w:r>
                </w:p>
              </w:tc>
            </w:tr>
            <w:tr w14:paraId="734589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7" w:type="dxa"/>
                  <w:tcBorders>
                    <w:tl2br w:val="nil"/>
                    <w:tr2bl w:val="nil"/>
                  </w:tcBorders>
                  <w:vAlign w:val="center"/>
                </w:tcPr>
                <w:p w14:paraId="00396E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污水处理设备</w:t>
                  </w:r>
                </w:p>
              </w:tc>
              <w:tc>
                <w:tcPr>
                  <w:tcW w:w="840" w:type="dxa"/>
                  <w:tcBorders>
                    <w:tl2br w:val="nil"/>
                    <w:tr2bl w:val="nil"/>
                  </w:tcBorders>
                  <w:vAlign w:val="center"/>
                </w:tcPr>
                <w:p w14:paraId="23D1E8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1台</w:t>
                  </w:r>
                </w:p>
              </w:tc>
              <w:tc>
                <w:tcPr>
                  <w:tcW w:w="1395" w:type="dxa"/>
                  <w:tcBorders>
                    <w:tl2br w:val="nil"/>
                    <w:tr2bl w:val="nil"/>
                  </w:tcBorders>
                  <w:vAlign w:val="center"/>
                </w:tcPr>
                <w:p w14:paraId="71EFBD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室内南侧</w:t>
                  </w:r>
                </w:p>
              </w:tc>
              <w:tc>
                <w:tcPr>
                  <w:tcW w:w="1245" w:type="dxa"/>
                  <w:tcBorders>
                    <w:tl2br w:val="nil"/>
                    <w:tr2bl w:val="nil"/>
                  </w:tcBorders>
                  <w:vAlign w:val="center"/>
                </w:tcPr>
                <w:p w14:paraId="00B748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10min</w:t>
                  </w:r>
                </w:p>
              </w:tc>
              <w:tc>
                <w:tcPr>
                  <w:tcW w:w="1230" w:type="dxa"/>
                  <w:tcBorders>
                    <w:tl2br w:val="nil"/>
                    <w:tr2bl w:val="nil"/>
                  </w:tcBorders>
                  <w:vAlign w:val="center"/>
                </w:tcPr>
                <w:p w14:paraId="1BCFFB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70</w:t>
                  </w:r>
                </w:p>
              </w:tc>
              <w:tc>
                <w:tcPr>
                  <w:tcW w:w="1696" w:type="dxa"/>
                  <w:tcBorders>
                    <w:tl2br w:val="nil"/>
                    <w:tr2bl w:val="nil"/>
                  </w:tcBorders>
                  <w:vAlign w:val="center"/>
                </w:tcPr>
                <w:p w14:paraId="0FEDCE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减振、室内安装</w:t>
                  </w:r>
                </w:p>
              </w:tc>
            </w:tr>
            <w:tr w14:paraId="62B7CC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7" w:type="dxa"/>
                  <w:tcBorders>
                    <w:tl2br w:val="nil"/>
                    <w:tr2bl w:val="nil"/>
                  </w:tcBorders>
                  <w:shd w:val="clear" w:color="auto" w:fill="auto"/>
                  <w:vAlign w:val="center"/>
                </w:tcPr>
                <w:p w14:paraId="56B2C8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cstheme="minorBidi"/>
                      <w:kern w:val="2"/>
                      <w:sz w:val="21"/>
                      <w:szCs w:val="21"/>
                      <w:vertAlign w:val="baseline"/>
                      <w:lang w:val="en-US" w:eastAsia="zh-CN" w:bidi="ar-SA"/>
                    </w:rPr>
                    <w:t>排风机</w:t>
                  </w:r>
                </w:p>
              </w:tc>
              <w:tc>
                <w:tcPr>
                  <w:tcW w:w="840" w:type="dxa"/>
                  <w:tcBorders>
                    <w:tl2br w:val="nil"/>
                    <w:tr2bl w:val="nil"/>
                  </w:tcBorders>
                  <w:vAlign w:val="center"/>
                </w:tcPr>
                <w:p w14:paraId="06926D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1台</w:t>
                  </w:r>
                </w:p>
              </w:tc>
              <w:tc>
                <w:tcPr>
                  <w:tcW w:w="1395" w:type="dxa"/>
                  <w:tcBorders>
                    <w:tl2br w:val="nil"/>
                    <w:tr2bl w:val="nil"/>
                  </w:tcBorders>
                  <w:vAlign w:val="center"/>
                </w:tcPr>
                <w:p w14:paraId="02174E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室内吊顶</w:t>
                  </w:r>
                </w:p>
              </w:tc>
              <w:tc>
                <w:tcPr>
                  <w:tcW w:w="1245" w:type="dxa"/>
                  <w:tcBorders>
                    <w:tl2br w:val="nil"/>
                    <w:tr2bl w:val="nil"/>
                  </w:tcBorders>
                  <w:vAlign w:val="center"/>
                </w:tcPr>
                <w:p w14:paraId="5B61E8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600min</w:t>
                  </w:r>
                </w:p>
              </w:tc>
              <w:tc>
                <w:tcPr>
                  <w:tcW w:w="1230" w:type="dxa"/>
                  <w:tcBorders>
                    <w:tl2br w:val="nil"/>
                    <w:tr2bl w:val="nil"/>
                  </w:tcBorders>
                  <w:vAlign w:val="center"/>
                </w:tcPr>
                <w:p w14:paraId="2CD766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60</w:t>
                  </w:r>
                </w:p>
              </w:tc>
              <w:tc>
                <w:tcPr>
                  <w:tcW w:w="1696" w:type="dxa"/>
                  <w:tcBorders>
                    <w:tl2br w:val="nil"/>
                    <w:tr2bl w:val="nil"/>
                  </w:tcBorders>
                  <w:vAlign w:val="center"/>
                </w:tcPr>
                <w:p w14:paraId="59750C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减振、室内安装</w:t>
                  </w:r>
                </w:p>
              </w:tc>
            </w:tr>
            <w:tr w14:paraId="191D16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7" w:type="dxa"/>
                  <w:tcBorders>
                    <w:tl2br w:val="nil"/>
                    <w:tr2bl w:val="nil"/>
                  </w:tcBorders>
                  <w:shd w:val="clear" w:color="auto" w:fill="auto"/>
                  <w:vAlign w:val="center"/>
                </w:tcPr>
                <w:p w14:paraId="56EFC7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cstheme="minorBidi"/>
                      <w:kern w:val="2"/>
                      <w:sz w:val="21"/>
                      <w:szCs w:val="21"/>
                      <w:vertAlign w:val="baseline"/>
                      <w:lang w:val="en-US" w:eastAsia="zh-CN" w:bidi="ar-SA"/>
                    </w:rPr>
                    <w:t>空调外机</w:t>
                  </w:r>
                </w:p>
              </w:tc>
              <w:tc>
                <w:tcPr>
                  <w:tcW w:w="840" w:type="dxa"/>
                  <w:tcBorders>
                    <w:tl2br w:val="nil"/>
                    <w:tr2bl w:val="nil"/>
                  </w:tcBorders>
                  <w:vAlign w:val="center"/>
                </w:tcPr>
                <w:p w14:paraId="453985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1台</w:t>
                  </w:r>
                </w:p>
              </w:tc>
              <w:tc>
                <w:tcPr>
                  <w:tcW w:w="1395" w:type="dxa"/>
                  <w:tcBorders>
                    <w:tl2br w:val="nil"/>
                    <w:tr2bl w:val="nil"/>
                  </w:tcBorders>
                  <w:vAlign w:val="center"/>
                </w:tcPr>
                <w:p w14:paraId="1E1D9F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highlight w:val="none"/>
                      <w:vertAlign w:val="baseline"/>
                      <w:lang w:val="en-US" w:eastAsia="zh-CN"/>
                    </w:rPr>
                    <w:t>室内</w:t>
                  </w:r>
                </w:p>
              </w:tc>
              <w:tc>
                <w:tcPr>
                  <w:tcW w:w="1245" w:type="dxa"/>
                  <w:tcBorders>
                    <w:tl2br w:val="nil"/>
                    <w:tr2bl w:val="nil"/>
                  </w:tcBorders>
                  <w:vAlign w:val="center"/>
                </w:tcPr>
                <w:p w14:paraId="5CC832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600min</w:t>
                  </w:r>
                </w:p>
              </w:tc>
              <w:tc>
                <w:tcPr>
                  <w:tcW w:w="1230" w:type="dxa"/>
                  <w:tcBorders>
                    <w:tl2br w:val="nil"/>
                    <w:tr2bl w:val="nil"/>
                  </w:tcBorders>
                  <w:vAlign w:val="center"/>
                </w:tcPr>
                <w:p w14:paraId="01F1F1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50-55</w:t>
                  </w:r>
                </w:p>
              </w:tc>
              <w:tc>
                <w:tcPr>
                  <w:tcW w:w="1696" w:type="dxa"/>
                  <w:tcBorders>
                    <w:tl2br w:val="nil"/>
                    <w:tr2bl w:val="nil"/>
                  </w:tcBorders>
                  <w:vAlign w:val="center"/>
                </w:tcPr>
                <w:p w14:paraId="3133A2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减振</w:t>
                  </w:r>
                </w:p>
              </w:tc>
            </w:tr>
          </w:tbl>
          <w:p w14:paraId="0C6F5A9A">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（2）治理措施</w:t>
            </w:r>
          </w:p>
          <w:p w14:paraId="690175A6">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项目无寄养服务，夜间不接诊。项目不设住院服务，故无夜间运行。</w:t>
            </w:r>
          </w:p>
          <w:p w14:paraId="4F8AA866">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污水处理设备配套水泵位于室内，噪声源强为70dB(A)。排风机位于室内吊顶内安装，运行时噪声级约为60dB(A)。空调外机安装在室内，仅在夏季3个月昼间运行，声源源强50~55dB(A)。</w:t>
            </w:r>
          </w:p>
          <w:p w14:paraId="61A75378">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建设单位针对污水处理设备等产噪设备，采取安装减振垫、减振基础等措施。减振对噪声降噪可以达到10~15dB(A)。项目主要设备均安装在室内，建筑墙体、天花板、隔断等能够起到有效的隔声作用。对于需要复杂处置或进行手术的动物个体，一般较为虚弱，该类动物由于身体原因不会吠叫，或叫声十分微弱。对于简单诊疗处置的就诊动物，其在医院内停留时间较短，如遇发生吠叫的，由主人或医护及时制止。院方可预备一些宠物零食、玩具，在动物吠叫时转移其注意力。</w:t>
            </w:r>
          </w:p>
          <w:p w14:paraId="06502E17">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采取上述措施，并经建筑物隔声（建筑物墙体、隔断，以及门窗的综合隔声量约35dB(A)），室外基本无动物吠叫噪声传播。</w:t>
            </w:r>
          </w:p>
          <w:p w14:paraId="1E0B0BC6">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（3）达标分析</w:t>
            </w:r>
          </w:p>
          <w:p w14:paraId="00934B31">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本项目噪声源主要位于室内，根据《环境影响评价技术导则 声环境》（HJ2.4-2021），噪声预测模式如下：</w:t>
            </w:r>
          </w:p>
          <w:p w14:paraId="39E0DA44">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①室内声源等效室外声源声功率级计算方法</w:t>
            </w:r>
          </w:p>
          <w:p w14:paraId="0DFEDB14">
            <w:pPr>
              <w:keepNext w:val="0"/>
              <w:keepLines w:val="0"/>
              <w:pageBreakBefore w:val="0"/>
              <w:widowControl w:val="0"/>
              <w:kinsoku/>
              <w:wordWrap/>
              <w:overflowPunct/>
              <w:topLinePunct w:val="0"/>
              <w:autoSpaceDE/>
              <w:autoSpaceDN/>
              <w:bidi w:val="0"/>
              <w:adjustRightInd w:val="0"/>
              <w:snapToGrid w:val="0"/>
              <w:textAlignment w:val="auto"/>
              <w:rPr>
                <w:rFonts w:hint="eastAsia"/>
                <w:vertAlign w:val="baseline"/>
                <w:lang w:val="en-US" w:eastAsia="zh-CN"/>
              </w:rPr>
            </w:pPr>
            <w:r>
              <w:rPr>
                <w:rFonts w:hint="default"/>
                <w:lang w:val="en-US" w:eastAsia="zh-CN"/>
              </w:rPr>
              <w:t>声源位于室内，室内声源可采用等效室外声源声功率级法进行计算。设靠近开口处（或窗户）室内、室外某倍频带的声压级或A声级分别为</w:t>
            </w:r>
            <w:r>
              <w:rPr>
                <w:rFonts w:hint="eastAsia"/>
                <w:lang w:val="en-US" w:eastAsia="zh-CN"/>
              </w:rPr>
              <w:t>L</w:t>
            </w:r>
            <w:r>
              <w:rPr>
                <w:rFonts w:hint="eastAsia"/>
                <w:vertAlign w:val="subscript"/>
                <w:lang w:val="en-US" w:eastAsia="zh-CN"/>
              </w:rPr>
              <w:t>p1</w:t>
            </w:r>
            <w:r>
              <w:rPr>
                <w:rFonts w:hint="eastAsia"/>
                <w:lang w:val="en-US" w:eastAsia="zh-CN"/>
              </w:rPr>
              <w:t>和L</w:t>
            </w:r>
            <w:r>
              <w:rPr>
                <w:rFonts w:hint="eastAsia"/>
                <w:vertAlign w:val="subscript"/>
                <w:lang w:val="en-US" w:eastAsia="zh-CN"/>
              </w:rPr>
              <w:t>p2</w:t>
            </w:r>
            <w:r>
              <w:rPr>
                <w:rFonts w:hint="eastAsia"/>
                <w:vertAlign w:val="baseline"/>
                <w:lang w:val="en-US" w:eastAsia="zh-CN"/>
              </w:rPr>
              <w:t>。若声源所在室内声场为近似扩散声场，则室外的倍频带声压级可按以下公式近似求出：</w:t>
            </w:r>
          </w:p>
          <w:p w14:paraId="638EA546">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vertAlign w:val="baseline"/>
                <w:lang w:val="en-US" w:eastAsia="zh-CN"/>
              </w:rPr>
            </w:pPr>
            <m:oMathPara>
              <m:oMath>
                <m:sSub>
                  <m:sSubPr>
                    <m:ctrlPr>
                      <w:rPr>
                        <w:rFonts w:ascii="Cambria Math" w:hAnsi="Cambria Math"/>
                        <w:i/>
                        <w:vertAlign w:val="baseline"/>
                        <w:lang w:val="en-US"/>
                      </w:rPr>
                    </m:ctrlPr>
                  </m:sSubPr>
                  <m:e>
                    <m:r>
                      <m:rPr/>
                      <w:rPr>
                        <w:rFonts w:hint="default" w:ascii="Cambria Math" w:hAnsi="Cambria Math"/>
                        <w:vertAlign w:val="baseline"/>
                        <w:lang w:val="en-US" w:eastAsia="zh-CN"/>
                      </w:rPr>
                      <m:t>L</m:t>
                    </m:r>
                    <m:ctrlPr>
                      <w:rPr>
                        <w:rFonts w:ascii="Cambria Math" w:hAnsi="Cambria Math"/>
                        <w:i/>
                        <w:vertAlign w:val="baseline"/>
                        <w:lang w:val="en-US"/>
                      </w:rPr>
                    </m:ctrlPr>
                  </m:e>
                  <m:sub>
                    <m:r>
                      <m:rPr/>
                      <w:rPr>
                        <w:rFonts w:hint="default" w:ascii="Cambria Math" w:hAnsi="Cambria Math"/>
                        <w:vertAlign w:val="baseline"/>
                        <w:lang w:val="en-US" w:eastAsia="zh-CN"/>
                      </w:rPr>
                      <m:t>p2</m:t>
                    </m:r>
                    <m:ctrlPr>
                      <w:rPr>
                        <w:rFonts w:ascii="Cambria Math" w:hAnsi="Cambria Math"/>
                        <w:i/>
                        <w:vertAlign w:val="baseline"/>
                        <w:lang w:val="en-US"/>
                      </w:rPr>
                    </m:ctrlPr>
                  </m:sub>
                </m:sSub>
                <m:r>
                  <m:rPr/>
                  <w:rPr>
                    <w:rFonts w:hint="default" w:ascii="Cambria Math" w:hAnsi="Cambria Math"/>
                    <w:vertAlign w:val="baseline"/>
                    <w:lang w:val="en-US" w:eastAsia="zh-CN"/>
                  </w:rPr>
                  <m:t>=</m:t>
                </m:r>
                <m:sSub>
                  <m:sSubPr>
                    <m:ctrlPr>
                      <w:rPr>
                        <w:rFonts w:hint="default" w:ascii="Cambria Math" w:hAnsi="Cambria Math"/>
                        <w:i/>
                        <w:vertAlign w:val="baseline"/>
                        <w:lang w:val="en-US" w:eastAsia="zh-CN"/>
                      </w:rPr>
                    </m:ctrlPr>
                  </m:sSubPr>
                  <m:e>
                    <m:r>
                      <m:rPr/>
                      <w:rPr>
                        <w:rFonts w:hint="default" w:ascii="Cambria Math" w:hAnsi="Cambria Math"/>
                        <w:vertAlign w:val="baseline"/>
                        <w:lang w:val="en-US" w:eastAsia="zh-CN"/>
                      </w:rPr>
                      <m:t>L</m:t>
                    </m:r>
                    <m:ctrlPr>
                      <w:rPr>
                        <w:rFonts w:hint="default" w:ascii="Cambria Math" w:hAnsi="Cambria Math"/>
                        <w:i/>
                        <w:vertAlign w:val="baseline"/>
                        <w:lang w:val="en-US" w:eastAsia="zh-CN"/>
                      </w:rPr>
                    </m:ctrlPr>
                  </m:e>
                  <m:sub>
                    <m:r>
                      <m:rPr/>
                      <w:rPr>
                        <w:rFonts w:hint="default" w:ascii="Cambria Math" w:hAnsi="Cambria Math"/>
                        <w:vertAlign w:val="baseline"/>
                        <w:lang w:val="en-US" w:eastAsia="zh-CN"/>
                      </w:rPr>
                      <m:t>p1</m:t>
                    </m:r>
                    <m:ctrlPr>
                      <w:rPr>
                        <w:rFonts w:hint="default" w:ascii="Cambria Math" w:hAnsi="Cambria Math"/>
                        <w:i/>
                        <w:vertAlign w:val="baseline"/>
                        <w:lang w:val="en-US" w:eastAsia="zh-CN"/>
                      </w:rPr>
                    </m:ctrlPr>
                  </m:sub>
                </m:sSub>
                <m:r>
                  <m:rPr/>
                  <w:rPr>
                    <w:rFonts w:hint="default" w:ascii="Cambria Math" w:hAnsi="Cambria Math"/>
                    <w:vertAlign w:val="baseline"/>
                    <w:lang w:val="en-US" w:eastAsia="zh-CN"/>
                  </w:rPr>
                  <m:t>−</m:t>
                </m:r>
                <m:d>
                  <m:dPr>
                    <m:ctrlPr>
                      <w:rPr>
                        <w:rFonts w:hint="default" w:ascii="Cambria Math" w:hAnsi="Cambria Math"/>
                        <w:i/>
                        <w:vertAlign w:val="baseline"/>
                        <w:lang w:val="en-US" w:eastAsia="zh-CN"/>
                      </w:rPr>
                    </m:ctrlPr>
                  </m:dPr>
                  <m:e>
                    <m:r>
                      <m:rPr/>
                      <w:rPr>
                        <w:rFonts w:hint="default" w:ascii="Cambria Math" w:hAnsi="Cambria Math"/>
                        <w:vertAlign w:val="baseline"/>
                        <w:lang w:val="en-US" w:eastAsia="zh-CN"/>
                      </w:rPr>
                      <m:t>TL+6</m:t>
                    </m:r>
                    <m:ctrlPr>
                      <w:rPr>
                        <w:rFonts w:hint="default" w:ascii="Cambria Math" w:hAnsi="Cambria Math"/>
                        <w:i/>
                        <w:vertAlign w:val="baseline"/>
                        <w:lang w:val="en-US" w:eastAsia="zh-CN"/>
                      </w:rPr>
                    </m:ctrlPr>
                  </m:e>
                </m:d>
              </m:oMath>
            </m:oMathPara>
          </w:p>
          <w:p w14:paraId="2BF4F6A8">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式中：</w:t>
            </w:r>
          </w:p>
          <w:p w14:paraId="04EAB6FC">
            <w:pPr>
              <w:keepNext w:val="0"/>
              <w:keepLines w:val="0"/>
              <w:pageBreakBefore w:val="0"/>
              <w:widowControl w:val="0"/>
              <w:kinsoku/>
              <w:wordWrap/>
              <w:overflowPunct/>
              <w:topLinePunct w:val="0"/>
              <w:autoSpaceDE/>
              <w:autoSpaceDN/>
              <w:bidi w:val="0"/>
              <w:adjustRightInd w:val="0"/>
              <w:snapToGrid w:val="0"/>
              <w:textAlignment w:val="auto"/>
              <w:rPr>
                <w:rFonts w:hint="eastAsia"/>
                <w:vertAlign w:val="baseline"/>
                <w:lang w:val="en-US" w:eastAsia="zh-CN"/>
              </w:rPr>
            </w:pPr>
            <w:r>
              <w:rPr>
                <w:rFonts w:hint="eastAsia"/>
                <w:lang w:val="en-US" w:eastAsia="zh-CN"/>
              </w:rPr>
              <w:t>L</w:t>
            </w:r>
            <w:r>
              <w:rPr>
                <w:rFonts w:hint="eastAsia"/>
                <w:vertAlign w:val="subscript"/>
                <w:lang w:val="en-US" w:eastAsia="zh-CN"/>
              </w:rPr>
              <w:t>p1</w:t>
            </w:r>
            <w:r>
              <w:rPr>
                <w:rFonts w:hint="eastAsia"/>
                <w:vertAlign w:val="baseline"/>
                <w:lang w:val="en-US" w:eastAsia="zh-CN"/>
              </w:rPr>
              <w:t>—靠近开口处（或窗户）室内某倍频带的声压级或A声级，dB；</w:t>
            </w:r>
          </w:p>
          <w:p w14:paraId="1C994294">
            <w:pPr>
              <w:keepNext w:val="0"/>
              <w:keepLines w:val="0"/>
              <w:pageBreakBefore w:val="0"/>
              <w:widowControl w:val="0"/>
              <w:kinsoku/>
              <w:wordWrap/>
              <w:overflowPunct/>
              <w:topLinePunct w:val="0"/>
              <w:autoSpaceDE/>
              <w:autoSpaceDN/>
              <w:bidi w:val="0"/>
              <w:adjustRightInd w:val="0"/>
              <w:snapToGrid w:val="0"/>
              <w:textAlignment w:val="auto"/>
              <w:rPr>
                <w:rFonts w:hint="eastAsia"/>
                <w:vertAlign w:val="baseline"/>
                <w:lang w:val="en-US" w:eastAsia="zh-CN"/>
              </w:rPr>
            </w:pPr>
            <w:r>
              <w:rPr>
                <w:rFonts w:hint="eastAsia"/>
                <w:lang w:val="en-US" w:eastAsia="zh-CN"/>
              </w:rPr>
              <w:t>L</w:t>
            </w:r>
            <w:r>
              <w:rPr>
                <w:rFonts w:hint="eastAsia"/>
                <w:vertAlign w:val="subscript"/>
                <w:lang w:val="en-US" w:eastAsia="zh-CN"/>
              </w:rPr>
              <w:t>p2</w:t>
            </w:r>
            <w:r>
              <w:rPr>
                <w:rFonts w:hint="eastAsia"/>
                <w:vertAlign w:val="baseline"/>
                <w:lang w:val="en-US" w:eastAsia="zh-CN"/>
              </w:rPr>
              <w:t>—靠近开口处（或窗户）室外某倍频带的声压级或A声级，dB；</w:t>
            </w:r>
          </w:p>
          <w:p w14:paraId="241EC920">
            <w:pPr>
              <w:keepNext w:val="0"/>
              <w:keepLines w:val="0"/>
              <w:pageBreakBefore w:val="0"/>
              <w:widowControl w:val="0"/>
              <w:kinsoku/>
              <w:wordWrap/>
              <w:overflowPunct/>
              <w:topLinePunct w:val="0"/>
              <w:autoSpaceDE/>
              <w:autoSpaceDN/>
              <w:bidi w:val="0"/>
              <w:adjustRightInd w:val="0"/>
              <w:snapToGrid w:val="0"/>
              <w:textAlignment w:val="auto"/>
              <w:rPr>
                <w:rFonts w:hint="eastAsia"/>
                <w:vertAlign w:val="baseline"/>
                <w:lang w:val="en-US" w:eastAsia="zh-CN"/>
              </w:rPr>
            </w:pPr>
            <w:r>
              <w:rPr>
                <w:rFonts w:hint="eastAsia"/>
                <w:vertAlign w:val="baseline"/>
                <w:lang w:val="en-US" w:eastAsia="zh-CN"/>
              </w:rPr>
              <w:t>TL—隔墙（或窗户）倍频带或A声级的隔声量，dB。</w:t>
            </w:r>
          </w:p>
          <w:p w14:paraId="50C2387A">
            <w:pPr>
              <w:keepNext w:val="0"/>
              <w:keepLines w:val="0"/>
              <w:pageBreakBefore w:val="0"/>
              <w:widowControl w:val="0"/>
              <w:kinsoku/>
              <w:wordWrap/>
              <w:overflowPunct/>
              <w:topLinePunct w:val="0"/>
              <w:autoSpaceDE/>
              <w:autoSpaceDN/>
              <w:bidi w:val="0"/>
              <w:adjustRightInd w:val="0"/>
              <w:snapToGrid w:val="0"/>
              <w:textAlignment w:val="auto"/>
              <w:rPr>
                <w:rFonts w:hint="eastAsia"/>
                <w:vertAlign w:val="baseline"/>
                <w:lang w:val="en-US" w:eastAsia="zh-CN"/>
              </w:rPr>
            </w:pPr>
            <w:r>
              <w:rPr>
                <w:rFonts w:hint="eastAsia"/>
                <w:vertAlign w:val="baseline"/>
                <w:lang w:val="en-US" w:eastAsia="zh-CN"/>
              </w:rPr>
              <w:t>②某一室内声源靠近围护结构处产生的倍频带声压级或A声级</w:t>
            </w:r>
          </w:p>
          <w:p w14:paraId="2B969E50">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vertAlign w:val="baseline"/>
                <w:lang w:val="en-US" w:eastAsia="zh-CN"/>
              </w:rPr>
            </w:pPr>
            <m:oMathPara>
              <m:oMath>
                <m:sSub>
                  <m:sSubPr>
                    <m:ctrlPr>
                      <w:rPr>
                        <w:rFonts w:ascii="Cambria Math" w:hAnsi="Cambria Math"/>
                        <w:i/>
                        <w:vertAlign w:val="baseline"/>
                        <w:lang w:val="en-US"/>
                      </w:rPr>
                    </m:ctrlPr>
                  </m:sSubPr>
                  <m:e>
                    <m:r>
                      <m:rPr/>
                      <w:rPr>
                        <w:rFonts w:hint="default" w:ascii="Cambria Math" w:hAnsi="Cambria Math"/>
                        <w:vertAlign w:val="baseline"/>
                        <w:lang w:val="en-US" w:eastAsia="zh-CN"/>
                      </w:rPr>
                      <m:t>L</m:t>
                    </m:r>
                    <m:ctrlPr>
                      <w:rPr>
                        <w:rFonts w:ascii="Cambria Math" w:hAnsi="Cambria Math"/>
                        <w:i/>
                        <w:vertAlign w:val="baseline"/>
                        <w:lang w:val="en-US"/>
                      </w:rPr>
                    </m:ctrlPr>
                  </m:e>
                  <m:sub>
                    <m:r>
                      <m:rPr/>
                      <w:rPr>
                        <w:rFonts w:hint="default" w:ascii="Cambria Math" w:hAnsi="Cambria Math"/>
                        <w:vertAlign w:val="baseline"/>
                        <w:lang w:val="en-US" w:eastAsia="zh-CN"/>
                      </w:rPr>
                      <m:t>p1</m:t>
                    </m:r>
                    <m:ctrlPr>
                      <w:rPr>
                        <w:rFonts w:ascii="Cambria Math" w:hAnsi="Cambria Math"/>
                        <w:i/>
                        <w:vertAlign w:val="baseline"/>
                        <w:lang w:val="en-US"/>
                      </w:rPr>
                    </m:ctrlPr>
                  </m:sub>
                </m:sSub>
                <m:r>
                  <m:rPr/>
                  <w:rPr>
                    <w:rFonts w:hint="default" w:ascii="Cambria Math" w:hAnsi="Cambria Math"/>
                    <w:vertAlign w:val="baseline"/>
                    <w:lang w:val="en-US" w:eastAsia="zh-CN"/>
                  </w:rPr>
                  <m:t>=</m:t>
                </m:r>
                <m:sSub>
                  <m:sSubPr>
                    <m:ctrlPr>
                      <w:rPr>
                        <w:rFonts w:hint="default" w:ascii="Cambria Math" w:hAnsi="Cambria Math"/>
                        <w:i/>
                        <w:vertAlign w:val="baseline"/>
                        <w:lang w:val="en-US" w:eastAsia="zh-CN"/>
                      </w:rPr>
                    </m:ctrlPr>
                  </m:sSubPr>
                  <m:e>
                    <m:r>
                      <m:rPr/>
                      <w:rPr>
                        <w:rFonts w:hint="default" w:ascii="Cambria Math" w:hAnsi="Cambria Math"/>
                        <w:vertAlign w:val="baseline"/>
                        <w:lang w:val="en-US" w:eastAsia="zh-CN"/>
                      </w:rPr>
                      <m:t>L</m:t>
                    </m:r>
                    <m:ctrlPr>
                      <w:rPr>
                        <w:rFonts w:hint="default" w:ascii="Cambria Math" w:hAnsi="Cambria Math"/>
                        <w:i/>
                        <w:vertAlign w:val="baseline"/>
                        <w:lang w:val="en-US" w:eastAsia="zh-CN"/>
                      </w:rPr>
                    </m:ctrlPr>
                  </m:e>
                  <m:sub>
                    <m:r>
                      <m:rPr/>
                      <w:rPr>
                        <w:rFonts w:hint="default" w:ascii="Cambria Math" w:hAnsi="Cambria Math"/>
                        <w:vertAlign w:val="baseline"/>
                        <w:lang w:val="en-US" w:eastAsia="zh-CN"/>
                      </w:rPr>
                      <m:t>w</m:t>
                    </m:r>
                    <m:ctrlPr>
                      <w:rPr>
                        <w:rFonts w:hint="default" w:ascii="Cambria Math" w:hAnsi="Cambria Math"/>
                        <w:i/>
                        <w:vertAlign w:val="baseline"/>
                        <w:lang w:val="en-US" w:eastAsia="zh-CN"/>
                      </w:rPr>
                    </m:ctrlPr>
                  </m:sub>
                </m:sSub>
                <m:r>
                  <m:rPr/>
                  <w:rPr>
                    <w:rFonts w:hint="default" w:ascii="Cambria Math" w:hAnsi="Cambria Math"/>
                    <w:vertAlign w:val="baseline"/>
                    <w:lang w:val="en-US" w:eastAsia="zh-CN"/>
                  </w:rPr>
                  <m:t>+10</m:t>
                </m:r>
                <m:func>
                  <m:funcPr>
                    <m:ctrlPr>
                      <w:rPr>
                        <w:rFonts w:hint="default" w:ascii="Cambria Math" w:hAnsi="Cambria Math"/>
                        <w:vertAlign w:val="baseline"/>
                        <w:lang w:val="en-US" w:eastAsia="zh-CN"/>
                      </w:rPr>
                    </m:ctrlPr>
                  </m:funcPr>
                  <m:fName>
                    <m:r>
                      <m:rPr>
                        <m:sty m:val="p"/>
                      </m:rPr>
                      <w:rPr>
                        <w:rFonts w:ascii="Cambria Math" w:hAnsi="Cambria Math"/>
                        <w:vertAlign w:val="baseline"/>
                        <w:lang w:val="en-US"/>
                      </w:rPr>
                      <m:t>lg</m:t>
                    </m:r>
                    <m:ctrlPr>
                      <w:rPr>
                        <w:rFonts w:hint="default" w:ascii="Cambria Math" w:hAnsi="Cambria Math"/>
                        <w:i/>
                        <w:vertAlign w:val="baseline"/>
                        <w:lang w:val="en-US" w:eastAsia="zh-CN"/>
                      </w:rPr>
                    </m:ctrlPr>
                  </m:fName>
                  <m:e>
                    <m:d>
                      <m:dPr>
                        <m:ctrlPr>
                          <w:rPr>
                            <w:rFonts w:hint="default" w:ascii="Cambria Math" w:hAnsi="Cambria Math"/>
                            <w:i/>
                            <w:vertAlign w:val="baseline"/>
                            <w:lang w:val="en-US" w:eastAsia="zh-CN"/>
                          </w:rPr>
                        </m:ctrlPr>
                      </m:dPr>
                      <m:e>
                        <m:f>
                          <m:fPr>
                            <m:ctrlPr>
                              <w:rPr>
                                <w:rFonts w:hint="default" w:ascii="Cambria Math" w:hAnsi="Cambria Math"/>
                                <w:i/>
                                <w:vertAlign w:val="baseline"/>
                                <w:lang w:val="en-US" w:eastAsia="zh-CN"/>
                              </w:rPr>
                            </m:ctrlPr>
                          </m:fPr>
                          <m:num>
                            <m:r>
                              <m:rPr/>
                              <w:rPr>
                                <w:rFonts w:hint="default" w:ascii="Cambria Math" w:hAnsi="Cambria Math"/>
                                <w:vertAlign w:val="baseline"/>
                                <w:lang w:val="en-US" w:eastAsia="zh-CN"/>
                              </w:rPr>
                              <m:t>Q</m:t>
                            </m:r>
                            <m:ctrlPr>
                              <w:rPr>
                                <w:rFonts w:hint="default" w:ascii="Cambria Math" w:hAnsi="Cambria Math"/>
                                <w:i/>
                                <w:vertAlign w:val="baseline"/>
                                <w:lang w:val="en-US" w:eastAsia="zh-CN"/>
                              </w:rPr>
                            </m:ctrlPr>
                          </m:num>
                          <m:den>
                            <m:r>
                              <m:rPr/>
                              <w:rPr>
                                <w:rFonts w:hint="default" w:ascii="Cambria Math" w:hAnsi="Cambria Math"/>
                                <w:vertAlign w:val="baseline"/>
                                <w:lang w:val="en-US" w:eastAsia="zh-CN"/>
                              </w:rPr>
                              <m:t>4</m:t>
                            </m:r>
                            <m:r>
                              <m:rPr/>
                              <w:rPr>
                                <w:rFonts w:ascii="Cambria Math" w:hAnsi="Cambria Math"/>
                                <w:vertAlign w:val="baseline"/>
                                <w:lang w:val="en-US"/>
                              </w:rPr>
                              <m:t>π</m:t>
                            </m:r>
                            <m:sSup>
                              <m:sSupPr>
                                <m:ctrlPr>
                                  <w:rPr>
                                    <w:rFonts w:ascii="Cambria Math" w:hAnsi="Cambria Math"/>
                                    <w:i/>
                                    <w:vertAlign w:val="baseline"/>
                                    <w:lang w:val="en-US"/>
                                  </w:rPr>
                                </m:ctrlPr>
                              </m:sSupPr>
                              <m:e>
                                <m:r>
                                  <m:rPr/>
                                  <w:rPr>
                                    <w:rFonts w:hint="default" w:ascii="Cambria Math" w:hAnsi="Cambria Math"/>
                                    <w:vertAlign w:val="baseline"/>
                                    <w:lang w:val="en-US" w:eastAsia="zh-CN"/>
                                  </w:rPr>
                                  <m:t>r</m:t>
                                </m:r>
                                <m:ctrlPr>
                                  <w:rPr>
                                    <w:rFonts w:ascii="Cambria Math" w:hAnsi="Cambria Math"/>
                                    <w:i/>
                                    <w:vertAlign w:val="baseline"/>
                                    <w:lang w:val="en-US"/>
                                  </w:rPr>
                                </m:ctrlPr>
                              </m:e>
                              <m:sup>
                                <m:r>
                                  <m:rPr/>
                                  <w:rPr>
                                    <w:rFonts w:hint="default" w:ascii="Cambria Math" w:hAnsi="Cambria Math"/>
                                    <w:vertAlign w:val="baseline"/>
                                    <w:lang w:val="en-US" w:eastAsia="zh-CN"/>
                                  </w:rPr>
                                  <m:t>2</m:t>
                                </m:r>
                                <m:ctrlPr>
                                  <w:rPr>
                                    <w:rFonts w:ascii="Cambria Math" w:hAnsi="Cambria Math"/>
                                    <w:i/>
                                    <w:vertAlign w:val="baseline"/>
                                    <w:lang w:val="en-US"/>
                                  </w:rPr>
                                </m:ctrlPr>
                              </m:sup>
                            </m:sSup>
                            <m:ctrlPr>
                              <w:rPr>
                                <w:rFonts w:hint="default" w:ascii="Cambria Math" w:hAnsi="Cambria Math"/>
                                <w:i/>
                                <w:vertAlign w:val="baseline"/>
                                <w:lang w:val="en-US" w:eastAsia="zh-CN"/>
                              </w:rPr>
                            </m:ctrlPr>
                          </m:den>
                        </m:f>
                        <m:r>
                          <m:rPr/>
                          <w:rPr>
                            <w:rFonts w:hint="default" w:ascii="Cambria Math" w:hAnsi="Cambria Math"/>
                            <w:vertAlign w:val="baseline"/>
                            <w:lang w:val="en-US" w:eastAsia="zh-CN"/>
                          </w:rPr>
                          <m:t>+</m:t>
                        </m:r>
                        <m:f>
                          <m:fPr>
                            <m:ctrlPr>
                              <w:rPr>
                                <w:rFonts w:hint="default" w:ascii="Cambria Math" w:hAnsi="Cambria Math"/>
                                <w:i/>
                                <w:vertAlign w:val="baseline"/>
                                <w:lang w:val="en-US" w:eastAsia="zh-CN"/>
                              </w:rPr>
                            </m:ctrlPr>
                          </m:fPr>
                          <m:num>
                            <m:r>
                              <m:rPr/>
                              <w:rPr>
                                <w:rFonts w:hint="default" w:ascii="Cambria Math" w:hAnsi="Cambria Math"/>
                                <w:vertAlign w:val="baseline"/>
                                <w:lang w:val="en-US" w:eastAsia="zh-CN"/>
                              </w:rPr>
                              <m:t>4</m:t>
                            </m:r>
                            <m:ctrlPr>
                              <w:rPr>
                                <w:rFonts w:hint="default" w:ascii="Cambria Math" w:hAnsi="Cambria Math"/>
                                <w:i/>
                                <w:vertAlign w:val="baseline"/>
                                <w:lang w:val="en-US" w:eastAsia="zh-CN"/>
                              </w:rPr>
                            </m:ctrlPr>
                          </m:num>
                          <m:den>
                            <m:r>
                              <m:rPr/>
                              <w:rPr>
                                <w:rFonts w:hint="default" w:ascii="Cambria Math" w:hAnsi="Cambria Math"/>
                                <w:vertAlign w:val="baseline"/>
                                <w:lang w:val="en-US" w:eastAsia="zh-CN"/>
                              </w:rPr>
                              <m:t>R</m:t>
                            </m:r>
                            <m:ctrlPr>
                              <w:rPr>
                                <w:rFonts w:hint="default" w:ascii="Cambria Math" w:hAnsi="Cambria Math"/>
                                <w:i/>
                                <w:vertAlign w:val="baseline"/>
                                <w:lang w:val="en-US" w:eastAsia="zh-CN"/>
                              </w:rPr>
                            </m:ctrlPr>
                          </m:den>
                        </m:f>
                        <m:ctrlPr>
                          <w:rPr>
                            <w:rFonts w:hint="default" w:ascii="Cambria Math" w:hAnsi="Cambria Math"/>
                            <w:i/>
                            <w:vertAlign w:val="baseline"/>
                            <w:lang w:val="en-US" w:eastAsia="zh-CN"/>
                          </w:rPr>
                        </m:ctrlPr>
                      </m:e>
                    </m:d>
                    <m:ctrlPr>
                      <w:rPr>
                        <w:rFonts w:hint="default" w:ascii="Cambria Math" w:hAnsi="Cambria Math"/>
                        <w:i/>
                        <w:vertAlign w:val="baseline"/>
                        <w:lang w:val="en-US" w:eastAsia="zh-CN"/>
                      </w:rPr>
                    </m:ctrlPr>
                  </m:e>
                </m:func>
              </m:oMath>
            </m:oMathPara>
          </w:p>
          <w:p w14:paraId="60E81931">
            <w:pPr>
              <w:keepNext w:val="0"/>
              <w:keepLines w:val="0"/>
              <w:pageBreakBefore w:val="0"/>
              <w:widowControl w:val="0"/>
              <w:kinsoku/>
              <w:wordWrap/>
              <w:overflowPunct/>
              <w:topLinePunct w:val="0"/>
              <w:autoSpaceDE/>
              <w:autoSpaceDN/>
              <w:bidi w:val="0"/>
              <w:adjustRightInd w:val="0"/>
              <w:snapToGrid w:val="0"/>
              <w:textAlignment w:val="auto"/>
              <w:rPr>
                <w:rFonts w:hint="eastAsia"/>
                <w:vertAlign w:val="baseline"/>
                <w:lang w:val="en-US" w:eastAsia="zh-CN"/>
              </w:rPr>
            </w:pPr>
            <w:r>
              <w:rPr>
                <w:rFonts w:hint="eastAsia"/>
                <w:vertAlign w:val="baseline"/>
                <w:lang w:val="en-US" w:eastAsia="zh-CN"/>
              </w:rPr>
              <w:t>式中：</w:t>
            </w:r>
          </w:p>
          <w:p w14:paraId="64A381D9">
            <w:pPr>
              <w:keepNext w:val="0"/>
              <w:keepLines w:val="0"/>
              <w:pageBreakBefore w:val="0"/>
              <w:widowControl w:val="0"/>
              <w:kinsoku/>
              <w:wordWrap/>
              <w:overflowPunct/>
              <w:topLinePunct w:val="0"/>
              <w:autoSpaceDE/>
              <w:autoSpaceDN/>
              <w:bidi w:val="0"/>
              <w:adjustRightInd w:val="0"/>
              <w:snapToGrid w:val="0"/>
              <w:textAlignment w:val="auto"/>
              <w:rPr>
                <w:rFonts w:hint="default"/>
                <w:vertAlign w:val="baseline"/>
                <w:lang w:val="en-US" w:eastAsia="zh-CN"/>
              </w:rPr>
            </w:pPr>
            <w:r>
              <w:rPr>
                <w:rFonts w:hint="eastAsia"/>
                <w:lang w:val="en-US" w:eastAsia="zh-CN"/>
              </w:rPr>
              <w:t>L</w:t>
            </w:r>
            <w:r>
              <w:rPr>
                <w:rFonts w:hint="eastAsia"/>
                <w:vertAlign w:val="subscript"/>
                <w:lang w:val="en-US" w:eastAsia="zh-CN"/>
              </w:rPr>
              <w:t>p1</w:t>
            </w:r>
            <w:r>
              <w:rPr>
                <w:rFonts w:hint="eastAsia"/>
                <w:vertAlign w:val="baseline"/>
                <w:lang w:val="en-US" w:eastAsia="zh-CN"/>
              </w:rPr>
              <w:t>—靠近开口处（或窗户）室内某倍频带的声压级或A声级，dB；</w:t>
            </w:r>
          </w:p>
          <w:p w14:paraId="162C7896">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L</w:t>
            </w:r>
            <w:r>
              <w:rPr>
                <w:rFonts w:hint="default" w:ascii="Times New Roman" w:hAnsi="Times New Roman" w:eastAsia="清雅楷书" w:cs="Times New Roman"/>
                <w:vertAlign w:val="subscript"/>
                <w:lang w:val="en-US" w:eastAsia="zh-CN"/>
              </w:rPr>
              <w:t>w</w:t>
            </w:r>
            <w:r>
              <w:rPr>
                <w:rFonts w:hint="eastAsia"/>
                <w:vertAlign w:val="baseline"/>
                <w:lang w:val="en-US" w:eastAsia="zh-CN"/>
              </w:rPr>
              <w:t>—靠近开口处（或窗户）室内某倍频带的声压级或A声级，dB；</w:t>
            </w:r>
          </w:p>
          <w:p w14:paraId="05059344">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Q—指向性因数，通常对无指向性声源，当声源放在房间中心时，Q=1；当放在一面墙的中心时，Q=2；当放在两面墙夹角处时，Q=4；当放在三面墙夹角处时，Q=8；</w:t>
            </w:r>
          </w:p>
          <w:p w14:paraId="017FC378">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R—房间常数，R=Sa/（1-a），S为房间内表面面积，m</w:t>
            </w:r>
            <w:r>
              <w:rPr>
                <w:rFonts w:hint="eastAsia"/>
                <w:vertAlign w:val="superscript"/>
                <w:lang w:val="en-US" w:eastAsia="zh-CN"/>
              </w:rPr>
              <w:t>2</w:t>
            </w:r>
            <w:r>
              <w:rPr>
                <w:rFonts w:hint="eastAsia"/>
                <w:lang w:val="en-US" w:eastAsia="zh-CN"/>
              </w:rPr>
              <w:t>；a为平均吸声系数；</w:t>
            </w:r>
          </w:p>
          <w:p w14:paraId="56714316">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r—声源到靠近围护结构某点处的距离，m。</w:t>
            </w:r>
          </w:p>
          <w:p w14:paraId="2FFCEFA9">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③户外声传播衰减公式</w:t>
            </w:r>
          </w:p>
          <w:p w14:paraId="376352EC">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lang w:val="en-US" w:eastAsia="zh-CN"/>
              </w:rPr>
            </w:pPr>
            <m:oMathPara>
              <m:oMath>
                <m:sSub>
                  <m:sSubPr>
                    <m:ctrlPr>
                      <w:rPr>
                        <w:rFonts w:ascii="Cambria Math" w:hAnsi="Cambria Math"/>
                        <w:i/>
                        <w:lang w:val="en-US"/>
                      </w:rPr>
                    </m:ctrlPr>
                  </m:sSubPr>
                  <m:e>
                    <m:r>
                      <m:rPr/>
                      <w:rPr>
                        <w:rFonts w:hint="default" w:ascii="Cambria Math" w:hAnsi="Cambria Math"/>
                        <w:lang w:val="en-US" w:eastAsia="zh-CN"/>
                      </w:rPr>
                      <m:t>L</m:t>
                    </m:r>
                    <m:ctrlPr>
                      <w:rPr>
                        <w:rFonts w:ascii="Cambria Math" w:hAnsi="Cambria Math"/>
                        <w:i/>
                        <w:lang w:val="en-US"/>
                      </w:rPr>
                    </m:ctrlPr>
                  </m:e>
                  <m:sub>
                    <m:r>
                      <m:rPr/>
                      <w:rPr>
                        <w:rFonts w:hint="default" w:ascii="Cambria Math" w:hAnsi="Cambria Math"/>
                        <w:lang w:val="en-US" w:eastAsia="zh-CN"/>
                      </w:rPr>
                      <m:t>p</m:t>
                    </m:r>
                    <m:ctrlPr>
                      <w:rPr>
                        <w:rFonts w:ascii="Cambria Math" w:hAnsi="Cambria Math"/>
                        <w:i/>
                        <w:lang w:val="en-US"/>
                      </w:rPr>
                    </m:ctrlPr>
                  </m:sub>
                </m:sSub>
                <m:d>
                  <m:dPr>
                    <m:ctrlPr>
                      <w:rPr>
                        <w:rFonts w:ascii="Cambria Math" w:hAnsi="Cambria Math"/>
                        <w:i/>
                        <w:lang w:val="en-US"/>
                      </w:rPr>
                    </m:ctrlPr>
                  </m:dPr>
                  <m:e>
                    <m:r>
                      <m:rPr/>
                      <w:rPr>
                        <w:rFonts w:hint="default" w:ascii="Cambria Math" w:hAnsi="Cambria Math"/>
                        <w:lang w:val="en-US" w:eastAsia="zh-CN"/>
                      </w:rPr>
                      <m:t>r</m:t>
                    </m:r>
                    <m:ctrlPr>
                      <w:rPr>
                        <w:rFonts w:ascii="Cambria Math" w:hAnsi="Cambria Math"/>
                        <w:i/>
                        <w:lang w:val="en-US"/>
                      </w:rPr>
                    </m:ctrlPr>
                  </m:e>
                </m:d>
                <m:r>
                  <m:rPr/>
                  <w:rPr>
                    <w:rFonts w:hint="default" w:ascii="Cambria Math" w:hAnsi="Cambria Math"/>
                    <w:lang w:val="en-US" w:eastAsia="zh-CN"/>
                  </w:rPr>
                  <m:t>=</m:t>
                </m:r>
                <m:sSub>
                  <m:sSubPr>
                    <m:ctrlPr>
                      <w:rPr>
                        <w:rFonts w:hint="default" w:ascii="Cambria Math" w:hAnsi="Cambria Math"/>
                        <w:i/>
                        <w:lang w:val="en-US" w:eastAsia="zh-CN"/>
                      </w:rPr>
                    </m:ctrlPr>
                  </m:sSubPr>
                  <m:e>
                    <m:r>
                      <m:rPr/>
                      <w:rPr>
                        <w:rFonts w:hint="default" w:ascii="Cambria Math" w:hAnsi="Cambria Math"/>
                        <w:lang w:val="en-US" w:eastAsia="zh-CN"/>
                      </w:rPr>
                      <m:t>L</m:t>
                    </m:r>
                    <m:ctrlPr>
                      <w:rPr>
                        <w:rFonts w:hint="default" w:ascii="Cambria Math" w:hAnsi="Cambria Math"/>
                        <w:i/>
                        <w:lang w:val="en-US" w:eastAsia="zh-CN"/>
                      </w:rPr>
                    </m:ctrlPr>
                  </m:e>
                  <m:sub>
                    <m:r>
                      <m:rPr/>
                      <w:rPr>
                        <w:rFonts w:hint="default" w:ascii="Cambria Math" w:hAnsi="Cambria Math"/>
                        <w:lang w:val="en-US" w:eastAsia="zh-CN"/>
                      </w:rPr>
                      <m:t>p</m:t>
                    </m:r>
                    <m:ctrlPr>
                      <w:rPr>
                        <w:rFonts w:hint="default" w:ascii="Cambria Math" w:hAnsi="Cambria Math"/>
                        <w:i/>
                        <w:lang w:val="en-US" w:eastAsia="zh-CN"/>
                      </w:rPr>
                    </m:ctrlPr>
                  </m:sub>
                </m:sSub>
                <m:d>
                  <m:dPr>
                    <m:ctrlPr>
                      <w:rPr>
                        <w:rFonts w:hint="default" w:ascii="Cambria Math" w:hAnsi="Cambria Math"/>
                        <w:i/>
                        <w:lang w:val="en-US" w:eastAsia="zh-CN"/>
                      </w:rPr>
                    </m:ctrlPr>
                  </m:dPr>
                  <m:e>
                    <m:sSub>
                      <m:sSubPr>
                        <m:ctrlPr>
                          <w:rPr>
                            <w:rFonts w:hint="default" w:ascii="Cambria Math" w:hAnsi="Cambria Math"/>
                            <w:i/>
                            <w:lang w:val="en-US" w:eastAsia="zh-CN"/>
                          </w:rPr>
                        </m:ctrlPr>
                      </m:sSubPr>
                      <m:e>
                        <m:r>
                          <m:rPr/>
                          <w:rPr>
                            <w:rFonts w:hint="default" w:ascii="Cambria Math" w:hAnsi="Cambria Math"/>
                            <w:lang w:val="en-US" w:eastAsia="zh-CN"/>
                          </w:rPr>
                          <m:t>r</m:t>
                        </m:r>
                        <m:ctrlPr>
                          <w:rPr>
                            <w:rFonts w:hint="default" w:ascii="Cambria Math" w:hAnsi="Cambria Math"/>
                            <w:i/>
                            <w:lang w:val="en-US" w:eastAsia="zh-CN"/>
                          </w:rPr>
                        </m:ctrlPr>
                      </m:e>
                      <m:sub>
                        <m:r>
                          <m:rPr/>
                          <w:rPr>
                            <w:rFonts w:hint="default" w:ascii="Cambria Math" w:hAnsi="Cambria Math"/>
                            <w:lang w:val="en-US" w:eastAsia="zh-CN"/>
                          </w:rPr>
                          <m:t>0</m:t>
                        </m:r>
                        <m:ctrlPr>
                          <w:rPr>
                            <w:rFonts w:hint="default" w:ascii="Cambria Math" w:hAnsi="Cambria Math"/>
                            <w:i/>
                            <w:lang w:val="en-US" w:eastAsia="zh-CN"/>
                          </w:rPr>
                        </m:ctrlPr>
                      </m:sub>
                    </m:sSub>
                    <m:ctrlPr>
                      <w:rPr>
                        <w:rFonts w:hint="default" w:ascii="Cambria Math" w:hAnsi="Cambria Math"/>
                        <w:i/>
                        <w:lang w:val="en-US" w:eastAsia="zh-CN"/>
                      </w:rPr>
                    </m:ctrlPr>
                  </m:e>
                </m:d>
                <m:r>
                  <m:rPr/>
                  <w:rPr>
                    <w:rFonts w:hint="default" w:ascii="Cambria Math" w:hAnsi="Cambria Math"/>
                    <w:lang w:val="en-US" w:eastAsia="zh-CN"/>
                  </w:rPr>
                  <m:t>−20</m:t>
                </m:r>
                <m:func>
                  <m:funcPr>
                    <m:ctrlPr>
                      <w:rPr>
                        <w:rFonts w:hint="default" w:ascii="Cambria Math" w:hAnsi="Cambria Math"/>
                        <w:lang w:val="en-US" w:eastAsia="zh-CN"/>
                      </w:rPr>
                    </m:ctrlPr>
                  </m:funcPr>
                  <m:fName>
                    <m:r>
                      <m:rPr>
                        <m:sty m:val="p"/>
                      </m:rPr>
                      <w:rPr>
                        <w:rFonts w:ascii="Cambria Math" w:hAnsi="Cambria Math"/>
                        <w:lang w:val="en-US"/>
                      </w:rPr>
                      <m:t>lg</m:t>
                    </m:r>
                    <m:ctrlPr>
                      <w:rPr>
                        <w:rFonts w:hint="default" w:ascii="Cambria Math" w:hAnsi="Cambria Math"/>
                        <w:i/>
                        <w:lang w:val="en-US" w:eastAsia="zh-CN"/>
                      </w:rPr>
                    </m:ctrlPr>
                  </m:fName>
                  <m:e>
                    <m:d>
                      <m:dPr>
                        <m:ctrlPr>
                          <w:rPr>
                            <w:rFonts w:hint="default" w:ascii="Cambria Math" w:hAnsi="Cambria Math"/>
                            <w:i/>
                            <w:lang w:val="en-US" w:eastAsia="zh-CN"/>
                          </w:rPr>
                        </m:ctrlPr>
                      </m:dPr>
                      <m:e>
                        <m:f>
                          <m:fPr>
                            <m:type m:val="skw"/>
                            <m:ctrlPr>
                              <w:rPr>
                                <w:rFonts w:hint="default" w:ascii="Cambria Math" w:hAnsi="Cambria Math"/>
                                <w:i/>
                                <w:lang w:val="en-US" w:eastAsia="zh-CN"/>
                              </w:rPr>
                            </m:ctrlPr>
                          </m:fPr>
                          <m:num>
                            <m:r>
                              <m:rPr/>
                              <w:rPr>
                                <w:rFonts w:hint="default" w:ascii="Cambria Math" w:hAnsi="Cambria Math"/>
                                <w:lang w:val="en-US" w:eastAsia="zh-CN"/>
                              </w:rPr>
                              <m:t>r</m:t>
                            </m:r>
                            <m:ctrlPr>
                              <w:rPr>
                                <w:rFonts w:hint="default" w:ascii="Cambria Math" w:hAnsi="Cambria Math"/>
                                <w:i/>
                                <w:lang w:val="en-US" w:eastAsia="zh-CN"/>
                              </w:rPr>
                            </m:ctrlPr>
                          </m:num>
                          <m:den>
                            <m:sSub>
                              <m:sSubPr>
                                <m:ctrlPr>
                                  <w:rPr>
                                    <w:rFonts w:hint="default" w:ascii="Cambria Math" w:hAnsi="Cambria Math"/>
                                    <w:i/>
                                    <w:lang w:val="en-US" w:eastAsia="zh-CN"/>
                                  </w:rPr>
                                </m:ctrlPr>
                              </m:sSubPr>
                              <m:e>
                                <m:r>
                                  <m:rPr/>
                                  <w:rPr>
                                    <w:rFonts w:hint="default" w:ascii="Cambria Math" w:hAnsi="Cambria Math"/>
                                    <w:lang w:val="en-US" w:eastAsia="zh-CN"/>
                                  </w:rPr>
                                  <m:t>r</m:t>
                                </m:r>
                                <m:ctrlPr>
                                  <w:rPr>
                                    <w:rFonts w:hint="default" w:ascii="Cambria Math" w:hAnsi="Cambria Math"/>
                                    <w:i/>
                                    <w:lang w:val="en-US" w:eastAsia="zh-CN"/>
                                  </w:rPr>
                                </m:ctrlPr>
                              </m:e>
                              <m:sub>
                                <m:r>
                                  <m:rPr/>
                                  <w:rPr>
                                    <w:rFonts w:hint="default" w:ascii="Cambria Math" w:hAnsi="Cambria Math"/>
                                    <w:lang w:val="en-US" w:eastAsia="zh-CN"/>
                                  </w:rPr>
                                  <m:t>0</m:t>
                                </m:r>
                                <m:ctrlPr>
                                  <w:rPr>
                                    <w:rFonts w:hint="default" w:ascii="Cambria Math" w:hAnsi="Cambria Math"/>
                                    <w:i/>
                                    <w:lang w:val="en-US" w:eastAsia="zh-CN"/>
                                  </w:rPr>
                                </m:ctrlPr>
                              </m:sub>
                            </m:sSub>
                            <m:ctrlPr>
                              <w:rPr>
                                <w:rFonts w:hint="default" w:ascii="Cambria Math" w:hAnsi="Cambria Math"/>
                                <w:i/>
                                <w:lang w:val="en-US" w:eastAsia="zh-CN"/>
                              </w:rPr>
                            </m:ctrlPr>
                          </m:den>
                        </m:f>
                        <m:ctrlPr>
                          <w:rPr>
                            <w:rFonts w:hint="default" w:ascii="Cambria Math" w:hAnsi="Cambria Math"/>
                            <w:i/>
                            <w:lang w:val="en-US" w:eastAsia="zh-CN"/>
                          </w:rPr>
                        </m:ctrlPr>
                      </m:e>
                    </m:d>
                    <m:ctrlPr>
                      <w:rPr>
                        <w:rFonts w:hint="default" w:ascii="Cambria Math" w:hAnsi="Cambria Math"/>
                        <w:i/>
                        <w:lang w:val="en-US" w:eastAsia="zh-CN"/>
                      </w:rPr>
                    </m:ctrlPr>
                  </m:e>
                </m:func>
              </m:oMath>
            </m:oMathPara>
          </w:p>
          <w:p w14:paraId="4404A076">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式中：</w:t>
            </w:r>
          </w:p>
          <w:p w14:paraId="25C7DF9D">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val="en-US" w:eastAsia="zh-CN"/>
              </w:rPr>
            </w:pPr>
            <m:oMath>
              <m:sSub>
                <m:sSubPr>
                  <m:ctrlPr>
                    <w:rPr>
                      <w:rFonts w:ascii="Cambria Math" w:hAnsi="Cambria Math"/>
                      <w:i/>
                      <w:lang w:val="en-US"/>
                    </w:rPr>
                  </m:ctrlPr>
                </m:sSubPr>
                <m:e>
                  <m:r>
                    <m:rPr/>
                    <w:rPr>
                      <w:rFonts w:hint="default" w:ascii="Cambria Math" w:hAnsi="Cambria Math"/>
                      <w:lang w:val="en-US" w:eastAsia="zh-CN"/>
                    </w:rPr>
                    <m:t>L</m:t>
                  </m:r>
                  <m:ctrlPr>
                    <w:rPr>
                      <w:rFonts w:ascii="Cambria Math" w:hAnsi="Cambria Math"/>
                      <w:i/>
                      <w:lang w:val="en-US"/>
                    </w:rPr>
                  </m:ctrlPr>
                </m:e>
                <m:sub>
                  <m:r>
                    <m:rPr/>
                    <w:rPr>
                      <w:rFonts w:hint="default" w:ascii="Cambria Math" w:hAnsi="Cambria Math"/>
                      <w:lang w:val="en-US" w:eastAsia="zh-CN"/>
                    </w:rPr>
                    <m:t>p</m:t>
                  </m:r>
                  <m:ctrlPr>
                    <w:rPr>
                      <w:rFonts w:ascii="Cambria Math" w:hAnsi="Cambria Math"/>
                      <w:i/>
                      <w:lang w:val="en-US"/>
                    </w:rPr>
                  </m:ctrlPr>
                </m:sub>
              </m:sSub>
              <m:d>
                <m:dPr>
                  <m:ctrlPr>
                    <w:rPr>
                      <w:rFonts w:ascii="Cambria Math" w:hAnsi="Cambria Math"/>
                      <w:i/>
                      <w:lang w:val="en-US"/>
                    </w:rPr>
                  </m:ctrlPr>
                </m:dPr>
                <m:e>
                  <m:r>
                    <m:rPr/>
                    <w:rPr>
                      <w:rFonts w:hint="default" w:ascii="Cambria Math" w:hAnsi="Cambria Math"/>
                      <w:lang w:val="en-US" w:eastAsia="zh-CN"/>
                    </w:rPr>
                    <m:t>r</m:t>
                  </m:r>
                  <m:ctrlPr>
                    <w:rPr>
                      <w:rFonts w:ascii="Cambria Math" w:hAnsi="Cambria Math"/>
                      <w:i/>
                      <w:lang w:val="en-US"/>
                    </w:rPr>
                  </m:ctrlPr>
                </m:e>
              </m:d>
            </m:oMath>
            <w:r>
              <w:rPr>
                <w:rFonts w:hint="eastAsia" w:hAnsi="Cambria Math"/>
                <w:i w:val="0"/>
                <w:lang w:val="en-US" w:eastAsia="zh-CN"/>
              </w:rPr>
              <w:t>—预测点处声压级，</w:t>
            </w:r>
            <w:r>
              <w:rPr>
                <w:rFonts w:hint="eastAsia"/>
                <w:vertAlign w:val="baseline"/>
                <w:lang w:val="en-US" w:eastAsia="zh-CN"/>
              </w:rPr>
              <w:t>dB；</w:t>
            </w:r>
          </w:p>
          <w:p w14:paraId="593C80C0">
            <w:pPr>
              <w:keepNext w:val="0"/>
              <w:keepLines w:val="0"/>
              <w:pageBreakBefore w:val="0"/>
              <w:widowControl w:val="0"/>
              <w:kinsoku/>
              <w:wordWrap/>
              <w:overflowPunct/>
              <w:topLinePunct w:val="0"/>
              <w:autoSpaceDE/>
              <w:autoSpaceDN/>
              <w:bidi w:val="0"/>
              <w:adjustRightInd w:val="0"/>
              <w:snapToGrid w:val="0"/>
              <w:textAlignment w:val="auto"/>
              <w:rPr>
                <w:rFonts w:hint="eastAsia"/>
                <w:vertAlign w:val="baseline"/>
                <w:lang w:val="en-US" w:eastAsia="zh-CN"/>
              </w:rPr>
            </w:pPr>
            <m:oMath>
              <m:sSub>
                <m:sSubPr>
                  <m:ctrlPr>
                    <w:rPr>
                      <w:rFonts w:hint="default" w:ascii="Cambria Math" w:hAnsi="Cambria Math"/>
                      <w:i/>
                      <w:lang w:val="en-US" w:eastAsia="zh-CN"/>
                    </w:rPr>
                  </m:ctrlPr>
                </m:sSubPr>
                <m:e>
                  <m:r>
                    <m:rPr/>
                    <w:rPr>
                      <w:rFonts w:hint="default" w:ascii="Cambria Math" w:hAnsi="Cambria Math"/>
                      <w:lang w:val="en-US" w:eastAsia="zh-CN"/>
                    </w:rPr>
                    <m:t>L</m:t>
                  </m:r>
                  <m:ctrlPr>
                    <w:rPr>
                      <w:rFonts w:hint="default" w:ascii="Cambria Math" w:hAnsi="Cambria Math"/>
                      <w:i/>
                      <w:lang w:val="en-US" w:eastAsia="zh-CN"/>
                    </w:rPr>
                  </m:ctrlPr>
                </m:e>
                <m:sub>
                  <m:r>
                    <m:rPr/>
                    <w:rPr>
                      <w:rFonts w:hint="default" w:ascii="Cambria Math" w:hAnsi="Cambria Math"/>
                      <w:lang w:val="en-US" w:eastAsia="zh-CN"/>
                    </w:rPr>
                    <m:t>p</m:t>
                  </m:r>
                  <m:ctrlPr>
                    <w:rPr>
                      <w:rFonts w:hint="default" w:ascii="Cambria Math" w:hAnsi="Cambria Math"/>
                      <w:i/>
                      <w:lang w:val="en-US" w:eastAsia="zh-CN"/>
                    </w:rPr>
                  </m:ctrlPr>
                </m:sub>
              </m:sSub>
              <m:d>
                <m:dPr>
                  <m:ctrlPr>
                    <w:rPr>
                      <w:rFonts w:hint="default" w:ascii="Cambria Math" w:hAnsi="Cambria Math"/>
                      <w:i/>
                      <w:lang w:val="en-US" w:eastAsia="zh-CN"/>
                    </w:rPr>
                  </m:ctrlPr>
                </m:dPr>
                <m:e>
                  <m:sSub>
                    <m:sSubPr>
                      <m:ctrlPr>
                        <w:rPr>
                          <w:rFonts w:hint="default" w:ascii="Cambria Math" w:hAnsi="Cambria Math"/>
                          <w:i/>
                          <w:lang w:val="en-US" w:eastAsia="zh-CN"/>
                        </w:rPr>
                      </m:ctrlPr>
                    </m:sSubPr>
                    <m:e>
                      <m:r>
                        <m:rPr/>
                        <w:rPr>
                          <w:rFonts w:hint="default" w:ascii="Cambria Math" w:hAnsi="Cambria Math"/>
                          <w:lang w:val="en-US" w:eastAsia="zh-CN"/>
                        </w:rPr>
                        <m:t>r</m:t>
                      </m:r>
                      <m:ctrlPr>
                        <w:rPr>
                          <w:rFonts w:hint="default" w:ascii="Cambria Math" w:hAnsi="Cambria Math"/>
                          <w:i/>
                          <w:lang w:val="en-US" w:eastAsia="zh-CN"/>
                        </w:rPr>
                      </m:ctrlPr>
                    </m:e>
                    <m:sub>
                      <m:r>
                        <m:rPr/>
                        <w:rPr>
                          <w:rFonts w:hint="default" w:ascii="Cambria Math" w:hAnsi="Cambria Math"/>
                          <w:lang w:val="en-US" w:eastAsia="zh-CN"/>
                        </w:rPr>
                        <m:t>0</m:t>
                      </m:r>
                      <m:ctrlPr>
                        <w:rPr>
                          <w:rFonts w:hint="default" w:ascii="Cambria Math" w:hAnsi="Cambria Math"/>
                          <w:i/>
                          <w:lang w:val="en-US" w:eastAsia="zh-CN"/>
                        </w:rPr>
                      </m:ctrlPr>
                    </m:sub>
                  </m:sSub>
                  <m:ctrlPr>
                    <w:rPr>
                      <w:rFonts w:hint="default" w:ascii="Cambria Math" w:hAnsi="Cambria Math"/>
                      <w:i/>
                      <w:lang w:val="en-US" w:eastAsia="zh-CN"/>
                    </w:rPr>
                  </m:ctrlPr>
                </m:e>
              </m:d>
            </m:oMath>
            <w:r>
              <w:rPr>
                <w:rFonts w:hint="eastAsia" w:hAnsi="Cambria Math"/>
                <w:i w:val="0"/>
                <w:lang w:val="en-US" w:eastAsia="zh-CN"/>
              </w:rPr>
              <w:t>—参考位置𝑟</w:t>
            </w:r>
            <w:r>
              <w:rPr>
                <w:rFonts w:hint="eastAsia" w:hAnsi="Cambria Math"/>
                <w:i w:val="0"/>
                <w:vertAlign w:val="subscript"/>
                <w:lang w:val="en-US" w:eastAsia="zh-CN"/>
              </w:rPr>
              <w:t>0</w:t>
            </w:r>
            <w:r>
              <w:rPr>
                <w:rFonts w:hint="eastAsia" w:hAnsi="Cambria Math"/>
                <w:i w:val="0"/>
                <w:lang w:val="en-US" w:eastAsia="zh-CN"/>
              </w:rPr>
              <w:t>处的声压级，</w:t>
            </w:r>
            <w:r>
              <w:rPr>
                <w:rFonts w:hint="eastAsia"/>
                <w:vertAlign w:val="baseline"/>
                <w:lang w:val="en-US" w:eastAsia="zh-CN"/>
              </w:rPr>
              <w:t>dB；</w:t>
            </w:r>
          </w:p>
          <w:p w14:paraId="4556D622">
            <w:pPr>
              <w:keepNext w:val="0"/>
              <w:keepLines w:val="0"/>
              <w:pageBreakBefore w:val="0"/>
              <w:widowControl w:val="0"/>
              <w:kinsoku/>
              <w:wordWrap/>
              <w:overflowPunct/>
              <w:topLinePunct w:val="0"/>
              <w:autoSpaceDE/>
              <w:autoSpaceDN/>
              <w:bidi w:val="0"/>
              <w:adjustRightInd w:val="0"/>
              <w:snapToGrid w:val="0"/>
              <w:textAlignment w:val="auto"/>
              <w:rPr>
                <w:rFonts w:hint="eastAsia"/>
                <w:vertAlign w:val="baseline"/>
                <w:lang w:val="en-US" w:eastAsia="zh-CN"/>
              </w:rPr>
            </w:pPr>
            <w:r>
              <w:rPr>
                <w:rFonts w:hint="eastAsia"/>
                <w:vertAlign w:val="baseline"/>
                <w:lang w:val="en-US" w:eastAsia="zh-CN"/>
              </w:rPr>
              <w:t>r—预测点距离声源的距离，m；</w:t>
            </w:r>
          </w:p>
          <w:p w14:paraId="0EFB7F64">
            <w:pPr>
              <w:keepNext w:val="0"/>
              <w:keepLines w:val="0"/>
              <w:pageBreakBefore w:val="0"/>
              <w:widowControl w:val="0"/>
              <w:kinsoku/>
              <w:wordWrap/>
              <w:overflowPunct/>
              <w:topLinePunct w:val="0"/>
              <w:autoSpaceDE/>
              <w:autoSpaceDN/>
              <w:bidi w:val="0"/>
              <w:adjustRightInd w:val="0"/>
              <w:snapToGrid w:val="0"/>
              <w:textAlignment w:val="auto"/>
              <w:rPr>
                <w:rFonts w:hint="eastAsia"/>
                <w:vertAlign w:val="baseline"/>
                <w:lang w:val="en-US" w:eastAsia="zh-CN"/>
              </w:rPr>
            </w:pPr>
            <w:r>
              <w:rPr>
                <w:rFonts w:hint="eastAsia"/>
                <w:vertAlign w:val="baseline"/>
                <w:lang w:val="en-US" w:eastAsia="zh-CN"/>
              </w:rPr>
              <w:t>r</w:t>
            </w:r>
            <w:r>
              <w:rPr>
                <w:rFonts w:hint="eastAsia"/>
                <w:vertAlign w:val="subscript"/>
                <w:lang w:val="en-US" w:eastAsia="zh-CN"/>
              </w:rPr>
              <w:t>0</w:t>
            </w:r>
            <w:r>
              <w:rPr>
                <w:rFonts w:hint="eastAsia"/>
                <w:vertAlign w:val="baseline"/>
                <w:lang w:val="en-US" w:eastAsia="zh-CN"/>
              </w:rPr>
              <w:t>—参考位置距离声源的距离，1m。</w:t>
            </w:r>
          </w:p>
          <w:p w14:paraId="51DF9692">
            <w:pPr>
              <w:keepNext w:val="0"/>
              <w:keepLines w:val="0"/>
              <w:pageBreakBefore w:val="0"/>
              <w:widowControl w:val="0"/>
              <w:kinsoku/>
              <w:wordWrap/>
              <w:overflowPunct/>
              <w:topLinePunct w:val="0"/>
              <w:autoSpaceDE/>
              <w:autoSpaceDN/>
              <w:bidi w:val="0"/>
              <w:adjustRightInd w:val="0"/>
              <w:snapToGrid w:val="0"/>
              <w:textAlignment w:val="auto"/>
              <w:rPr>
                <w:rFonts w:hint="eastAsia"/>
                <w:vertAlign w:val="baseline"/>
                <w:lang w:val="en-US" w:eastAsia="zh-CN"/>
              </w:rPr>
            </w:pPr>
            <w:r>
              <w:rPr>
                <w:rFonts w:hint="eastAsia"/>
                <w:vertAlign w:val="baseline"/>
                <w:lang w:val="en-US" w:eastAsia="zh-CN"/>
              </w:rPr>
              <w:t>④噪声源对预测点产生的贡献值公式</w:t>
            </w:r>
          </w:p>
          <w:p w14:paraId="5E73581C">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vertAlign w:val="baseline"/>
                <w:lang w:val="en-US" w:eastAsia="zh-CN"/>
              </w:rPr>
            </w:pPr>
            <m:oMathPara>
              <m:oMath>
                <m:sSub>
                  <m:sSubPr>
                    <m:ctrlPr>
                      <w:rPr>
                        <w:rFonts w:ascii="Cambria Math" w:hAnsi="Cambria Math"/>
                        <w:i/>
                        <w:vertAlign w:val="baseline"/>
                        <w:lang w:val="en-US"/>
                      </w:rPr>
                    </m:ctrlPr>
                  </m:sSubPr>
                  <m:e>
                    <m:r>
                      <m:rPr/>
                      <w:rPr>
                        <w:rFonts w:hint="default" w:ascii="Cambria Math" w:hAnsi="Cambria Math"/>
                        <w:vertAlign w:val="baseline"/>
                        <w:lang w:val="en-US" w:eastAsia="zh-CN"/>
                      </w:rPr>
                      <m:t>L</m:t>
                    </m:r>
                    <m:ctrlPr>
                      <w:rPr>
                        <w:rFonts w:ascii="Cambria Math" w:hAnsi="Cambria Math"/>
                        <w:i/>
                        <w:vertAlign w:val="baseline"/>
                        <w:lang w:val="en-US"/>
                      </w:rPr>
                    </m:ctrlPr>
                  </m:e>
                  <m:sub>
                    <m:r>
                      <m:rPr/>
                      <w:rPr>
                        <w:rFonts w:hint="default" w:ascii="Cambria Math" w:hAnsi="Cambria Math"/>
                        <w:vertAlign w:val="baseline"/>
                        <w:lang w:val="en-US" w:eastAsia="zh-CN"/>
                      </w:rPr>
                      <m:t>eqg</m:t>
                    </m:r>
                    <m:ctrlPr>
                      <w:rPr>
                        <w:rFonts w:ascii="Cambria Math" w:hAnsi="Cambria Math"/>
                        <w:i/>
                        <w:vertAlign w:val="baseline"/>
                        <w:lang w:val="en-US"/>
                      </w:rPr>
                    </m:ctrlPr>
                  </m:sub>
                </m:sSub>
                <m:r>
                  <m:rPr/>
                  <w:rPr>
                    <w:rFonts w:hint="default" w:ascii="Cambria Math" w:hAnsi="Cambria Math"/>
                    <w:vertAlign w:val="baseline"/>
                    <w:lang w:val="en-US" w:eastAsia="zh-CN"/>
                  </w:rPr>
                  <m:t>=10</m:t>
                </m:r>
                <m:func>
                  <m:funcPr>
                    <m:ctrlPr>
                      <w:rPr>
                        <w:rFonts w:hint="default" w:ascii="Cambria Math" w:hAnsi="Cambria Math"/>
                        <w:vertAlign w:val="baseline"/>
                        <w:lang w:val="en-US" w:eastAsia="zh-CN"/>
                      </w:rPr>
                    </m:ctrlPr>
                  </m:funcPr>
                  <m:fName>
                    <m:r>
                      <m:rPr>
                        <m:sty m:val="p"/>
                      </m:rPr>
                      <w:rPr>
                        <w:rFonts w:ascii="Cambria Math" w:hAnsi="Cambria Math"/>
                        <w:vertAlign w:val="baseline"/>
                        <w:lang w:val="en-US"/>
                      </w:rPr>
                      <m:t>lg</m:t>
                    </m:r>
                    <m:ctrlPr>
                      <w:rPr>
                        <w:rFonts w:hint="default" w:ascii="Cambria Math" w:hAnsi="Cambria Math"/>
                        <w:i/>
                        <w:vertAlign w:val="baseline"/>
                        <w:lang w:val="en-US" w:eastAsia="zh-CN"/>
                      </w:rPr>
                    </m:ctrlPr>
                  </m:fName>
                  <m:e>
                    <m:d>
                      <m:dPr>
                        <m:begChr m:val="["/>
                        <m:endChr m:val="]"/>
                        <m:ctrlPr>
                          <w:rPr>
                            <w:rFonts w:hint="default" w:ascii="Cambria Math" w:hAnsi="Cambria Math"/>
                            <w:i/>
                            <w:vertAlign w:val="baseline"/>
                            <w:lang w:val="en-US" w:eastAsia="zh-CN"/>
                          </w:rPr>
                        </m:ctrlPr>
                      </m:dPr>
                      <m:e>
                        <m:f>
                          <m:fPr>
                            <m:ctrlPr>
                              <w:rPr>
                                <w:rFonts w:hint="default" w:ascii="Cambria Math" w:hAnsi="Cambria Math"/>
                                <w:i/>
                                <w:vertAlign w:val="baseline"/>
                                <w:lang w:val="en-US" w:eastAsia="zh-CN"/>
                              </w:rPr>
                            </m:ctrlPr>
                          </m:fPr>
                          <m:num>
                            <m:r>
                              <m:rPr/>
                              <w:rPr>
                                <w:rFonts w:hint="default" w:ascii="Cambria Math" w:hAnsi="Cambria Math"/>
                                <w:vertAlign w:val="baseline"/>
                                <w:lang w:val="en-US" w:eastAsia="zh-CN"/>
                              </w:rPr>
                              <m:t>1</m:t>
                            </m:r>
                            <m:ctrlPr>
                              <w:rPr>
                                <w:rFonts w:hint="default" w:ascii="Cambria Math" w:hAnsi="Cambria Math"/>
                                <w:i/>
                                <w:vertAlign w:val="baseline"/>
                                <w:lang w:val="en-US" w:eastAsia="zh-CN"/>
                              </w:rPr>
                            </m:ctrlPr>
                          </m:num>
                          <m:den>
                            <m:r>
                              <m:rPr/>
                              <w:rPr>
                                <w:rFonts w:hint="default" w:ascii="Cambria Math" w:hAnsi="Cambria Math"/>
                                <w:vertAlign w:val="baseline"/>
                                <w:lang w:val="en-US" w:eastAsia="zh-CN"/>
                              </w:rPr>
                              <m:t>T</m:t>
                            </m:r>
                            <m:ctrlPr>
                              <w:rPr>
                                <w:rFonts w:hint="default" w:ascii="Cambria Math" w:hAnsi="Cambria Math"/>
                                <w:i/>
                                <w:vertAlign w:val="baseline"/>
                                <w:lang w:val="en-US" w:eastAsia="zh-CN"/>
                              </w:rPr>
                            </m:ctrlPr>
                          </m:den>
                        </m:f>
                        <m:d>
                          <m:dPr>
                            <m:ctrlPr>
                              <w:rPr>
                                <w:rFonts w:hint="default" w:ascii="Cambria Math" w:hAnsi="Cambria Math"/>
                                <w:i/>
                                <w:vertAlign w:val="baseline"/>
                                <w:lang w:val="en-US" w:eastAsia="zh-CN"/>
                              </w:rPr>
                            </m:ctrlPr>
                          </m:dPr>
                          <m:e>
                            <m:nary>
                              <m:naryPr>
                                <m:chr m:val="∑"/>
                                <m:limLoc m:val="undOvr"/>
                                <m:ctrlPr>
                                  <w:rPr>
                                    <w:rFonts w:hint="default" w:ascii="Cambria Math" w:hAnsi="Cambria Math"/>
                                    <w:i/>
                                    <w:vertAlign w:val="baseline"/>
                                    <w:lang w:val="en-US" w:eastAsia="zh-CN"/>
                                  </w:rPr>
                                </m:ctrlPr>
                              </m:naryPr>
                              <m:sub>
                                <m:r>
                                  <m:rPr/>
                                  <w:rPr>
                                    <w:rFonts w:hint="default" w:ascii="Cambria Math" w:hAnsi="Cambria Math"/>
                                    <w:vertAlign w:val="baseline"/>
                                    <w:lang w:val="en-US" w:eastAsia="zh-CN"/>
                                  </w:rPr>
                                  <m:t>i=1</m:t>
                                </m:r>
                                <m:ctrlPr>
                                  <w:rPr>
                                    <w:rFonts w:hint="default" w:ascii="Cambria Math" w:hAnsi="Cambria Math"/>
                                    <w:i/>
                                    <w:vertAlign w:val="baseline"/>
                                    <w:lang w:val="en-US" w:eastAsia="zh-CN"/>
                                  </w:rPr>
                                </m:ctrlPr>
                              </m:sub>
                              <m:sup>
                                <m:r>
                                  <m:rPr/>
                                  <w:rPr>
                                    <w:rFonts w:hint="default" w:ascii="Cambria Math" w:hAnsi="Cambria Math"/>
                                    <w:vertAlign w:val="baseline"/>
                                    <w:lang w:val="en-US" w:eastAsia="zh-CN"/>
                                  </w:rPr>
                                  <m:t>N</m:t>
                                </m:r>
                                <m:ctrlPr>
                                  <w:rPr>
                                    <w:rFonts w:hint="default" w:ascii="Cambria Math" w:hAnsi="Cambria Math"/>
                                    <w:i/>
                                    <w:vertAlign w:val="baseline"/>
                                    <w:lang w:val="en-US" w:eastAsia="zh-CN"/>
                                  </w:rPr>
                                </m:ctrlPr>
                              </m:sup>
                              <m:e>
                                <m:sSub>
                                  <m:sSubPr>
                                    <m:ctrlPr>
                                      <w:rPr>
                                        <w:rFonts w:hint="default" w:ascii="Cambria Math" w:hAnsi="Cambria Math"/>
                                        <w:i/>
                                        <w:vertAlign w:val="baseline"/>
                                        <w:lang w:val="en-US" w:eastAsia="zh-CN"/>
                                      </w:rPr>
                                    </m:ctrlPr>
                                  </m:sSubPr>
                                  <m:e>
                                    <m:r>
                                      <m:rPr/>
                                      <w:rPr>
                                        <w:rFonts w:hint="default" w:ascii="Cambria Math" w:hAnsi="Cambria Math"/>
                                        <w:vertAlign w:val="baseline"/>
                                        <w:lang w:val="en-US" w:eastAsia="zh-CN"/>
                                      </w:rPr>
                                      <m:t>t</m:t>
                                    </m:r>
                                    <m:ctrlPr>
                                      <w:rPr>
                                        <w:rFonts w:hint="default" w:ascii="Cambria Math" w:hAnsi="Cambria Math"/>
                                        <w:i/>
                                        <w:vertAlign w:val="baseline"/>
                                        <w:lang w:val="en-US" w:eastAsia="zh-CN"/>
                                      </w:rPr>
                                    </m:ctrlPr>
                                  </m:e>
                                  <m:sub>
                                    <m:r>
                                      <m:rPr/>
                                      <w:rPr>
                                        <w:rFonts w:hint="default" w:ascii="Cambria Math" w:hAnsi="Cambria Math"/>
                                        <w:vertAlign w:val="baseline"/>
                                        <w:lang w:val="en-US" w:eastAsia="zh-CN"/>
                                      </w:rPr>
                                      <m:t>i</m:t>
                                    </m:r>
                                    <m:ctrlPr>
                                      <w:rPr>
                                        <w:rFonts w:hint="default" w:ascii="Cambria Math" w:hAnsi="Cambria Math"/>
                                        <w:i/>
                                        <w:vertAlign w:val="baseline"/>
                                        <w:lang w:val="en-US" w:eastAsia="zh-CN"/>
                                      </w:rPr>
                                    </m:ctrlPr>
                                  </m:sub>
                                </m:sSub>
                                <m:ctrlPr>
                                  <w:rPr>
                                    <w:rFonts w:hint="default" w:ascii="Cambria Math" w:hAnsi="Cambria Math"/>
                                    <w:i/>
                                    <w:vertAlign w:val="baseline"/>
                                    <w:lang w:val="en-US" w:eastAsia="zh-CN"/>
                                  </w:rPr>
                                </m:ctrlPr>
                              </m:e>
                            </m:nary>
                            <m:sSup>
                              <m:sSupPr>
                                <m:ctrlPr>
                                  <w:rPr>
                                    <w:rFonts w:hint="default" w:ascii="Cambria Math" w:hAnsi="Cambria Math"/>
                                    <w:i/>
                                    <w:vertAlign w:val="baseline"/>
                                    <w:lang w:val="en-US" w:eastAsia="zh-CN"/>
                                  </w:rPr>
                                </m:ctrlPr>
                              </m:sSupPr>
                              <m:e>
                                <m:r>
                                  <m:rPr/>
                                  <w:rPr>
                                    <w:rFonts w:hint="default" w:ascii="Cambria Math" w:hAnsi="Cambria Math"/>
                                    <w:vertAlign w:val="baseline"/>
                                    <w:lang w:val="en-US" w:eastAsia="zh-CN"/>
                                  </w:rPr>
                                  <m:t>10</m:t>
                                </m:r>
                                <m:ctrlPr>
                                  <w:rPr>
                                    <w:rFonts w:hint="default" w:ascii="Cambria Math" w:hAnsi="Cambria Math"/>
                                    <w:i/>
                                    <w:vertAlign w:val="baseline"/>
                                    <w:lang w:val="en-US" w:eastAsia="zh-CN"/>
                                  </w:rPr>
                                </m:ctrlPr>
                              </m:e>
                              <m:sup>
                                <m:r>
                                  <m:rPr/>
                                  <w:rPr>
                                    <w:rFonts w:hint="default" w:ascii="Cambria Math" w:hAnsi="Cambria Math"/>
                                    <w:vertAlign w:val="baseline"/>
                                    <w:lang w:val="en-US" w:eastAsia="zh-CN"/>
                                  </w:rPr>
                                  <m:t>0.1</m:t>
                                </m:r>
                                <m:sSub>
                                  <m:sSubPr>
                                    <m:ctrlPr>
                                      <w:rPr>
                                        <w:rFonts w:hint="default" w:ascii="Cambria Math" w:hAnsi="Cambria Math"/>
                                        <w:i/>
                                        <w:vertAlign w:val="baseline"/>
                                        <w:lang w:val="en-US" w:eastAsia="zh-CN"/>
                                      </w:rPr>
                                    </m:ctrlPr>
                                  </m:sSubPr>
                                  <m:e>
                                    <m:r>
                                      <m:rPr/>
                                      <w:rPr>
                                        <w:rFonts w:hint="default" w:ascii="Cambria Math" w:hAnsi="Cambria Math"/>
                                        <w:vertAlign w:val="baseline"/>
                                        <w:lang w:val="en-US" w:eastAsia="zh-CN"/>
                                      </w:rPr>
                                      <m:t>L</m:t>
                                    </m:r>
                                    <m:ctrlPr>
                                      <w:rPr>
                                        <w:rFonts w:hint="default" w:ascii="Cambria Math" w:hAnsi="Cambria Math"/>
                                        <w:i/>
                                        <w:vertAlign w:val="baseline"/>
                                        <w:lang w:val="en-US" w:eastAsia="zh-CN"/>
                                      </w:rPr>
                                    </m:ctrlPr>
                                  </m:e>
                                  <m:sub>
                                    <m:r>
                                      <m:rPr/>
                                      <w:rPr>
                                        <w:rFonts w:hint="default" w:ascii="Cambria Math" w:hAnsi="Cambria Math"/>
                                        <w:vertAlign w:val="baseline"/>
                                        <w:lang w:val="en-US" w:eastAsia="zh-CN"/>
                                      </w:rPr>
                                      <m:t>Ai</m:t>
                                    </m:r>
                                    <m:ctrlPr>
                                      <w:rPr>
                                        <w:rFonts w:hint="default" w:ascii="Cambria Math" w:hAnsi="Cambria Math"/>
                                        <w:i/>
                                        <w:vertAlign w:val="baseline"/>
                                        <w:lang w:val="en-US" w:eastAsia="zh-CN"/>
                                      </w:rPr>
                                    </m:ctrlPr>
                                  </m:sub>
                                </m:sSub>
                                <m:ctrlPr>
                                  <w:rPr>
                                    <w:rFonts w:hint="default" w:ascii="Cambria Math" w:hAnsi="Cambria Math"/>
                                    <w:i/>
                                    <w:vertAlign w:val="baseline"/>
                                    <w:lang w:val="en-US" w:eastAsia="zh-CN"/>
                                  </w:rPr>
                                </m:ctrlPr>
                              </m:sup>
                            </m:sSup>
                            <m:r>
                              <m:rPr/>
                              <w:rPr>
                                <w:rFonts w:hint="default" w:ascii="Cambria Math" w:hAnsi="Cambria Math"/>
                                <w:vertAlign w:val="baseline"/>
                                <w:lang w:val="en-US" w:eastAsia="zh-CN"/>
                              </w:rPr>
                              <m:t>+</m:t>
                            </m:r>
                            <m:nary>
                              <m:naryPr>
                                <m:chr m:val="∑"/>
                                <m:limLoc m:val="undOvr"/>
                                <m:ctrlPr>
                                  <w:rPr>
                                    <w:rFonts w:hint="default" w:ascii="Cambria Math" w:hAnsi="Cambria Math"/>
                                    <w:i/>
                                    <w:vertAlign w:val="baseline"/>
                                    <w:lang w:val="en-US" w:eastAsia="zh-CN"/>
                                  </w:rPr>
                                </m:ctrlPr>
                              </m:naryPr>
                              <m:sub>
                                <m:r>
                                  <m:rPr/>
                                  <w:rPr>
                                    <w:rFonts w:hint="default" w:ascii="Cambria Math" w:hAnsi="Cambria Math"/>
                                    <w:vertAlign w:val="baseline"/>
                                    <w:lang w:val="en-US" w:eastAsia="zh-CN"/>
                                  </w:rPr>
                                  <m:t>j=1</m:t>
                                </m:r>
                                <m:ctrlPr>
                                  <w:rPr>
                                    <w:rFonts w:hint="default" w:ascii="Cambria Math" w:hAnsi="Cambria Math"/>
                                    <w:i/>
                                    <w:vertAlign w:val="baseline"/>
                                    <w:lang w:val="en-US" w:eastAsia="zh-CN"/>
                                  </w:rPr>
                                </m:ctrlPr>
                              </m:sub>
                              <m:sup>
                                <m:r>
                                  <m:rPr/>
                                  <w:rPr>
                                    <w:rFonts w:hint="default" w:ascii="Cambria Math" w:hAnsi="Cambria Math"/>
                                    <w:vertAlign w:val="baseline"/>
                                    <w:lang w:val="en-US" w:eastAsia="zh-CN"/>
                                  </w:rPr>
                                  <m:t>M</m:t>
                                </m:r>
                                <m:ctrlPr>
                                  <w:rPr>
                                    <w:rFonts w:hint="default" w:ascii="Cambria Math" w:hAnsi="Cambria Math"/>
                                    <w:i/>
                                    <w:vertAlign w:val="baseline"/>
                                    <w:lang w:val="en-US" w:eastAsia="zh-CN"/>
                                  </w:rPr>
                                </m:ctrlPr>
                              </m:sup>
                              <m:e>
                                <m:sSub>
                                  <m:sSubPr>
                                    <m:ctrlPr>
                                      <w:rPr>
                                        <w:rFonts w:hint="default" w:ascii="Cambria Math" w:hAnsi="Cambria Math"/>
                                        <w:i/>
                                        <w:vertAlign w:val="baseline"/>
                                        <w:lang w:val="en-US" w:eastAsia="zh-CN"/>
                                      </w:rPr>
                                    </m:ctrlPr>
                                  </m:sSubPr>
                                  <m:e>
                                    <m:r>
                                      <m:rPr/>
                                      <w:rPr>
                                        <w:rFonts w:hint="default" w:ascii="Cambria Math" w:hAnsi="Cambria Math"/>
                                        <w:vertAlign w:val="baseline"/>
                                        <w:lang w:val="en-US" w:eastAsia="zh-CN"/>
                                      </w:rPr>
                                      <m:t>t</m:t>
                                    </m:r>
                                    <m:ctrlPr>
                                      <w:rPr>
                                        <w:rFonts w:hint="default" w:ascii="Cambria Math" w:hAnsi="Cambria Math"/>
                                        <w:i/>
                                        <w:vertAlign w:val="baseline"/>
                                        <w:lang w:val="en-US" w:eastAsia="zh-CN"/>
                                      </w:rPr>
                                    </m:ctrlPr>
                                  </m:e>
                                  <m:sub>
                                    <m:r>
                                      <m:rPr/>
                                      <w:rPr>
                                        <w:rFonts w:hint="default" w:ascii="Cambria Math" w:hAnsi="Cambria Math"/>
                                        <w:vertAlign w:val="baseline"/>
                                        <w:lang w:val="en-US" w:eastAsia="zh-CN"/>
                                      </w:rPr>
                                      <m:t>j</m:t>
                                    </m:r>
                                    <m:ctrlPr>
                                      <w:rPr>
                                        <w:rFonts w:hint="default" w:ascii="Cambria Math" w:hAnsi="Cambria Math"/>
                                        <w:i/>
                                        <w:vertAlign w:val="baseline"/>
                                        <w:lang w:val="en-US" w:eastAsia="zh-CN"/>
                                      </w:rPr>
                                    </m:ctrlPr>
                                  </m:sub>
                                </m:sSub>
                                <m:sSup>
                                  <m:sSupPr>
                                    <m:ctrlPr>
                                      <w:rPr>
                                        <w:rFonts w:hint="default" w:ascii="Cambria Math" w:hAnsi="Cambria Math"/>
                                        <w:i/>
                                        <w:vertAlign w:val="baseline"/>
                                        <w:lang w:val="en-US" w:eastAsia="zh-CN"/>
                                      </w:rPr>
                                    </m:ctrlPr>
                                  </m:sSupPr>
                                  <m:e>
                                    <m:r>
                                      <m:rPr/>
                                      <w:rPr>
                                        <w:rFonts w:hint="default" w:ascii="Cambria Math" w:hAnsi="Cambria Math"/>
                                        <w:vertAlign w:val="baseline"/>
                                        <w:lang w:val="en-US" w:eastAsia="zh-CN"/>
                                      </w:rPr>
                                      <m:t>10</m:t>
                                    </m:r>
                                    <m:ctrlPr>
                                      <w:rPr>
                                        <w:rFonts w:hint="default" w:ascii="Cambria Math" w:hAnsi="Cambria Math"/>
                                        <w:i/>
                                        <w:vertAlign w:val="baseline"/>
                                        <w:lang w:val="en-US" w:eastAsia="zh-CN"/>
                                      </w:rPr>
                                    </m:ctrlPr>
                                  </m:e>
                                  <m:sup>
                                    <m:r>
                                      <m:rPr/>
                                      <w:rPr>
                                        <w:rFonts w:hint="default" w:ascii="Cambria Math" w:hAnsi="Cambria Math"/>
                                        <w:vertAlign w:val="baseline"/>
                                        <w:lang w:val="en-US" w:eastAsia="zh-CN"/>
                                      </w:rPr>
                                      <m:t>0.1</m:t>
                                    </m:r>
                                    <m:sSub>
                                      <m:sSubPr>
                                        <m:ctrlPr>
                                          <w:rPr>
                                            <w:rFonts w:hint="default" w:ascii="Cambria Math" w:hAnsi="Cambria Math"/>
                                            <w:i/>
                                            <w:vertAlign w:val="baseline"/>
                                            <w:lang w:val="en-US" w:eastAsia="zh-CN"/>
                                          </w:rPr>
                                        </m:ctrlPr>
                                      </m:sSubPr>
                                      <m:e>
                                        <m:r>
                                          <m:rPr/>
                                          <w:rPr>
                                            <w:rFonts w:hint="default" w:ascii="Cambria Math" w:hAnsi="Cambria Math"/>
                                            <w:vertAlign w:val="baseline"/>
                                            <w:lang w:val="en-US" w:eastAsia="zh-CN"/>
                                          </w:rPr>
                                          <m:t>L</m:t>
                                        </m:r>
                                        <m:ctrlPr>
                                          <w:rPr>
                                            <w:rFonts w:hint="default" w:ascii="Cambria Math" w:hAnsi="Cambria Math"/>
                                            <w:i/>
                                            <w:vertAlign w:val="baseline"/>
                                            <w:lang w:val="en-US" w:eastAsia="zh-CN"/>
                                          </w:rPr>
                                        </m:ctrlPr>
                                      </m:e>
                                      <m:sub>
                                        <m:r>
                                          <m:rPr/>
                                          <w:rPr>
                                            <w:rFonts w:hint="default" w:ascii="Cambria Math" w:hAnsi="Cambria Math"/>
                                            <w:vertAlign w:val="baseline"/>
                                            <w:lang w:val="en-US" w:eastAsia="zh-CN"/>
                                          </w:rPr>
                                          <m:t>Aj</m:t>
                                        </m:r>
                                        <m:ctrlPr>
                                          <w:rPr>
                                            <w:rFonts w:hint="default" w:ascii="Cambria Math" w:hAnsi="Cambria Math"/>
                                            <w:i/>
                                            <w:vertAlign w:val="baseline"/>
                                            <w:lang w:val="en-US" w:eastAsia="zh-CN"/>
                                          </w:rPr>
                                        </m:ctrlPr>
                                      </m:sub>
                                    </m:sSub>
                                    <m:ctrlPr>
                                      <w:rPr>
                                        <w:rFonts w:hint="default" w:ascii="Cambria Math" w:hAnsi="Cambria Math"/>
                                        <w:i/>
                                        <w:vertAlign w:val="baseline"/>
                                        <w:lang w:val="en-US" w:eastAsia="zh-CN"/>
                                      </w:rPr>
                                    </m:ctrlPr>
                                  </m:sup>
                                </m:sSup>
                                <m:ctrlPr>
                                  <w:rPr>
                                    <w:rFonts w:hint="default" w:ascii="Cambria Math" w:hAnsi="Cambria Math"/>
                                    <w:i/>
                                    <w:vertAlign w:val="baseline"/>
                                    <w:lang w:val="en-US" w:eastAsia="zh-CN"/>
                                  </w:rPr>
                                </m:ctrlPr>
                              </m:e>
                            </m:nary>
                            <m:ctrlPr>
                              <w:rPr>
                                <w:rFonts w:hint="default" w:ascii="Cambria Math" w:hAnsi="Cambria Math"/>
                                <w:i/>
                                <w:vertAlign w:val="baseline"/>
                                <w:lang w:val="en-US" w:eastAsia="zh-CN"/>
                              </w:rPr>
                            </m:ctrlPr>
                          </m:e>
                        </m:d>
                        <m:ctrlPr>
                          <w:rPr>
                            <w:rFonts w:hint="default" w:ascii="Cambria Math" w:hAnsi="Cambria Math"/>
                            <w:i/>
                            <w:vertAlign w:val="baseline"/>
                            <w:lang w:val="en-US" w:eastAsia="zh-CN"/>
                          </w:rPr>
                        </m:ctrlPr>
                      </m:e>
                    </m:d>
                    <m:ctrlPr>
                      <w:rPr>
                        <w:rFonts w:hint="default" w:ascii="Cambria Math" w:hAnsi="Cambria Math"/>
                        <w:i/>
                        <w:vertAlign w:val="baseline"/>
                        <w:lang w:val="en-US" w:eastAsia="zh-CN"/>
                      </w:rPr>
                    </m:ctrlPr>
                  </m:e>
                </m:func>
              </m:oMath>
            </m:oMathPara>
          </w:p>
          <w:p w14:paraId="34BCDA47">
            <w:pPr>
              <w:keepNext w:val="0"/>
              <w:keepLines w:val="0"/>
              <w:pageBreakBefore w:val="0"/>
              <w:widowControl w:val="0"/>
              <w:kinsoku/>
              <w:wordWrap/>
              <w:overflowPunct/>
              <w:topLinePunct w:val="0"/>
              <w:autoSpaceDE/>
              <w:autoSpaceDN/>
              <w:bidi w:val="0"/>
              <w:adjustRightInd w:val="0"/>
              <w:snapToGrid w:val="0"/>
              <w:textAlignment w:val="auto"/>
              <w:rPr>
                <w:rFonts w:hint="eastAsia"/>
                <w:vertAlign w:val="baseline"/>
                <w:lang w:val="en-US" w:eastAsia="zh-CN"/>
              </w:rPr>
            </w:pPr>
            <w:r>
              <w:rPr>
                <w:rFonts w:hint="eastAsia"/>
                <w:vertAlign w:val="baseline"/>
                <w:lang w:val="en-US" w:eastAsia="zh-CN"/>
              </w:rPr>
              <w:t>式中：</w:t>
            </w:r>
          </w:p>
          <w:p w14:paraId="6F2E7E80">
            <w:pPr>
              <w:keepNext w:val="0"/>
              <w:keepLines w:val="0"/>
              <w:pageBreakBefore w:val="0"/>
              <w:widowControl w:val="0"/>
              <w:kinsoku/>
              <w:wordWrap/>
              <w:overflowPunct/>
              <w:topLinePunct w:val="0"/>
              <w:autoSpaceDE/>
              <w:autoSpaceDN/>
              <w:bidi w:val="0"/>
              <w:adjustRightInd w:val="0"/>
              <w:snapToGrid w:val="0"/>
              <w:textAlignment w:val="auto"/>
              <w:rPr>
                <w:rFonts w:hint="eastAsia"/>
                <w:vertAlign w:val="baseline"/>
                <w:lang w:val="en-US" w:eastAsia="zh-CN"/>
              </w:rPr>
            </w:pPr>
            <m:oMath>
              <m:sSub>
                <m:sSubPr>
                  <m:ctrlPr>
                    <w:rPr>
                      <w:rFonts w:ascii="Cambria Math" w:hAnsi="Cambria Math"/>
                      <w:i/>
                      <w:vertAlign w:val="baseline"/>
                      <w:lang w:val="en-US"/>
                    </w:rPr>
                  </m:ctrlPr>
                </m:sSubPr>
                <m:e>
                  <m:r>
                    <m:rPr/>
                    <w:rPr>
                      <w:rFonts w:hint="default" w:ascii="Cambria Math" w:hAnsi="Cambria Math"/>
                      <w:vertAlign w:val="baseline"/>
                      <w:lang w:val="en-US" w:eastAsia="zh-CN"/>
                    </w:rPr>
                    <m:t>L</m:t>
                  </m:r>
                  <m:ctrlPr>
                    <w:rPr>
                      <w:rFonts w:ascii="Cambria Math" w:hAnsi="Cambria Math"/>
                      <w:i/>
                      <w:vertAlign w:val="baseline"/>
                      <w:lang w:val="en-US"/>
                    </w:rPr>
                  </m:ctrlPr>
                </m:e>
                <m:sub>
                  <m:r>
                    <m:rPr/>
                    <w:rPr>
                      <w:rFonts w:hint="default" w:ascii="Cambria Math" w:hAnsi="Cambria Math"/>
                      <w:vertAlign w:val="baseline"/>
                      <w:lang w:val="en-US" w:eastAsia="zh-CN"/>
                    </w:rPr>
                    <m:t>eqg</m:t>
                  </m:r>
                  <m:ctrlPr>
                    <w:rPr>
                      <w:rFonts w:ascii="Cambria Math" w:hAnsi="Cambria Math"/>
                      <w:i/>
                      <w:vertAlign w:val="baseline"/>
                      <w:lang w:val="en-US"/>
                    </w:rPr>
                  </m:ctrlPr>
                </m:sub>
              </m:sSub>
            </m:oMath>
            <w:r>
              <w:rPr>
                <w:rFonts w:hint="eastAsia" w:hAnsi="Cambria Math"/>
                <w:i w:val="0"/>
                <w:vertAlign w:val="baseline"/>
                <w:lang w:val="en-US" w:eastAsia="zh-CN"/>
              </w:rPr>
              <w:t>—建设项目声源在预测点产生的噪声贡献值，</w:t>
            </w:r>
            <w:r>
              <w:rPr>
                <w:rFonts w:hint="eastAsia"/>
                <w:vertAlign w:val="baseline"/>
                <w:lang w:val="en-US" w:eastAsia="zh-CN"/>
              </w:rPr>
              <w:t>dB；</w:t>
            </w:r>
          </w:p>
          <w:p w14:paraId="1F2CF634">
            <w:pPr>
              <w:keepNext w:val="0"/>
              <w:keepLines w:val="0"/>
              <w:pageBreakBefore w:val="0"/>
              <w:widowControl w:val="0"/>
              <w:kinsoku/>
              <w:wordWrap/>
              <w:overflowPunct/>
              <w:topLinePunct w:val="0"/>
              <w:autoSpaceDE/>
              <w:autoSpaceDN/>
              <w:bidi w:val="0"/>
              <w:adjustRightInd w:val="0"/>
              <w:snapToGrid w:val="0"/>
              <w:textAlignment w:val="auto"/>
              <w:rPr>
                <w:rFonts w:hint="eastAsia"/>
                <w:vertAlign w:val="baseline"/>
                <w:lang w:val="en-US" w:eastAsia="zh-CN"/>
              </w:rPr>
            </w:pPr>
            <w:r>
              <w:rPr>
                <w:rFonts w:hint="eastAsia"/>
                <w:vertAlign w:val="baseline"/>
                <w:lang w:val="en-US" w:eastAsia="zh-CN"/>
              </w:rPr>
              <w:t>T—用于计算等效声级的时间，s；</w:t>
            </w:r>
          </w:p>
          <w:p w14:paraId="6675DE36">
            <w:pPr>
              <w:keepNext w:val="0"/>
              <w:keepLines w:val="0"/>
              <w:pageBreakBefore w:val="0"/>
              <w:widowControl w:val="0"/>
              <w:kinsoku/>
              <w:wordWrap/>
              <w:overflowPunct/>
              <w:topLinePunct w:val="0"/>
              <w:autoSpaceDE/>
              <w:autoSpaceDN/>
              <w:bidi w:val="0"/>
              <w:adjustRightInd w:val="0"/>
              <w:snapToGrid w:val="0"/>
              <w:textAlignment w:val="auto"/>
              <w:rPr>
                <w:rFonts w:hint="default"/>
                <w:vertAlign w:val="baseline"/>
                <w:lang w:val="en-US" w:eastAsia="zh-CN"/>
              </w:rPr>
            </w:pPr>
            <w:r>
              <w:rPr>
                <w:rFonts w:hint="eastAsia"/>
                <w:vertAlign w:val="baseline"/>
                <w:lang w:val="en-US" w:eastAsia="zh-CN"/>
              </w:rPr>
              <w:t>N—室外声源个数；</w:t>
            </w:r>
          </w:p>
          <w:p w14:paraId="6EE78615">
            <w:pPr>
              <w:keepNext w:val="0"/>
              <w:keepLines w:val="0"/>
              <w:pageBreakBefore w:val="0"/>
              <w:widowControl w:val="0"/>
              <w:kinsoku/>
              <w:wordWrap/>
              <w:overflowPunct/>
              <w:topLinePunct w:val="0"/>
              <w:autoSpaceDE/>
              <w:autoSpaceDN/>
              <w:bidi w:val="0"/>
              <w:adjustRightInd w:val="0"/>
              <w:snapToGrid w:val="0"/>
              <w:textAlignment w:val="auto"/>
              <w:rPr>
                <w:rFonts w:hint="eastAsia"/>
                <w:vertAlign w:val="baseline"/>
                <w:lang w:val="en-US" w:eastAsia="zh-CN"/>
              </w:rPr>
            </w:pPr>
            <w:r>
              <w:rPr>
                <w:rFonts w:hint="eastAsia"/>
                <w:vertAlign w:val="baseline"/>
                <w:lang w:val="en-US" w:eastAsia="zh-CN"/>
              </w:rPr>
              <w:t>t</w:t>
            </w:r>
            <w:r>
              <w:rPr>
                <w:rFonts w:hint="eastAsia"/>
                <w:vertAlign w:val="subscript"/>
                <w:lang w:val="en-US" w:eastAsia="zh-CN"/>
              </w:rPr>
              <w:t>i</w:t>
            </w:r>
            <w:r>
              <w:rPr>
                <w:rFonts w:hint="eastAsia"/>
                <w:vertAlign w:val="baseline"/>
                <w:lang w:val="en-US" w:eastAsia="zh-CN"/>
              </w:rPr>
              <w:t>—在T时间内i声源工作时间，s；</w:t>
            </w:r>
          </w:p>
          <w:p w14:paraId="3ED1041E">
            <w:pPr>
              <w:keepNext w:val="0"/>
              <w:keepLines w:val="0"/>
              <w:pageBreakBefore w:val="0"/>
              <w:widowControl w:val="0"/>
              <w:kinsoku/>
              <w:wordWrap/>
              <w:overflowPunct/>
              <w:topLinePunct w:val="0"/>
              <w:autoSpaceDE/>
              <w:autoSpaceDN/>
              <w:bidi w:val="0"/>
              <w:adjustRightInd w:val="0"/>
              <w:snapToGrid w:val="0"/>
              <w:textAlignment w:val="auto"/>
              <w:rPr>
                <w:rFonts w:hint="eastAsia"/>
                <w:vertAlign w:val="baseline"/>
                <w:lang w:val="en-US" w:eastAsia="zh-CN"/>
              </w:rPr>
            </w:pPr>
            <w:r>
              <w:rPr>
                <w:rFonts w:hint="eastAsia"/>
                <w:vertAlign w:val="baseline"/>
                <w:lang w:val="en-US" w:eastAsia="zh-CN"/>
              </w:rPr>
              <w:t>L</w:t>
            </w:r>
            <w:r>
              <w:rPr>
                <w:rFonts w:hint="eastAsia"/>
                <w:vertAlign w:val="subscript"/>
                <w:lang w:val="en-US" w:eastAsia="zh-CN"/>
              </w:rPr>
              <w:t>Ai</w:t>
            </w:r>
            <w:r>
              <w:rPr>
                <w:rFonts w:hint="eastAsia"/>
                <w:vertAlign w:val="baseline"/>
                <w:lang w:val="en-US" w:eastAsia="zh-CN"/>
              </w:rPr>
              <w:t>—i声源在预测点产生的等效连续A声级，dB；</w:t>
            </w:r>
          </w:p>
          <w:p w14:paraId="7EA1FF53">
            <w:pPr>
              <w:keepNext w:val="0"/>
              <w:keepLines w:val="0"/>
              <w:pageBreakBefore w:val="0"/>
              <w:widowControl w:val="0"/>
              <w:kinsoku/>
              <w:wordWrap/>
              <w:overflowPunct/>
              <w:topLinePunct w:val="0"/>
              <w:autoSpaceDE/>
              <w:autoSpaceDN/>
              <w:bidi w:val="0"/>
              <w:adjustRightInd w:val="0"/>
              <w:snapToGrid w:val="0"/>
              <w:textAlignment w:val="auto"/>
              <w:rPr>
                <w:rFonts w:hint="default"/>
                <w:vertAlign w:val="baseline"/>
                <w:lang w:val="en-US" w:eastAsia="zh-CN"/>
              </w:rPr>
            </w:pPr>
            <w:r>
              <w:rPr>
                <w:rFonts w:hint="eastAsia"/>
                <w:vertAlign w:val="baseline"/>
                <w:lang w:val="en-US" w:eastAsia="zh-CN"/>
              </w:rPr>
              <w:t>M—等效室外声源个数；</w:t>
            </w:r>
          </w:p>
          <w:p w14:paraId="02D043B6">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vertAlign w:val="baseline"/>
                <w:lang w:val="en-US" w:eastAsia="zh-CN"/>
              </w:rPr>
              <w:t>t</w:t>
            </w:r>
            <w:r>
              <w:rPr>
                <w:rFonts w:hint="eastAsia"/>
                <w:vertAlign w:val="subscript"/>
                <w:lang w:val="en-US" w:eastAsia="zh-CN"/>
              </w:rPr>
              <w:t>j</w:t>
            </w:r>
            <w:r>
              <w:rPr>
                <w:rFonts w:hint="eastAsia"/>
                <w:vertAlign w:val="baseline"/>
                <w:lang w:val="en-US" w:eastAsia="zh-CN"/>
              </w:rPr>
              <w:t>—在T时间内j声源工作时间，s；</w:t>
            </w:r>
          </w:p>
          <w:p w14:paraId="36159562">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vertAlign w:val="baseline"/>
                <w:lang w:val="en-US" w:eastAsia="zh-CN"/>
              </w:rPr>
              <w:t>L</w:t>
            </w:r>
            <w:r>
              <w:rPr>
                <w:rFonts w:hint="eastAsia"/>
                <w:vertAlign w:val="subscript"/>
                <w:lang w:val="en-US" w:eastAsia="zh-CN"/>
              </w:rPr>
              <w:t>Aj</w:t>
            </w:r>
            <w:r>
              <w:rPr>
                <w:rFonts w:hint="eastAsia"/>
                <w:vertAlign w:val="baseline"/>
                <w:lang w:val="en-US" w:eastAsia="zh-CN"/>
              </w:rPr>
              <w:t>—j声源在预测点产生的等效连续A声级，dB。</w:t>
            </w:r>
          </w:p>
          <w:p w14:paraId="3D423672">
            <w:pPr>
              <w:pStyle w:val="11"/>
              <w:bidi w:val="0"/>
              <w:rPr>
                <w:rFonts w:hint="eastAsia"/>
                <w:lang w:val="en-US" w:eastAsia="zh-CN"/>
              </w:rPr>
            </w:pPr>
            <w:r>
              <w:rPr>
                <w:rFonts w:hint="eastAsia"/>
                <w:lang w:val="en-US" w:eastAsia="zh-CN"/>
              </w:rPr>
              <w:t xml:space="preserve">表4-17 </w:t>
            </w:r>
            <w:r>
              <w:rPr>
                <w:rFonts w:hint="eastAsia"/>
                <w:highlight w:val="none"/>
                <w:lang w:val="en-US" w:eastAsia="zh-CN"/>
              </w:rPr>
              <w:t xml:space="preserve">运营期间厂界噪声预测结果 </w:t>
            </w:r>
            <w:r>
              <w:rPr>
                <w:rFonts w:hint="eastAsia"/>
                <w:lang w:val="en-US" w:eastAsia="zh-CN"/>
              </w:rPr>
              <w:t xml:space="preserve"> 单位：dB(A)</w:t>
            </w:r>
          </w:p>
          <w:tbl>
            <w:tblPr>
              <w:tblStyle w:val="8"/>
              <w:tblW w:w="802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756"/>
              <w:gridCol w:w="756"/>
              <w:gridCol w:w="756"/>
              <w:gridCol w:w="934"/>
              <w:gridCol w:w="1334"/>
              <w:gridCol w:w="1334"/>
              <w:gridCol w:w="1118"/>
            </w:tblGrid>
            <w:tr w14:paraId="36E7CA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6" w:type="dxa"/>
                  <w:vMerge w:val="restart"/>
                  <w:tcBorders>
                    <w:tl2br w:val="nil"/>
                    <w:tr2bl w:val="nil"/>
                  </w:tcBorders>
                  <w:vAlign w:val="center"/>
                </w:tcPr>
                <w:p w14:paraId="3B48252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预测方位</w:t>
                  </w:r>
                </w:p>
              </w:tc>
              <w:tc>
                <w:tcPr>
                  <w:tcW w:w="2268" w:type="dxa"/>
                  <w:gridSpan w:val="3"/>
                  <w:tcBorders>
                    <w:tl2br w:val="nil"/>
                    <w:tr2bl w:val="nil"/>
                  </w:tcBorders>
                  <w:vAlign w:val="center"/>
                </w:tcPr>
                <w:p w14:paraId="519DC49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lang w:val="en-US" w:eastAsia="zh-CN"/>
                    </w:rPr>
                    <w:t>最大值点</w:t>
                  </w:r>
                  <w:r>
                    <w:rPr>
                      <w:rFonts w:hint="default" w:ascii="Times New Roman" w:hAnsi="Times New Roman" w:eastAsia="宋体" w:cs="Times New Roman"/>
                      <w:b/>
                      <w:color w:val="auto"/>
                      <w:sz w:val="21"/>
                      <w:szCs w:val="21"/>
                    </w:rPr>
                    <w:t>空间相对位置/m</w:t>
                  </w:r>
                </w:p>
              </w:tc>
              <w:tc>
                <w:tcPr>
                  <w:tcW w:w="934" w:type="dxa"/>
                  <w:vMerge w:val="restart"/>
                  <w:tcBorders>
                    <w:tl2br w:val="nil"/>
                    <w:tr2bl w:val="nil"/>
                  </w:tcBorders>
                  <w:vAlign w:val="center"/>
                </w:tcPr>
                <w:p w14:paraId="4B002C9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时段</w:t>
                  </w:r>
                </w:p>
              </w:tc>
              <w:tc>
                <w:tcPr>
                  <w:tcW w:w="1334" w:type="dxa"/>
                  <w:vMerge w:val="restart"/>
                  <w:tcBorders>
                    <w:tl2br w:val="nil"/>
                    <w:tr2bl w:val="nil"/>
                  </w:tcBorders>
                  <w:vAlign w:val="center"/>
                </w:tcPr>
                <w:p w14:paraId="30A7044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贡献值（dB(A)）</w:t>
                  </w:r>
                </w:p>
              </w:tc>
              <w:tc>
                <w:tcPr>
                  <w:tcW w:w="1334" w:type="dxa"/>
                  <w:vMerge w:val="restart"/>
                  <w:tcBorders>
                    <w:tl2br w:val="nil"/>
                    <w:tr2bl w:val="nil"/>
                  </w:tcBorders>
                  <w:vAlign w:val="center"/>
                </w:tcPr>
                <w:p w14:paraId="219F48B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标准限值（dB(A)）</w:t>
                  </w:r>
                </w:p>
              </w:tc>
              <w:tc>
                <w:tcPr>
                  <w:tcW w:w="1118" w:type="dxa"/>
                  <w:vMerge w:val="restart"/>
                  <w:tcBorders>
                    <w:tl2br w:val="nil"/>
                    <w:tr2bl w:val="nil"/>
                  </w:tcBorders>
                  <w:vAlign w:val="center"/>
                </w:tcPr>
                <w:p w14:paraId="603266D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达标情况</w:t>
                  </w:r>
                </w:p>
              </w:tc>
            </w:tr>
            <w:tr w14:paraId="231000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6" w:type="dxa"/>
                  <w:vMerge w:val="continue"/>
                  <w:tcBorders>
                    <w:tl2br w:val="nil"/>
                    <w:tr2bl w:val="nil"/>
                  </w:tcBorders>
                  <w:shd w:val="clear" w:color="auto" w:fill="FFFFFF"/>
                  <w:vAlign w:val="center"/>
                </w:tcPr>
                <w:p w14:paraId="16C7146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756" w:type="dxa"/>
                  <w:tcBorders>
                    <w:tl2br w:val="nil"/>
                    <w:tr2bl w:val="nil"/>
                  </w:tcBorders>
                  <w:shd w:val="clear" w:color="auto" w:fill="FFFFFF"/>
                  <w:vAlign w:val="center"/>
                </w:tcPr>
                <w:p w14:paraId="6891452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w:t>
                  </w:r>
                </w:p>
              </w:tc>
              <w:tc>
                <w:tcPr>
                  <w:tcW w:w="756" w:type="dxa"/>
                  <w:tcBorders>
                    <w:tl2br w:val="nil"/>
                    <w:tr2bl w:val="nil"/>
                  </w:tcBorders>
                  <w:shd w:val="clear" w:color="auto" w:fill="FFFFFF"/>
                  <w:vAlign w:val="center"/>
                </w:tcPr>
                <w:p w14:paraId="341B6B1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w:t>
                  </w:r>
                </w:p>
              </w:tc>
              <w:tc>
                <w:tcPr>
                  <w:tcW w:w="756" w:type="dxa"/>
                  <w:tcBorders>
                    <w:tl2br w:val="nil"/>
                    <w:tr2bl w:val="nil"/>
                  </w:tcBorders>
                  <w:shd w:val="clear" w:color="auto" w:fill="FFFFFF"/>
                  <w:vAlign w:val="center"/>
                </w:tcPr>
                <w:p w14:paraId="72F98D2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w:t>
                  </w:r>
                </w:p>
              </w:tc>
              <w:tc>
                <w:tcPr>
                  <w:tcW w:w="934" w:type="dxa"/>
                  <w:vMerge w:val="continue"/>
                  <w:tcBorders>
                    <w:tl2br w:val="nil"/>
                    <w:tr2bl w:val="nil"/>
                  </w:tcBorders>
                  <w:shd w:val="clear" w:color="auto" w:fill="FFFFFF"/>
                  <w:vAlign w:val="center"/>
                </w:tcPr>
                <w:p w14:paraId="44B397F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334" w:type="dxa"/>
                  <w:vMerge w:val="continue"/>
                  <w:tcBorders>
                    <w:tl2br w:val="nil"/>
                    <w:tr2bl w:val="nil"/>
                  </w:tcBorders>
                  <w:shd w:val="clear" w:color="auto" w:fill="FFFFFF"/>
                  <w:vAlign w:val="center"/>
                </w:tcPr>
                <w:p w14:paraId="1D5B7ED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334" w:type="dxa"/>
                  <w:vMerge w:val="continue"/>
                  <w:tcBorders>
                    <w:tl2br w:val="nil"/>
                    <w:tr2bl w:val="nil"/>
                  </w:tcBorders>
                  <w:shd w:val="clear" w:color="auto" w:fill="FFFFFF"/>
                  <w:vAlign w:val="center"/>
                </w:tcPr>
                <w:p w14:paraId="222C4EA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118" w:type="dxa"/>
                  <w:vMerge w:val="continue"/>
                  <w:tcBorders>
                    <w:tl2br w:val="nil"/>
                    <w:tr2bl w:val="nil"/>
                  </w:tcBorders>
                  <w:shd w:val="clear" w:color="auto" w:fill="FFFFFF"/>
                  <w:vAlign w:val="center"/>
                </w:tcPr>
                <w:p w14:paraId="3D5C0F7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6E729C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1036" w:type="dxa"/>
                  <w:tcBorders>
                    <w:tl2br w:val="nil"/>
                    <w:tr2bl w:val="nil"/>
                  </w:tcBorders>
                  <w:shd w:val="clear" w:color="auto" w:fill="FFFFFF"/>
                  <w:vAlign w:val="center"/>
                </w:tcPr>
                <w:p w14:paraId="1703A94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东</w:t>
                  </w:r>
                  <w:r>
                    <w:rPr>
                      <w:rFonts w:hint="default" w:ascii="Times New Roman" w:hAnsi="Times New Roman" w:eastAsia="宋体" w:cs="Times New Roman"/>
                      <w:color w:val="auto"/>
                      <w:sz w:val="21"/>
                      <w:szCs w:val="21"/>
                    </w:rPr>
                    <w:t>侧</w:t>
                  </w:r>
                </w:p>
              </w:tc>
              <w:tc>
                <w:tcPr>
                  <w:tcW w:w="756" w:type="dxa"/>
                  <w:tcBorders>
                    <w:tl2br w:val="nil"/>
                    <w:tr2bl w:val="nil"/>
                  </w:tcBorders>
                  <w:shd w:val="clear" w:color="auto" w:fill="FFFFFF"/>
                  <w:vAlign w:val="center"/>
                </w:tcPr>
                <w:p w14:paraId="58DBC90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8.1</w:t>
                  </w:r>
                </w:p>
              </w:tc>
              <w:tc>
                <w:tcPr>
                  <w:tcW w:w="756" w:type="dxa"/>
                  <w:tcBorders>
                    <w:tl2br w:val="nil"/>
                    <w:tr2bl w:val="nil"/>
                  </w:tcBorders>
                  <w:shd w:val="clear" w:color="auto" w:fill="FFFFFF"/>
                  <w:vAlign w:val="center"/>
                </w:tcPr>
                <w:p w14:paraId="4642E81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756" w:type="dxa"/>
                  <w:tcBorders>
                    <w:tl2br w:val="nil"/>
                    <w:tr2bl w:val="nil"/>
                  </w:tcBorders>
                  <w:shd w:val="clear" w:color="auto" w:fill="FFFFFF"/>
                  <w:vAlign w:val="center"/>
                </w:tcPr>
                <w:p w14:paraId="1220467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p>
              </w:tc>
              <w:tc>
                <w:tcPr>
                  <w:tcW w:w="934" w:type="dxa"/>
                  <w:tcBorders>
                    <w:tl2br w:val="nil"/>
                    <w:tr2bl w:val="nil"/>
                  </w:tcBorders>
                  <w:shd w:val="clear" w:color="auto" w:fill="FFFFFF"/>
                  <w:vAlign w:val="center"/>
                </w:tcPr>
                <w:p w14:paraId="4308086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334" w:type="dxa"/>
                  <w:tcBorders>
                    <w:tl2br w:val="nil"/>
                    <w:tr2bl w:val="nil"/>
                  </w:tcBorders>
                  <w:shd w:val="clear" w:color="auto" w:fill="FFFFFF"/>
                  <w:vAlign w:val="center"/>
                </w:tcPr>
                <w:p w14:paraId="2CD5EC2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50.1</w:t>
                  </w:r>
                </w:p>
              </w:tc>
              <w:tc>
                <w:tcPr>
                  <w:tcW w:w="1334" w:type="dxa"/>
                  <w:tcBorders>
                    <w:tl2br w:val="nil"/>
                    <w:tr2bl w:val="nil"/>
                  </w:tcBorders>
                  <w:shd w:val="clear" w:color="auto" w:fill="FFFFFF"/>
                  <w:vAlign w:val="center"/>
                </w:tcPr>
                <w:p w14:paraId="44F0144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w:t>
                  </w:r>
                </w:p>
              </w:tc>
              <w:tc>
                <w:tcPr>
                  <w:tcW w:w="1118" w:type="dxa"/>
                  <w:tcBorders>
                    <w:tl2br w:val="nil"/>
                    <w:tr2bl w:val="nil"/>
                  </w:tcBorders>
                  <w:shd w:val="clear" w:color="auto" w:fill="FFFFFF"/>
                  <w:vAlign w:val="center"/>
                </w:tcPr>
                <w:p w14:paraId="488AD9E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3E8D6536">
            <w:pPr>
              <w:pStyle w:val="12"/>
              <w:bidi w:val="0"/>
              <w:rPr>
                <w:rFonts w:hint="eastAsia"/>
                <w:lang w:val="en-US" w:eastAsia="zh-CN"/>
              </w:rPr>
            </w:pPr>
            <w:r>
              <w:rPr>
                <w:rFonts w:hint="eastAsia"/>
                <w:lang w:val="en-US" w:eastAsia="zh-CN"/>
              </w:rPr>
              <w:t>注：表中坐标以厂界中心（116.132263,39.732467）为坐标原点，正东向为X轴正方向，正北向为Y轴正方向</w:t>
            </w:r>
          </w:p>
          <w:p w14:paraId="3E49915E">
            <w:pPr>
              <w:pStyle w:val="11"/>
              <w:bidi w:val="0"/>
              <w:rPr>
                <w:rFonts w:hint="eastAsia"/>
                <w:lang w:val="en-US" w:eastAsia="zh-CN"/>
              </w:rPr>
            </w:pPr>
            <w:r>
              <w:rPr>
                <w:rFonts w:hint="eastAsia"/>
                <w:lang w:val="en-US" w:eastAsia="zh-CN"/>
              </w:rPr>
              <w:t>表4-18 项目敏感目标昼间噪声预测结果一览表  单位：dB(A)</w:t>
            </w:r>
          </w:p>
          <w:tbl>
            <w:tblPr>
              <w:tblStyle w:val="8"/>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1"/>
              <w:gridCol w:w="1276"/>
              <w:gridCol w:w="1398"/>
              <w:gridCol w:w="1398"/>
              <w:gridCol w:w="1398"/>
              <w:gridCol w:w="1401"/>
              <w:gridCol w:w="781"/>
            </w:tblGrid>
            <w:tr w14:paraId="406C4B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1" w:type="dxa"/>
                  <w:tcBorders>
                    <w:tl2br w:val="nil"/>
                    <w:tr2bl w:val="nil"/>
                  </w:tcBorders>
                  <w:vAlign w:val="center"/>
                </w:tcPr>
                <w:p w14:paraId="667F40E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序号</w:t>
                  </w:r>
                </w:p>
              </w:tc>
              <w:tc>
                <w:tcPr>
                  <w:tcW w:w="1276" w:type="dxa"/>
                  <w:tcBorders>
                    <w:tl2br w:val="nil"/>
                    <w:tr2bl w:val="nil"/>
                  </w:tcBorders>
                  <w:vAlign w:val="center"/>
                </w:tcPr>
                <w:p w14:paraId="64F0808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声环境保护目标名称</w:t>
                  </w:r>
                </w:p>
              </w:tc>
              <w:tc>
                <w:tcPr>
                  <w:tcW w:w="1398" w:type="dxa"/>
                  <w:tcBorders>
                    <w:tl2br w:val="nil"/>
                    <w:tr2bl w:val="nil"/>
                  </w:tcBorders>
                  <w:vAlign w:val="center"/>
                </w:tcPr>
                <w:p w14:paraId="00FBE51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噪声现状值</w:t>
                  </w:r>
                </w:p>
              </w:tc>
              <w:tc>
                <w:tcPr>
                  <w:tcW w:w="1398" w:type="dxa"/>
                  <w:tcBorders>
                    <w:tl2br w:val="nil"/>
                    <w:tr2bl w:val="nil"/>
                  </w:tcBorders>
                  <w:vAlign w:val="center"/>
                </w:tcPr>
                <w:p w14:paraId="5E6BB30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噪声标准</w:t>
                  </w:r>
                  <w:r>
                    <w:rPr>
                      <w:rFonts w:hint="default" w:ascii="Times New Roman" w:hAnsi="Times New Roman" w:eastAsia="宋体" w:cs="Times New Roman"/>
                      <w:b/>
                      <w:bCs w:val="0"/>
                      <w:color w:val="auto"/>
                      <w:sz w:val="21"/>
                      <w:szCs w:val="21"/>
                    </w:rPr>
                    <w:t>值</w:t>
                  </w:r>
                </w:p>
              </w:tc>
              <w:tc>
                <w:tcPr>
                  <w:tcW w:w="1398" w:type="dxa"/>
                  <w:tcBorders>
                    <w:tl2br w:val="nil"/>
                    <w:tr2bl w:val="nil"/>
                  </w:tcBorders>
                  <w:vAlign w:val="center"/>
                </w:tcPr>
                <w:p w14:paraId="30A6015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噪声贡献值</w:t>
                  </w:r>
                </w:p>
              </w:tc>
              <w:tc>
                <w:tcPr>
                  <w:tcW w:w="1401" w:type="dxa"/>
                  <w:tcBorders>
                    <w:tl2br w:val="nil"/>
                    <w:tr2bl w:val="nil"/>
                  </w:tcBorders>
                  <w:vAlign w:val="center"/>
                </w:tcPr>
                <w:p w14:paraId="565CE79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噪声预测值</w:t>
                  </w:r>
                </w:p>
              </w:tc>
              <w:tc>
                <w:tcPr>
                  <w:tcW w:w="781" w:type="dxa"/>
                  <w:tcBorders>
                    <w:tl2br w:val="nil"/>
                    <w:tr2bl w:val="nil"/>
                  </w:tcBorders>
                  <w:vAlign w:val="center"/>
                </w:tcPr>
                <w:p w14:paraId="22FB3D4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达标情况</w:t>
                  </w:r>
                </w:p>
              </w:tc>
            </w:tr>
            <w:tr w14:paraId="46094D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371" w:type="dxa"/>
                  <w:tcBorders>
                    <w:tl2br w:val="nil"/>
                    <w:tr2bl w:val="nil"/>
                  </w:tcBorders>
                  <w:shd w:val="clear" w:color="auto" w:fill="FFFFFF"/>
                  <w:vAlign w:val="center"/>
                </w:tcPr>
                <w:p w14:paraId="2078C2B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76" w:type="dxa"/>
                  <w:tcBorders>
                    <w:tl2br w:val="nil"/>
                    <w:tr2bl w:val="nil"/>
                  </w:tcBorders>
                  <w:shd w:val="clear" w:color="auto" w:fill="FFFFFF"/>
                  <w:vAlign w:val="center"/>
                </w:tcPr>
                <w:p w14:paraId="58747FC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拱辰星园4号楼5m</w:t>
                  </w:r>
                </w:p>
              </w:tc>
              <w:tc>
                <w:tcPr>
                  <w:tcW w:w="1398" w:type="dxa"/>
                  <w:tcBorders>
                    <w:tl2br w:val="nil"/>
                    <w:tr2bl w:val="nil"/>
                  </w:tcBorders>
                  <w:shd w:val="clear" w:color="auto" w:fill="FFFFFF"/>
                  <w:vAlign w:val="center"/>
                </w:tcPr>
                <w:p w14:paraId="41F8B70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57</w:t>
                  </w:r>
                  <w:r>
                    <w:rPr>
                      <w:rFonts w:hint="default" w:ascii="Times New Roman" w:hAnsi="Times New Roman" w:eastAsia="宋体" w:cs="Times New Roman"/>
                      <w:b w:val="0"/>
                      <w:bCs/>
                      <w:color w:val="auto"/>
                      <w:sz w:val="21"/>
                      <w:szCs w:val="21"/>
                    </w:rPr>
                    <w:t>dB(A)</w:t>
                  </w:r>
                </w:p>
              </w:tc>
              <w:tc>
                <w:tcPr>
                  <w:tcW w:w="1398" w:type="dxa"/>
                  <w:tcBorders>
                    <w:tl2br w:val="nil"/>
                    <w:tr2bl w:val="nil"/>
                  </w:tcBorders>
                  <w:shd w:val="clear" w:color="auto" w:fill="FFFFFF"/>
                  <w:vAlign w:val="center"/>
                </w:tcPr>
                <w:p w14:paraId="655E7E8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w:t>
                  </w:r>
                  <w:r>
                    <w:rPr>
                      <w:rFonts w:hint="default" w:ascii="Times New Roman" w:hAnsi="Times New Roman" w:eastAsia="宋体" w:cs="Times New Roman"/>
                      <w:b w:val="0"/>
                      <w:bCs/>
                      <w:color w:val="auto"/>
                      <w:sz w:val="21"/>
                      <w:szCs w:val="21"/>
                    </w:rPr>
                    <w:t>dB(A)</w:t>
                  </w:r>
                </w:p>
              </w:tc>
              <w:tc>
                <w:tcPr>
                  <w:tcW w:w="1398" w:type="dxa"/>
                  <w:tcBorders>
                    <w:tl2br w:val="nil"/>
                    <w:tr2bl w:val="nil"/>
                  </w:tcBorders>
                  <w:shd w:val="clear" w:color="auto" w:fill="FFFFFF"/>
                  <w:vAlign w:val="center"/>
                </w:tcPr>
                <w:p w14:paraId="4BCDE9D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41.0</w:t>
                  </w:r>
                  <w:r>
                    <w:rPr>
                      <w:rFonts w:hint="default" w:ascii="Times New Roman" w:hAnsi="Times New Roman" w:eastAsia="宋体" w:cs="Times New Roman"/>
                      <w:b w:val="0"/>
                      <w:bCs/>
                      <w:color w:val="auto"/>
                      <w:sz w:val="21"/>
                      <w:szCs w:val="21"/>
                    </w:rPr>
                    <w:t>dB(A)</w:t>
                  </w:r>
                </w:p>
              </w:tc>
              <w:tc>
                <w:tcPr>
                  <w:tcW w:w="1401" w:type="dxa"/>
                  <w:tcBorders>
                    <w:tl2br w:val="nil"/>
                    <w:tr2bl w:val="nil"/>
                  </w:tcBorders>
                  <w:shd w:val="clear" w:color="auto" w:fill="FFFFFF"/>
                  <w:vAlign w:val="center"/>
                </w:tcPr>
                <w:p w14:paraId="2409537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57.1</w:t>
                  </w:r>
                  <w:r>
                    <w:rPr>
                      <w:rFonts w:hint="default" w:ascii="Times New Roman" w:hAnsi="Times New Roman" w:eastAsia="宋体" w:cs="Times New Roman"/>
                      <w:b w:val="0"/>
                      <w:bCs/>
                      <w:color w:val="auto"/>
                      <w:sz w:val="21"/>
                      <w:szCs w:val="21"/>
                    </w:rPr>
                    <w:t>dB(A)</w:t>
                  </w:r>
                </w:p>
              </w:tc>
              <w:tc>
                <w:tcPr>
                  <w:tcW w:w="781" w:type="dxa"/>
                  <w:tcBorders>
                    <w:tl2br w:val="nil"/>
                    <w:tr2bl w:val="nil"/>
                  </w:tcBorders>
                  <w:shd w:val="clear" w:color="auto" w:fill="FFFFFF"/>
                  <w:vAlign w:val="center"/>
                </w:tcPr>
                <w:p w14:paraId="3A588F2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达标</w:t>
                  </w:r>
                </w:p>
              </w:tc>
            </w:tr>
            <w:tr w14:paraId="633DC4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371" w:type="dxa"/>
                  <w:tcBorders>
                    <w:tl2br w:val="nil"/>
                    <w:tr2bl w:val="nil"/>
                  </w:tcBorders>
                  <w:shd w:val="clear" w:color="auto" w:fill="FFFFFF"/>
                  <w:vAlign w:val="center"/>
                </w:tcPr>
                <w:p w14:paraId="40AB489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276" w:type="dxa"/>
                  <w:tcBorders>
                    <w:tl2br w:val="nil"/>
                    <w:tr2bl w:val="nil"/>
                  </w:tcBorders>
                  <w:shd w:val="clear" w:color="auto" w:fill="FFFFFF"/>
                  <w:vAlign w:val="center"/>
                </w:tcPr>
                <w:p w14:paraId="33B5C3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房山区良乡第二中学</w:t>
                  </w:r>
                </w:p>
              </w:tc>
              <w:tc>
                <w:tcPr>
                  <w:tcW w:w="1398" w:type="dxa"/>
                  <w:tcBorders>
                    <w:tl2br w:val="nil"/>
                    <w:tr2bl w:val="nil"/>
                  </w:tcBorders>
                  <w:shd w:val="clear" w:color="auto" w:fill="FFFFFF"/>
                  <w:vAlign w:val="center"/>
                </w:tcPr>
                <w:p w14:paraId="6CD6759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57</w:t>
                  </w:r>
                  <w:r>
                    <w:rPr>
                      <w:rFonts w:hint="default" w:ascii="Times New Roman" w:hAnsi="Times New Roman" w:eastAsia="宋体" w:cs="Times New Roman"/>
                      <w:b w:val="0"/>
                      <w:bCs/>
                      <w:color w:val="auto"/>
                      <w:sz w:val="21"/>
                      <w:szCs w:val="21"/>
                    </w:rPr>
                    <w:t>dB(A)</w:t>
                  </w:r>
                </w:p>
              </w:tc>
              <w:tc>
                <w:tcPr>
                  <w:tcW w:w="1398" w:type="dxa"/>
                  <w:tcBorders>
                    <w:tl2br w:val="nil"/>
                    <w:tr2bl w:val="nil"/>
                  </w:tcBorders>
                  <w:shd w:val="clear" w:color="auto" w:fill="FFFFFF"/>
                  <w:vAlign w:val="center"/>
                </w:tcPr>
                <w:p w14:paraId="5ED04D4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w:t>
                  </w:r>
                  <w:r>
                    <w:rPr>
                      <w:rFonts w:hint="default" w:ascii="Times New Roman" w:hAnsi="Times New Roman" w:eastAsia="宋体" w:cs="Times New Roman"/>
                      <w:b w:val="0"/>
                      <w:bCs/>
                      <w:color w:val="auto"/>
                      <w:sz w:val="21"/>
                      <w:szCs w:val="21"/>
                    </w:rPr>
                    <w:t>dB(A)</w:t>
                  </w:r>
                </w:p>
              </w:tc>
              <w:tc>
                <w:tcPr>
                  <w:tcW w:w="1398" w:type="dxa"/>
                  <w:tcBorders>
                    <w:tl2br w:val="nil"/>
                    <w:tr2bl w:val="nil"/>
                  </w:tcBorders>
                  <w:shd w:val="clear" w:color="auto" w:fill="FFFFFF"/>
                  <w:vAlign w:val="center"/>
                </w:tcPr>
                <w:p w14:paraId="59FDDF3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26.4</w:t>
                  </w:r>
                  <w:r>
                    <w:rPr>
                      <w:rFonts w:hint="default" w:ascii="Times New Roman" w:hAnsi="Times New Roman" w:eastAsia="宋体" w:cs="Times New Roman"/>
                      <w:b w:val="0"/>
                      <w:bCs/>
                      <w:color w:val="auto"/>
                      <w:sz w:val="21"/>
                      <w:szCs w:val="21"/>
                    </w:rPr>
                    <w:t>dB(A)</w:t>
                  </w:r>
                </w:p>
              </w:tc>
              <w:tc>
                <w:tcPr>
                  <w:tcW w:w="1401" w:type="dxa"/>
                  <w:tcBorders>
                    <w:tl2br w:val="nil"/>
                    <w:tr2bl w:val="nil"/>
                  </w:tcBorders>
                  <w:shd w:val="clear" w:color="auto" w:fill="FFFFFF"/>
                  <w:vAlign w:val="center"/>
                </w:tcPr>
                <w:p w14:paraId="5AFEFDE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57.0</w:t>
                  </w:r>
                  <w:r>
                    <w:rPr>
                      <w:rFonts w:hint="default" w:ascii="Times New Roman" w:hAnsi="Times New Roman" w:eastAsia="宋体" w:cs="Times New Roman"/>
                      <w:b w:val="0"/>
                      <w:bCs/>
                      <w:color w:val="auto"/>
                      <w:sz w:val="21"/>
                      <w:szCs w:val="21"/>
                    </w:rPr>
                    <w:t>dB(A)</w:t>
                  </w:r>
                </w:p>
              </w:tc>
              <w:tc>
                <w:tcPr>
                  <w:tcW w:w="781" w:type="dxa"/>
                  <w:tcBorders>
                    <w:tl2br w:val="nil"/>
                    <w:tr2bl w:val="nil"/>
                  </w:tcBorders>
                  <w:shd w:val="clear" w:color="auto" w:fill="FFFFFF"/>
                  <w:vAlign w:val="center"/>
                </w:tcPr>
                <w:p w14:paraId="4E5A00E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达标</w:t>
                  </w:r>
                </w:p>
              </w:tc>
            </w:tr>
            <w:tr w14:paraId="167ACD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371" w:type="dxa"/>
                  <w:tcBorders>
                    <w:tl2br w:val="nil"/>
                    <w:tr2bl w:val="nil"/>
                  </w:tcBorders>
                  <w:shd w:val="clear" w:color="auto" w:fill="FFFFFF"/>
                  <w:vAlign w:val="center"/>
                </w:tcPr>
                <w:p w14:paraId="433C05E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276" w:type="dxa"/>
                  <w:tcBorders>
                    <w:tl2br w:val="nil"/>
                    <w:tr2bl w:val="nil"/>
                  </w:tcBorders>
                  <w:shd w:val="clear" w:color="auto" w:fill="FFFFFF"/>
                  <w:vAlign w:val="center"/>
                </w:tcPr>
                <w:p w14:paraId="2E6D38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楸树家园1号楼</w:t>
                  </w:r>
                </w:p>
              </w:tc>
              <w:tc>
                <w:tcPr>
                  <w:tcW w:w="1398" w:type="dxa"/>
                  <w:tcBorders>
                    <w:tl2br w:val="nil"/>
                    <w:tr2bl w:val="nil"/>
                  </w:tcBorders>
                  <w:shd w:val="clear" w:color="auto" w:fill="FFFFFF"/>
                  <w:vAlign w:val="center"/>
                </w:tcPr>
                <w:p w14:paraId="48C0373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58</w:t>
                  </w:r>
                  <w:r>
                    <w:rPr>
                      <w:rFonts w:hint="default" w:ascii="Times New Roman" w:hAnsi="Times New Roman" w:eastAsia="宋体" w:cs="Times New Roman"/>
                      <w:b w:val="0"/>
                      <w:bCs/>
                      <w:color w:val="auto"/>
                      <w:sz w:val="21"/>
                      <w:szCs w:val="21"/>
                    </w:rPr>
                    <w:t>dB(A)</w:t>
                  </w:r>
                </w:p>
              </w:tc>
              <w:tc>
                <w:tcPr>
                  <w:tcW w:w="1398" w:type="dxa"/>
                  <w:tcBorders>
                    <w:tl2br w:val="nil"/>
                    <w:tr2bl w:val="nil"/>
                  </w:tcBorders>
                  <w:shd w:val="clear" w:color="auto" w:fill="FFFFFF"/>
                  <w:vAlign w:val="center"/>
                </w:tcPr>
                <w:p w14:paraId="44812EF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w:t>
                  </w:r>
                  <w:r>
                    <w:rPr>
                      <w:rFonts w:hint="default" w:ascii="Times New Roman" w:hAnsi="Times New Roman" w:eastAsia="宋体" w:cs="Times New Roman"/>
                      <w:b w:val="0"/>
                      <w:bCs/>
                      <w:color w:val="auto"/>
                      <w:sz w:val="21"/>
                      <w:szCs w:val="21"/>
                    </w:rPr>
                    <w:t>dB(A)</w:t>
                  </w:r>
                </w:p>
              </w:tc>
              <w:tc>
                <w:tcPr>
                  <w:tcW w:w="1398" w:type="dxa"/>
                  <w:tcBorders>
                    <w:tl2br w:val="nil"/>
                    <w:tr2bl w:val="nil"/>
                  </w:tcBorders>
                  <w:shd w:val="clear" w:color="auto" w:fill="FFFFFF"/>
                  <w:vAlign w:val="center"/>
                </w:tcPr>
                <w:p w14:paraId="2917970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22.9</w:t>
                  </w:r>
                  <w:r>
                    <w:rPr>
                      <w:rFonts w:hint="default" w:ascii="Times New Roman" w:hAnsi="Times New Roman" w:eastAsia="宋体" w:cs="Times New Roman"/>
                      <w:b w:val="0"/>
                      <w:bCs/>
                      <w:color w:val="auto"/>
                      <w:sz w:val="21"/>
                      <w:szCs w:val="21"/>
                    </w:rPr>
                    <w:t>dB(A)</w:t>
                  </w:r>
                </w:p>
              </w:tc>
              <w:tc>
                <w:tcPr>
                  <w:tcW w:w="1401" w:type="dxa"/>
                  <w:tcBorders>
                    <w:tl2br w:val="nil"/>
                    <w:tr2bl w:val="nil"/>
                  </w:tcBorders>
                  <w:shd w:val="clear" w:color="auto" w:fill="FFFFFF"/>
                  <w:vAlign w:val="center"/>
                </w:tcPr>
                <w:p w14:paraId="0F404DD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58.0</w:t>
                  </w:r>
                  <w:r>
                    <w:rPr>
                      <w:rFonts w:hint="default" w:ascii="Times New Roman" w:hAnsi="Times New Roman" w:eastAsia="宋体" w:cs="Times New Roman"/>
                      <w:b w:val="0"/>
                      <w:bCs/>
                      <w:color w:val="auto"/>
                      <w:sz w:val="21"/>
                      <w:szCs w:val="21"/>
                    </w:rPr>
                    <w:t>dB(A)</w:t>
                  </w:r>
                </w:p>
              </w:tc>
              <w:tc>
                <w:tcPr>
                  <w:tcW w:w="781" w:type="dxa"/>
                  <w:tcBorders>
                    <w:tl2br w:val="nil"/>
                    <w:tr2bl w:val="nil"/>
                  </w:tcBorders>
                  <w:shd w:val="clear" w:color="auto" w:fill="FFFFFF"/>
                  <w:vAlign w:val="center"/>
                </w:tcPr>
                <w:p w14:paraId="7A9D2D9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达标</w:t>
                  </w:r>
                </w:p>
              </w:tc>
            </w:tr>
            <w:tr w14:paraId="608C07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371" w:type="dxa"/>
                  <w:tcBorders>
                    <w:tl2br w:val="nil"/>
                    <w:tr2bl w:val="nil"/>
                  </w:tcBorders>
                  <w:shd w:val="clear" w:color="auto" w:fill="FFFFFF"/>
                  <w:vAlign w:val="center"/>
                </w:tcPr>
                <w:p w14:paraId="451AFA6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1276" w:type="dxa"/>
                  <w:tcBorders>
                    <w:tl2br w:val="nil"/>
                    <w:tr2bl w:val="nil"/>
                  </w:tcBorders>
                  <w:shd w:val="clear" w:color="auto" w:fill="FFFFFF"/>
                  <w:vAlign w:val="center"/>
                </w:tcPr>
                <w:p w14:paraId="56BDD3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楸树家园2号楼</w:t>
                  </w:r>
                </w:p>
              </w:tc>
              <w:tc>
                <w:tcPr>
                  <w:tcW w:w="1398" w:type="dxa"/>
                  <w:tcBorders>
                    <w:tl2br w:val="nil"/>
                    <w:tr2bl w:val="nil"/>
                  </w:tcBorders>
                  <w:shd w:val="clear" w:color="auto" w:fill="FFFFFF"/>
                  <w:vAlign w:val="center"/>
                </w:tcPr>
                <w:p w14:paraId="20590C9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58</w:t>
                  </w:r>
                  <w:r>
                    <w:rPr>
                      <w:rFonts w:hint="default" w:ascii="Times New Roman" w:hAnsi="Times New Roman" w:eastAsia="宋体" w:cs="Times New Roman"/>
                      <w:b w:val="0"/>
                      <w:bCs/>
                      <w:color w:val="auto"/>
                      <w:sz w:val="21"/>
                      <w:szCs w:val="21"/>
                    </w:rPr>
                    <w:t>dB(A)</w:t>
                  </w:r>
                </w:p>
              </w:tc>
              <w:tc>
                <w:tcPr>
                  <w:tcW w:w="1398" w:type="dxa"/>
                  <w:tcBorders>
                    <w:tl2br w:val="nil"/>
                    <w:tr2bl w:val="nil"/>
                  </w:tcBorders>
                  <w:shd w:val="clear" w:color="auto" w:fill="FFFFFF"/>
                  <w:vAlign w:val="center"/>
                </w:tcPr>
                <w:p w14:paraId="5BCD68C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w:t>
                  </w:r>
                  <w:r>
                    <w:rPr>
                      <w:rFonts w:hint="default" w:ascii="Times New Roman" w:hAnsi="Times New Roman" w:eastAsia="宋体" w:cs="Times New Roman"/>
                      <w:b w:val="0"/>
                      <w:bCs/>
                      <w:color w:val="auto"/>
                      <w:sz w:val="21"/>
                      <w:szCs w:val="21"/>
                    </w:rPr>
                    <w:t>dB(A)</w:t>
                  </w:r>
                </w:p>
              </w:tc>
              <w:tc>
                <w:tcPr>
                  <w:tcW w:w="1398" w:type="dxa"/>
                  <w:tcBorders>
                    <w:tl2br w:val="nil"/>
                    <w:tr2bl w:val="nil"/>
                  </w:tcBorders>
                  <w:shd w:val="clear" w:color="auto" w:fill="FFFFFF"/>
                  <w:vAlign w:val="center"/>
                </w:tcPr>
                <w:p w14:paraId="5BC0649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20.0</w:t>
                  </w:r>
                  <w:r>
                    <w:rPr>
                      <w:rFonts w:hint="default" w:ascii="Times New Roman" w:hAnsi="Times New Roman" w:eastAsia="宋体" w:cs="Times New Roman"/>
                      <w:b w:val="0"/>
                      <w:bCs/>
                      <w:color w:val="auto"/>
                      <w:sz w:val="21"/>
                      <w:szCs w:val="21"/>
                    </w:rPr>
                    <w:t>dB(A)</w:t>
                  </w:r>
                </w:p>
              </w:tc>
              <w:tc>
                <w:tcPr>
                  <w:tcW w:w="1401" w:type="dxa"/>
                  <w:tcBorders>
                    <w:tl2br w:val="nil"/>
                    <w:tr2bl w:val="nil"/>
                  </w:tcBorders>
                  <w:shd w:val="clear" w:color="auto" w:fill="FFFFFF"/>
                  <w:vAlign w:val="center"/>
                </w:tcPr>
                <w:p w14:paraId="76693E6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58.0</w:t>
                  </w:r>
                  <w:r>
                    <w:rPr>
                      <w:rFonts w:hint="default" w:ascii="Times New Roman" w:hAnsi="Times New Roman" w:eastAsia="宋体" w:cs="Times New Roman"/>
                      <w:b w:val="0"/>
                      <w:bCs/>
                      <w:color w:val="auto"/>
                      <w:sz w:val="21"/>
                      <w:szCs w:val="21"/>
                    </w:rPr>
                    <w:t>dB(A)</w:t>
                  </w:r>
                </w:p>
              </w:tc>
              <w:tc>
                <w:tcPr>
                  <w:tcW w:w="781" w:type="dxa"/>
                  <w:tcBorders>
                    <w:tl2br w:val="nil"/>
                    <w:tr2bl w:val="nil"/>
                  </w:tcBorders>
                  <w:shd w:val="clear" w:color="auto" w:fill="FFFFFF"/>
                  <w:vAlign w:val="center"/>
                </w:tcPr>
                <w:p w14:paraId="650755E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达标</w:t>
                  </w:r>
                </w:p>
              </w:tc>
            </w:tr>
          </w:tbl>
          <w:p w14:paraId="6A81C849">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（4）声环境影响分析结论</w:t>
            </w:r>
          </w:p>
          <w:p w14:paraId="66FA6227">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项目无寄养服务，夜间不接诊。项目不设住院服务，故项目无夜间运行。项目对噪声源采取合理布局。产生的噪声经减振、建筑物隔声及距离衰减作用后，项目厂界的噪声贡献值可以达到国家《工业企业厂界环境噪声排放标准》（GB12348-2008）中2类标准限值的要求。项目噪声传播至周围住宅楼处，对其本底噪声没有明显影响，预测值能够达到《声环境质量标准》（GB3096-2008）中2类标准要求。项目噪声对所在地声环境及周围各住宅楼居住环境影响较小。</w:t>
            </w:r>
          </w:p>
          <w:p w14:paraId="140C94AA">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根据《排污单位自行监测技术指南 总则》（HJ 819-2017），项目噪声监测计划见下表中所示，由于项目南厂界、北厂界、西厂界均位于商业建筑内部，与其他商业单位紧邻，故项目运行期噪声监测计划仅对东厂界进行。</w:t>
            </w:r>
          </w:p>
          <w:p w14:paraId="3C0FD8B9">
            <w:pPr>
              <w:pStyle w:val="11"/>
              <w:bidi w:val="0"/>
              <w:rPr>
                <w:rFonts w:hint="default"/>
                <w:lang w:val="en-US" w:eastAsia="zh-CN"/>
              </w:rPr>
            </w:pPr>
            <w:r>
              <w:rPr>
                <w:rFonts w:hint="eastAsia"/>
                <w:lang w:val="en-US" w:eastAsia="zh-CN"/>
              </w:rPr>
              <w:t>表4-18 本项目噪声监测计划</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545"/>
              <w:gridCol w:w="1710"/>
              <w:gridCol w:w="1125"/>
              <w:gridCol w:w="2888"/>
            </w:tblGrid>
            <w:tr w14:paraId="681153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5" w:type="dxa"/>
                  <w:tcBorders>
                    <w:tl2br w:val="nil"/>
                    <w:tr2bl w:val="nil"/>
                  </w:tcBorders>
                  <w:vAlign w:val="center"/>
                </w:tcPr>
                <w:p w14:paraId="53DC51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序号</w:t>
                  </w:r>
                </w:p>
              </w:tc>
              <w:tc>
                <w:tcPr>
                  <w:tcW w:w="1545" w:type="dxa"/>
                  <w:tcBorders>
                    <w:tl2br w:val="nil"/>
                    <w:tr2bl w:val="nil"/>
                  </w:tcBorders>
                  <w:vAlign w:val="center"/>
                </w:tcPr>
                <w:p w14:paraId="0DE7A8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监测点位</w:t>
                  </w:r>
                </w:p>
              </w:tc>
              <w:tc>
                <w:tcPr>
                  <w:tcW w:w="1710" w:type="dxa"/>
                  <w:tcBorders>
                    <w:tl2br w:val="nil"/>
                    <w:tr2bl w:val="nil"/>
                  </w:tcBorders>
                  <w:vAlign w:val="center"/>
                </w:tcPr>
                <w:p w14:paraId="60EBEB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监测项目</w:t>
                  </w:r>
                </w:p>
              </w:tc>
              <w:tc>
                <w:tcPr>
                  <w:tcW w:w="1125" w:type="dxa"/>
                  <w:tcBorders>
                    <w:tl2br w:val="nil"/>
                    <w:tr2bl w:val="nil"/>
                  </w:tcBorders>
                  <w:vAlign w:val="center"/>
                </w:tcPr>
                <w:p w14:paraId="68E3FC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频次</w:t>
                  </w:r>
                </w:p>
              </w:tc>
              <w:tc>
                <w:tcPr>
                  <w:tcW w:w="2888" w:type="dxa"/>
                  <w:tcBorders>
                    <w:tl2br w:val="nil"/>
                    <w:tr2bl w:val="nil"/>
                  </w:tcBorders>
                  <w:vAlign w:val="center"/>
                </w:tcPr>
                <w:p w14:paraId="682F27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执行标准</w:t>
                  </w:r>
                </w:p>
              </w:tc>
            </w:tr>
            <w:tr w14:paraId="0DDB93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5" w:type="dxa"/>
                  <w:tcBorders>
                    <w:tl2br w:val="nil"/>
                    <w:tr2bl w:val="nil"/>
                  </w:tcBorders>
                  <w:vAlign w:val="center"/>
                </w:tcPr>
                <w:p w14:paraId="1DC6C4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1545" w:type="dxa"/>
                  <w:tcBorders>
                    <w:tl2br w:val="nil"/>
                    <w:tr2bl w:val="nil"/>
                  </w:tcBorders>
                  <w:vAlign w:val="center"/>
                </w:tcPr>
                <w:p w14:paraId="2CDA60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项目所在楼东厂界外1m</w:t>
                  </w:r>
                </w:p>
              </w:tc>
              <w:tc>
                <w:tcPr>
                  <w:tcW w:w="1710" w:type="dxa"/>
                  <w:tcBorders>
                    <w:tl2br w:val="nil"/>
                    <w:tr2bl w:val="nil"/>
                  </w:tcBorders>
                  <w:vAlign w:val="center"/>
                </w:tcPr>
                <w:p w14:paraId="047122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等效连续A声级</w:t>
                  </w:r>
                </w:p>
              </w:tc>
              <w:tc>
                <w:tcPr>
                  <w:tcW w:w="1125" w:type="dxa"/>
                  <w:tcBorders>
                    <w:tl2br w:val="nil"/>
                    <w:tr2bl w:val="nil"/>
                  </w:tcBorders>
                  <w:vAlign w:val="center"/>
                </w:tcPr>
                <w:p w14:paraId="25C753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1次/季度</w:t>
                  </w:r>
                </w:p>
              </w:tc>
              <w:tc>
                <w:tcPr>
                  <w:tcW w:w="2888" w:type="dxa"/>
                  <w:tcBorders>
                    <w:tl2br w:val="nil"/>
                    <w:tr2bl w:val="nil"/>
                  </w:tcBorders>
                  <w:vAlign w:val="center"/>
                </w:tcPr>
                <w:p w14:paraId="7B62CF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《工业企业厂界环境噪声排放标准》（GB12348-2008）中2类标准</w:t>
                  </w:r>
                </w:p>
              </w:tc>
            </w:tr>
            <w:tr w14:paraId="69B341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23" w:type="dxa"/>
                  <w:gridSpan w:val="5"/>
                  <w:tcBorders>
                    <w:tl2br w:val="nil"/>
                    <w:tr2bl w:val="nil"/>
                  </w:tcBorders>
                  <w:vAlign w:val="center"/>
                </w:tcPr>
                <w:p w14:paraId="3A2AA7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eastAsia"/>
                      <w:sz w:val="21"/>
                      <w:szCs w:val="21"/>
                      <w:vertAlign w:val="baseline"/>
                      <w:lang w:val="en-US" w:eastAsia="zh-CN"/>
                    </w:rPr>
                    <w:t>注：在有公众对项目投诉的情况时，建设单位应按照相关要求增加监测频次。</w:t>
                  </w:r>
                </w:p>
              </w:tc>
            </w:tr>
          </w:tbl>
          <w:p w14:paraId="3AA8BBBB">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b/>
                <w:bCs/>
                <w:lang w:val="en-US" w:eastAsia="zh-CN"/>
              </w:rPr>
              <w:t>4、固体废物环境影响分析</w:t>
            </w:r>
          </w:p>
          <w:p w14:paraId="6F12DE47">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本项目运营期产生的固体废物为危险废物（医疗废物）、一般工业固体废物和生活垃圾。</w:t>
            </w:r>
          </w:p>
          <w:p w14:paraId="5641FD93">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（1）固体废物源强分析</w:t>
            </w:r>
          </w:p>
          <w:p w14:paraId="4787E968">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1）危险废物（医疗废物）</w:t>
            </w:r>
          </w:p>
          <w:p w14:paraId="115B70CE">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根据《国家危险废物名录》（2025年版），以及《医疗废物分类目录》（2021年版）（国卫医函[2021]238号，国家卫健委、国家生态环境部），结合该项目诊疗特性，本项目运营期间所生产的医疗废物分属于危险废物中HW01（医疗废物）类物质，必须经有资质的单位进行收集、转运及处置。医疗废物暂存于医院内的医疗废物暂存间。项目产生的医疗废物主要为感染性废物（化验后产生的废试纸、试剂盒；及沾染血液、组织液的棉球、纱布、口罩等，以及污水处理设备产生的拦截物）、病理性废物（手术后产生的动物器官、组织，包括动物血液、组织液等）、损伤性废物（一次性针头、刀片等）。项目使用的兽药根据接待情况采购并少量储备，不会出现过期药物药品，无药物性废物及化学性废物产生。</w:t>
            </w:r>
          </w:p>
          <w:p w14:paraId="1562E4BE">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根据京锐（北京）动物医院有限公司提供的验收运行数据，该医院年运行350d，接待量7000例，年产生医疗废物2.5t/a。则平均每日每只就诊动物的医疗废物产生量为0.36kg/d。则本项目预计年产生医疗废物0.57t/a。</w:t>
            </w:r>
          </w:p>
          <w:p w14:paraId="505AF759">
            <w:pPr>
              <w:pStyle w:val="11"/>
              <w:bidi w:val="0"/>
              <w:rPr>
                <w:rFonts w:hint="default"/>
                <w:lang w:val="en-US" w:eastAsia="zh-CN"/>
              </w:rPr>
            </w:pPr>
            <w:r>
              <w:rPr>
                <w:rFonts w:hint="eastAsia"/>
                <w:lang w:val="en-US" w:eastAsia="zh-CN"/>
              </w:rPr>
              <w:t>表4-19 本项目危险废物汇总表</w:t>
            </w:r>
          </w:p>
          <w:tbl>
            <w:tblPr>
              <w:tblStyle w:val="9"/>
              <w:tblW w:w="802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2"/>
              <w:gridCol w:w="1290"/>
              <w:gridCol w:w="855"/>
              <w:gridCol w:w="500"/>
              <w:gridCol w:w="500"/>
              <w:gridCol w:w="500"/>
              <w:gridCol w:w="1695"/>
              <w:gridCol w:w="525"/>
              <w:gridCol w:w="563"/>
              <w:gridCol w:w="803"/>
            </w:tblGrid>
            <w:tr w14:paraId="21B489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dxa"/>
                  <w:tcBorders>
                    <w:tl2br w:val="nil"/>
                    <w:tr2bl w:val="nil"/>
                  </w:tcBorders>
                  <w:vAlign w:val="center"/>
                </w:tcPr>
                <w:p w14:paraId="6F055D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危废名称</w:t>
                  </w:r>
                </w:p>
              </w:tc>
              <w:tc>
                <w:tcPr>
                  <w:tcW w:w="1290" w:type="dxa"/>
                  <w:tcBorders>
                    <w:tl2br w:val="nil"/>
                    <w:tr2bl w:val="nil"/>
                  </w:tcBorders>
                  <w:vAlign w:val="center"/>
                </w:tcPr>
                <w:p w14:paraId="174460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危废代码</w:t>
                  </w:r>
                </w:p>
              </w:tc>
              <w:tc>
                <w:tcPr>
                  <w:tcW w:w="855" w:type="dxa"/>
                  <w:tcBorders>
                    <w:tl2br w:val="nil"/>
                    <w:tr2bl w:val="nil"/>
                  </w:tcBorders>
                  <w:vAlign w:val="center"/>
                </w:tcPr>
                <w:p w14:paraId="279E50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产生量</w:t>
                  </w:r>
                </w:p>
              </w:tc>
              <w:tc>
                <w:tcPr>
                  <w:tcW w:w="500" w:type="dxa"/>
                  <w:tcBorders>
                    <w:tl2br w:val="nil"/>
                    <w:tr2bl w:val="nil"/>
                  </w:tcBorders>
                  <w:vAlign w:val="center"/>
                </w:tcPr>
                <w:p w14:paraId="3BB33F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产生工序</w:t>
                  </w:r>
                </w:p>
              </w:tc>
              <w:tc>
                <w:tcPr>
                  <w:tcW w:w="500" w:type="dxa"/>
                  <w:tcBorders>
                    <w:tl2br w:val="nil"/>
                    <w:tr2bl w:val="nil"/>
                  </w:tcBorders>
                  <w:vAlign w:val="center"/>
                </w:tcPr>
                <w:p w14:paraId="002BF9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形态</w:t>
                  </w:r>
                </w:p>
              </w:tc>
              <w:tc>
                <w:tcPr>
                  <w:tcW w:w="500" w:type="dxa"/>
                  <w:tcBorders>
                    <w:tl2br w:val="nil"/>
                    <w:tr2bl w:val="nil"/>
                  </w:tcBorders>
                  <w:vAlign w:val="center"/>
                </w:tcPr>
                <w:p w14:paraId="565E5A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主要成分</w:t>
                  </w:r>
                </w:p>
              </w:tc>
              <w:tc>
                <w:tcPr>
                  <w:tcW w:w="1695" w:type="dxa"/>
                  <w:tcBorders>
                    <w:tl2br w:val="nil"/>
                    <w:tr2bl w:val="nil"/>
                  </w:tcBorders>
                  <w:vAlign w:val="center"/>
                </w:tcPr>
                <w:p w14:paraId="6BE2ED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有害成分</w:t>
                  </w:r>
                </w:p>
              </w:tc>
              <w:tc>
                <w:tcPr>
                  <w:tcW w:w="525" w:type="dxa"/>
                  <w:tcBorders>
                    <w:tl2br w:val="nil"/>
                    <w:tr2bl w:val="nil"/>
                  </w:tcBorders>
                  <w:vAlign w:val="center"/>
                </w:tcPr>
                <w:p w14:paraId="6E4D27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产废周期</w:t>
                  </w:r>
                </w:p>
              </w:tc>
              <w:tc>
                <w:tcPr>
                  <w:tcW w:w="563" w:type="dxa"/>
                  <w:tcBorders>
                    <w:tl2br w:val="nil"/>
                    <w:tr2bl w:val="nil"/>
                  </w:tcBorders>
                  <w:vAlign w:val="center"/>
                </w:tcPr>
                <w:p w14:paraId="02B208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危险特性</w:t>
                  </w:r>
                </w:p>
              </w:tc>
              <w:tc>
                <w:tcPr>
                  <w:tcW w:w="803" w:type="dxa"/>
                  <w:tcBorders>
                    <w:tl2br w:val="nil"/>
                    <w:tr2bl w:val="nil"/>
                  </w:tcBorders>
                  <w:vAlign w:val="center"/>
                </w:tcPr>
                <w:p w14:paraId="0064D0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污染防治措施</w:t>
                  </w:r>
                </w:p>
              </w:tc>
            </w:tr>
            <w:tr w14:paraId="4578BD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dxa"/>
                  <w:vMerge w:val="restart"/>
                  <w:tcBorders>
                    <w:tl2br w:val="nil"/>
                    <w:tr2bl w:val="nil"/>
                  </w:tcBorders>
                  <w:vAlign w:val="center"/>
                </w:tcPr>
                <w:p w14:paraId="34C01F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医疗废物HW01</w:t>
                  </w:r>
                </w:p>
              </w:tc>
              <w:tc>
                <w:tcPr>
                  <w:tcW w:w="1290" w:type="dxa"/>
                  <w:tcBorders>
                    <w:tl2br w:val="nil"/>
                    <w:tr2bl w:val="nil"/>
                  </w:tcBorders>
                  <w:vAlign w:val="center"/>
                </w:tcPr>
                <w:p w14:paraId="73FC53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感染性废物841-001-01</w:t>
                  </w:r>
                </w:p>
              </w:tc>
              <w:tc>
                <w:tcPr>
                  <w:tcW w:w="855" w:type="dxa"/>
                  <w:vMerge w:val="restart"/>
                  <w:tcBorders>
                    <w:tl2br w:val="nil"/>
                    <w:tr2bl w:val="nil"/>
                  </w:tcBorders>
                  <w:vAlign w:val="center"/>
                </w:tcPr>
                <w:p w14:paraId="42AA45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0.57t/a</w:t>
                  </w:r>
                </w:p>
              </w:tc>
              <w:tc>
                <w:tcPr>
                  <w:tcW w:w="500" w:type="dxa"/>
                  <w:vMerge w:val="restart"/>
                  <w:tcBorders>
                    <w:tl2br w:val="nil"/>
                    <w:tr2bl w:val="nil"/>
                  </w:tcBorders>
                  <w:vAlign w:val="center"/>
                </w:tcPr>
                <w:p w14:paraId="37367C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动物诊疗</w:t>
                  </w:r>
                </w:p>
              </w:tc>
              <w:tc>
                <w:tcPr>
                  <w:tcW w:w="500" w:type="dxa"/>
                  <w:vMerge w:val="restart"/>
                  <w:tcBorders>
                    <w:tl2br w:val="nil"/>
                    <w:tr2bl w:val="nil"/>
                  </w:tcBorders>
                  <w:vAlign w:val="center"/>
                </w:tcPr>
                <w:p w14:paraId="24693E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固态</w:t>
                  </w:r>
                </w:p>
              </w:tc>
              <w:tc>
                <w:tcPr>
                  <w:tcW w:w="500" w:type="dxa"/>
                  <w:vMerge w:val="restart"/>
                  <w:tcBorders>
                    <w:tl2br w:val="nil"/>
                    <w:tr2bl w:val="nil"/>
                  </w:tcBorders>
                  <w:vAlign w:val="center"/>
                </w:tcPr>
                <w:p w14:paraId="4B099E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医疗废物</w:t>
                  </w:r>
                </w:p>
              </w:tc>
              <w:tc>
                <w:tcPr>
                  <w:tcW w:w="1695" w:type="dxa"/>
                  <w:tcBorders>
                    <w:tl2br w:val="nil"/>
                    <w:tr2bl w:val="nil"/>
                  </w:tcBorders>
                  <w:vAlign w:val="center"/>
                </w:tcPr>
                <w:p w14:paraId="794C2C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废试纸、试剂盒；患病动物血液、组织液；及沾染血液、组织液的棉球、纱布、口罩。污水处理设备拦截物</w:t>
                  </w:r>
                </w:p>
              </w:tc>
              <w:tc>
                <w:tcPr>
                  <w:tcW w:w="525" w:type="dxa"/>
                  <w:vMerge w:val="restart"/>
                  <w:tcBorders>
                    <w:tl2br w:val="nil"/>
                    <w:tr2bl w:val="nil"/>
                  </w:tcBorders>
                  <w:vAlign w:val="center"/>
                </w:tcPr>
                <w:p w14:paraId="1178D4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每日</w:t>
                  </w:r>
                </w:p>
              </w:tc>
              <w:tc>
                <w:tcPr>
                  <w:tcW w:w="563" w:type="dxa"/>
                  <w:tcBorders>
                    <w:tl2br w:val="nil"/>
                    <w:tr2bl w:val="nil"/>
                  </w:tcBorders>
                  <w:vAlign w:val="center"/>
                </w:tcPr>
                <w:p w14:paraId="3F3760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In</w:t>
                  </w:r>
                </w:p>
              </w:tc>
              <w:tc>
                <w:tcPr>
                  <w:tcW w:w="803" w:type="dxa"/>
                  <w:vMerge w:val="restart"/>
                  <w:tcBorders>
                    <w:tl2br w:val="nil"/>
                    <w:tr2bl w:val="nil"/>
                  </w:tcBorders>
                  <w:vAlign w:val="center"/>
                </w:tcPr>
                <w:p w14:paraId="5B5775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设置专门的暂存间（设施），防渗措施，张贴标识，定期委托资质单位处置</w:t>
                  </w:r>
                </w:p>
              </w:tc>
            </w:tr>
            <w:tr w14:paraId="199E50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dxa"/>
                  <w:vMerge w:val="continue"/>
                  <w:tcBorders>
                    <w:tl2br w:val="nil"/>
                    <w:tr2bl w:val="nil"/>
                  </w:tcBorders>
                  <w:vAlign w:val="center"/>
                </w:tcPr>
                <w:p w14:paraId="711153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290" w:type="dxa"/>
                  <w:tcBorders>
                    <w:tl2br w:val="nil"/>
                    <w:tr2bl w:val="nil"/>
                  </w:tcBorders>
                  <w:vAlign w:val="center"/>
                </w:tcPr>
                <w:p w14:paraId="1F3B8D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损伤性废物841-002-01</w:t>
                  </w:r>
                </w:p>
              </w:tc>
              <w:tc>
                <w:tcPr>
                  <w:tcW w:w="855" w:type="dxa"/>
                  <w:vMerge w:val="continue"/>
                  <w:tcBorders>
                    <w:tl2br w:val="nil"/>
                    <w:tr2bl w:val="nil"/>
                  </w:tcBorders>
                  <w:vAlign w:val="center"/>
                </w:tcPr>
                <w:p w14:paraId="67BCB4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500" w:type="dxa"/>
                  <w:vMerge w:val="continue"/>
                  <w:tcBorders>
                    <w:tl2br w:val="nil"/>
                    <w:tr2bl w:val="nil"/>
                  </w:tcBorders>
                  <w:vAlign w:val="center"/>
                </w:tcPr>
                <w:p w14:paraId="08631A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500" w:type="dxa"/>
                  <w:vMerge w:val="continue"/>
                  <w:tcBorders>
                    <w:tl2br w:val="nil"/>
                    <w:tr2bl w:val="nil"/>
                  </w:tcBorders>
                  <w:vAlign w:val="center"/>
                </w:tcPr>
                <w:p w14:paraId="318C96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500" w:type="dxa"/>
                  <w:vMerge w:val="continue"/>
                  <w:tcBorders>
                    <w:tl2br w:val="nil"/>
                    <w:tr2bl w:val="nil"/>
                  </w:tcBorders>
                  <w:vAlign w:val="center"/>
                </w:tcPr>
                <w:p w14:paraId="26C6E7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695" w:type="dxa"/>
                  <w:tcBorders>
                    <w:tl2br w:val="nil"/>
                    <w:tr2bl w:val="nil"/>
                  </w:tcBorders>
                  <w:vAlign w:val="center"/>
                </w:tcPr>
                <w:p w14:paraId="1E9E37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废手术刀、注射器、输液器针头等物品</w:t>
                  </w:r>
                </w:p>
              </w:tc>
              <w:tc>
                <w:tcPr>
                  <w:tcW w:w="525" w:type="dxa"/>
                  <w:vMerge w:val="continue"/>
                  <w:tcBorders>
                    <w:tl2br w:val="nil"/>
                    <w:tr2bl w:val="nil"/>
                  </w:tcBorders>
                  <w:vAlign w:val="center"/>
                </w:tcPr>
                <w:p w14:paraId="13E219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563" w:type="dxa"/>
                  <w:tcBorders>
                    <w:tl2br w:val="nil"/>
                    <w:tr2bl w:val="nil"/>
                  </w:tcBorders>
                  <w:vAlign w:val="center"/>
                </w:tcPr>
                <w:p w14:paraId="19B400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In</w:t>
                  </w:r>
                </w:p>
              </w:tc>
              <w:tc>
                <w:tcPr>
                  <w:tcW w:w="803" w:type="dxa"/>
                  <w:vMerge w:val="continue"/>
                  <w:tcBorders>
                    <w:tl2br w:val="nil"/>
                    <w:tr2bl w:val="nil"/>
                  </w:tcBorders>
                  <w:vAlign w:val="center"/>
                </w:tcPr>
                <w:p w14:paraId="7EDDD4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r>
            <w:tr w14:paraId="528B38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dxa"/>
                  <w:vMerge w:val="continue"/>
                  <w:tcBorders>
                    <w:tl2br w:val="nil"/>
                    <w:tr2bl w:val="nil"/>
                  </w:tcBorders>
                  <w:vAlign w:val="center"/>
                </w:tcPr>
                <w:p w14:paraId="5AE647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290" w:type="dxa"/>
                  <w:tcBorders>
                    <w:tl2br w:val="nil"/>
                    <w:tr2bl w:val="nil"/>
                  </w:tcBorders>
                  <w:vAlign w:val="center"/>
                </w:tcPr>
                <w:p w14:paraId="0234AC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病理性废物841-003-01</w:t>
                  </w:r>
                </w:p>
              </w:tc>
              <w:tc>
                <w:tcPr>
                  <w:tcW w:w="855" w:type="dxa"/>
                  <w:vMerge w:val="continue"/>
                  <w:tcBorders>
                    <w:tl2br w:val="nil"/>
                    <w:tr2bl w:val="nil"/>
                  </w:tcBorders>
                  <w:vAlign w:val="center"/>
                </w:tcPr>
                <w:p w14:paraId="2117E3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500" w:type="dxa"/>
                  <w:vMerge w:val="continue"/>
                  <w:tcBorders>
                    <w:tl2br w:val="nil"/>
                    <w:tr2bl w:val="nil"/>
                  </w:tcBorders>
                  <w:vAlign w:val="center"/>
                </w:tcPr>
                <w:p w14:paraId="224852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500" w:type="dxa"/>
                  <w:vMerge w:val="continue"/>
                  <w:tcBorders>
                    <w:tl2br w:val="nil"/>
                    <w:tr2bl w:val="nil"/>
                  </w:tcBorders>
                  <w:vAlign w:val="center"/>
                </w:tcPr>
                <w:p w14:paraId="3DB794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500" w:type="dxa"/>
                  <w:vMerge w:val="continue"/>
                  <w:tcBorders>
                    <w:tl2br w:val="nil"/>
                    <w:tr2bl w:val="nil"/>
                  </w:tcBorders>
                  <w:vAlign w:val="center"/>
                </w:tcPr>
                <w:p w14:paraId="75CF86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695" w:type="dxa"/>
                  <w:tcBorders>
                    <w:tl2br w:val="nil"/>
                    <w:tr2bl w:val="nil"/>
                  </w:tcBorders>
                  <w:vAlign w:val="center"/>
                </w:tcPr>
                <w:p w14:paraId="15BFDE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动物器官、组织，包括动物血液、组织液</w:t>
                  </w:r>
                </w:p>
              </w:tc>
              <w:tc>
                <w:tcPr>
                  <w:tcW w:w="525" w:type="dxa"/>
                  <w:vMerge w:val="continue"/>
                  <w:tcBorders>
                    <w:tl2br w:val="nil"/>
                    <w:tr2bl w:val="nil"/>
                  </w:tcBorders>
                  <w:vAlign w:val="center"/>
                </w:tcPr>
                <w:p w14:paraId="61BE0D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563" w:type="dxa"/>
                  <w:tcBorders>
                    <w:tl2br w:val="nil"/>
                    <w:tr2bl w:val="nil"/>
                  </w:tcBorders>
                  <w:vAlign w:val="center"/>
                </w:tcPr>
                <w:p w14:paraId="22FCBF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In</w:t>
                  </w:r>
                </w:p>
              </w:tc>
              <w:tc>
                <w:tcPr>
                  <w:tcW w:w="803" w:type="dxa"/>
                  <w:vMerge w:val="continue"/>
                  <w:tcBorders>
                    <w:tl2br w:val="nil"/>
                    <w:tr2bl w:val="nil"/>
                  </w:tcBorders>
                  <w:vAlign w:val="center"/>
                </w:tcPr>
                <w:p w14:paraId="2A0675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r>
          </w:tbl>
          <w:p w14:paraId="0B0954B0">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2）一般工业固体废物</w:t>
            </w:r>
          </w:p>
          <w:p w14:paraId="6C32D30D">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项目使用的手术刀、镊子、手套、口罩、试纸、试剂盒等医疗器械的包装物和各类耗材的包装物，属于一般工业固体废物。根据建设单位提供数据，该类废物年产生量为0.1t/a。该类废物分类收集后，交由废品回收站回收再利用。异味净化系统中的废活性炭，年用量4kg（0.004t/a），由生产厂家回收再利用。其处置符合《一般工业固体废物贮存和填埋污染控制标准》（GB18599-2020）等规定中的要求。</w:t>
            </w:r>
          </w:p>
          <w:p w14:paraId="56F1852B">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3）生活垃圾</w:t>
            </w:r>
          </w:p>
          <w:p w14:paraId="52233A57">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本项目工作定员4人，以每人每天0.5kg/d计，则本项目生活垃圾产生量为2kg/d，即0.53t/a，建设单位分类收集，妥善储存，委托当地环卫机构定期清运。建设单位应对生活垃圾严格按照《北京市生活垃圾管理条例》（2020年9月25日修正）的要求，做好垃圾分类收集。定时清运至环卫部门指定的垃圾消纳场所。</w:t>
            </w:r>
          </w:p>
          <w:p w14:paraId="1D8A7214">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（2）环境管理要求</w:t>
            </w:r>
          </w:p>
          <w:p w14:paraId="769703CC">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1）危险废物（医疗废物）贮存场所环境影响分析及治理措施</w:t>
            </w:r>
          </w:p>
          <w:p w14:paraId="3BC8BE70">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①选址可行性</w:t>
            </w:r>
          </w:p>
          <w:p w14:paraId="5C57F32C">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项目建设单位已按照《中华人民共和国固体废物污染环境防治法》（2020年版）、《危险废物贮存污染控制标准》（GB18597-2023）、《北京市危险废物污染环境防治条例》（2020年6月5日通过，2020年9月1日实施）等文件的相关规定进行危险废物暂存间的设计和建设，并做好“四防”（防风、防雨、防晒、防渗漏）。项目采用医疗废物暂存柜（暂存设施），设置在医院东侧。建设单位将危险废物暂存间（暂存设施）设置在室内，为封闭独立结构，医疗废物不露天存放，其选址是可行的。</w:t>
            </w:r>
          </w:p>
          <w:p w14:paraId="1E058523">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②危险废物暂存能力</w:t>
            </w:r>
          </w:p>
          <w:p w14:paraId="77E76684">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项目危险废物暂存间容积约0.3m</w:t>
            </w:r>
            <w:r>
              <w:rPr>
                <w:rFonts w:hint="eastAsia"/>
                <w:vertAlign w:val="superscript"/>
                <w:lang w:val="en-US" w:eastAsia="zh-CN"/>
              </w:rPr>
              <w:t>3</w:t>
            </w:r>
            <w:r>
              <w:rPr>
                <w:rFonts w:hint="eastAsia"/>
                <w:lang w:val="en-US" w:eastAsia="zh-CN"/>
              </w:rPr>
              <w:t>，可以同时容纳50kg的医疗废物。本项目医疗废物产生量为2.16kg/d，可以满足暂存要求，有能力暂存项目产生的医疗废物。在医院日常运行中，随时产生的医疗废物先置于黄色专用容器内，容器上张贴警示标识。每日由专人将医疗废物按照统一路线暂存至医疗废物暂存间内，并分类存放。不能及时转运的病理性废物应放置在冰箱中冷藏贮存，避免不能及时清运时产生异味和滋生细菌。</w:t>
            </w:r>
          </w:p>
          <w:p w14:paraId="6829FC91">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此外，医疗废物暂存间柜门上应张贴专用警示标识。本项目医疗废物暂存间基本情况见下表。</w:t>
            </w:r>
          </w:p>
          <w:p w14:paraId="60BC1A14">
            <w:pPr>
              <w:pStyle w:val="11"/>
              <w:bidi w:val="0"/>
              <w:rPr>
                <w:rFonts w:hint="default"/>
                <w:lang w:val="en-US" w:eastAsia="zh-CN"/>
              </w:rPr>
            </w:pPr>
            <w:r>
              <w:rPr>
                <w:rFonts w:hint="eastAsia"/>
                <w:lang w:val="en-US" w:eastAsia="zh-CN"/>
              </w:rPr>
              <w:t>表4-20 本项目医疗废物暂存间基本情况汇总表</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9"/>
              <w:gridCol w:w="759"/>
              <w:gridCol w:w="819"/>
              <w:gridCol w:w="1245"/>
              <w:gridCol w:w="495"/>
              <w:gridCol w:w="765"/>
              <w:gridCol w:w="660"/>
              <w:gridCol w:w="645"/>
              <w:gridCol w:w="1876"/>
            </w:tblGrid>
            <w:tr w14:paraId="0830FD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tcBorders>
                    <w:tl2br w:val="nil"/>
                    <w:tr2bl w:val="nil"/>
                  </w:tcBorders>
                  <w:vAlign w:val="center"/>
                </w:tcPr>
                <w:p w14:paraId="2353E3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贮存场所名称</w:t>
                  </w:r>
                </w:p>
              </w:tc>
              <w:tc>
                <w:tcPr>
                  <w:tcW w:w="759" w:type="dxa"/>
                  <w:tcBorders>
                    <w:tl2br w:val="nil"/>
                    <w:tr2bl w:val="nil"/>
                  </w:tcBorders>
                  <w:vAlign w:val="center"/>
                </w:tcPr>
                <w:p w14:paraId="1BEDD8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危废名称</w:t>
                  </w:r>
                </w:p>
              </w:tc>
              <w:tc>
                <w:tcPr>
                  <w:tcW w:w="819" w:type="dxa"/>
                  <w:tcBorders>
                    <w:tl2br w:val="nil"/>
                    <w:tr2bl w:val="nil"/>
                  </w:tcBorders>
                  <w:vAlign w:val="center"/>
                </w:tcPr>
                <w:p w14:paraId="468EBC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危险废物类别</w:t>
                  </w:r>
                </w:p>
              </w:tc>
              <w:tc>
                <w:tcPr>
                  <w:tcW w:w="1245" w:type="dxa"/>
                  <w:tcBorders>
                    <w:tl2br w:val="nil"/>
                    <w:tr2bl w:val="nil"/>
                  </w:tcBorders>
                  <w:vAlign w:val="center"/>
                </w:tcPr>
                <w:p w14:paraId="27C50C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危险废物代码</w:t>
                  </w:r>
                </w:p>
              </w:tc>
              <w:tc>
                <w:tcPr>
                  <w:tcW w:w="495" w:type="dxa"/>
                  <w:tcBorders>
                    <w:tl2br w:val="nil"/>
                    <w:tr2bl w:val="nil"/>
                  </w:tcBorders>
                  <w:vAlign w:val="center"/>
                </w:tcPr>
                <w:p w14:paraId="7E2077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位置</w:t>
                  </w:r>
                </w:p>
              </w:tc>
              <w:tc>
                <w:tcPr>
                  <w:tcW w:w="765" w:type="dxa"/>
                  <w:tcBorders>
                    <w:tl2br w:val="nil"/>
                    <w:tr2bl w:val="nil"/>
                  </w:tcBorders>
                  <w:vAlign w:val="center"/>
                </w:tcPr>
                <w:p w14:paraId="461F4C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使用容积</w:t>
                  </w:r>
                </w:p>
              </w:tc>
              <w:tc>
                <w:tcPr>
                  <w:tcW w:w="660" w:type="dxa"/>
                  <w:tcBorders>
                    <w:tl2br w:val="nil"/>
                    <w:tr2bl w:val="nil"/>
                  </w:tcBorders>
                  <w:vAlign w:val="center"/>
                </w:tcPr>
                <w:p w14:paraId="50DB87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贮存方式</w:t>
                  </w:r>
                </w:p>
              </w:tc>
              <w:tc>
                <w:tcPr>
                  <w:tcW w:w="645" w:type="dxa"/>
                  <w:tcBorders>
                    <w:tl2br w:val="nil"/>
                    <w:tr2bl w:val="nil"/>
                  </w:tcBorders>
                  <w:vAlign w:val="center"/>
                </w:tcPr>
                <w:p w14:paraId="1C1FBC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贮存能力</w:t>
                  </w:r>
                </w:p>
              </w:tc>
              <w:tc>
                <w:tcPr>
                  <w:tcW w:w="1876" w:type="dxa"/>
                  <w:tcBorders>
                    <w:tl2br w:val="nil"/>
                    <w:tr2bl w:val="nil"/>
                  </w:tcBorders>
                  <w:vAlign w:val="center"/>
                </w:tcPr>
                <w:p w14:paraId="0758FC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贮存周期</w:t>
                  </w:r>
                </w:p>
              </w:tc>
            </w:tr>
            <w:tr w14:paraId="0CAEAB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tcBorders>
                    <w:tl2br w:val="nil"/>
                    <w:tr2bl w:val="nil"/>
                  </w:tcBorders>
                  <w:vAlign w:val="center"/>
                </w:tcPr>
                <w:p w14:paraId="0B1FCC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医疗废物暂存间</w:t>
                  </w:r>
                </w:p>
              </w:tc>
              <w:tc>
                <w:tcPr>
                  <w:tcW w:w="759" w:type="dxa"/>
                  <w:tcBorders>
                    <w:tl2br w:val="nil"/>
                    <w:tr2bl w:val="nil"/>
                  </w:tcBorders>
                  <w:vAlign w:val="center"/>
                </w:tcPr>
                <w:p w14:paraId="38F526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医疗废物</w:t>
                  </w:r>
                </w:p>
              </w:tc>
              <w:tc>
                <w:tcPr>
                  <w:tcW w:w="819" w:type="dxa"/>
                  <w:tcBorders>
                    <w:tl2br w:val="nil"/>
                    <w:tr2bl w:val="nil"/>
                  </w:tcBorders>
                  <w:vAlign w:val="center"/>
                </w:tcPr>
                <w:p w14:paraId="336A89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HW01</w:t>
                  </w:r>
                </w:p>
              </w:tc>
              <w:tc>
                <w:tcPr>
                  <w:tcW w:w="1245" w:type="dxa"/>
                  <w:tcBorders>
                    <w:tl2br w:val="nil"/>
                    <w:tr2bl w:val="nil"/>
                  </w:tcBorders>
                  <w:vAlign w:val="center"/>
                </w:tcPr>
                <w:p w14:paraId="122271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841-001-01</w:t>
                  </w:r>
                </w:p>
                <w:p w14:paraId="6DA815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841-002-01</w:t>
                  </w:r>
                </w:p>
                <w:p w14:paraId="219769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841-003-01</w:t>
                  </w:r>
                </w:p>
              </w:tc>
              <w:tc>
                <w:tcPr>
                  <w:tcW w:w="495" w:type="dxa"/>
                  <w:tcBorders>
                    <w:tl2br w:val="nil"/>
                    <w:tr2bl w:val="nil"/>
                  </w:tcBorders>
                  <w:vAlign w:val="center"/>
                </w:tcPr>
                <w:p w14:paraId="663EA9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西北部</w:t>
                  </w:r>
                </w:p>
              </w:tc>
              <w:tc>
                <w:tcPr>
                  <w:tcW w:w="765" w:type="dxa"/>
                  <w:tcBorders>
                    <w:tl2br w:val="nil"/>
                    <w:tr2bl w:val="nil"/>
                  </w:tcBorders>
                  <w:vAlign w:val="center"/>
                </w:tcPr>
                <w:p w14:paraId="7C6163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0.3m</w:t>
                  </w:r>
                  <w:r>
                    <w:rPr>
                      <w:rFonts w:hint="eastAsia"/>
                      <w:sz w:val="21"/>
                      <w:szCs w:val="21"/>
                      <w:vertAlign w:val="superscript"/>
                      <w:lang w:val="en-US" w:eastAsia="zh-CN"/>
                    </w:rPr>
                    <w:t>3</w:t>
                  </w:r>
                </w:p>
              </w:tc>
              <w:tc>
                <w:tcPr>
                  <w:tcW w:w="660" w:type="dxa"/>
                  <w:tcBorders>
                    <w:tl2br w:val="nil"/>
                    <w:tr2bl w:val="nil"/>
                  </w:tcBorders>
                  <w:vAlign w:val="center"/>
                </w:tcPr>
                <w:p w14:paraId="67EBF9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容器贮存</w:t>
                  </w:r>
                </w:p>
              </w:tc>
              <w:tc>
                <w:tcPr>
                  <w:tcW w:w="645" w:type="dxa"/>
                  <w:tcBorders>
                    <w:tl2br w:val="nil"/>
                    <w:tr2bl w:val="nil"/>
                  </w:tcBorders>
                  <w:vAlign w:val="center"/>
                </w:tcPr>
                <w:p w14:paraId="77C548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50kg</w:t>
                  </w:r>
                </w:p>
              </w:tc>
              <w:tc>
                <w:tcPr>
                  <w:tcW w:w="1876" w:type="dxa"/>
                  <w:tcBorders>
                    <w:tl2br w:val="nil"/>
                    <w:tr2bl w:val="nil"/>
                  </w:tcBorders>
                  <w:vAlign w:val="center"/>
                </w:tcPr>
                <w:p w14:paraId="34E5D9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医疗废物2天清运一次病理性废物冰箱内5℃以下冷藏贮存，贮存时间不超过1周</w:t>
                  </w:r>
                </w:p>
              </w:tc>
            </w:tr>
          </w:tbl>
          <w:p w14:paraId="44F25BDC">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③危险废物暂存中对环境影响分析</w:t>
            </w:r>
          </w:p>
          <w:p w14:paraId="66255E3A">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项目产生的危险废物为医疗废物，包括病理性废物、损伤性废物、感染性废物。废物中不含有易挥发化学品及其他产生废气的物质，病理性废物冷藏贮存，并在规定的时限内进行转运，不会发生变质产生异味。医疗废物均进行封装，并置于医疗废物专用防腐蚀塑料桶中，不与上下水交叉，不会产生废水。医疗废物暂存设施为不锈钢材质，具有防腐蚀、防渗性能。设施放置的区域地面进行硬化处理，并采取防渗材料铺层。防渗材料宜采用高密度聚乙烯防渗层或其他材料，渗透系数K不大于1.0×10</w:t>
            </w:r>
            <w:r>
              <w:rPr>
                <w:rFonts w:hint="eastAsia"/>
                <w:vertAlign w:val="superscript"/>
                <w:lang w:val="en-US" w:eastAsia="zh-CN"/>
              </w:rPr>
              <w:t>-10</w:t>
            </w:r>
            <w:r>
              <w:rPr>
                <w:rFonts w:hint="eastAsia"/>
                <w:lang w:val="en-US" w:eastAsia="zh-CN"/>
              </w:rPr>
              <w:t>cm/s。项目产生的医疗废物不会发生渗漏污染地下水体及土壤的情形。</w:t>
            </w:r>
          </w:p>
          <w:p w14:paraId="08713BBD">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2）运输过程的环境影响分析及治理措施</w:t>
            </w:r>
          </w:p>
          <w:p w14:paraId="01C7B227">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项目诊室、手术室、化验室等产生医疗废物的地点（房间）均设置医疗废物收集容器，随时产生的医疗废物先存放在该容器中。每日运行结束后，由负责专门岗位的人员按照既定设计路线，检查医疗废物收集情况，并将各个暂存容器集中转运至医疗废物暂存间，并进行分类存放。内部转移路线全部在室内，不会发生遗撒、散落污染外环境及环境保护目标的情况。</w:t>
            </w:r>
          </w:p>
          <w:p w14:paraId="163834EC">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建设单位还须记录台账，对进出库的医疗废物进行数量、名称、类别、暂存时间、管理人员等信息的记录。</w:t>
            </w:r>
          </w:p>
          <w:p w14:paraId="5EF44318">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3）委托处置危险废物的环境影响分析及治理措施</w:t>
            </w:r>
          </w:p>
          <w:p w14:paraId="6A42A08A">
            <w:pPr>
              <w:keepNext w:val="0"/>
              <w:keepLines w:val="0"/>
              <w:pageBreakBefore w:val="0"/>
              <w:widowControl w:val="0"/>
              <w:kinsoku/>
              <w:wordWrap/>
              <w:overflowPunct/>
              <w:topLinePunct w:val="0"/>
              <w:autoSpaceDE/>
              <w:autoSpaceDN/>
              <w:bidi w:val="0"/>
              <w:adjustRightInd w:val="0"/>
              <w:snapToGrid w:val="0"/>
              <w:textAlignment w:val="auto"/>
              <w:rPr>
                <w:rFonts w:hint="eastAsia"/>
                <w:highlight w:val="none"/>
                <w:lang w:val="en-US" w:eastAsia="zh-CN"/>
              </w:rPr>
            </w:pPr>
            <w:r>
              <w:rPr>
                <w:rFonts w:hint="eastAsia"/>
                <w:lang w:val="en-US" w:eastAsia="zh-CN"/>
              </w:rPr>
              <w:t>项目危险废物不进行利用或自行处置，采取委托具有相关运输与处置资质的单位进行委托处置。建设单位已和北京光凯祥瑞环保科技有限公司签订了委托处置协议，由该资质单位对医疗废物进行清运、处置。进行清运时，要与所委托单位的运送人员交接填写危险废物转移联单。本项目医疗废物应提</w:t>
            </w:r>
            <w:r>
              <w:rPr>
                <w:rFonts w:hint="eastAsia"/>
                <w:highlight w:val="none"/>
                <w:lang w:val="en-US" w:eastAsia="zh-CN"/>
              </w:rPr>
              <w:t>前做好包装、标示，并盛于周转箱内。</w:t>
            </w:r>
          </w:p>
          <w:p w14:paraId="72E667DA">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highlight w:val="none"/>
                <w:lang w:val="en-US" w:eastAsia="zh-CN"/>
              </w:rPr>
              <w:t>北京光凯祥瑞环保科技有限公司经</w:t>
            </w:r>
            <w:r>
              <w:rPr>
                <w:rFonts w:hint="eastAsia"/>
                <w:lang w:val="en-US" w:eastAsia="zh-CN"/>
              </w:rPr>
              <w:t>营危险废物类别为HW01（医疗废物），经营方式为：收集、贮存、处置，经营规模为5000t/a，有效期在2024年01月01日至2025年12月31日。本项目产生的危险废物类别为HW01（医疗废物），符合北京光凯祥瑞环保科技有限公司处置的危险废物的类别；本项目产生的医疗废物由北京光凯祥瑞环保科技有限公司定期收集、处置，符合北京光凯祥瑞环保科技有限公司的经营方式；本项目医疗废物产生量1.38t/a，仅占北京光凯祥瑞环保科技有限公司处理能力的0.0276%，北京光凯祥瑞环保科技有限公司有能力处置项目产生的医疗废物。</w:t>
            </w:r>
          </w:p>
          <w:p w14:paraId="6545A626">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4）危险废物日常管理要求</w:t>
            </w:r>
          </w:p>
          <w:p w14:paraId="1989EDA4">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建设单位应定期开展对员工的培训教育，了解相关法律法规，制定相关的操作规程。医疗废物与其他废物不得混放，必须使用专用容器盛放，并暂存至医疗废物暂存间。暂存间由专人进行管理，日常为锁闭状态。每日由专职工作人员进行废物转移至暂存间，并进行分类暂存。医疗废物出入库时需要如实记录台账登记，并在与转运处置单位交接时做好转移联单。在日常管理中，应由专人定期检查医疗废物暂存间及所在区域的地面、墙面有无破损裂缝，暂存容器是否老化腐蚀或包装袋是否出现破损。如出现问题，应采取及时进行修复或购置新容器等措施。</w:t>
            </w:r>
          </w:p>
          <w:p w14:paraId="55213940">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5）一般工业固废治理措施</w:t>
            </w:r>
          </w:p>
          <w:p w14:paraId="6CF4181A">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项目应按照《中华人民共和国固体废物污染环境防治法》（2020年版）、《一般工业固体废物贮存和填埋污染控制标准》（GB18599-2020）等规定中的要求对该类废物进行处置，建设单位将项目产生的废活性炭交由生产厂家回收再利用，不直接向外环境排放。</w:t>
            </w:r>
          </w:p>
          <w:p w14:paraId="48F9414A">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6）生活垃圾治理措施</w:t>
            </w:r>
          </w:p>
          <w:p w14:paraId="2B39A9EB">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项目生活垃圾按照《中华人民共和国固体废物污染环境防治法》（2020年版）、《北京市生活垃圾管理条例》（2020年9月25日修正）的要求采取分类收集，妥善储存，及时清运至物业及环卫部门指定场所。</w:t>
            </w:r>
          </w:p>
          <w:p w14:paraId="7B4121E0">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（3）固体废物环境影响分析结论</w:t>
            </w:r>
          </w:p>
          <w:p w14:paraId="4FACBA67">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本项目对生活垃圾，以及一般工业固体废物的处置能够满足《中华人民共和国固体废物污染环境防治法》（2020年版）、《北京市生活垃圾管理条例》（2020年9月25日修正），以及《一般工业固体废物贮存和填埋污染控制标准》（GB18599-2020）等相关规定。对医疗废物的收集、暂存及委托转运处置，能够满足《医疗废物管理条例》（中华人民共和国国务院令第380号令）、《危险废物贮存污染控制标准》（GB18597-2023）、《北京市危险废物污染环境防治条例》（2020年6月5日通过，2020年9月1日实施）等相关规定的要求。建设单位对固体废物加强管理，及时妥善处理，运营期固体废物对周围环境影响较小。</w:t>
            </w:r>
          </w:p>
          <w:p w14:paraId="63296CB7">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b/>
                <w:bCs/>
                <w:lang w:val="en-US" w:eastAsia="zh-CN"/>
              </w:rPr>
              <w:t>5、地下水、土壤环境影响分析</w:t>
            </w:r>
          </w:p>
          <w:p w14:paraId="3BC94ABC">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本项目运营过程中，所排废水包括生活污水、动物诊疗废水、美容洗浴废水。诊疗废水、美容洗浴废水经消毒处理后，与生活污水等一同排入所在建筑集中防渗化粪池预处理，最终经市政污水管网进入北京中设水处理有限公司良乡污水处理厂集中处理。项目污水处理设备安装区、污水管道及医疗废物暂存间及所在区域的地面均采取严格的防渗措施。</w:t>
            </w:r>
          </w:p>
          <w:p w14:paraId="47275043">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（1）重点防渗区防渗措施</w:t>
            </w:r>
          </w:p>
          <w:p w14:paraId="48C5992A">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1）污水处理设备</w:t>
            </w:r>
          </w:p>
          <w:p w14:paraId="4723859C">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①污水处理设施内设自动水量、水位监测仪器以及高位报警器，对水量和水位进行监测，当出现水量、水位变动较大时，及时采取相应措施；</w:t>
            </w:r>
          </w:p>
          <w:p w14:paraId="02060131">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②污水管道采用防渗、防腐管材。污水处理设备安装区宜采用高密度聚乙烯防渗层或其他材料进行防渗处理，材料的渗透系数K不大于1.0×10</w:t>
            </w:r>
            <w:r>
              <w:rPr>
                <w:rFonts w:hint="eastAsia"/>
                <w:vertAlign w:val="superscript"/>
                <w:lang w:val="en-US" w:eastAsia="zh-CN"/>
              </w:rPr>
              <w:t>-10</w:t>
            </w:r>
            <w:r>
              <w:rPr>
                <w:rFonts w:hint="eastAsia"/>
                <w:lang w:val="en-US" w:eastAsia="zh-CN"/>
              </w:rPr>
              <w:t>cm/s。</w:t>
            </w:r>
          </w:p>
          <w:p w14:paraId="6F0446E7">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2）医疗废物暂存间</w:t>
            </w:r>
          </w:p>
          <w:p w14:paraId="0FAB0538">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医疗废物暂存间内暂存的医疗废物均严格执行《医疗废物管理条例》，及时收集本单位产生的医疗废物，并按类别分置于防渗漏、防锐器穿透的专用包装物或者密闭的容器内，防止其中的液体渗漏；对垃圾收集区进行地面硬化，对医疗废物暂存间放置的区域进行地面硬化和防渗处理。防渗材料宜采用高密度聚乙烯防渗层或其他材料进行防渗处理，材料的渗透系数K不大于1.0×10</w:t>
            </w:r>
            <w:r>
              <w:rPr>
                <w:rFonts w:hint="eastAsia"/>
                <w:vertAlign w:val="superscript"/>
                <w:lang w:val="en-US" w:eastAsia="zh-CN"/>
              </w:rPr>
              <w:t>-10</w:t>
            </w:r>
            <w:r>
              <w:rPr>
                <w:rFonts w:hint="eastAsia"/>
                <w:lang w:val="en-US" w:eastAsia="zh-CN"/>
              </w:rPr>
              <w:t>cm/s。</w:t>
            </w:r>
          </w:p>
          <w:p w14:paraId="0F50A72C">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（2）一般防渗区防渗措施</w:t>
            </w:r>
          </w:p>
          <w:p w14:paraId="26239D47">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本项目涉及有上下水管路房间的地面拟采取防渗处理，材料的渗透系数K不大于1.0×10</w:t>
            </w:r>
            <w:r>
              <w:rPr>
                <w:rFonts w:hint="eastAsia"/>
                <w:vertAlign w:val="superscript"/>
                <w:lang w:val="en-US" w:eastAsia="zh-CN"/>
              </w:rPr>
              <w:t>-7</w:t>
            </w:r>
            <w:r>
              <w:rPr>
                <w:rFonts w:hint="eastAsia"/>
                <w:lang w:val="en-US" w:eastAsia="zh-CN"/>
              </w:rPr>
              <w:t>cm/s。</w:t>
            </w:r>
          </w:p>
          <w:p w14:paraId="41A5683A">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建设单位注意固体废物尤其是危险废物的及时回收与处理，生活垃圾设置密封垃圾箱，均不在露天堆放，并及时外运处理，以避免对地下水及土壤环境造成影响的可能。在保障各项防渗措施及其他管理措施治理效果的情况下，本项目不存在对地下水及土壤造成环境污染的途径。</w:t>
            </w:r>
          </w:p>
          <w:p w14:paraId="63E86745">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b/>
                <w:bCs/>
                <w:lang w:val="en-US" w:eastAsia="zh-CN"/>
              </w:rPr>
              <w:t>6、环境风险影响分析</w:t>
            </w:r>
          </w:p>
          <w:p w14:paraId="2F31426A">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本项目具有一定的危险性，存在发生火灾、爆炸、原料泄漏等突发性风险事故的可能性。</w:t>
            </w:r>
          </w:p>
          <w:p w14:paraId="30A5F425">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（1）风险源调查</w:t>
            </w:r>
          </w:p>
          <w:p w14:paraId="6A365585">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根据《建设项目环境风险评价技术导则》（HJ 169-2018）附录B重点关注的危险物质及临界量，以及《企业突发环境事件风险分级方法》（HJ 941-2018）附录A突发环境事件风险物质及临界量清单，对拟建项目涉及到的物质进行识别。本项目危险物质调查结果见下表。</w:t>
            </w:r>
          </w:p>
          <w:p w14:paraId="42A3DC7D">
            <w:pPr>
              <w:pStyle w:val="11"/>
              <w:bidi w:val="0"/>
              <w:rPr>
                <w:rFonts w:hint="default"/>
                <w:highlight w:val="none"/>
                <w:lang w:val="en-US" w:eastAsia="zh-CN"/>
              </w:rPr>
            </w:pPr>
            <w:r>
              <w:rPr>
                <w:rFonts w:hint="eastAsia"/>
                <w:highlight w:val="none"/>
                <w:lang w:val="en-US" w:eastAsia="zh-CN"/>
              </w:rPr>
              <w:t>表4-21 危险物质汇总表</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500"/>
              <w:gridCol w:w="1395"/>
              <w:gridCol w:w="1365"/>
              <w:gridCol w:w="1290"/>
              <w:gridCol w:w="930"/>
              <w:gridCol w:w="886"/>
            </w:tblGrid>
            <w:tr w14:paraId="772F10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dxa"/>
                  <w:tcBorders>
                    <w:tl2br w:val="nil"/>
                    <w:tr2bl w:val="nil"/>
                  </w:tcBorders>
                  <w:vAlign w:val="center"/>
                </w:tcPr>
                <w:p w14:paraId="10945E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spacing w:val="-10"/>
                      <w:sz w:val="21"/>
                      <w:szCs w:val="21"/>
                      <w:highlight w:val="none"/>
                      <w:vertAlign w:val="baseline"/>
                      <w:lang w:val="en-US" w:eastAsia="zh-CN"/>
                    </w:rPr>
                  </w:pPr>
                  <w:r>
                    <w:rPr>
                      <w:rFonts w:hint="eastAsia"/>
                      <w:b/>
                      <w:bCs/>
                      <w:color w:val="auto"/>
                      <w:spacing w:val="-10"/>
                      <w:sz w:val="21"/>
                      <w:szCs w:val="21"/>
                      <w:highlight w:val="none"/>
                      <w:vertAlign w:val="baseline"/>
                      <w:lang w:val="en-US" w:eastAsia="zh-CN"/>
                    </w:rPr>
                    <w:t>序号</w:t>
                  </w:r>
                </w:p>
              </w:tc>
              <w:tc>
                <w:tcPr>
                  <w:tcW w:w="1500" w:type="dxa"/>
                  <w:tcBorders>
                    <w:tl2br w:val="nil"/>
                    <w:tr2bl w:val="nil"/>
                  </w:tcBorders>
                  <w:vAlign w:val="center"/>
                </w:tcPr>
                <w:p w14:paraId="1D6811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spacing w:val="-10"/>
                      <w:sz w:val="21"/>
                      <w:szCs w:val="21"/>
                      <w:highlight w:val="none"/>
                      <w:vertAlign w:val="baseline"/>
                      <w:lang w:val="en-US" w:eastAsia="zh-CN"/>
                    </w:rPr>
                  </w:pPr>
                  <w:r>
                    <w:rPr>
                      <w:rFonts w:hint="eastAsia"/>
                      <w:b/>
                      <w:bCs/>
                      <w:color w:val="auto"/>
                      <w:spacing w:val="-10"/>
                      <w:sz w:val="21"/>
                      <w:szCs w:val="21"/>
                      <w:highlight w:val="none"/>
                      <w:vertAlign w:val="baseline"/>
                      <w:lang w:val="en-US" w:eastAsia="zh-CN"/>
                    </w:rPr>
                    <w:t>名称</w:t>
                  </w:r>
                </w:p>
              </w:tc>
              <w:tc>
                <w:tcPr>
                  <w:tcW w:w="1395" w:type="dxa"/>
                  <w:tcBorders>
                    <w:tl2br w:val="nil"/>
                    <w:tr2bl w:val="nil"/>
                  </w:tcBorders>
                  <w:vAlign w:val="center"/>
                </w:tcPr>
                <w:p w14:paraId="56E3B1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spacing w:val="-10"/>
                      <w:sz w:val="21"/>
                      <w:szCs w:val="21"/>
                      <w:highlight w:val="none"/>
                      <w:vertAlign w:val="baseline"/>
                      <w:lang w:val="en-US" w:eastAsia="zh-CN"/>
                    </w:rPr>
                  </w:pPr>
                  <w:r>
                    <w:rPr>
                      <w:rFonts w:hint="eastAsia"/>
                      <w:b/>
                      <w:bCs/>
                      <w:color w:val="auto"/>
                      <w:spacing w:val="-10"/>
                      <w:sz w:val="21"/>
                      <w:szCs w:val="21"/>
                      <w:highlight w:val="none"/>
                      <w:vertAlign w:val="baseline"/>
                      <w:lang w:val="en-US" w:eastAsia="zh-CN"/>
                    </w:rPr>
                    <w:t>HJ169对照</w:t>
                  </w:r>
                </w:p>
              </w:tc>
              <w:tc>
                <w:tcPr>
                  <w:tcW w:w="1365" w:type="dxa"/>
                  <w:tcBorders>
                    <w:tl2br w:val="nil"/>
                    <w:tr2bl w:val="nil"/>
                  </w:tcBorders>
                  <w:vAlign w:val="center"/>
                </w:tcPr>
                <w:p w14:paraId="0A0019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spacing w:val="-10"/>
                      <w:sz w:val="21"/>
                      <w:szCs w:val="21"/>
                      <w:highlight w:val="none"/>
                      <w:vertAlign w:val="baseline"/>
                      <w:lang w:val="en-US" w:eastAsia="zh-CN"/>
                    </w:rPr>
                  </w:pPr>
                  <w:r>
                    <w:rPr>
                      <w:rFonts w:hint="eastAsia"/>
                      <w:b/>
                      <w:bCs/>
                      <w:color w:val="auto"/>
                      <w:spacing w:val="-10"/>
                      <w:sz w:val="21"/>
                      <w:szCs w:val="21"/>
                      <w:highlight w:val="none"/>
                      <w:vertAlign w:val="baseline"/>
                      <w:lang w:val="en-US" w:eastAsia="zh-CN"/>
                    </w:rPr>
                    <w:t>存放位置</w:t>
                  </w:r>
                </w:p>
              </w:tc>
              <w:tc>
                <w:tcPr>
                  <w:tcW w:w="1290" w:type="dxa"/>
                  <w:tcBorders>
                    <w:tl2br w:val="nil"/>
                    <w:tr2bl w:val="nil"/>
                  </w:tcBorders>
                  <w:vAlign w:val="center"/>
                </w:tcPr>
                <w:p w14:paraId="2F352A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spacing w:val="-10"/>
                      <w:sz w:val="21"/>
                      <w:szCs w:val="21"/>
                      <w:highlight w:val="none"/>
                      <w:vertAlign w:val="baseline"/>
                      <w:lang w:val="en-US" w:eastAsia="zh-CN"/>
                    </w:rPr>
                  </w:pPr>
                  <w:r>
                    <w:rPr>
                      <w:rFonts w:hint="eastAsia"/>
                      <w:b/>
                      <w:bCs/>
                      <w:color w:val="auto"/>
                      <w:spacing w:val="-10"/>
                      <w:sz w:val="21"/>
                      <w:szCs w:val="21"/>
                      <w:highlight w:val="none"/>
                      <w:vertAlign w:val="baseline"/>
                      <w:lang w:val="en-US" w:eastAsia="zh-CN"/>
                    </w:rPr>
                    <w:t>最大存储量t</w:t>
                  </w:r>
                </w:p>
              </w:tc>
              <w:tc>
                <w:tcPr>
                  <w:tcW w:w="930" w:type="dxa"/>
                  <w:tcBorders>
                    <w:tl2br w:val="nil"/>
                    <w:tr2bl w:val="nil"/>
                  </w:tcBorders>
                  <w:vAlign w:val="center"/>
                </w:tcPr>
                <w:p w14:paraId="25A0DB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spacing w:val="-10"/>
                      <w:sz w:val="21"/>
                      <w:szCs w:val="21"/>
                      <w:highlight w:val="none"/>
                      <w:vertAlign w:val="baseline"/>
                      <w:lang w:val="en-US" w:eastAsia="zh-CN"/>
                    </w:rPr>
                  </w:pPr>
                  <w:r>
                    <w:rPr>
                      <w:rFonts w:hint="eastAsia"/>
                      <w:b/>
                      <w:bCs/>
                      <w:color w:val="auto"/>
                      <w:spacing w:val="-10"/>
                      <w:sz w:val="21"/>
                      <w:szCs w:val="21"/>
                      <w:highlight w:val="none"/>
                      <w:vertAlign w:val="baseline"/>
                      <w:lang w:val="en-US" w:eastAsia="zh-CN"/>
                    </w:rPr>
                    <w:t>临界量t</w:t>
                  </w:r>
                </w:p>
              </w:tc>
              <w:tc>
                <w:tcPr>
                  <w:tcW w:w="886" w:type="dxa"/>
                  <w:tcBorders>
                    <w:tl2br w:val="nil"/>
                    <w:tr2bl w:val="nil"/>
                  </w:tcBorders>
                  <w:vAlign w:val="center"/>
                </w:tcPr>
                <w:p w14:paraId="06E1EC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spacing w:val="-10"/>
                      <w:sz w:val="21"/>
                      <w:szCs w:val="21"/>
                      <w:highlight w:val="none"/>
                      <w:vertAlign w:val="baseline"/>
                      <w:lang w:val="en-US" w:eastAsia="zh-CN"/>
                    </w:rPr>
                  </w:pPr>
                  <w:r>
                    <w:rPr>
                      <w:rFonts w:hint="eastAsia"/>
                      <w:b/>
                      <w:bCs/>
                      <w:color w:val="auto"/>
                      <w:spacing w:val="-10"/>
                      <w:sz w:val="21"/>
                      <w:szCs w:val="21"/>
                      <w:highlight w:val="none"/>
                      <w:vertAlign w:val="baseline"/>
                      <w:lang w:val="en-US" w:eastAsia="zh-CN"/>
                    </w:rPr>
                    <w:t>Q值</w:t>
                  </w:r>
                </w:p>
              </w:tc>
            </w:tr>
            <w:tr w14:paraId="528954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dxa"/>
                  <w:tcBorders>
                    <w:tl2br w:val="nil"/>
                    <w:tr2bl w:val="nil"/>
                  </w:tcBorders>
                  <w:vAlign w:val="center"/>
                </w:tcPr>
                <w:p w14:paraId="06BF40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1</w:t>
                  </w:r>
                </w:p>
              </w:tc>
              <w:tc>
                <w:tcPr>
                  <w:tcW w:w="1500" w:type="dxa"/>
                  <w:tcBorders>
                    <w:tl2br w:val="nil"/>
                    <w:tr2bl w:val="nil"/>
                  </w:tcBorders>
                  <w:shd w:val="clear" w:color="auto" w:fill="auto"/>
                  <w:vAlign w:val="center"/>
                </w:tcPr>
                <w:p w14:paraId="0612F9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heme="minorBidi"/>
                      <w:color w:val="auto"/>
                      <w:kern w:val="2"/>
                      <w:sz w:val="21"/>
                      <w:szCs w:val="21"/>
                      <w:highlight w:val="none"/>
                      <w:vertAlign w:val="baseline"/>
                      <w:lang w:val="en-US" w:eastAsia="zh-CN" w:bidi="ar-SA"/>
                    </w:rPr>
                  </w:pPr>
                  <w:r>
                    <w:rPr>
                      <w:rFonts w:hint="eastAsia" w:cstheme="minorBidi"/>
                      <w:color w:val="auto"/>
                      <w:kern w:val="2"/>
                      <w:sz w:val="21"/>
                      <w:szCs w:val="21"/>
                      <w:highlight w:val="none"/>
                      <w:vertAlign w:val="baseline"/>
                      <w:lang w:val="en-US" w:eastAsia="zh-CN" w:bidi="ar-SA"/>
                    </w:rPr>
                    <w:t>医用酒精</w:t>
                  </w:r>
                </w:p>
                <w:p w14:paraId="76EE70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cstheme="minorBidi"/>
                      <w:color w:val="auto"/>
                      <w:kern w:val="2"/>
                      <w:sz w:val="21"/>
                      <w:szCs w:val="21"/>
                      <w:highlight w:val="none"/>
                      <w:vertAlign w:val="baseline"/>
                      <w:lang w:val="en-US" w:eastAsia="zh-CN" w:bidi="ar-SA"/>
                    </w:rPr>
                    <w:t>（乙醇）</w:t>
                  </w:r>
                </w:p>
              </w:tc>
              <w:tc>
                <w:tcPr>
                  <w:tcW w:w="1395" w:type="dxa"/>
                  <w:tcBorders>
                    <w:tl2br w:val="nil"/>
                    <w:tr2bl w:val="nil"/>
                  </w:tcBorders>
                  <w:shd w:val="clear" w:color="auto" w:fill="auto"/>
                  <w:vAlign w:val="center"/>
                </w:tcPr>
                <w:p w14:paraId="1E1697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64-17-5</w:t>
                  </w:r>
                </w:p>
              </w:tc>
              <w:tc>
                <w:tcPr>
                  <w:tcW w:w="1365" w:type="dxa"/>
                  <w:tcBorders>
                    <w:tl2br w:val="nil"/>
                    <w:tr2bl w:val="nil"/>
                  </w:tcBorders>
                  <w:vAlign w:val="center"/>
                </w:tcPr>
                <w:p w14:paraId="201935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手术室</w:t>
                  </w:r>
                </w:p>
              </w:tc>
              <w:tc>
                <w:tcPr>
                  <w:tcW w:w="1290" w:type="dxa"/>
                  <w:tcBorders>
                    <w:tl2br w:val="nil"/>
                    <w:tr2bl w:val="nil"/>
                  </w:tcBorders>
                  <w:shd w:val="clear"/>
                  <w:vAlign w:val="center"/>
                </w:tcPr>
                <w:p w14:paraId="710F00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heme="minorBidi"/>
                      <w:b w:val="0"/>
                      <w:bCs w:val="0"/>
                      <w:color w:val="auto"/>
                      <w:spacing w:val="-10"/>
                      <w:kern w:val="2"/>
                      <w:sz w:val="21"/>
                      <w:szCs w:val="21"/>
                      <w:highlight w:val="none"/>
                      <w:vertAlign w:val="baseline"/>
                      <w:lang w:val="en-US" w:eastAsia="zh-CN" w:bidi="ar-SA"/>
                    </w:rPr>
                  </w:pPr>
                  <w:r>
                    <w:rPr>
                      <w:rFonts w:hint="eastAsia"/>
                      <w:b w:val="0"/>
                      <w:bCs w:val="0"/>
                      <w:color w:val="auto"/>
                      <w:spacing w:val="-10"/>
                      <w:sz w:val="21"/>
                      <w:szCs w:val="21"/>
                      <w:highlight w:val="none"/>
                      <w:vertAlign w:val="baseline"/>
                      <w:lang w:val="en-US" w:eastAsia="zh-CN"/>
                    </w:rPr>
                    <w:t>0.0045</w:t>
                  </w:r>
                </w:p>
              </w:tc>
              <w:tc>
                <w:tcPr>
                  <w:tcW w:w="930" w:type="dxa"/>
                  <w:tcBorders>
                    <w:tl2br w:val="nil"/>
                    <w:tr2bl w:val="nil"/>
                  </w:tcBorders>
                  <w:shd w:val="clear"/>
                  <w:vAlign w:val="center"/>
                </w:tcPr>
                <w:p w14:paraId="3E2ED8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heme="minorBidi"/>
                      <w:b w:val="0"/>
                      <w:bCs w:val="0"/>
                      <w:color w:val="auto"/>
                      <w:spacing w:val="-10"/>
                      <w:kern w:val="2"/>
                      <w:sz w:val="21"/>
                      <w:szCs w:val="21"/>
                      <w:highlight w:val="none"/>
                      <w:vertAlign w:val="baseline"/>
                      <w:lang w:val="en-US" w:eastAsia="zh-CN" w:bidi="ar-SA"/>
                    </w:rPr>
                  </w:pPr>
                  <w:r>
                    <w:rPr>
                      <w:rFonts w:hint="eastAsia"/>
                      <w:b w:val="0"/>
                      <w:bCs w:val="0"/>
                      <w:color w:val="auto"/>
                      <w:spacing w:val="-10"/>
                      <w:sz w:val="21"/>
                      <w:szCs w:val="21"/>
                      <w:highlight w:val="none"/>
                      <w:vertAlign w:val="baseline"/>
                      <w:lang w:val="en-US" w:eastAsia="zh-CN"/>
                    </w:rPr>
                    <w:t>500</w:t>
                  </w:r>
                </w:p>
              </w:tc>
              <w:tc>
                <w:tcPr>
                  <w:tcW w:w="886" w:type="dxa"/>
                  <w:tcBorders>
                    <w:tl2br w:val="nil"/>
                    <w:tr2bl w:val="nil"/>
                  </w:tcBorders>
                  <w:vAlign w:val="center"/>
                </w:tcPr>
                <w:p w14:paraId="690C9E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0.00001</w:t>
                  </w:r>
                </w:p>
              </w:tc>
            </w:tr>
            <w:tr w14:paraId="57E90E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dxa"/>
                  <w:tcBorders>
                    <w:tl2br w:val="nil"/>
                    <w:tr2bl w:val="nil"/>
                  </w:tcBorders>
                  <w:vAlign w:val="center"/>
                </w:tcPr>
                <w:p w14:paraId="41DE85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2</w:t>
                  </w:r>
                </w:p>
              </w:tc>
              <w:tc>
                <w:tcPr>
                  <w:tcW w:w="1500" w:type="dxa"/>
                  <w:tcBorders>
                    <w:tl2br w:val="nil"/>
                    <w:tr2bl w:val="nil"/>
                  </w:tcBorders>
                  <w:shd w:val="clear" w:color="auto" w:fill="auto"/>
                  <w:vAlign w:val="center"/>
                </w:tcPr>
                <w:p w14:paraId="5B62D9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heme="minorBidi"/>
                      <w:color w:val="auto"/>
                      <w:kern w:val="2"/>
                      <w:sz w:val="21"/>
                      <w:szCs w:val="21"/>
                      <w:highlight w:val="none"/>
                      <w:vertAlign w:val="baseline"/>
                      <w:lang w:val="en-US" w:eastAsia="zh-CN" w:bidi="ar-SA"/>
                    </w:rPr>
                  </w:pPr>
                  <w:r>
                    <w:rPr>
                      <w:rFonts w:hint="eastAsia" w:cstheme="minorBidi"/>
                      <w:color w:val="auto"/>
                      <w:kern w:val="2"/>
                      <w:sz w:val="21"/>
                      <w:szCs w:val="21"/>
                      <w:highlight w:val="none"/>
                      <w:vertAlign w:val="baseline"/>
                      <w:lang w:val="en-US" w:eastAsia="zh-CN" w:bidi="ar-SA"/>
                    </w:rPr>
                    <w:t>污水消毒剂</w:t>
                  </w:r>
                </w:p>
                <w:p w14:paraId="2704BC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cstheme="minorBidi"/>
                      <w:color w:val="auto"/>
                      <w:kern w:val="2"/>
                      <w:sz w:val="21"/>
                      <w:szCs w:val="21"/>
                      <w:highlight w:val="none"/>
                      <w:vertAlign w:val="baseline"/>
                      <w:lang w:val="en-US" w:eastAsia="zh-CN" w:bidi="ar-SA"/>
                    </w:rPr>
                    <w:t>（次氯酸钠）</w:t>
                  </w:r>
                </w:p>
              </w:tc>
              <w:tc>
                <w:tcPr>
                  <w:tcW w:w="1395" w:type="dxa"/>
                  <w:tcBorders>
                    <w:tl2br w:val="nil"/>
                    <w:tr2bl w:val="nil"/>
                  </w:tcBorders>
                  <w:shd w:val="clear" w:color="auto" w:fill="auto"/>
                  <w:vAlign w:val="center"/>
                </w:tcPr>
                <w:p w14:paraId="6420F0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7681-52-9</w:t>
                  </w:r>
                </w:p>
              </w:tc>
              <w:tc>
                <w:tcPr>
                  <w:tcW w:w="1365" w:type="dxa"/>
                  <w:tcBorders>
                    <w:tl2br w:val="nil"/>
                    <w:tr2bl w:val="nil"/>
                  </w:tcBorders>
                  <w:vAlign w:val="center"/>
                </w:tcPr>
                <w:p w14:paraId="085E85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化验室</w:t>
                  </w:r>
                </w:p>
              </w:tc>
              <w:tc>
                <w:tcPr>
                  <w:tcW w:w="1290" w:type="dxa"/>
                  <w:tcBorders>
                    <w:tl2br w:val="nil"/>
                    <w:tr2bl w:val="nil"/>
                  </w:tcBorders>
                  <w:shd w:val="clear"/>
                  <w:vAlign w:val="center"/>
                </w:tcPr>
                <w:p w14:paraId="2F4D38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heme="minorBidi"/>
                      <w:b w:val="0"/>
                      <w:bCs w:val="0"/>
                      <w:color w:val="auto"/>
                      <w:spacing w:val="-10"/>
                      <w:kern w:val="2"/>
                      <w:sz w:val="21"/>
                      <w:szCs w:val="21"/>
                      <w:highlight w:val="none"/>
                      <w:vertAlign w:val="baseline"/>
                      <w:lang w:val="en-US" w:eastAsia="zh-CN" w:bidi="ar-SA"/>
                    </w:rPr>
                  </w:pPr>
                  <w:r>
                    <w:rPr>
                      <w:rFonts w:hint="eastAsia"/>
                      <w:b w:val="0"/>
                      <w:bCs w:val="0"/>
                      <w:color w:val="auto"/>
                      <w:spacing w:val="-10"/>
                      <w:sz w:val="21"/>
                      <w:szCs w:val="21"/>
                      <w:highlight w:val="none"/>
                      <w:vertAlign w:val="baseline"/>
                      <w:lang w:val="en-US" w:eastAsia="zh-CN"/>
                    </w:rPr>
                    <w:t>0.01</w:t>
                  </w:r>
                </w:p>
              </w:tc>
              <w:tc>
                <w:tcPr>
                  <w:tcW w:w="930" w:type="dxa"/>
                  <w:tcBorders>
                    <w:tl2br w:val="nil"/>
                    <w:tr2bl w:val="nil"/>
                  </w:tcBorders>
                  <w:shd w:val="clear"/>
                  <w:vAlign w:val="center"/>
                </w:tcPr>
                <w:p w14:paraId="458F62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heme="minorBidi"/>
                      <w:b w:val="0"/>
                      <w:bCs w:val="0"/>
                      <w:color w:val="auto"/>
                      <w:spacing w:val="-10"/>
                      <w:kern w:val="2"/>
                      <w:sz w:val="21"/>
                      <w:szCs w:val="21"/>
                      <w:highlight w:val="none"/>
                      <w:vertAlign w:val="baseline"/>
                      <w:lang w:val="en-US" w:eastAsia="zh-CN" w:bidi="ar-SA"/>
                    </w:rPr>
                  </w:pPr>
                  <w:r>
                    <w:rPr>
                      <w:rFonts w:hint="eastAsia"/>
                      <w:b w:val="0"/>
                      <w:bCs w:val="0"/>
                      <w:color w:val="auto"/>
                      <w:spacing w:val="-10"/>
                      <w:sz w:val="21"/>
                      <w:szCs w:val="21"/>
                      <w:highlight w:val="none"/>
                      <w:vertAlign w:val="baseline"/>
                      <w:lang w:val="en-US" w:eastAsia="zh-CN"/>
                    </w:rPr>
                    <w:t>5</w:t>
                  </w:r>
                </w:p>
              </w:tc>
              <w:tc>
                <w:tcPr>
                  <w:tcW w:w="886" w:type="dxa"/>
                  <w:tcBorders>
                    <w:tl2br w:val="nil"/>
                    <w:tr2bl w:val="nil"/>
                  </w:tcBorders>
                  <w:vAlign w:val="center"/>
                </w:tcPr>
                <w:p w14:paraId="0AE29F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0.002</w:t>
                  </w:r>
                </w:p>
              </w:tc>
            </w:tr>
            <w:tr w14:paraId="248F9C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dxa"/>
                  <w:tcBorders>
                    <w:tl2br w:val="nil"/>
                    <w:tr2bl w:val="nil"/>
                  </w:tcBorders>
                  <w:vAlign w:val="center"/>
                </w:tcPr>
                <w:p w14:paraId="2EA1E3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3</w:t>
                  </w:r>
                </w:p>
              </w:tc>
              <w:tc>
                <w:tcPr>
                  <w:tcW w:w="1500" w:type="dxa"/>
                  <w:tcBorders>
                    <w:tl2br w:val="nil"/>
                    <w:tr2bl w:val="nil"/>
                  </w:tcBorders>
                  <w:shd w:val="clear" w:color="auto" w:fill="auto"/>
                  <w:vAlign w:val="center"/>
                </w:tcPr>
                <w:p w14:paraId="49CC05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heme="minorBidi"/>
                      <w:color w:val="auto"/>
                      <w:kern w:val="2"/>
                      <w:sz w:val="21"/>
                      <w:szCs w:val="21"/>
                      <w:highlight w:val="none"/>
                      <w:vertAlign w:val="baseline"/>
                      <w:lang w:val="en-US" w:eastAsia="zh-CN" w:bidi="ar-SA"/>
                    </w:rPr>
                  </w:pPr>
                  <w:r>
                    <w:rPr>
                      <w:rFonts w:hint="eastAsia" w:cstheme="minorBidi"/>
                      <w:color w:val="auto"/>
                      <w:kern w:val="2"/>
                      <w:sz w:val="21"/>
                      <w:szCs w:val="21"/>
                      <w:highlight w:val="none"/>
                      <w:vertAlign w:val="baseline"/>
                      <w:lang w:val="en-US" w:eastAsia="zh-CN" w:bidi="ar-SA"/>
                    </w:rPr>
                    <w:t>84消毒液</w:t>
                  </w:r>
                </w:p>
                <w:p w14:paraId="55B3AC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cstheme="minorBidi"/>
                      <w:color w:val="auto"/>
                      <w:kern w:val="2"/>
                      <w:sz w:val="21"/>
                      <w:szCs w:val="21"/>
                      <w:highlight w:val="none"/>
                      <w:vertAlign w:val="baseline"/>
                      <w:lang w:val="en-US" w:eastAsia="zh-CN" w:bidi="ar-SA"/>
                    </w:rPr>
                    <w:t>（次氯酸钠）</w:t>
                  </w:r>
                </w:p>
              </w:tc>
              <w:tc>
                <w:tcPr>
                  <w:tcW w:w="1395" w:type="dxa"/>
                  <w:tcBorders>
                    <w:tl2br w:val="nil"/>
                    <w:tr2bl w:val="nil"/>
                  </w:tcBorders>
                  <w:shd w:val="clear" w:color="auto" w:fill="auto"/>
                  <w:vAlign w:val="center"/>
                </w:tcPr>
                <w:p w14:paraId="744125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7681-52-9</w:t>
                  </w:r>
                </w:p>
              </w:tc>
              <w:tc>
                <w:tcPr>
                  <w:tcW w:w="1365" w:type="dxa"/>
                  <w:tcBorders>
                    <w:tl2br w:val="nil"/>
                    <w:tr2bl w:val="nil"/>
                  </w:tcBorders>
                  <w:vAlign w:val="center"/>
                </w:tcPr>
                <w:p w14:paraId="1B0523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药房</w:t>
                  </w:r>
                </w:p>
              </w:tc>
              <w:tc>
                <w:tcPr>
                  <w:tcW w:w="1290" w:type="dxa"/>
                  <w:tcBorders>
                    <w:tl2br w:val="nil"/>
                    <w:tr2bl w:val="nil"/>
                  </w:tcBorders>
                  <w:shd w:val="clear"/>
                  <w:vAlign w:val="center"/>
                </w:tcPr>
                <w:p w14:paraId="0DF872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heme="minorBidi"/>
                      <w:b w:val="0"/>
                      <w:bCs w:val="0"/>
                      <w:color w:val="auto"/>
                      <w:spacing w:val="-10"/>
                      <w:kern w:val="2"/>
                      <w:sz w:val="21"/>
                      <w:szCs w:val="21"/>
                      <w:highlight w:val="none"/>
                      <w:vertAlign w:val="baseline"/>
                      <w:lang w:val="en-US" w:eastAsia="zh-CN" w:bidi="ar-SA"/>
                    </w:rPr>
                  </w:pPr>
                  <w:r>
                    <w:rPr>
                      <w:rFonts w:hint="eastAsia"/>
                      <w:b w:val="0"/>
                      <w:bCs w:val="0"/>
                      <w:color w:val="auto"/>
                      <w:spacing w:val="-10"/>
                      <w:sz w:val="21"/>
                      <w:szCs w:val="21"/>
                      <w:highlight w:val="none"/>
                      <w:vertAlign w:val="baseline"/>
                      <w:lang w:val="en-US" w:eastAsia="zh-CN"/>
                    </w:rPr>
                    <w:t>0.0002</w:t>
                  </w:r>
                </w:p>
              </w:tc>
              <w:tc>
                <w:tcPr>
                  <w:tcW w:w="930" w:type="dxa"/>
                  <w:tcBorders>
                    <w:tl2br w:val="nil"/>
                    <w:tr2bl w:val="nil"/>
                  </w:tcBorders>
                  <w:shd w:val="clear"/>
                  <w:vAlign w:val="center"/>
                </w:tcPr>
                <w:p w14:paraId="18D010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heme="minorBidi"/>
                      <w:b w:val="0"/>
                      <w:bCs w:val="0"/>
                      <w:color w:val="auto"/>
                      <w:spacing w:val="-10"/>
                      <w:kern w:val="2"/>
                      <w:sz w:val="21"/>
                      <w:szCs w:val="21"/>
                      <w:highlight w:val="none"/>
                      <w:vertAlign w:val="baseline"/>
                      <w:lang w:val="en-US" w:eastAsia="zh-CN" w:bidi="ar-SA"/>
                    </w:rPr>
                  </w:pPr>
                  <w:r>
                    <w:rPr>
                      <w:rFonts w:hint="eastAsia"/>
                      <w:b w:val="0"/>
                      <w:bCs w:val="0"/>
                      <w:color w:val="auto"/>
                      <w:spacing w:val="-10"/>
                      <w:sz w:val="21"/>
                      <w:szCs w:val="21"/>
                      <w:highlight w:val="none"/>
                      <w:vertAlign w:val="baseline"/>
                      <w:lang w:val="en-US" w:eastAsia="zh-CN"/>
                    </w:rPr>
                    <w:t>5</w:t>
                  </w:r>
                </w:p>
              </w:tc>
              <w:tc>
                <w:tcPr>
                  <w:tcW w:w="886" w:type="dxa"/>
                  <w:tcBorders>
                    <w:tl2br w:val="nil"/>
                    <w:tr2bl w:val="nil"/>
                  </w:tcBorders>
                  <w:vAlign w:val="center"/>
                </w:tcPr>
                <w:p w14:paraId="0DADD0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0.00004</w:t>
                  </w:r>
                </w:p>
              </w:tc>
            </w:tr>
            <w:tr w14:paraId="43D0F5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7" w:type="dxa"/>
                  <w:gridSpan w:val="6"/>
                  <w:vAlign w:val="center"/>
                </w:tcPr>
                <w:p w14:paraId="4CF634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合计</w:t>
                  </w:r>
                </w:p>
              </w:tc>
              <w:tc>
                <w:tcPr>
                  <w:tcW w:w="886" w:type="dxa"/>
                  <w:vAlign w:val="center"/>
                </w:tcPr>
                <w:p w14:paraId="4211E5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0.00205</w:t>
                  </w:r>
                </w:p>
              </w:tc>
            </w:tr>
          </w:tbl>
          <w:p w14:paraId="0774AB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bCs/>
                <w:sz w:val="18"/>
                <w:szCs w:val="18"/>
                <w:highlight w:val="none"/>
                <w:lang w:val="en-US" w:eastAsia="zh-CN"/>
              </w:rPr>
            </w:pPr>
            <w:r>
              <w:rPr>
                <w:rFonts w:hint="eastAsia"/>
                <w:b/>
                <w:bCs/>
                <w:sz w:val="18"/>
                <w:szCs w:val="18"/>
                <w:highlight w:val="none"/>
                <w:lang w:val="en-US" w:eastAsia="zh-CN"/>
              </w:rPr>
              <w:t>注：</w:t>
            </w:r>
          </w:p>
          <w:p w14:paraId="5EB72C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bCs/>
                <w:sz w:val="18"/>
                <w:szCs w:val="18"/>
                <w:highlight w:val="none"/>
                <w:lang w:val="en-US" w:eastAsia="zh-CN"/>
              </w:rPr>
            </w:pPr>
            <w:r>
              <w:rPr>
                <w:rFonts w:hint="eastAsia"/>
                <w:b/>
                <w:bCs/>
                <w:sz w:val="18"/>
                <w:szCs w:val="18"/>
                <w:highlight w:val="none"/>
                <w:lang w:val="en-US" w:eastAsia="zh-CN"/>
              </w:rPr>
              <w:t>①医用酒精中乙醇质量分数为75%，密度0.85g/cm3；</w:t>
            </w:r>
          </w:p>
          <w:p w14:paraId="284FE4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b/>
                <w:bCs/>
                <w:sz w:val="18"/>
                <w:szCs w:val="18"/>
                <w:highlight w:val="none"/>
                <w:lang w:val="en-US" w:eastAsia="zh-CN"/>
              </w:rPr>
            </w:pPr>
            <w:r>
              <w:rPr>
                <w:rFonts w:hint="eastAsia"/>
                <w:b/>
                <w:bCs/>
                <w:sz w:val="18"/>
                <w:szCs w:val="18"/>
                <w:highlight w:val="none"/>
                <w:lang w:val="en-US" w:eastAsia="zh-CN"/>
              </w:rPr>
              <w:t>②84消毒液中主要成为次氯酸钠等含氯消毒剂，含量在5.5%-6.5%，密度1.2g/cm3，后续分析中以次氯酸钠计。</w:t>
            </w:r>
          </w:p>
          <w:p w14:paraId="67F75725">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当存在多种危险物质时按下式计算该物质总量与其临界量比值（Q）</w:t>
            </w:r>
          </w:p>
          <w:p w14:paraId="3834F3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pPr>
            <w:r>
              <w:rPr>
                <w:rFonts w:hint="eastAsia"/>
                <w:lang w:val="en-US" w:eastAsia="zh-CN"/>
              </w:rPr>
              <w:t>Q=q1/Q1+q2/Q2+…+qn/Qn</w:t>
            </w:r>
          </w:p>
          <w:p w14:paraId="28FAD83A">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式中：</w:t>
            </w:r>
          </w:p>
          <w:p w14:paraId="0CBC513F">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q1，q2，…，qn—每种危险化学品最大存在总量，单位为吨（t）；</w:t>
            </w:r>
          </w:p>
          <w:p w14:paraId="39B7AE60">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Q1，Q2，…，Qn—每种危险物质的临界量，单位为吨（t）。</w:t>
            </w:r>
          </w:p>
          <w:p w14:paraId="21C5812C">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由上表可知，本项目危险物质临界量比值</w:t>
            </w:r>
            <w:r>
              <w:rPr>
                <w:rFonts w:hint="eastAsia"/>
                <w:highlight w:val="none"/>
                <w:lang w:val="en-US" w:eastAsia="zh-CN"/>
              </w:rPr>
              <w:t>Q=0.00205＜1，根</w:t>
            </w:r>
            <w:r>
              <w:rPr>
                <w:rFonts w:hint="eastAsia"/>
                <w:lang w:val="en-US" w:eastAsia="zh-CN"/>
              </w:rPr>
              <w:t>据《建设项目环境风险评价技术导则》附录C，当Q＜1时，该项目环境风险潜势为I。该项目环境风险潜势为I时，项目风险评价工作等级为简单分析。</w:t>
            </w:r>
          </w:p>
          <w:p w14:paraId="7649109E">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（2）环境影响途径及防范措施</w:t>
            </w:r>
          </w:p>
          <w:p w14:paraId="317D40AB">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1）</w:t>
            </w:r>
            <w:r>
              <w:rPr>
                <w:rFonts w:hint="eastAsia"/>
                <w:lang w:val="en-US" w:eastAsia="zh-CN"/>
              </w:rPr>
              <w:t>影响途径</w:t>
            </w:r>
          </w:p>
          <w:p w14:paraId="17C8592C">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根据《建设项目环境风险评价技术导则》（HJ 169-2018），环境风险类型包括：危险物质泄漏，以及火灾、爆炸等引发的伴生/次生污染物排放。环境影响途径：乙醇可导致火灾或爆炸事故，并引发的伴生/次生污染物排放；次氯酸钠泄露可导致大气、水体污染等。</w:t>
            </w:r>
          </w:p>
          <w:p w14:paraId="427CFA47">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2）危害后果</w:t>
            </w:r>
          </w:p>
          <w:p w14:paraId="5273A7BE">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①大气污染：一旦发生火灾或爆炸，会产生大量浓烟，浓烟中含有大量一氧化碳、二氧化碳、可吸入颗粒物以及剧毒气体，造成大气污染；</w:t>
            </w:r>
          </w:p>
          <w:p w14:paraId="480FF579">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②地表水和地下水污染，主要危险物质的泄露可导致地表水和地下水的污染，管网系统由于管道堵塞、管道破裂和管道接头处的破损，会造成大量污水外溢，污染地表水和地下水；或由于排水不畅时易引起污水漫溢污染地表水和地下水。</w:t>
            </w:r>
          </w:p>
          <w:p w14:paraId="413CBE88">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3）风险防范措施</w:t>
            </w:r>
          </w:p>
          <w:p w14:paraId="662AD685">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①</w:t>
            </w:r>
            <w:r>
              <w:rPr>
                <w:rFonts w:hint="eastAsia"/>
                <w:lang w:val="en-US" w:eastAsia="zh-CN"/>
              </w:rPr>
              <w:t>泄露</w:t>
            </w:r>
          </w:p>
          <w:p w14:paraId="6AA3FCFA">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建设单位在贮存和使用乙醇、84消毒液及污水处理消毒剂时采取如下措施：</w:t>
            </w:r>
          </w:p>
          <w:p w14:paraId="184EAEB8">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a医用酒精放置在药房专门的药品柜中；84消毒液放置在药房货架上；次氯酸钠药剂放置在污水处理设备配备的防渗、防腐蚀药箱中。项目医疗废物暂存间、污水处理设备安装区进行防渗处理，防渗材料厚度不小于2.00mm，防渗系数K≤10</w:t>
            </w:r>
            <w:r>
              <w:rPr>
                <w:rFonts w:hint="eastAsia"/>
                <w:vertAlign w:val="superscript"/>
                <w:lang w:val="en-US" w:eastAsia="zh-CN"/>
              </w:rPr>
              <w:t>-10</w:t>
            </w:r>
            <w:r>
              <w:rPr>
                <w:rFonts w:hint="eastAsia"/>
                <w:lang w:val="en-US" w:eastAsia="zh-CN"/>
              </w:rPr>
              <w:t>cm/s。药房等存放化学药品的区域均进行地面硬化，并采取防渗措施。</w:t>
            </w:r>
          </w:p>
          <w:p w14:paraId="2E3F6D1B">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b药剂入库时，严格检验物品质量、数量、包装情况、有无泄漏；在贮存期内，定期检查，发现其品质变化、包装破损、渗漏等状况，及时处理。</w:t>
            </w:r>
          </w:p>
          <w:p w14:paraId="37753403">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在采取上述措施后，本项目发生泄漏风险的机率较低，对环境的影响较小。</w:t>
            </w:r>
          </w:p>
          <w:p w14:paraId="49A7D194">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②</w:t>
            </w:r>
            <w:r>
              <w:rPr>
                <w:rFonts w:hint="eastAsia"/>
                <w:lang w:val="en-US" w:eastAsia="zh-CN"/>
              </w:rPr>
              <w:t>火灾或爆炸</w:t>
            </w:r>
          </w:p>
          <w:p w14:paraId="041DF154">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一旦发生火灾或爆炸事故，建设单位应及时疏散医院内员工，负责救援的人员，应及时佩戴呼吸器，以免浓烟损害健康。同时，应通知周围人群对人员进行疏散，避免人群长时间在CO、烟尘浓度较高的条件下活动，出现刺激症状。建设单位在日常工作中应采取如下措施：</w:t>
            </w:r>
          </w:p>
          <w:p w14:paraId="609DD43C">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a</w:t>
            </w:r>
            <w:r>
              <w:rPr>
                <w:rFonts w:hint="default"/>
                <w:lang w:val="en-US" w:eastAsia="zh-CN"/>
              </w:rPr>
              <w:t>涉及药剂存放、使用的场所均需要设置灭火器等消防器材；</w:t>
            </w:r>
          </w:p>
          <w:p w14:paraId="6633C29D">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b</w:t>
            </w:r>
            <w:r>
              <w:rPr>
                <w:rFonts w:hint="default"/>
                <w:lang w:val="en-US" w:eastAsia="zh-CN"/>
              </w:rPr>
              <w:t>加强火源管理，严禁烟火带入，储存场所应设有明显的禁止烟火安全标志；</w:t>
            </w:r>
          </w:p>
          <w:p w14:paraId="22C1A42B">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c</w:t>
            </w:r>
            <w:r>
              <w:rPr>
                <w:rFonts w:hint="default"/>
                <w:lang w:val="en-US" w:eastAsia="zh-CN"/>
              </w:rPr>
              <w:t>加强员工专业培训、制定合理操作规程，定期对职工进行消防安全知识培训，重点培训岗位防火技术、操作规程、灭火器的使用办法、疏散逃生知识等，加强员工防火意识，确保每位职工都掌握安全防火技能，一旦发生事故能采取正确的应急措施。</w:t>
            </w:r>
          </w:p>
          <w:p w14:paraId="5CA8218D">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在采取上述措施后，火灾或爆炸风险隐患可降至最低。</w:t>
            </w:r>
          </w:p>
          <w:p w14:paraId="3CC04191">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（3）应急处置措施</w:t>
            </w:r>
          </w:p>
          <w:p w14:paraId="586061D5">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1）</w:t>
            </w:r>
            <w:r>
              <w:rPr>
                <w:rFonts w:hint="default"/>
                <w:lang w:val="en-US" w:eastAsia="zh-CN"/>
              </w:rPr>
              <w:t>泄漏</w:t>
            </w:r>
          </w:p>
          <w:p w14:paraId="7AE6AE77">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①发现有盛放酒精、次氯酸钠溶液的瓶、桶等容器出现裂隙或破损，尚未发生泄漏的，应由工作人员对容器进行修补。不能修好的，要立即更换新的专用容器并将酒精等化学品妥善转移至新容器内。</w:t>
            </w:r>
          </w:p>
          <w:p w14:paraId="03890D98">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②发生化学品少量泄漏，现场人员做好个人防护后，先妥善处置发生泄漏的化学品容器，可使用抹布、纸等对泄漏的物质进行吸附擦拭。如出现大量泄漏，现场人员应立即向医院负责人报告，同时建立警戒。禁止无关人员涉事区域，事故现场严禁开关非防爆电器、接打手机等易产生火花的行为。可使用吸附棉、吸油毡等对化学品进行吸附收集，如不能自行处置的，应视事故情况请求公安、消防、医疗、生态环境等外部机构援助。</w:t>
            </w:r>
          </w:p>
          <w:p w14:paraId="583745C7">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③合理通风，加速扩散。</w:t>
            </w:r>
          </w:p>
          <w:p w14:paraId="41F2817E">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④处置吸附化学品的物品，应按照危险废物进行管理，及时联系相关具有处置资质的单位清运。</w:t>
            </w:r>
          </w:p>
          <w:p w14:paraId="09BE403A">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2）</w:t>
            </w:r>
            <w:r>
              <w:rPr>
                <w:rFonts w:hint="default"/>
                <w:lang w:val="en-US" w:eastAsia="zh-CN"/>
              </w:rPr>
              <w:t>火灾或爆炸</w:t>
            </w:r>
          </w:p>
          <w:p w14:paraId="4DD56FC2">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①初期火灾，可用灭火器扑灭的，工作人员及时灭火。灭火结束后，将灭火废物如泡沫干粉等进行收集。向消防部门报告处置情况。</w:t>
            </w:r>
          </w:p>
          <w:p w14:paraId="6BDC74E7">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②若灭火器、消防栓等器材不能控制火势。应在第一时间向周边群众发出警示，疏散院内员工及顾客，以及周边人员。并立即申请消防、公安、医疗及生态环境等外部救援。</w:t>
            </w:r>
          </w:p>
          <w:p w14:paraId="3D6E0310">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③出现大量消防废水，应采用沙袋封堵雨水总排口，使用容器将消防废水全部收集。事故处置结束后，对消防废水进行后续转移处理（不能在火场周围封堵），委托具有相关处置资质的单位进行转运。</w:t>
            </w:r>
          </w:p>
          <w:p w14:paraId="30FB87F0">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（4）环境风险评价结论</w:t>
            </w:r>
          </w:p>
          <w:p w14:paraId="7C697E4D">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综上所述，针对风险，本次评价进行了简要的分析，并在此基础上提出了相应的风险防范措施和事故风险应急预案，项目在运营期认真执行各项防范措施等，可以将环境风险降到最低，本项目的环境风险是可以接受的。</w:t>
            </w:r>
          </w:p>
          <w:p w14:paraId="6B4864B3">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14687E5A">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3E6E4FF0">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06B1A938">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2621F23D">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3C6AD921">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5980BD5A">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53A2B684">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00C1E06B">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65ACDD09">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227BA178">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29009EA1">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711B2AF7">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5B84B9EE">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53C68B53">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4E5EE9BF">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382EBF71">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6B9E0D22">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491B7137">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47FCB101">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6FE91F79">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6D15CCB3">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2F804BFA">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41DB360E">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2BBF24A4">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7E6FB3ED">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lang w:val="en-US" w:eastAsia="zh-CN"/>
              </w:rPr>
            </w:pPr>
          </w:p>
        </w:tc>
      </w:tr>
    </w:tbl>
    <w:p w14:paraId="6A07CCC8">
      <w:pPr>
        <w:sectPr>
          <w:pgSz w:w="11906" w:h="16838"/>
          <w:pgMar w:top="1440" w:right="1587" w:bottom="1440"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C2C5FEF">
      <w:pPr>
        <w:pStyle w:val="2"/>
        <w:bidi w:val="0"/>
        <w:rPr>
          <w:rFonts w:hint="eastAsia"/>
          <w:lang w:val="en-US" w:eastAsia="zh-CN"/>
        </w:rPr>
      </w:pPr>
      <w:r>
        <w:rPr>
          <w:rFonts w:hint="eastAsia"/>
          <w:lang w:val="en-US" w:eastAsia="zh-CN"/>
        </w:rPr>
        <w:t>五、环境保护措施监督检查清单</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590"/>
        <w:gridCol w:w="1425"/>
        <w:gridCol w:w="2408"/>
        <w:gridCol w:w="2141"/>
      </w:tblGrid>
      <w:tr w14:paraId="14229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84"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14:paraId="7875EA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b/>
                <w:bCs/>
                <w:sz w:val="21"/>
                <w:szCs w:val="21"/>
                <w:vertAlign w:val="baseline"/>
                <w:lang w:val="en-US" w:eastAsia="zh-CN"/>
              </w:rPr>
            </w:pPr>
          </w:p>
          <w:p w14:paraId="3741AF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b/>
                <w:bCs/>
                <w:sz w:val="21"/>
                <w:szCs w:val="21"/>
                <w:vertAlign w:val="baseline"/>
                <w:lang w:val="en-US" w:eastAsia="zh-CN"/>
              </w:rPr>
            </w:pPr>
          </w:p>
          <w:p w14:paraId="44CE5F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mc:AlternateContent>
                <mc:Choice Requires="wpsCustomData">
                  <wpsCustomData:diagonalParaType/>
                </mc:Choice>
              </mc:AlternateContent>
              <w:rPr>
                <w:rFonts w:hint="default"/>
                <w:b/>
                <w:bCs/>
                <w:sz w:val="21"/>
                <w:szCs w:val="21"/>
                <w:vertAlign w:val="baseline"/>
                <w:lang w:val="en-US" w:eastAsia="zh-CN"/>
              </w:rPr>
            </w:pPr>
            <w:r>
              <w:rPr>
                <w:rFonts w:hint="eastAsia"/>
                <w:b/>
                <w:bCs/>
                <w:sz w:val="21"/>
                <w:szCs w:val="21"/>
                <w:vertAlign w:val="baseline"/>
                <w:lang w:val="en-US" w:eastAsia="zh-CN"/>
              </w:rPr>
              <w:t>要素</w:t>
            </w:r>
          </w:p>
          <w:p w14:paraId="77A045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 xml:space="preserve">    内容</w:t>
            </w:r>
          </w:p>
        </w:tc>
        <w:tc>
          <w:tcPr>
            <w:tcW w:w="1590" w:type="dxa"/>
            <w:vAlign w:val="center"/>
          </w:tcPr>
          <w:p w14:paraId="53AAA8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4"/>
                <w:szCs w:val="24"/>
                <w:vertAlign w:val="baseline"/>
                <w:lang w:val="en-US" w:eastAsia="zh-CN"/>
              </w:rPr>
            </w:pPr>
            <w:r>
              <w:rPr>
                <w:rFonts w:hint="eastAsia"/>
                <w:b/>
                <w:bCs/>
                <w:sz w:val="24"/>
                <w:szCs w:val="24"/>
                <w:vertAlign w:val="baseline"/>
                <w:lang w:val="en-US" w:eastAsia="zh-CN"/>
              </w:rPr>
              <w:t>排放口（编号、名称）/污染源</w:t>
            </w:r>
          </w:p>
        </w:tc>
        <w:tc>
          <w:tcPr>
            <w:tcW w:w="1425" w:type="dxa"/>
            <w:vAlign w:val="center"/>
          </w:tcPr>
          <w:p w14:paraId="2ECE53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4"/>
                <w:szCs w:val="24"/>
                <w:vertAlign w:val="baseline"/>
                <w:lang w:val="en-US" w:eastAsia="zh-CN"/>
              </w:rPr>
            </w:pPr>
            <w:r>
              <w:rPr>
                <w:rFonts w:hint="eastAsia"/>
                <w:b/>
                <w:bCs/>
                <w:sz w:val="24"/>
                <w:szCs w:val="24"/>
                <w:vertAlign w:val="baseline"/>
                <w:lang w:val="en-US" w:eastAsia="zh-CN"/>
              </w:rPr>
              <w:t>污染物项目</w:t>
            </w:r>
          </w:p>
        </w:tc>
        <w:tc>
          <w:tcPr>
            <w:tcW w:w="2408" w:type="dxa"/>
            <w:vAlign w:val="center"/>
          </w:tcPr>
          <w:p w14:paraId="227AB5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4"/>
                <w:szCs w:val="24"/>
                <w:vertAlign w:val="baseline"/>
                <w:lang w:val="en-US" w:eastAsia="zh-CN"/>
              </w:rPr>
            </w:pPr>
            <w:r>
              <w:rPr>
                <w:rFonts w:hint="eastAsia"/>
                <w:b/>
                <w:bCs/>
                <w:sz w:val="24"/>
                <w:szCs w:val="24"/>
                <w:vertAlign w:val="baseline"/>
                <w:lang w:val="en-US" w:eastAsia="zh-CN"/>
              </w:rPr>
              <w:t>环境保护措施</w:t>
            </w:r>
          </w:p>
        </w:tc>
        <w:tc>
          <w:tcPr>
            <w:tcW w:w="2141" w:type="dxa"/>
            <w:vAlign w:val="center"/>
          </w:tcPr>
          <w:p w14:paraId="06EF97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4"/>
                <w:szCs w:val="24"/>
                <w:vertAlign w:val="baseline"/>
                <w:lang w:val="en-US" w:eastAsia="zh-CN"/>
              </w:rPr>
            </w:pPr>
            <w:r>
              <w:rPr>
                <w:rFonts w:hint="eastAsia"/>
                <w:b/>
                <w:bCs/>
                <w:sz w:val="24"/>
                <w:szCs w:val="24"/>
                <w:vertAlign w:val="baseline"/>
                <w:lang w:val="en-US" w:eastAsia="zh-CN"/>
              </w:rPr>
              <w:t>执行标准</w:t>
            </w:r>
          </w:p>
        </w:tc>
      </w:tr>
      <w:tr w14:paraId="42F04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4" w:type="dxa"/>
            <w:vMerge w:val="restart"/>
            <w:vAlign w:val="center"/>
          </w:tcPr>
          <w:p w14:paraId="6164CE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大气环境</w:t>
            </w:r>
          </w:p>
        </w:tc>
        <w:tc>
          <w:tcPr>
            <w:tcW w:w="1590" w:type="dxa"/>
            <w:vMerge w:val="restart"/>
            <w:vAlign w:val="center"/>
          </w:tcPr>
          <w:p w14:paraId="002310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DA001</w:t>
            </w:r>
          </w:p>
        </w:tc>
        <w:tc>
          <w:tcPr>
            <w:tcW w:w="1425" w:type="dxa"/>
            <w:vAlign w:val="center"/>
          </w:tcPr>
          <w:p w14:paraId="15A315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highlight w:val="none"/>
                <w:vertAlign w:val="baseline"/>
                <w:lang w:val="en-US" w:eastAsia="zh-CN"/>
              </w:rPr>
            </w:pPr>
            <w:r>
              <w:rPr>
                <w:rFonts w:hint="eastAsia"/>
                <w:sz w:val="24"/>
                <w:szCs w:val="24"/>
                <w:highlight w:val="none"/>
                <w:vertAlign w:val="baseline"/>
                <w:lang w:val="en-US" w:eastAsia="zh-CN"/>
              </w:rPr>
              <w:t>H</w:t>
            </w:r>
            <w:r>
              <w:rPr>
                <w:rFonts w:hint="eastAsia"/>
                <w:sz w:val="24"/>
                <w:szCs w:val="24"/>
                <w:highlight w:val="none"/>
                <w:vertAlign w:val="subscript"/>
                <w:lang w:val="en-US" w:eastAsia="zh-CN"/>
              </w:rPr>
              <w:t>2</w:t>
            </w:r>
            <w:r>
              <w:rPr>
                <w:rFonts w:hint="eastAsia"/>
                <w:sz w:val="24"/>
                <w:szCs w:val="24"/>
                <w:highlight w:val="none"/>
                <w:vertAlign w:val="baseline"/>
                <w:lang w:val="en-US" w:eastAsia="zh-CN"/>
              </w:rPr>
              <w:t>S</w:t>
            </w:r>
          </w:p>
        </w:tc>
        <w:tc>
          <w:tcPr>
            <w:tcW w:w="2408" w:type="dxa"/>
            <w:vMerge w:val="restart"/>
            <w:vAlign w:val="center"/>
          </w:tcPr>
          <w:p w14:paraId="1B115D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vertAlign w:val="baseline"/>
                <w:lang w:val="en-US" w:eastAsia="zh-CN"/>
              </w:rPr>
            </w:pPr>
            <w:r>
              <w:rPr>
                <w:rFonts w:hint="default"/>
                <w:sz w:val="24"/>
                <w:szCs w:val="24"/>
                <w:highlight w:val="none"/>
                <w:vertAlign w:val="baseline"/>
                <w:lang w:val="en-US" w:eastAsia="zh-CN"/>
              </w:rPr>
              <w:t>采取笼子下方放置托盘，托盘中放置猫砂便于吸收粪尿，宠物粪尿被猫砂吸收包裹后及时由医护人员清理并装入专门的密封袋中密封保存，同时喷洒除臭剂、空气清新剂等净化措施，此外，运营期间各科室均关闭门窗，异味进行统一收集后汇集到排风管道中通过活性炭净化装置处理，经位于南侧的排风口排出室外</w:t>
            </w:r>
          </w:p>
        </w:tc>
        <w:tc>
          <w:tcPr>
            <w:tcW w:w="2141" w:type="dxa"/>
            <w:vMerge w:val="restart"/>
            <w:vAlign w:val="center"/>
          </w:tcPr>
          <w:p w14:paraId="6C2428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北京市《大气污染物综合排放标准》（DB11/501-2017）中“表3 生产工艺废气及其他废气大气污染物排放限值”</w:t>
            </w:r>
          </w:p>
        </w:tc>
      </w:tr>
      <w:tr w14:paraId="5E0CA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4" w:type="dxa"/>
            <w:vMerge w:val="continue"/>
            <w:vAlign w:val="center"/>
          </w:tcPr>
          <w:p w14:paraId="2A29EB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p>
        </w:tc>
        <w:tc>
          <w:tcPr>
            <w:tcW w:w="1590" w:type="dxa"/>
            <w:vMerge w:val="continue"/>
            <w:vAlign w:val="center"/>
          </w:tcPr>
          <w:p w14:paraId="7C2F8E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p>
        </w:tc>
        <w:tc>
          <w:tcPr>
            <w:tcW w:w="1425" w:type="dxa"/>
            <w:vAlign w:val="center"/>
          </w:tcPr>
          <w:p w14:paraId="7C7615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highlight w:val="none"/>
                <w:vertAlign w:val="baseline"/>
                <w:lang w:val="en-US" w:eastAsia="zh-CN"/>
              </w:rPr>
            </w:pPr>
            <w:r>
              <w:rPr>
                <w:rFonts w:hint="eastAsia"/>
                <w:sz w:val="24"/>
                <w:szCs w:val="24"/>
                <w:highlight w:val="none"/>
                <w:vertAlign w:val="baseline"/>
                <w:lang w:val="en-US" w:eastAsia="zh-CN"/>
              </w:rPr>
              <w:t>NH</w:t>
            </w:r>
            <w:r>
              <w:rPr>
                <w:rFonts w:hint="eastAsia"/>
                <w:sz w:val="24"/>
                <w:szCs w:val="24"/>
                <w:highlight w:val="none"/>
                <w:vertAlign w:val="subscript"/>
                <w:lang w:val="en-US" w:eastAsia="zh-CN"/>
              </w:rPr>
              <w:t>3</w:t>
            </w:r>
          </w:p>
        </w:tc>
        <w:tc>
          <w:tcPr>
            <w:tcW w:w="2408" w:type="dxa"/>
            <w:vMerge w:val="continue"/>
            <w:vAlign w:val="center"/>
          </w:tcPr>
          <w:p w14:paraId="540BD2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vertAlign w:val="baseline"/>
                <w:lang w:val="en-US" w:eastAsia="zh-CN"/>
              </w:rPr>
            </w:pPr>
          </w:p>
        </w:tc>
        <w:tc>
          <w:tcPr>
            <w:tcW w:w="2141" w:type="dxa"/>
            <w:vMerge w:val="continue"/>
            <w:vAlign w:val="center"/>
          </w:tcPr>
          <w:p w14:paraId="16123C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p>
        </w:tc>
      </w:tr>
      <w:tr w14:paraId="13700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4" w:type="dxa"/>
            <w:vMerge w:val="continue"/>
            <w:vAlign w:val="center"/>
          </w:tcPr>
          <w:p w14:paraId="6CB41E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p>
        </w:tc>
        <w:tc>
          <w:tcPr>
            <w:tcW w:w="1590" w:type="dxa"/>
            <w:vMerge w:val="continue"/>
            <w:vAlign w:val="center"/>
          </w:tcPr>
          <w:p w14:paraId="3C2C0B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p>
        </w:tc>
        <w:tc>
          <w:tcPr>
            <w:tcW w:w="1425" w:type="dxa"/>
            <w:vAlign w:val="center"/>
          </w:tcPr>
          <w:p w14:paraId="7E24D4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highlight w:val="none"/>
                <w:vertAlign w:val="baseline"/>
                <w:lang w:val="en-US" w:eastAsia="zh-CN"/>
              </w:rPr>
            </w:pPr>
            <w:r>
              <w:rPr>
                <w:rFonts w:hint="eastAsia"/>
                <w:sz w:val="24"/>
                <w:szCs w:val="24"/>
                <w:highlight w:val="none"/>
                <w:vertAlign w:val="baseline"/>
                <w:lang w:val="en-US" w:eastAsia="zh-CN"/>
              </w:rPr>
              <w:t>臭气浓度</w:t>
            </w:r>
          </w:p>
        </w:tc>
        <w:tc>
          <w:tcPr>
            <w:tcW w:w="2408" w:type="dxa"/>
            <w:vMerge w:val="continue"/>
            <w:vAlign w:val="center"/>
          </w:tcPr>
          <w:p w14:paraId="7E874B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vertAlign w:val="baseline"/>
                <w:lang w:val="en-US" w:eastAsia="zh-CN"/>
              </w:rPr>
            </w:pPr>
          </w:p>
        </w:tc>
        <w:tc>
          <w:tcPr>
            <w:tcW w:w="2141" w:type="dxa"/>
            <w:vMerge w:val="continue"/>
            <w:vAlign w:val="center"/>
          </w:tcPr>
          <w:p w14:paraId="4B8427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p>
        </w:tc>
      </w:tr>
      <w:tr w14:paraId="1D012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4" w:type="dxa"/>
            <w:vMerge w:val="continue"/>
            <w:vAlign w:val="center"/>
          </w:tcPr>
          <w:p w14:paraId="2C7974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c>
          <w:tcPr>
            <w:tcW w:w="1590" w:type="dxa"/>
            <w:vMerge w:val="restart"/>
            <w:vAlign w:val="center"/>
          </w:tcPr>
          <w:p w14:paraId="0CE5FD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无组织排放</w:t>
            </w:r>
          </w:p>
          <w:p w14:paraId="0CAEBE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（就诊动物）</w:t>
            </w:r>
          </w:p>
        </w:tc>
        <w:tc>
          <w:tcPr>
            <w:tcW w:w="1425" w:type="dxa"/>
            <w:vAlign w:val="center"/>
          </w:tcPr>
          <w:p w14:paraId="48DC55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H</w:t>
            </w:r>
            <w:r>
              <w:rPr>
                <w:rFonts w:hint="eastAsia"/>
                <w:sz w:val="24"/>
                <w:szCs w:val="24"/>
                <w:highlight w:val="none"/>
                <w:vertAlign w:val="subscript"/>
                <w:lang w:val="en-US" w:eastAsia="zh-CN"/>
              </w:rPr>
              <w:t>2</w:t>
            </w:r>
            <w:r>
              <w:rPr>
                <w:rFonts w:hint="eastAsia"/>
                <w:sz w:val="24"/>
                <w:szCs w:val="24"/>
                <w:highlight w:val="none"/>
                <w:vertAlign w:val="baseline"/>
                <w:lang w:val="en-US" w:eastAsia="zh-CN"/>
              </w:rPr>
              <w:t>S</w:t>
            </w:r>
          </w:p>
        </w:tc>
        <w:tc>
          <w:tcPr>
            <w:tcW w:w="2408" w:type="dxa"/>
            <w:vMerge w:val="continue"/>
            <w:vAlign w:val="center"/>
          </w:tcPr>
          <w:p w14:paraId="102B02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vertAlign w:val="baseline"/>
                <w:lang w:val="en-US" w:eastAsia="zh-CN"/>
              </w:rPr>
            </w:pPr>
          </w:p>
        </w:tc>
        <w:tc>
          <w:tcPr>
            <w:tcW w:w="2141" w:type="dxa"/>
            <w:vMerge w:val="restart"/>
            <w:vAlign w:val="center"/>
          </w:tcPr>
          <w:p w14:paraId="393359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北京市《大气污染物综合排放标准》（DB11/501-2017）</w:t>
            </w:r>
          </w:p>
        </w:tc>
      </w:tr>
      <w:tr w14:paraId="106B2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4" w:type="dxa"/>
            <w:vMerge w:val="continue"/>
            <w:vAlign w:val="center"/>
          </w:tcPr>
          <w:p w14:paraId="608884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pPr>
          </w:p>
        </w:tc>
        <w:tc>
          <w:tcPr>
            <w:tcW w:w="1590" w:type="dxa"/>
            <w:vMerge w:val="continue"/>
            <w:vAlign w:val="center"/>
          </w:tcPr>
          <w:p w14:paraId="00ECEA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pPr>
          </w:p>
        </w:tc>
        <w:tc>
          <w:tcPr>
            <w:tcW w:w="1425" w:type="dxa"/>
            <w:vAlign w:val="center"/>
          </w:tcPr>
          <w:p w14:paraId="7DAACF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NH</w:t>
            </w:r>
            <w:r>
              <w:rPr>
                <w:rFonts w:hint="eastAsia"/>
                <w:sz w:val="24"/>
                <w:szCs w:val="24"/>
                <w:highlight w:val="none"/>
                <w:vertAlign w:val="subscript"/>
                <w:lang w:val="en-US" w:eastAsia="zh-CN"/>
              </w:rPr>
              <w:t>3</w:t>
            </w:r>
          </w:p>
        </w:tc>
        <w:tc>
          <w:tcPr>
            <w:tcW w:w="2408" w:type="dxa"/>
            <w:vMerge w:val="continue"/>
            <w:vAlign w:val="center"/>
          </w:tcPr>
          <w:p w14:paraId="0106D1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vertAlign w:val="baseline"/>
                <w:lang w:val="en-US" w:eastAsia="zh-CN"/>
              </w:rPr>
            </w:pPr>
          </w:p>
        </w:tc>
        <w:tc>
          <w:tcPr>
            <w:tcW w:w="2141" w:type="dxa"/>
            <w:vMerge w:val="continue"/>
            <w:vAlign w:val="center"/>
          </w:tcPr>
          <w:p w14:paraId="0852CF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vertAlign w:val="baseline"/>
                <w:lang w:val="en-US" w:eastAsia="zh-CN"/>
              </w:rPr>
            </w:pPr>
          </w:p>
        </w:tc>
      </w:tr>
      <w:tr w14:paraId="2D889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4" w:type="dxa"/>
            <w:vMerge w:val="continue"/>
            <w:vAlign w:val="center"/>
          </w:tcPr>
          <w:p w14:paraId="416B48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vertAlign w:val="baseline"/>
                <w:lang w:val="en-US" w:eastAsia="zh-CN"/>
              </w:rPr>
            </w:pPr>
          </w:p>
        </w:tc>
        <w:tc>
          <w:tcPr>
            <w:tcW w:w="1590" w:type="dxa"/>
            <w:vMerge w:val="continue"/>
            <w:vAlign w:val="center"/>
          </w:tcPr>
          <w:p w14:paraId="785145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vertAlign w:val="baseline"/>
                <w:lang w:val="en-US" w:eastAsia="zh-CN"/>
              </w:rPr>
            </w:pPr>
          </w:p>
        </w:tc>
        <w:tc>
          <w:tcPr>
            <w:tcW w:w="1425" w:type="dxa"/>
            <w:vAlign w:val="center"/>
          </w:tcPr>
          <w:p w14:paraId="6F4BE6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臭气浓度</w:t>
            </w:r>
          </w:p>
        </w:tc>
        <w:tc>
          <w:tcPr>
            <w:tcW w:w="2408" w:type="dxa"/>
            <w:vMerge w:val="continue"/>
            <w:vAlign w:val="center"/>
          </w:tcPr>
          <w:p w14:paraId="1555A3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vertAlign w:val="baseline"/>
                <w:lang w:val="en-US" w:eastAsia="zh-CN"/>
              </w:rPr>
            </w:pPr>
          </w:p>
        </w:tc>
        <w:tc>
          <w:tcPr>
            <w:tcW w:w="2141" w:type="dxa"/>
            <w:vMerge w:val="continue"/>
            <w:vAlign w:val="center"/>
          </w:tcPr>
          <w:p w14:paraId="136B6F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vertAlign w:val="baseline"/>
                <w:lang w:val="en-US" w:eastAsia="zh-CN"/>
              </w:rPr>
            </w:pPr>
          </w:p>
        </w:tc>
      </w:tr>
      <w:tr w14:paraId="1DC2D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4" w:type="dxa"/>
            <w:vMerge w:val="restart"/>
            <w:vAlign w:val="center"/>
          </w:tcPr>
          <w:p w14:paraId="110B06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地表水</w:t>
            </w:r>
          </w:p>
          <w:p w14:paraId="60C2C5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环境</w:t>
            </w:r>
          </w:p>
        </w:tc>
        <w:tc>
          <w:tcPr>
            <w:tcW w:w="1590" w:type="dxa"/>
            <w:vMerge w:val="restart"/>
            <w:vAlign w:val="center"/>
          </w:tcPr>
          <w:p w14:paraId="2D8A76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园区废水</w:t>
            </w:r>
          </w:p>
          <w:p w14:paraId="2944E1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总排放口</w:t>
            </w:r>
          </w:p>
        </w:tc>
        <w:tc>
          <w:tcPr>
            <w:tcW w:w="1425" w:type="dxa"/>
            <w:vAlign w:val="center"/>
          </w:tcPr>
          <w:p w14:paraId="17CFAE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pH</w:t>
            </w:r>
          </w:p>
        </w:tc>
        <w:tc>
          <w:tcPr>
            <w:tcW w:w="2408" w:type="dxa"/>
            <w:vMerge w:val="restart"/>
            <w:vAlign w:val="center"/>
          </w:tcPr>
          <w:p w14:paraId="791104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highlight w:val="none"/>
                <w:vertAlign w:val="baseline"/>
                <w:lang w:val="en-US" w:eastAsia="zh-CN"/>
              </w:rPr>
              <w:t>动物诊疗废水、美容洗浴废水经污水处理设备消毒后，与生活污水一同排入所在建筑集中防渗化粪池预处理，最终经市政污水管网进入北京中设水处理有限公司良乡污水处理厂集中处理</w:t>
            </w:r>
          </w:p>
        </w:tc>
        <w:tc>
          <w:tcPr>
            <w:tcW w:w="2141" w:type="dxa"/>
            <w:vMerge w:val="restart"/>
            <w:vAlign w:val="center"/>
          </w:tcPr>
          <w:p w14:paraId="250565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北京市《水污染物综合排放标准》（DB11/307-2013）</w:t>
            </w:r>
          </w:p>
        </w:tc>
      </w:tr>
      <w:tr w14:paraId="4EA09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4" w:type="dxa"/>
            <w:vMerge w:val="continue"/>
            <w:vAlign w:val="center"/>
          </w:tcPr>
          <w:p w14:paraId="683E69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pPr>
          </w:p>
        </w:tc>
        <w:tc>
          <w:tcPr>
            <w:tcW w:w="1590" w:type="dxa"/>
            <w:vMerge w:val="continue"/>
            <w:vAlign w:val="center"/>
          </w:tcPr>
          <w:p w14:paraId="6DFC25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pPr>
          </w:p>
        </w:tc>
        <w:tc>
          <w:tcPr>
            <w:tcW w:w="1425" w:type="dxa"/>
            <w:vAlign w:val="center"/>
          </w:tcPr>
          <w:p w14:paraId="140D42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CODcr</w:t>
            </w:r>
          </w:p>
        </w:tc>
        <w:tc>
          <w:tcPr>
            <w:tcW w:w="2408" w:type="dxa"/>
            <w:vMerge w:val="continue"/>
            <w:vAlign w:val="center"/>
          </w:tcPr>
          <w:p w14:paraId="5E1E20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c>
          <w:tcPr>
            <w:tcW w:w="2141" w:type="dxa"/>
            <w:vMerge w:val="continue"/>
            <w:vAlign w:val="center"/>
          </w:tcPr>
          <w:p w14:paraId="30ED6B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r>
      <w:tr w14:paraId="5595E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4" w:type="dxa"/>
            <w:vMerge w:val="continue"/>
            <w:vAlign w:val="center"/>
          </w:tcPr>
          <w:p w14:paraId="61306C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c>
          <w:tcPr>
            <w:tcW w:w="1590" w:type="dxa"/>
            <w:vMerge w:val="continue"/>
            <w:vAlign w:val="center"/>
          </w:tcPr>
          <w:p w14:paraId="6FE77E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c>
          <w:tcPr>
            <w:tcW w:w="1425" w:type="dxa"/>
            <w:vAlign w:val="center"/>
          </w:tcPr>
          <w:p w14:paraId="2E897F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BOD</w:t>
            </w:r>
            <w:r>
              <w:rPr>
                <w:rFonts w:hint="eastAsia"/>
                <w:sz w:val="24"/>
                <w:szCs w:val="24"/>
                <w:vertAlign w:val="subscript"/>
                <w:lang w:val="en-US" w:eastAsia="zh-CN"/>
              </w:rPr>
              <w:t>5</w:t>
            </w:r>
          </w:p>
        </w:tc>
        <w:tc>
          <w:tcPr>
            <w:tcW w:w="2408" w:type="dxa"/>
            <w:vMerge w:val="continue"/>
            <w:vAlign w:val="center"/>
          </w:tcPr>
          <w:p w14:paraId="6F3A86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c>
          <w:tcPr>
            <w:tcW w:w="2141" w:type="dxa"/>
            <w:vMerge w:val="continue"/>
            <w:vAlign w:val="center"/>
          </w:tcPr>
          <w:p w14:paraId="7B0BE5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r>
      <w:tr w14:paraId="3E0A5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4" w:type="dxa"/>
            <w:vMerge w:val="continue"/>
            <w:vAlign w:val="center"/>
          </w:tcPr>
          <w:p w14:paraId="55A3F5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c>
          <w:tcPr>
            <w:tcW w:w="1590" w:type="dxa"/>
            <w:vMerge w:val="continue"/>
            <w:vAlign w:val="center"/>
          </w:tcPr>
          <w:p w14:paraId="5C5E05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c>
          <w:tcPr>
            <w:tcW w:w="1425" w:type="dxa"/>
            <w:vAlign w:val="center"/>
          </w:tcPr>
          <w:p w14:paraId="0D71D6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SS</w:t>
            </w:r>
          </w:p>
        </w:tc>
        <w:tc>
          <w:tcPr>
            <w:tcW w:w="2408" w:type="dxa"/>
            <w:vMerge w:val="continue"/>
            <w:vAlign w:val="center"/>
          </w:tcPr>
          <w:p w14:paraId="11E1CE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c>
          <w:tcPr>
            <w:tcW w:w="2141" w:type="dxa"/>
            <w:vMerge w:val="continue"/>
            <w:vAlign w:val="center"/>
          </w:tcPr>
          <w:p w14:paraId="1A3AB5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r>
      <w:tr w14:paraId="1A8EB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4" w:type="dxa"/>
            <w:vMerge w:val="continue"/>
            <w:vAlign w:val="center"/>
          </w:tcPr>
          <w:p w14:paraId="6DECE8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c>
          <w:tcPr>
            <w:tcW w:w="1590" w:type="dxa"/>
            <w:vMerge w:val="continue"/>
            <w:vAlign w:val="center"/>
          </w:tcPr>
          <w:p w14:paraId="3C68A7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c>
          <w:tcPr>
            <w:tcW w:w="1425" w:type="dxa"/>
            <w:vAlign w:val="center"/>
          </w:tcPr>
          <w:p w14:paraId="649354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NH</w:t>
            </w:r>
            <w:r>
              <w:rPr>
                <w:rFonts w:hint="eastAsia"/>
                <w:sz w:val="24"/>
                <w:szCs w:val="24"/>
                <w:vertAlign w:val="subscript"/>
                <w:lang w:val="en-US" w:eastAsia="zh-CN"/>
              </w:rPr>
              <w:t>3</w:t>
            </w:r>
            <w:r>
              <w:rPr>
                <w:rFonts w:hint="eastAsia"/>
                <w:sz w:val="24"/>
                <w:szCs w:val="24"/>
                <w:vertAlign w:val="baseline"/>
                <w:lang w:val="en-US" w:eastAsia="zh-CN"/>
              </w:rPr>
              <w:t>-N</w:t>
            </w:r>
          </w:p>
        </w:tc>
        <w:tc>
          <w:tcPr>
            <w:tcW w:w="2408" w:type="dxa"/>
            <w:vMerge w:val="continue"/>
            <w:vAlign w:val="center"/>
          </w:tcPr>
          <w:p w14:paraId="5A5E20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c>
          <w:tcPr>
            <w:tcW w:w="2141" w:type="dxa"/>
            <w:vMerge w:val="continue"/>
            <w:vAlign w:val="center"/>
          </w:tcPr>
          <w:p w14:paraId="04E65D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r>
      <w:tr w14:paraId="0B3F1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4" w:type="dxa"/>
            <w:vMerge w:val="continue"/>
            <w:vAlign w:val="center"/>
          </w:tcPr>
          <w:p w14:paraId="23520C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c>
          <w:tcPr>
            <w:tcW w:w="1590" w:type="dxa"/>
            <w:vMerge w:val="continue"/>
            <w:vAlign w:val="center"/>
          </w:tcPr>
          <w:p w14:paraId="7B8D5D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c>
          <w:tcPr>
            <w:tcW w:w="1425" w:type="dxa"/>
            <w:vAlign w:val="center"/>
          </w:tcPr>
          <w:p w14:paraId="071FD8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总余氯</w:t>
            </w:r>
          </w:p>
        </w:tc>
        <w:tc>
          <w:tcPr>
            <w:tcW w:w="2408" w:type="dxa"/>
            <w:vMerge w:val="continue"/>
            <w:vAlign w:val="center"/>
          </w:tcPr>
          <w:p w14:paraId="70698D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c>
          <w:tcPr>
            <w:tcW w:w="2141" w:type="dxa"/>
            <w:vMerge w:val="continue"/>
            <w:vAlign w:val="center"/>
          </w:tcPr>
          <w:p w14:paraId="1FB81E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r>
      <w:tr w14:paraId="3FFC8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4" w:type="dxa"/>
            <w:vMerge w:val="continue"/>
            <w:vAlign w:val="center"/>
          </w:tcPr>
          <w:p w14:paraId="7C3469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c>
          <w:tcPr>
            <w:tcW w:w="1590" w:type="dxa"/>
            <w:vMerge w:val="continue"/>
            <w:vAlign w:val="center"/>
          </w:tcPr>
          <w:p w14:paraId="1A5578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c>
          <w:tcPr>
            <w:tcW w:w="1425" w:type="dxa"/>
            <w:vAlign w:val="center"/>
          </w:tcPr>
          <w:p w14:paraId="4CE86F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粪大肠菌群</w:t>
            </w:r>
          </w:p>
        </w:tc>
        <w:tc>
          <w:tcPr>
            <w:tcW w:w="2408" w:type="dxa"/>
            <w:vMerge w:val="continue"/>
            <w:vAlign w:val="center"/>
          </w:tcPr>
          <w:p w14:paraId="6273CC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c>
          <w:tcPr>
            <w:tcW w:w="2141" w:type="dxa"/>
            <w:vMerge w:val="continue"/>
            <w:vAlign w:val="center"/>
          </w:tcPr>
          <w:p w14:paraId="6D8504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r>
      <w:tr w14:paraId="54F1B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1384" w:type="dxa"/>
            <w:vAlign w:val="center"/>
          </w:tcPr>
          <w:p w14:paraId="2AF0A1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声环境</w:t>
            </w:r>
          </w:p>
        </w:tc>
        <w:tc>
          <w:tcPr>
            <w:tcW w:w="1590" w:type="dxa"/>
            <w:vAlign w:val="center"/>
          </w:tcPr>
          <w:p w14:paraId="66A7D5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设备</w:t>
            </w:r>
          </w:p>
        </w:tc>
        <w:tc>
          <w:tcPr>
            <w:tcW w:w="1425" w:type="dxa"/>
            <w:tcBorders/>
            <w:vAlign w:val="center"/>
          </w:tcPr>
          <w:p w14:paraId="270495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设备噪声</w:t>
            </w:r>
          </w:p>
        </w:tc>
        <w:tc>
          <w:tcPr>
            <w:tcW w:w="2408" w:type="dxa"/>
            <w:vAlign w:val="center"/>
          </w:tcPr>
          <w:p w14:paraId="441302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合理布局、采用低噪声设备、安装减振等；室内等候、加强管理等</w:t>
            </w:r>
          </w:p>
        </w:tc>
        <w:tc>
          <w:tcPr>
            <w:tcW w:w="2141" w:type="dxa"/>
            <w:vAlign w:val="center"/>
          </w:tcPr>
          <w:p w14:paraId="615CBC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《工业企业厂界环境噪声排放标准》（GB12348-2008）中2类标准</w:t>
            </w:r>
          </w:p>
        </w:tc>
      </w:tr>
      <w:tr w14:paraId="202D4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4" w:type="dxa"/>
            <w:vAlign w:val="center"/>
          </w:tcPr>
          <w:p w14:paraId="78233C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电磁辐射</w:t>
            </w:r>
          </w:p>
        </w:tc>
        <w:tc>
          <w:tcPr>
            <w:tcW w:w="1590" w:type="dxa"/>
            <w:vAlign w:val="center"/>
          </w:tcPr>
          <w:p w14:paraId="77416A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425" w:type="dxa"/>
            <w:vAlign w:val="center"/>
          </w:tcPr>
          <w:p w14:paraId="34C3B5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2408" w:type="dxa"/>
            <w:vAlign w:val="center"/>
          </w:tcPr>
          <w:p w14:paraId="7D0C72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2141" w:type="dxa"/>
            <w:vAlign w:val="center"/>
          </w:tcPr>
          <w:p w14:paraId="31977F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r>
      <w:tr w14:paraId="081FA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84" w:type="dxa"/>
            <w:vAlign w:val="center"/>
          </w:tcPr>
          <w:p w14:paraId="4C560F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固体废物</w:t>
            </w:r>
          </w:p>
        </w:tc>
        <w:tc>
          <w:tcPr>
            <w:tcW w:w="7564" w:type="dxa"/>
            <w:gridSpan w:val="4"/>
            <w:vAlign w:val="center"/>
          </w:tcPr>
          <w:p w14:paraId="030EB87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r>
              <w:rPr>
                <w:rFonts w:hint="default"/>
                <w:sz w:val="24"/>
                <w:szCs w:val="24"/>
                <w:vertAlign w:val="baseline"/>
                <w:lang w:val="en-US" w:eastAsia="zh-CN"/>
              </w:rPr>
              <w:t>生活垃圾分类收集，由专人清运至环卫部门指定场所</w:t>
            </w:r>
            <w:r>
              <w:rPr>
                <w:rFonts w:hint="eastAsia"/>
                <w:sz w:val="24"/>
                <w:szCs w:val="24"/>
                <w:vertAlign w:val="baseline"/>
                <w:lang w:val="en-US" w:eastAsia="zh-CN"/>
              </w:rPr>
              <w:t>；</w:t>
            </w:r>
            <w:r>
              <w:rPr>
                <w:rFonts w:hint="default"/>
                <w:sz w:val="24"/>
                <w:szCs w:val="24"/>
                <w:vertAlign w:val="baseline"/>
                <w:lang w:val="en-US" w:eastAsia="zh-CN"/>
              </w:rPr>
              <w:t>一般工业固体废物由废品站回收利用</w:t>
            </w:r>
            <w:r>
              <w:rPr>
                <w:rFonts w:hint="eastAsia"/>
                <w:sz w:val="24"/>
                <w:szCs w:val="24"/>
                <w:vertAlign w:val="baseline"/>
                <w:lang w:val="en-US" w:eastAsia="zh-CN"/>
              </w:rPr>
              <w:t>；</w:t>
            </w:r>
            <w:r>
              <w:rPr>
                <w:rFonts w:hint="default"/>
                <w:sz w:val="24"/>
                <w:szCs w:val="24"/>
                <w:vertAlign w:val="baseline"/>
                <w:lang w:val="en-US" w:eastAsia="zh-CN"/>
              </w:rPr>
              <w:t>医疗废物设置医疗废物暂存间，委托北京光凯祥瑞环保科技有限公司定期清运。</w:t>
            </w:r>
          </w:p>
          <w:p w14:paraId="00B5D3F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r>
              <w:rPr>
                <w:rFonts w:hint="default"/>
                <w:sz w:val="24"/>
                <w:szCs w:val="24"/>
                <w:vertAlign w:val="baseline"/>
                <w:lang w:val="en-US" w:eastAsia="zh-CN"/>
              </w:rPr>
              <w:t>项目对固体废物的管理及处置应符合《中华人民共和国固体废物污染环境防治法》（2020年版）、《北京市生活垃圾管理条例》（2020年9月25日修正）、《一般工业固体废物贮存和填埋污染控制标准》（GB18599-2020）、《危险废物贮存污染控制标准》（GB18597-2023），以及《医疗废物管理条例》（中华人民共和国国务院令第380号令）等规定。</w:t>
            </w:r>
          </w:p>
        </w:tc>
      </w:tr>
      <w:tr w14:paraId="5A1C5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84" w:type="dxa"/>
            <w:vAlign w:val="center"/>
          </w:tcPr>
          <w:p w14:paraId="0CF996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土壤及地下水污染防治措施</w:t>
            </w:r>
          </w:p>
        </w:tc>
        <w:tc>
          <w:tcPr>
            <w:tcW w:w="7564" w:type="dxa"/>
            <w:gridSpan w:val="4"/>
            <w:vAlign w:val="center"/>
          </w:tcPr>
          <w:p w14:paraId="5CCA107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sz w:val="24"/>
                <w:szCs w:val="24"/>
                <w:vertAlign w:val="baseline"/>
                <w:lang w:val="en-US" w:eastAsia="zh-CN"/>
              </w:rPr>
            </w:pPr>
            <w:r>
              <w:rPr>
                <w:rFonts w:hint="eastAsia"/>
                <w:sz w:val="24"/>
                <w:szCs w:val="24"/>
                <w:vertAlign w:val="baseline"/>
                <w:lang w:val="en-US" w:eastAsia="zh-CN"/>
              </w:rPr>
              <w:t>建设单位拟对医疗废物暂存间、污水处理设备安装区采取地面硬化及防渗处理，防渗材料采用高密度聚乙烯防渗层或其他材料进行防渗处理，材料的渗透系数K不大于1.0×10</w:t>
            </w:r>
            <w:r>
              <w:rPr>
                <w:rFonts w:hint="eastAsia"/>
                <w:sz w:val="24"/>
                <w:szCs w:val="24"/>
                <w:vertAlign w:val="superscript"/>
                <w:lang w:val="en-US" w:eastAsia="zh-CN"/>
              </w:rPr>
              <w:t>-10</w:t>
            </w:r>
            <w:r>
              <w:rPr>
                <w:rFonts w:hint="eastAsia"/>
                <w:sz w:val="24"/>
                <w:szCs w:val="24"/>
                <w:vertAlign w:val="baseline"/>
                <w:lang w:val="en-US" w:eastAsia="zh-CN"/>
              </w:rPr>
              <w:t>cm/s。污水处理设施内设自动水量、水位监测仪器以及高位报警器，对水量和水位进行监测。污水管道采用防渗、防腐管材。医疗废物暂存间内暂存的医疗废物均严格执行《医疗废物管理条例》、《危险废物贮存污染控制标准》、《北京市危险</w:t>
            </w:r>
          </w:p>
          <w:p w14:paraId="360ABA4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r>
              <w:rPr>
                <w:rFonts w:hint="eastAsia"/>
                <w:sz w:val="24"/>
                <w:szCs w:val="24"/>
                <w:vertAlign w:val="baseline"/>
                <w:lang w:val="en-US" w:eastAsia="zh-CN"/>
              </w:rPr>
              <w:t>废物污染环境防治条例》，及时收集本单位产生的医疗废物，并按类别分置于防渗漏、防锐器穿透的专用包装物或者密闭的容器内，防止其中的液体渗漏。生活垃圾、一般工业固体废物设置密封垃圾箱，均不在露天堆放，并及时外运处理，以避免对地下水及土壤环境造成影响的可能。采取措施后，本项目运营过程中不会对地下水及土壤造成环境污染。</w:t>
            </w:r>
          </w:p>
        </w:tc>
      </w:tr>
      <w:tr w14:paraId="6D790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84" w:type="dxa"/>
            <w:vAlign w:val="center"/>
          </w:tcPr>
          <w:p w14:paraId="068865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生态保护措施</w:t>
            </w:r>
          </w:p>
        </w:tc>
        <w:tc>
          <w:tcPr>
            <w:tcW w:w="7564" w:type="dxa"/>
            <w:gridSpan w:val="4"/>
            <w:vAlign w:val="center"/>
          </w:tcPr>
          <w:p w14:paraId="3F1BAC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r>
      <w:tr w14:paraId="59BA0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84" w:type="dxa"/>
            <w:vAlign w:val="center"/>
          </w:tcPr>
          <w:p w14:paraId="3EC17D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环境风险</w:t>
            </w:r>
          </w:p>
          <w:p w14:paraId="778A82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防范措施</w:t>
            </w:r>
          </w:p>
        </w:tc>
        <w:tc>
          <w:tcPr>
            <w:tcW w:w="7564" w:type="dxa"/>
            <w:gridSpan w:val="4"/>
            <w:vAlign w:val="center"/>
          </w:tcPr>
          <w:p w14:paraId="2CFC863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r>
              <w:rPr>
                <w:rFonts w:hint="default"/>
                <w:sz w:val="24"/>
                <w:szCs w:val="24"/>
                <w:vertAlign w:val="baseline"/>
                <w:lang w:val="en-US" w:eastAsia="zh-CN"/>
              </w:rPr>
              <w:t>1.泄漏</w:t>
            </w:r>
          </w:p>
          <w:p w14:paraId="101F9BB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r>
              <w:rPr>
                <w:rFonts w:hint="default"/>
                <w:sz w:val="24"/>
                <w:szCs w:val="24"/>
                <w:vertAlign w:val="baseline"/>
                <w:lang w:val="en-US" w:eastAsia="zh-CN"/>
              </w:rPr>
              <w:t>建设单位在贮存和使用</w:t>
            </w:r>
            <w:r>
              <w:rPr>
                <w:rFonts w:hint="eastAsia"/>
                <w:sz w:val="24"/>
                <w:szCs w:val="24"/>
                <w:vertAlign w:val="baseline"/>
                <w:lang w:val="en-US" w:eastAsia="zh-CN"/>
              </w:rPr>
              <w:t>医用酒精</w:t>
            </w:r>
            <w:r>
              <w:rPr>
                <w:rFonts w:hint="default"/>
                <w:sz w:val="24"/>
                <w:szCs w:val="24"/>
                <w:vertAlign w:val="baseline"/>
                <w:lang w:val="en-US" w:eastAsia="zh-CN"/>
              </w:rPr>
              <w:t>、84消毒液及污水处理消毒剂时采取如下措施：</w:t>
            </w:r>
          </w:p>
          <w:p w14:paraId="555FB3E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r>
              <w:rPr>
                <w:rFonts w:hint="eastAsia"/>
                <w:sz w:val="24"/>
                <w:szCs w:val="24"/>
                <w:vertAlign w:val="baseline"/>
                <w:lang w:val="en-US" w:eastAsia="zh-CN"/>
              </w:rPr>
              <w:t>（1）</w:t>
            </w:r>
            <w:r>
              <w:rPr>
                <w:rFonts w:hint="default"/>
                <w:sz w:val="24"/>
                <w:szCs w:val="24"/>
                <w:vertAlign w:val="baseline"/>
                <w:lang w:val="en-US" w:eastAsia="zh-CN"/>
              </w:rPr>
              <w:t>医用酒精放置在药房专门的药品柜中；84消毒液放置在药房货架上；次氯酸钠药剂放置在污水处理设备配备的防渗、防腐蚀药箱中。项目医疗废物暂存间、污水处理设备安装区进行防渗处理，防渗材料厚度不小于2.00mm，防渗系数K≤10</w:t>
            </w:r>
            <w:r>
              <w:rPr>
                <w:rFonts w:hint="default"/>
                <w:sz w:val="24"/>
                <w:szCs w:val="24"/>
                <w:vertAlign w:val="superscript"/>
                <w:lang w:val="en-US" w:eastAsia="zh-CN"/>
              </w:rPr>
              <w:t>-10</w:t>
            </w:r>
            <w:r>
              <w:rPr>
                <w:rFonts w:hint="default"/>
                <w:sz w:val="24"/>
                <w:szCs w:val="24"/>
                <w:vertAlign w:val="baseline"/>
                <w:lang w:val="en-US" w:eastAsia="zh-CN"/>
              </w:rPr>
              <w:t>cm/s。药房等存放化学药品的区域均进行地面硬化，并采取防渗措施。</w:t>
            </w:r>
          </w:p>
          <w:p w14:paraId="69655E9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r>
              <w:rPr>
                <w:rFonts w:hint="eastAsia"/>
                <w:sz w:val="24"/>
                <w:szCs w:val="24"/>
                <w:vertAlign w:val="baseline"/>
                <w:lang w:val="en-US" w:eastAsia="zh-CN"/>
              </w:rPr>
              <w:t>（2）</w:t>
            </w:r>
            <w:r>
              <w:rPr>
                <w:rFonts w:hint="default"/>
                <w:sz w:val="24"/>
                <w:szCs w:val="24"/>
                <w:vertAlign w:val="baseline"/>
                <w:lang w:val="en-US" w:eastAsia="zh-CN"/>
              </w:rPr>
              <w:t>药剂入库时，严格检验物品质量、数量、包装情况、有无泄漏；在贮存期内，定期检查，发现其品质变化、包装破损、渗漏等状况，及时处理。</w:t>
            </w:r>
          </w:p>
          <w:p w14:paraId="5263320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r>
              <w:rPr>
                <w:rFonts w:hint="default"/>
                <w:sz w:val="24"/>
                <w:szCs w:val="24"/>
                <w:vertAlign w:val="baseline"/>
                <w:lang w:val="en-US" w:eastAsia="zh-CN"/>
              </w:rPr>
              <w:t>2.火灾或爆炸</w:t>
            </w:r>
          </w:p>
          <w:p w14:paraId="10A9DE4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r>
              <w:rPr>
                <w:rFonts w:hint="default"/>
                <w:sz w:val="24"/>
                <w:szCs w:val="24"/>
                <w:vertAlign w:val="baseline"/>
                <w:lang w:val="en-US" w:eastAsia="zh-CN"/>
              </w:rPr>
              <w:t>一旦发生火灾或爆炸事故，建设单位应及时疏散医院内员工，负责救援的人员，应及时佩戴呼吸器，以免浓烟损害健康。同时，应通知周围人群对人员进行疏散，避免人群长时间在CO、烟尘浓度较高的条件下活动，出现刺激症状。建设单位在日常工作中应采取如下措施：</w:t>
            </w:r>
          </w:p>
          <w:p w14:paraId="6668B13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r>
              <w:rPr>
                <w:rFonts w:hint="eastAsia"/>
                <w:sz w:val="24"/>
                <w:szCs w:val="24"/>
                <w:vertAlign w:val="baseline"/>
                <w:lang w:val="en-US" w:eastAsia="zh-CN"/>
              </w:rPr>
              <w:t>（1）</w:t>
            </w:r>
            <w:r>
              <w:rPr>
                <w:rFonts w:hint="default"/>
                <w:sz w:val="24"/>
                <w:szCs w:val="24"/>
                <w:vertAlign w:val="baseline"/>
                <w:lang w:val="en-US" w:eastAsia="zh-CN"/>
              </w:rPr>
              <w:t>涉及药剂存放、使用的场所均需要设置灭火器等消防器材；</w:t>
            </w:r>
          </w:p>
          <w:p w14:paraId="604EA3E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r>
              <w:rPr>
                <w:rFonts w:hint="eastAsia"/>
                <w:sz w:val="24"/>
                <w:szCs w:val="24"/>
                <w:vertAlign w:val="baseline"/>
                <w:lang w:val="en-US" w:eastAsia="zh-CN"/>
              </w:rPr>
              <w:t>（2）</w:t>
            </w:r>
            <w:r>
              <w:rPr>
                <w:rFonts w:hint="default"/>
                <w:sz w:val="24"/>
                <w:szCs w:val="24"/>
                <w:vertAlign w:val="baseline"/>
                <w:lang w:val="en-US" w:eastAsia="zh-CN"/>
              </w:rPr>
              <w:t>加强火源的管理，严禁烟火带入，储存场所应设有明显的禁止烟火安全标志；</w:t>
            </w:r>
          </w:p>
          <w:p w14:paraId="64EF037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r>
              <w:rPr>
                <w:rFonts w:hint="eastAsia"/>
                <w:sz w:val="24"/>
                <w:szCs w:val="24"/>
                <w:vertAlign w:val="baseline"/>
                <w:lang w:val="en-US" w:eastAsia="zh-CN"/>
              </w:rPr>
              <w:t>（3）</w:t>
            </w:r>
            <w:r>
              <w:rPr>
                <w:rFonts w:hint="default"/>
                <w:sz w:val="24"/>
                <w:szCs w:val="24"/>
                <w:vertAlign w:val="baseline"/>
                <w:lang w:val="en-US" w:eastAsia="zh-CN"/>
              </w:rPr>
              <w:t>加强员工专业培训、制定合理操作规程，定期对职工进行消防安全知识培训，重点培训岗位防火技术、操作规程、灭火器的使用办法、疏散逃生知识等，加强员工防火意识，确保每位职工都掌握安全防火技能，一旦发生事故能采取正确应急措施。</w:t>
            </w:r>
          </w:p>
        </w:tc>
      </w:tr>
      <w:tr w14:paraId="20D1A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84" w:type="dxa"/>
            <w:vAlign w:val="center"/>
          </w:tcPr>
          <w:p w14:paraId="31D537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其他环境</w:t>
            </w:r>
          </w:p>
          <w:p w14:paraId="28CC57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管理要求</w:t>
            </w:r>
          </w:p>
        </w:tc>
        <w:tc>
          <w:tcPr>
            <w:tcW w:w="7564" w:type="dxa"/>
            <w:gridSpan w:val="4"/>
            <w:vAlign w:val="center"/>
          </w:tcPr>
          <w:p w14:paraId="6D69366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sz w:val="24"/>
                <w:szCs w:val="24"/>
                <w:vertAlign w:val="baseline"/>
                <w:lang w:val="en-US" w:eastAsia="zh-CN"/>
              </w:rPr>
            </w:pPr>
            <w:r>
              <w:rPr>
                <w:rFonts w:hint="eastAsia"/>
                <w:sz w:val="24"/>
                <w:szCs w:val="24"/>
                <w:vertAlign w:val="baseline"/>
                <w:lang w:val="en-US" w:eastAsia="zh-CN"/>
              </w:rPr>
              <w:t>1、环境管理制度建设</w:t>
            </w:r>
          </w:p>
          <w:p w14:paraId="67E6F4A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sz w:val="24"/>
                <w:szCs w:val="24"/>
                <w:vertAlign w:val="baseline"/>
                <w:lang w:val="en-US" w:eastAsia="zh-CN"/>
              </w:rPr>
            </w:pPr>
            <w:r>
              <w:rPr>
                <w:rFonts w:hint="eastAsia"/>
                <w:sz w:val="24"/>
                <w:szCs w:val="24"/>
                <w:vertAlign w:val="baseline"/>
                <w:lang w:val="en-US" w:eastAsia="zh-CN"/>
              </w:rPr>
              <w:t>营运期间的环境管理主要任务是管理、维护各项环保措施，确保其正常运转和达标排放，充分发挥其作用，并做好环境监测工作，及时掌握各项环保设施的运行状况，环境影响动态，必要时采取适当的污染防治措施。</w:t>
            </w:r>
          </w:p>
          <w:p w14:paraId="1E04C3E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sz w:val="24"/>
                <w:szCs w:val="24"/>
                <w:vertAlign w:val="baseline"/>
                <w:lang w:val="en-US" w:eastAsia="zh-CN"/>
              </w:rPr>
            </w:pPr>
            <w:r>
              <w:rPr>
                <w:rFonts w:hint="eastAsia"/>
                <w:sz w:val="24"/>
                <w:szCs w:val="24"/>
                <w:vertAlign w:val="baseline"/>
                <w:lang w:val="en-US" w:eastAsia="zh-CN"/>
              </w:rPr>
              <w:t>环境管理职责：</w:t>
            </w:r>
          </w:p>
          <w:p w14:paraId="71F283C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sz w:val="24"/>
                <w:szCs w:val="24"/>
                <w:vertAlign w:val="baseline"/>
                <w:lang w:val="en-US" w:eastAsia="zh-CN"/>
              </w:rPr>
            </w:pPr>
            <w:r>
              <w:rPr>
                <w:rFonts w:hint="eastAsia"/>
                <w:sz w:val="24"/>
                <w:szCs w:val="24"/>
                <w:vertAlign w:val="baseline"/>
                <w:lang w:val="en-US" w:eastAsia="zh-CN"/>
              </w:rPr>
              <w:t>项目设置专门的环境管理人员，负责检查、督促各项具体工作的落实情况，协调各部门的环境管理工作。</w:t>
            </w:r>
          </w:p>
          <w:p w14:paraId="17E4365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sz w:val="24"/>
                <w:szCs w:val="24"/>
                <w:vertAlign w:val="baseline"/>
                <w:lang w:val="en-US" w:eastAsia="zh-CN"/>
              </w:rPr>
            </w:pPr>
            <w:r>
              <w:rPr>
                <w:rFonts w:hint="eastAsia"/>
                <w:sz w:val="24"/>
                <w:szCs w:val="24"/>
                <w:vertAlign w:val="baseline"/>
                <w:lang w:val="en-US" w:eastAsia="zh-CN"/>
              </w:rPr>
              <w:t>①认真贯彻执行国家和北京市的有关环境保护法律、法规和标准，协助协调项目建设、运行活动与环境保护活动。</w:t>
            </w:r>
          </w:p>
          <w:p w14:paraId="462093B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sz w:val="24"/>
                <w:szCs w:val="24"/>
                <w:vertAlign w:val="baseline"/>
                <w:lang w:val="en-US" w:eastAsia="zh-CN"/>
              </w:rPr>
            </w:pPr>
            <w:r>
              <w:rPr>
                <w:rFonts w:hint="eastAsia"/>
                <w:sz w:val="24"/>
                <w:szCs w:val="24"/>
                <w:vertAlign w:val="baseline"/>
                <w:lang w:val="en-US" w:eastAsia="zh-CN"/>
              </w:rPr>
              <w:t>②建立项目的污染源档案及相关台帐，并负责编制环境监测和环境质量报告。</w:t>
            </w:r>
          </w:p>
          <w:p w14:paraId="573A05C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sz w:val="24"/>
                <w:szCs w:val="24"/>
                <w:vertAlign w:val="baseline"/>
                <w:lang w:val="en-US" w:eastAsia="zh-CN"/>
              </w:rPr>
            </w:pPr>
            <w:r>
              <w:rPr>
                <w:rFonts w:hint="eastAsia"/>
                <w:sz w:val="24"/>
                <w:szCs w:val="24"/>
                <w:vertAlign w:val="baseline"/>
                <w:lang w:val="en-US" w:eastAsia="zh-CN"/>
              </w:rPr>
              <w:t>③监督环保公用设施的运行、维修，以确保其正常稳定运行；负责污染物排放口的规范管理；处理解决环境事故。</w:t>
            </w:r>
          </w:p>
          <w:p w14:paraId="06477A7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sz w:val="24"/>
                <w:szCs w:val="24"/>
                <w:vertAlign w:val="baseline"/>
                <w:lang w:val="en-US" w:eastAsia="zh-CN"/>
              </w:rPr>
            </w:pPr>
            <w:r>
              <w:rPr>
                <w:rFonts w:hint="eastAsia"/>
                <w:sz w:val="24"/>
                <w:szCs w:val="24"/>
                <w:vertAlign w:val="baseline"/>
                <w:lang w:val="en-US" w:eastAsia="zh-CN"/>
              </w:rPr>
              <w:t>④负责有关环境事务方面的对外联络，取得资料；并负责对公众的联络、解释、答复和协调有关涉及公众利益的活动及相应措施等。</w:t>
            </w:r>
          </w:p>
          <w:p w14:paraId="07EC6F8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sz w:val="24"/>
                <w:szCs w:val="24"/>
                <w:vertAlign w:val="baseline"/>
                <w:lang w:val="en-US" w:eastAsia="zh-CN"/>
              </w:rPr>
            </w:pPr>
            <w:r>
              <w:rPr>
                <w:rFonts w:hint="eastAsia"/>
                <w:sz w:val="24"/>
                <w:szCs w:val="24"/>
                <w:vertAlign w:val="baseline"/>
                <w:lang w:val="en-US" w:eastAsia="zh-CN"/>
              </w:rPr>
              <w:t>2、排污口规范化管理</w:t>
            </w:r>
          </w:p>
          <w:p w14:paraId="093DFD3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sz w:val="24"/>
                <w:szCs w:val="24"/>
                <w:vertAlign w:val="baseline"/>
                <w:lang w:val="en-US" w:eastAsia="zh-CN"/>
              </w:rPr>
            </w:pPr>
            <w:r>
              <w:rPr>
                <w:rFonts w:hint="eastAsia"/>
                <w:sz w:val="24"/>
                <w:szCs w:val="24"/>
                <w:vertAlign w:val="baseline"/>
                <w:lang w:val="en-US" w:eastAsia="zh-CN"/>
              </w:rPr>
              <w:t>根据《关于开展排放口规范化整治工作的通知》（环发[1999]24号）（2006年修订）及其附件《排放口规范化整治技术要求》、北京市《固定污染源监测点位设置技术规范》（DB11/1195-2015），本项目设置1个废气排放口，编号DA001；针对废水设置1个污水排放口，位于医院内东侧的卫生间排水口处，编号DW001。建设单位应在各排污口处设立较明显的排污口（源）标志牌，并注明主要排放污染物的名称，并对有关排污口的情况及污染治理设施的运行情况等进行建档管理。各污染源排放口应设置专项图标，执行《环境保护图形标志-排放口（源）》（GB15562.1-1995）、《环境保护图形标志-固体废物贮存（处置）场》（GB15562.2-1995）及北京市《固定污染源监测点位设置技术规范》（DB11/1195-2015）的相关要求。</w:t>
            </w:r>
          </w:p>
          <w:p w14:paraId="56A7CAA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sz w:val="24"/>
                <w:szCs w:val="24"/>
                <w:vertAlign w:val="baseline"/>
                <w:lang w:val="en-US" w:eastAsia="zh-CN"/>
              </w:rPr>
            </w:pPr>
            <w:r>
              <w:rPr>
                <w:rFonts w:hint="eastAsia"/>
                <w:sz w:val="24"/>
                <w:szCs w:val="24"/>
                <w:vertAlign w:val="baseline"/>
                <w:lang w:val="en-US" w:eastAsia="zh-CN"/>
              </w:rPr>
              <w:t>3、监测要求</w:t>
            </w:r>
          </w:p>
          <w:p w14:paraId="2865B8C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sz w:val="24"/>
                <w:szCs w:val="24"/>
                <w:vertAlign w:val="baseline"/>
                <w:lang w:val="en-US" w:eastAsia="zh-CN"/>
              </w:rPr>
            </w:pPr>
            <w:r>
              <w:rPr>
                <w:rFonts w:hint="eastAsia"/>
                <w:sz w:val="24"/>
                <w:szCs w:val="24"/>
                <w:vertAlign w:val="baseline"/>
                <w:lang w:val="en-US" w:eastAsia="zh-CN"/>
              </w:rPr>
              <w:t>废气有组织排放设置监测孔，位置应便于人员开展监测工作，并满足北京市《固定污染源监测点位设置技术规范》（DB11/1195-2015）相关要求；废气排放口应设置监测点位提示性标志牌，标志牌应设置在距污染物监测点位较近且醒目处，并能长久保留，标志牌的技术规格及信息内容应符合北京市《固定污染源监测点位设置技术规范》（DB11/1195-2015）中附录 A 规定，其中点位编码应符合附录 B 的规定；标志牌右下角应设置与标志牌图案总体协调、符合北京市排污口信息化、网络化管理技术要求的二维码。</w:t>
            </w:r>
          </w:p>
          <w:p w14:paraId="356332B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sz w:val="24"/>
                <w:szCs w:val="24"/>
                <w:vertAlign w:val="baseline"/>
                <w:lang w:val="en-US" w:eastAsia="zh-CN"/>
              </w:rPr>
            </w:pPr>
            <w:r>
              <w:rPr>
                <w:rFonts w:hint="eastAsia"/>
                <w:sz w:val="24"/>
                <w:szCs w:val="24"/>
                <w:vertAlign w:val="baseline"/>
                <w:lang w:val="en-US" w:eastAsia="zh-CN"/>
              </w:rPr>
              <w:t>项目废气为无组织排放形式，应按照北京市《大气污染物综合排放标准》（DB11/501-2017）中6.3中“无组织排放监测要求”的规定进行污染物排放监测，即单位周界无组织排放监控点浓度监测按HJ/T 55、HJ/T 194、HJ 691的规定执行。污水监测点应按北京市《固定污染源监测点位设置技术规范》（DB11/1195-2015）要求。</w:t>
            </w:r>
          </w:p>
          <w:p w14:paraId="2184B08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sz w:val="24"/>
                <w:szCs w:val="24"/>
                <w:vertAlign w:val="baseline"/>
                <w:lang w:val="en-US" w:eastAsia="zh-CN"/>
              </w:rPr>
            </w:pPr>
            <w:r>
              <w:rPr>
                <w:rFonts w:hint="eastAsia"/>
                <w:sz w:val="24"/>
                <w:szCs w:val="24"/>
                <w:vertAlign w:val="baseline"/>
                <w:lang w:val="en-US" w:eastAsia="zh-CN"/>
              </w:rPr>
              <w:t>4、与排污许可制衔接要求</w:t>
            </w:r>
          </w:p>
          <w:p w14:paraId="75DEA70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r>
              <w:rPr>
                <w:rFonts w:hint="eastAsia"/>
                <w:sz w:val="24"/>
                <w:szCs w:val="24"/>
                <w:vertAlign w:val="baseline"/>
                <w:lang w:val="en-US" w:eastAsia="zh-CN"/>
              </w:rPr>
              <w:t>根据《国民经济行业分类》（GB/T 4754-2017）及其修改单，本项目行业类别属于“O8222宠物医院服务”。经核对《固定污染源排污许可分类管理名录（2019年版）》，本项目属于“五十、其他行业”，但不涉及通用工序，依据《排污许可管理办法（试行）》（环境保护部令第48号）中“未纳入固定污染源排污许可分类管理名录的排污单位，暂不需申请排污许可证”的规定执行。故本项目不需办理排污许可证</w:t>
            </w:r>
            <w:r>
              <w:rPr>
                <w:rFonts w:hint="default"/>
                <w:sz w:val="24"/>
                <w:szCs w:val="24"/>
                <w:vertAlign w:val="baseline"/>
                <w:lang w:val="en-US" w:eastAsia="zh-CN"/>
              </w:rPr>
              <w:t>。</w:t>
            </w:r>
          </w:p>
          <w:p w14:paraId="3964AB8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p>
          <w:p w14:paraId="1177127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p>
          <w:p w14:paraId="2C2D7D7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p>
          <w:p w14:paraId="6706577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p>
          <w:p w14:paraId="7E5316E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p>
          <w:p w14:paraId="4C60C83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p>
          <w:p w14:paraId="0BA81D9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p>
          <w:p w14:paraId="0A79CE7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p>
          <w:p w14:paraId="2FC3617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p>
          <w:p w14:paraId="4F4D7E0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p>
          <w:p w14:paraId="2E6B774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p>
          <w:p w14:paraId="69B63C0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p>
          <w:p w14:paraId="1EC60E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p>
          <w:p w14:paraId="2F4AFEF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p>
          <w:p w14:paraId="6FB6560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p>
          <w:p w14:paraId="31C9E8F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p>
          <w:p w14:paraId="7049B48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p>
          <w:p w14:paraId="3D37D6C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p>
          <w:p w14:paraId="7600A5B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p>
          <w:p w14:paraId="27396EE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p>
          <w:p w14:paraId="16A841E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p>
          <w:p w14:paraId="70FB4BE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p>
          <w:p w14:paraId="3E19058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p>
          <w:p w14:paraId="285AC65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p>
          <w:p w14:paraId="7232D4B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p>
          <w:p w14:paraId="1F201F0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p>
          <w:p w14:paraId="2E9F8EE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p>
          <w:p w14:paraId="5E7E2D6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p>
          <w:p w14:paraId="6A8EF0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p>
        </w:tc>
      </w:tr>
    </w:tbl>
    <w:p w14:paraId="60F09816">
      <w:pPr>
        <w:rPr>
          <w:rFonts w:hint="default"/>
          <w:lang w:val="en-US" w:eastAsia="zh-CN"/>
        </w:rPr>
        <w:sectPr>
          <w:pgSz w:w="11906" w:h="16838"/>
          <w:pgMar w:top="1440" w:right="1587" w:bottom="1440"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8E9DB39">
      <w:pPr>
        <w:pStyle w:val="2"/>
        <w:bidi w:val="0"/>
        <w:rPr>
          <w:rFonts w:hint="default"/>
          <w:lang w:val="en-US" w:eastAsia="zh-CN"/>
        </w:rPr>
      </w:pPr>
      <w:r>
        <w:rPr>
          <w:rFonts w:hint="eastAsia"/>
          <w:lang w:val="en-US" w:eastAsia="zh-CN"/>
        </w:rPr>
        <w:t>六、结论</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14:paraId="72524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48" w:type="dxa"/>
            <w:vAlign w:val="center"/>
          </w:tcPr>
          <w:p w14:paraId="1E7008E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sz w:val="24"/>
                <w:szCs w:val="24"/>
                <w:vertAlign w:val="baseline"/>
              </w:rPr>
            </w:pPr>
          </w:p>
          <w:p w14:paraId="06A8F300">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r>
              <w:rPr>
                <w:rFonts w:hint="eastAsia"/>
                <w:sz w:val="24"/>
                <w:szCs w:val="24"/>
                <w:vertAlign w:val="baseline"/>
              </w:rPr>
              <w:t>综上所述，本项目符合国家及北京市相关产业政策，污染源治理措施可靠有效，污染物均能够达标排放，可以满足当地的环境功能区划的要求，在全面加强监督管理，执行环保“三同时”制度和认真落实各项环保措施的条件下，可实现各类污染物稳定达标排放，满足区域总量控制要求。从环境保护角度分析，项目的建设是可行的，对环境的影响在可接受的范围。</w:t>
            </w:r>
          </w:p>
          <w:p w14:paraId="39C1FACE">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3A0D4688">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2380B0D6">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1B20A742">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3F5B43BA">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5E2B8A17">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7C241D59">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1AA0BE90">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0E9F3B1C">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3A88FDF0">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056A64F2">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1AFB7F20">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7BA7D3B5">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2515AAB9">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4E9EDB61">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6003AA47">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5D81596F">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0BA370F9">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474F8A04">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47F2A516">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585C9F14">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6AAC3477">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68DFF3E2">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70A2E064">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6DDFEED5">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tc>
      </w:tr>
    </w:tbl>
    <w:p w14:paraId="29F34D77">
      <w:pPr>
        <w:sectPr>
          <w:pgSz w:w="11906" w:h="16838"/>
          <w:pgMar w:top="1440" w:right="1587" w:bottom="1440"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AE10FAF">
      <w:pPr>
        <w:pStyle w:val="2"/>
        <w:keepNext/>
        <w:keepLines/>
        <w:pageBreakBefore w:val="0"/>
        <w:widowControl w:val="0"/>
        <w:kinsoku/>
        <w:wordWrap/>
        <w:overflowPunct/>
        <w:topLinePunct w:val="0"/>
        <w:autoSpaceDE/>
        <w:autoSpaceDN/>
        <w:bidi w:val="0"/>
        <w:adjustRightInd/>
        <w:snapToGrid/>
        <w:jc w:val="both"/>
        <w:textAlignment w:val="auto"/>
        <w:rPr>
          <w:rFonts w:hint="eastAsia"/>
          <w:lang w:val="en-US" w:eastAsia="zh-CN"/>
        </w:rPr>
      </w:pPr>
      <w:r>
        <w:rPr>
          <w:rFonts w:hint="eastAsia"/>
          <w:sz w:val="28"/>
          <w:szCs w:val="28"/>
          <w:lang w:val="en-US" w:eastAsia="zh-CN"/>
        </w:rPr>
        <w:t>附表</w:t>
      </w:r>
    </w:p>
    <w:p w14:paraId="4B580ACF">
      <w:pPr>
        <w:pStyle w:val="2"/>
        <w:bidi w:val="0"/>
        <w:rPr>
          <w:rFonts w:hint="eastAsia"/>
          <w:lang w:val="en-US" w:eastAsia="zh-CN"/>
        </w:rPr>
      </w:pPr>
      <w:r>
        <w:rPr>
          <w:rFonts w:hint="eastAsia"/>
          <w:lang w:val="en-US" w:eastAsia="zh-CN"/>
        </w:rPr>
        <w:t>建设项目污染物排放量汇总表</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3"/>
        <w:gridCol w:w="1462"/>
        <w:gridCol w:w="1650"/>
        <w:gridCol w:w="1470"/>
        <w:gridCol w:w="1590"/>
        <w:gridCol w:w="1560"/>
        <w:gridCol w:w="1590"/>
        <w:gridCol w:w="1905"/>
        <w:gridCol w:w="1364"/>
      </w:tblGrid>
      <w:tr w14:paraId="51F95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83"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14:paraId="76D830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p>
          <w:p w14:paraId="799D3A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分类</w:t>
            </w:r>
          </w:p>
          <w:p w14:paraId="737C68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mc:AlternateContent>
                <mc:Choice Requires="wpsCustomData">
                  <wpsCustomData:diagonalParaType/>
                </mc:Choice>
              </mc:AlternateContent>
              <w:rPr>
                <w:rFonts w:hint="default"/>
                <w:sz w:val="24"/>
                <w:szCs w:val="24"/>
                <w:vertAlign w:val="baseline"/>
                <w:lang w:val="en-US" w:eastAsia="zh-CN"/>
              </w:rPr>
            </w:pPr>
            <w:r>
              <w:rPr>
                <w:rFonts w:hint="eastAsia"/>
                <w:sz w:val="24"/>
                <w:szCs w:val="24"/>
                <w:vertAlign w:val="baseline"/>
                <w:lang w:val="en-US" w:eastAsia="zh-CN"/>
              </w:rPr>
              <w:t>分类</w:t>
            </w:r>
          </w:p>
          <w:p w14:paraId="4559A2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 xml:space="preserve">   项目</w:t>
            </w:r>
          </w:p>
        </w:tc>
        <w:tc>
          <w:tcPr>
            <w:tcW w:w="1462" w:type="dxa"/>
            <w:vAlign w:val="center"/>
          </w:tcPr>
          <w:p w14:paraId="17F05F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污染物名称</w:t>
            </w:r>
          </w:p>
        </w:tc>
        <w:tc>
          <w:tcPr>
            <w:tcW w:w="1650" w:type="dxa"/>
            <w:vAlign w:val="center"/>
          </w:tcPr>
          <w:p w14:paraId="32F7F0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现有工程排放量（固体废物产生量）①</w:t>
            </w:r>
          </w:p>
        </w:tc>
        <w:tc>
          <w:tcPr>
            <w:tcW w:w="1470" w:type="dxa"/>
            <w:vAlign w:val="center"/>
          </w:tcPr>
          <w:p w14:paraId="61A333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现有工程许可排放量②</w:t>
            </w:r>
          </w:p>
        </w:tc>
        <w:tc>
          <w:tcPr>
            <w:tcW w:w="1590" w:type="dxa"/>
            <w:vAlign w:val="center"/>
          </w:tcPr>
          <w:p w14:paraId="0DD0BE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在建工程排放量（固体废物产生量）③</w:t>
            </w:r>
          </w:p>
        </w:tc>
        <w:tc>
          <w:tcPr>
            <w:tcW w:w="1560" w:type="dxa"/>
            <w:vAlign w:val="center"/>
          </w:tcPr>
          <w:p w14:paraId="4E3FCC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本项目排放量（固体废物产生量）④</w:t>
            </w:r>
          </w:p>
        </w:tc>
        <w:tc>
          <w:tcPr>
            <w:tcW w:w="1590" w:type="dxa"/>
            <w:vAlign w:val="center"/>
          </w:tcPr>
          <w:p w14:paraId="110DD4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以新代老削减量（新建项目不填）⑤</w:t>
            </w:r>
          </w:p>
        </w:tc>
        <w:tc>
          <w:tcPr>
            <w:tcW w:w="1905" w:type="dxa"/>
            <w:vAlign w:val="center"/>
          </w:tcPr>
          <w:p w14:paraId="1930B0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本项目建成后全厂排放量（固体废物产生量）⑥</w:t>
            </w:r>
          </w:p>
        </w:tc>
        <w:tc>
          <w:tcPr>
            <w:tcW w:w="1364" w:type="dxa"/>
            <w:vAlign w:val="center"/>
          </w:tcPr>
          <w:p w14:paraId="46D7B2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变化量⑦</w:t>
            </w:r>
          </w:p>
        </w:tc>
      </w:tr>
      <w:tr w14:paraId="0DD79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3" w:type="dxa"/>
            <w:vMerge w:val="restart"/>
            <w:vAlign w:val="center"/>
          </w:tcPr>
          <w:p w14:paraId="45AFD2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废气</w:t>
            </w:r>
          </w:p>
        </w:tc>
        <w:tc>
          <w:tcPr>
            <w:tcW w:w="1462" w:type="dxa"/>
            <w:shd w:val="clear" w:color="auto" w:fill="auto"/>
            <w:vAlign w:val="center"/>
          </w:tcPr>
          <w:p w14:paraId="0F4EA3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4"/>
                <w:szCs w:val="24"/>
                <w:highlight w:val="none"/>
                <w:vertAlign w:val="baseline"/>
                <w:lang w:val="en-US" w:eastAsia="zh-CN" w:bidi="ar-SA"/>
              </w:rPr>
            </w:pPr>
            <w:r>
              <w:rPr>
                <w:rFonts w:hint="eastAsia"/>
                <w:sz w:val="24"/>
                <w:szCs w:val="24"/>
                <w:highlight w:val="none"/>
                <w:vertAlign w:val="baseline"/>
                <w:lang w:val="en-US" w:eastAsia="zh-CN"/>
              </w:rPr>
              <w:t>H</w:t>
            </w:r>
            <w:r>
              <w:rPr>
                <w:rFonts w:hint="eastAsia"/>
                <w:sz w:val="24"/>
                <w:szCs w:val="24"/>
                <w:highlight w:val="none"/>
                <w:vertAlign w:val="subscript"/>
                <w:lang w:val="en-US" w:eastAsia="zh-CN"/>
              </w:rPr>
              <w:t>2</w:t>
            </w:r>
            <w:r>
              <w:rPr>
                <w:rFonts w:hint="eastAsia"/>
                <w:sz w:val="24"/>
                <w:szCs w:val="24"/>
                <w:highlight w:val="none"/>
                <w:vertAlign w:val="baseline"/>
                <w:lang w:val="en-US" w:eastAsia="zh-CN"/>
              </w:rPr>
              <w:t>S</w:t>
            </w:r>
          </w:p>
        </w:tc>
        <w:tc>
          <w:tcPr>
            <w:tcW w:w="1650" w:type="dxa"/>
            <w:vAlign w:val="center"/>
          </w:tcPr>
          <w:p w14:paraId="75B8AF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470" w:type="dxa"/>
            <w:vAlign w:val="center"/>
          </w:tcPr>
          <w:p w14:paraId="7352F7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590" w:type="dxa"/>
            <w:vAlign w:val="center"/>
          </w:tcPr>
          <w:p w14:paraId="57528A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560" w:type="dxa"/>
            <w:shd w:val="clear" w:color="auto" w:fill="auto"/>
            <w:vAlign w:val="center"/>
          </w:tcPr>
          <w:p w14:paraId="208D1E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4"/>
                <w:szCs w:val="24"/>
                <w:vertAlign w:val="baseline"/>
                <w:lang w:val="en-US" w:eastAsia="zh-CN" w:bidi="ar-SA"/>
              </w:rPr>
            </w:pPr>
            <w:r>
              <w:rPr>
                <w:rFonts w:hint="eastAsia" w:cstheme="minorBidi"/>
                <w:kern w:val="2"/>
                <w:sz w:val="24"/>
                <w:szCs w:val="24"/>
                <w:vertAlign w:val="baseline"/>
                <w:lang w:val="en-US" w:eastAsia="zh-CN" w:bidi="ar-SA"/>
              </w:rPr>
              <w:t>0.006kg/a</w:t>
            </w:r>
          </w:p>
        </w:tc>
        <w:tc>
          <w:tcPr>
            <w:tcW w:w="1590" w:type="dxa"/>
            <w:vAlign w:val="center"/>
          </w:tcPr>
          <w:p w14:paraId="1543CE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905" w:type="dxa"/>
            <w:shd w:val="clear" w:color="auto" w:fill="auto"/>
            <w:vAlign w:val="center"/>
          </w:tcPr>
          <w:p w14:paraId="788E49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4"/>
                <w:szCs w:val="24"/>
                <w:vertAlign w:val="baseline"/>
                <w:lang w:val="en-US" w:eastAsia="zh-CN" w:bidi="ar-SA"/>
              </w:rPr>
            </w:pPr>
            <w:r>
              <w:rPr>
                <w:rFonts w:hint="eastAsia" w:cstheme="minorBidi"/>
                <w:kern w:val="2"/>
                <w:sz w:val="24"/>
                <w:szCs w:val="24"/>
                <w:vertAlign w:val="baseline"/>
                <w:lang w:val="en-US" w:eastAsia="zh-CN" w:bidi="ar-SA"/>
              </w:rPr>
              <w:t>0.006kg/a</w:t>
            </w:r>
          </w:p>
        </w:tc>
        <w:tc>
          <w:tcPr>
            <w:tcW w:w="1364" w:type="dxa"/>
            <w:shd w:val="clear" w:color="auto" w:fill="auto"/>
            <w:vAlign w:val="center"/>
          </w:tcPr>
          <w:p w14:paraId="6DF8CB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4"/>
                <w:szCs w:val="24"/>
                <w:vertAlign w:val="baseline"/>
                <w:lang w:val="en-US" w:eastAsia="zh-CN" w:bidi="ar-SA"/>
              </w:rPr>
            </w:pPr>
            <w:r>
              <w:rPr>
                <w:rFonts w:hint="eastAsia" w:cstheme="minorBidi"/>
                <w:kern w:val="2"/>
                <w:sz w:val="24"/>
                <w:szCs w:val="24"/>
                <w:vertAlign w:val="baseline"/>
                <w:lang w:val="en-US" w:eastAsia="zh-CN" w:bidi="ar-SA"/>
              </w:rPr>
              <w:t>+0.006kg/a</w:t>
            </w:r>
          </w:p>
        </w:tc>
      </w:tr>
      <w:tr w14:paraId="1E2E7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3" w:type="dxa"/>
            <w:vMerge w:val="continue"/>
            <w:vAlign w:val="center"/>
          </w:tcPr>
          <w:p w14:paraId="5066B2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p>
        </w:tc>
        <w:tc>
          <w:tcPr>
            <w:tcW w:w="1462" w:type="dxa"/>
            <w:shd w:val="clear" w:color="auto" w:fill="auto"/>
            <w:vAlign w:val="center"/>
          </w:tcPr>
          <w:p w14:paraId="3B3B73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4"/>
                <w:szCs w:val="24"/>
                <w:highlight w:val="none"/>
                <w:vertAlign w:val="baseline"/>
                <w:lang w:val="en-US" w:eastAsia="zh-CN" w:bidi="ar-SA"/>
              </w:rPr>
            </w:pPr>
            <w:r>
              <w:rPr>
                <w:rFonts w:hint="eastAsia"/>
                <w:sz w:val="24"/>
                <w:szCs w:val="24"/>
                <w:highlight w:val="none"/>
                <w:vertAlign w:val="baseline"/>
                <w:lang w:val="en-US" w:eastAsia="zh-CN"/>
              </w:rPr>
              <w:t>NH</w:t>
            </w:r>
            <w:r>
              <w:rPr>
                <w:rFonts w:hint="eastAsia"/>
                <w:sz w:val="24"/>
                <w:szCs w:val="24"/>
                <w:highlight w:val="none"/>
                <w:vertAlign w:val="subscript"/>
                <w:lang w:val="en-US" w:eastAsia="zh-CN"/>
              </w:rPr>
              <w:t>3</w:t>
            </w:r>
          </w:p>
        </w:tc>
        <w:tc>
          <w:tcPr>
            <w:tcW w:w="1650" w:type="dxa"/>
            <w:vAlign w:val="center"/>
          </w:tcPr>
          <w:p w14:paraId="229568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470" w:type="dxa"/>
            <w:vAlign w:val="center"/>
          </w:tcPr>
          <w:p w14:paraId="38570B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590" w:type="dxa"/>
            <w:vAlign w:val="center"/>
          </w:tcPr>
          <w:p w14:paraId="0B929A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560" w:type="dxa"/>
            <w:shd w:val="clear" w:color="auto" w:fill="auto"/>
            <w:vAlign w:val="center"/>
          </w:tcPr>
          <w:p w14:paraId="6CE8C5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0.063</w:t>
            </w:r>
            <w:r>
              <w:rPr>
                <w:rFonts w:hint="eastAsia" w:cstheme="minorBidi"/>
                <w:kern w:val="2"/>
                <w:sz w:val="24"/>
                <w:szCs w:val="24"/>
                <w:vertAlign w:val="baseline"/>
                <w:lang w:val="en-US" w:eastAsia="zh-CN" w:bidi="ar-SA"/>
              </w:rPr>
              <w:t>kg/a</w:t>
            </w:r>
          </w:p>
        </w:tc>
        <w:tc>
          <w:tcPr>
            <w:tcW w:w="1590" w:type="dxa"/>
            <w:vAlign w:val="center"/>
          </w:tcPr>
          <w:p w14:paraId="76DD23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905" w:type="dxa"/>
            <w:shd w:val="clear" w:color="auto" w:fill="auto"/>
            <w:vAlign w:val="center"/>
          </w:tcPr>
          <w:p w14:paraId="6893E8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4"/>
                <w:szCs w:val="24"/>
                <w:vertAlign w:val="baseline"/>
                <w:lang w:val="en-US" w:eastAsia="zh-CN" w:bidi="ar-SA"/>
              </w:rPr>
            </w:pPr>
            <w:r>
              <w:rPr>
                <w:rFonts w:hint="eastAsia"/>
                <w:sz w:val="24"/>
                <w:szCs w:val="24"/>
                <w:vertAlign w:val="baseline"/>
                <w:lang w:val="en-US" w:eastAsia="zh-CN"/>
              </w:rPr>
              <w:t>0.063</w:t>
            </w:r>
            <w:r>
              <w:rPr>
                <w:rFonts w:hint="eastAsia" w:cstheme="minorBidi"/>
                <w:kern w:val="2"/>
                <w:sz w:val="24"/>
                <w:szCs w:val="24"/>
                <w:vertAlign w:val="baseline"/>
                <w:lang w:val="en-US" w:eastAsia="zh-CN" w:bidi="ar-SA"/>
              </w:rPr>
              <w:t>kg/a</w:t>
            </w:r>
          </w:p>
        </w:tc>
        <w:tc>
          <w:tcPr>
            <w:tcW w:w="1364" w:type="dxa"/>
            <w:shd w:val="clear" w:color="auto" w:fill="auto"/>
            <w:vAlign w:val="center"/>
          </w:tcPr>
          <w:p w14:paraId="475805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4"/>
                <w:szCs w:val="24"/>
                <w:vertAlign w:val="baseline"/>
                <w:lang w:val="en-US" w:eastAsia="zh-CN" w:bidi="ar-SA"/>
              </w:rPr>
            </w:pPr>
            <w:r>
              <w:rPr>
                <w:rFonts w:hint="eastAsia"/>
                <w:sz w:val="24"/>
                <w:szCs w:val="24"/>
                <w:vertAlign w:val="baseline"/>
                <w:lang w:val="en-US" w:eastAsia="zh-CN"/>
              </w:rPr>
              <w:t>+0.063</w:t>
            </w:r>
            <w:r>
              <w:rPr>
                <w:rFonts w:hint="eastAsia" w:cstheme="minorBidi"/>
                <w:kern w:val="2"/>
                <w:sz w:val="24"/>
                <w:szCs w:val="24"/>
                <w:vertAlign w:val="baseline"/>
                <w:lang w:val="en-US" w:eastAsia="zh-CN" w:bidi="ar-SA"/>
              </w:rPr>
              <w:t>kg/a</w:t>
            </w:r>
          </w:p>
        </w:tc>
      </w:tr>
      <w:tr w14:paraId="7E8DA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3" w:type="dxa"/>
            <w:vMerge w:val="continue"/>
            <w:vAlign w:val="center"/>
          </w:tcPr>
          <w:p w14:paraId="2084AF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p>
        </w:tc>
        <w:tc>
          <w:tcPr>
            <w:tcW w:w="1462" w:type="dxa"/>
            <w:shd w:val="clear" w:color="auto" w:fill="auto"/>
            <w:vAlign w:val="center"/>
          </w:tcPr>
          <w:p w14:paraId="2ACC1C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4"/>
                <w:szCs w:val="24"/>
                <w:highlight w:val="none"/>
                <w:vertAlign w:val="baseline"/>
                <w:lang w:val="en-US" w:eastAsia="zh-CN" w:bidi="ar-SA"/>
              </w:rPr>
            </w:pPr>
            <w:r>
              <w:rPr>
                <w:rFonts w:hint="eastAsia"/>
                <w:sz w:val="24"/>
                <w:szCs w:val="24"/>
                <w:highlight w:val="none"/>
                <w:vertAlign w:val="baseline"/>
                <w:lang w:val="en-US" w:eastAsia="zh-CN"/>
              </w:rPr>
              <w:t>臭气浓度</w:t>
            </w:r>
          </w:p>
        </w:tc>
        <w:tc>
          <w:tcPr>
            <w:tcW w:w="1650" w:type="dxa"/>
            <w:vAlign w:val="center"/>
          </w:tcPr>
          <w:p w14:paraId="1F9276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470" w:type="dxa"/>
            <w:vAlign w:val="center"/>
          </w:tcPr>
          <w:p w14:paraId="1A035D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590" w:type="dxa"/>
            <w:vAlign w:val="center"/>
          </w:tcPr>
          <w:p w14:paraId="7DA358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560" w:type="dxa"/>
            <w:shd w:val="clear" w:color="auto" w:fill="auto"/>
            <w:vAlign w:val="center"/>
          </w:tcPr>
          <w:p w14:paraId="01E30F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590" w:type="dxa"/>
            <w:vAlign w:val="center"/>
          </w:tcPr>
          <w:p w14:paraId="1D192C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905" w:type="dxa"/>
            <w:shd w:val="clear" w:color="auto" w:fill="auto"/>
            <w:vAlign w:val="center"/>
          </w:tcPr>
          <w:p w14:paraId="4FF6D9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364" w:type="dxa"/>
            <w:shd w:val="clear" w:color="auto" w:fill="auto"/>
            <w:vAlign w:val="center"/>
          </w:tcPr>
          <w:p w14:paraId="2B26F7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r>
      <w:tr w14:paraId="5D680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3" w:type="dxa"/>
            <w:vMerge w:val="restart"/>
            <w:vAlign w:val="center"/>
          </w:tcPr>
          <w:p w14:paraId="3EA5BD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废水</w:t>
            </w:r>
          </w:p>
        </w:tc>
        <w:tc>
          <w:tcPr>
            <w:tcW w:w="1462" w:type="dxa"/>
            <w:vAlign w:val="center"/>
          </w:tcPr>
          <w:p w14:paraId="5B1253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CODcr</w:t>
            </w:r>
          </w:p>
        </w:tc>
        <w:tc>
          <w:tcPr>
            <w:tcW w:w="1650" w:type="dxa"/>
            <w:vAlign w:val="center"/>
          </w:tcPr>
          <w:p w14:paraId="6AE93C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470" w:type="dxa"/>
            <w:vAlign w:val="center"/>
          </w:tcPr>
          <w:p w14:paraId="385476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590" w:type="dxa"/>
            <w:vAlign w:val="center"/>
          </w:tcPr>
          <w:p w14:paraId="2EE87D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560" w:type="dxa"/>
            <w:vAlign w:val="center"/>
          </w:tcPr>
          <w:p w14:paraId="3C549C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0.049t/a</w:t>
            </w:r>
          </w:p>
        </w:tc>
        <w:tc>
          <w:tcPr>
            <w:tcW w:w="1590" w:type="dxa"/>
            <w:vAlign w:val="center"/>
          </w:tcPr>
          <w:p w14:paraId="4592B6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905" w:type="dxa"/>
            <w:shd w:val="clear" w:color="auto" w:fill="auto"/>
            <w:vAlign w:val="center"/>
          </w:tcPr>
          <w:p w14:paraId="652115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4"/>
                <w:szCs w:val="24"/>
                <w:vertAlign w:val="baseline"/>
                <w:lang w:val="en-US" w:eastAsia="zh-CN" w:bidi="ar-SA"/>
              </w:rPr>
            </w:pPr>
            <w:r>
              <w:rPr>
                <w:rFonts w:hint="eastAsia"/>
                <w:sz w:val="24"/>
                <w:szCs w:val="24"/>
                <w:vertAlign w:val="baseline"/>
                <w:lang w:val="en-US" w:eastAsia="zh-CN"/>
              </w:rPr>
              <w:t>0.049t/a</w:t>
            </w:r>
          </w:p>
        </w:tc>
        <w:tc>
          <w:tcPr>
            <w:tcW w:w="1364" w:type="dxa"/>
            <w:shd w:val="clear" w:color="auto" w:fill="auto"/>
            <w:vAlign w:val="center"/>
          </w:tcPr>
          <w:p w14:paraId="342F16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4"/>
                <w:szCs w:val="24"/>
                <w:vertAlign w:val="baseline"/>
                <w:lang w:val="en-US" w:eastAsia="zh-CN" w:bidi="ar-SA"/>
              </w:rPr>
            </w:pPr>
            <w:r>
              <w:rPr>
                <w:rFonts w:hint="eastAsia"/>
                <w:sz w:val="24"/>
                <w:szCs w:val="24"/>
                <w:vertAlign w:val="baseline"/>
                <w:lang w:val="en-US" w:eastAsia="zh-CN"/>
              </w:rPr>
              <w:t>+0.049t/a</w:t>
            </w:r>
          </w:p>
        </w:tc>
      </w:tr>
      <w:tr w14:paraId="7AC03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3" w:type="dxa"/>
            <w:vMerge w:val="continue"/>
            <w:vAlign w:val="center"/>
          </w:tcPr>
          <w:p w14:paraId="63BAEF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c>
          <w:tcPr>
            <w:tcW w:w="1462" w:type="dxa"/>
            <w:vAlign w:val="center"/>
          </w:tcPr>
          <w:p w14:paraId="28B3AC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NH</w:t>
            </w:r>
            <w:r>
              <w:rPr>
                <w:rFonts w:hint="eastAsia"/>
                <w:sz w:val="24"/>
                <w:szCs w:val="24"/>
                <w:vertAlign w:val="subscript"/>
                <w:lang w:val="en-US" w:eastAsia="zh-CN"/>
              </w:rPr>
              <w:t>3</w:t>
            </w:r>
            <w:r>
              <w:rPr>
                <w:rFonts w:hint="eastAsia"/>
                <w:sz w:val="24"/>
                <w:szCs w:val="24"/>
                <w:vertAlign w:val="baseline"/>
                <w:lang w:val="en-US" w:eastAsia="zh-CN"/>
              </w:rPr>
              <w:t>-N</w:t>
            </w:r>
          </w:p>
        </w:tc>
        <w:tc>
          <w:tcPr>
            <w:tcW w:w="1650" w:type="dxa"/>
            <w:vAlign w:val="center"/>
          </w:tcPr>
          <w:p w14:paraId="266033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470" w:type="dxa"/>
            <w:vAlign w:val="center"/>
          </w:tcPr>
          <w:p w14:paraId="48CC00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590" w:type="dxa"/>
            <w:vAlign w:val="center"/>
          </w:tcPr>
          <w:p w14:paraId="7709E3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560" w:type="dxa"/>
            <w:vAlign w:val="center"/>
          </w:tcPr>
          <w:p w14:paraId="58BDE4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0.007t/a</w:t>
            </w:r>
          </w:p>
        </w:tc>
        <w:tc>
          <w:tcPr>
            <w:tcW w:w="1590" w:type="dxa"/>
            <w:vAlign w:val="center"/>
          </w:tcPr>
          <w:p w14:paraId="0DEC36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905" w:type="dxa"/>
            <w:shd w:val="clear" w:color="auto" w:fill="auto"/>
            <w:vAlign w:val="center"/>
          </w:tcPr>
          <w:p w14:paraId="174176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4"/>
                <w:szCs w:val="24"/>
                <w:vertAlign w:val="baseline"/>
                <w:lang w:val="en-US" w:eastAsia="zh-CN" w:bidi="ar-SA"/>
              </w:rPr>
            </w:pPr>
            <w:r>
              <w:rPr>
                <w:rFonts w:hint="eastAsia"/>
                <w:sz w:val="24"/>
                <w:szCs w:val="24"/>
                <w:vertAlign w:val="baseline"/>
                <w:lang w:val="en-US" w:eastAsia="zh-CN"/>
              </w:rPr>
              <w:t>0.007t/a</w:t>
            </w:r>
          </w:p>
        </w:tc>
        <w:tc>
          <w:tcPr>
            <w:tcW w:w="1364" w:type="dxa"/>
            <w:shd w:val="clear" w:color="auto" w:fill="auto"/>
            <w:vAlign w:val="center"/>
          </w:tcPr>
          <w:p w14:paraId="736428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4"/>
                <w:szCs w:val="24"/>
                <w:vertAlign w:val="baseline"/>
                <w:lang w:val="en-US" w:eastAsia="zh-CN" w:bidi="ar-SA"/>
              </w:rPr>
            </w:pPr>
            <w:r>
              <w:rPr>
                <w:rFonts w:hint="eastAsia"/>
                <w:sz w:val="24"/>
                <w:szCs w:val="24"/>
                <w:vertAlign w:val="baseline"/>
                <w:lang w:val="en-US" w:eastAsia="zh-CN"/>
              </w:rPr>
              <w:t>+0.007t/a</w:t>
            </w:r>
          </w:p>
        </w:tc>
      </w:tr>
      <w:tr w14:paraId="6A8EB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3" w:type="dxa"/>
            <w:vAlign w:val="center"/>
          </w:tcPr>
          <w:p w14:paraId="25DC0F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生活垃圾</w:t>
            </w:r>
          </w:p>
        </w:tc>
        <w:tc>
          <w:tcPr>
            <w:tcW w:w="1462" w:type="dxa"/>
            <w:vAlign w:val="center"/>
          </w:tcPr>
          <w:p w14:paraId="2BF9C0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生活垃圾</w:t>
            </w:r>
          </w:p>
        </w:tc>
        <w:tc>
          <w:tcPr>
            <w:tcW w:w="1650" w:type="dxa"/>
            <w:vAlign w:val="center"/>
          </w:tcPr>
          <w:p w14:paraId="6CC1B9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470" w:type="dxa"/>
            <w:vAlign w:val="center"/>
          </w:tcPr>
          <w:p w14:paraId="50AC31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590" w:type="dxa"/>
            <w:vAlign w:val="center"/>
          </w:tcPr>
          <w:p w14:paraId="26A217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560" w:type="dxa"/>
            <w:vAlign w:val="center"/>
          </w:tcPr>
          <w:p w14:paraId="21BED0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0.53t/a</w:t>
            </w:r>
          </w:p>
        </w:tc>
        <w:tc>
          <w:tcPr>
            <w:tcW w:w="1590" w:type="dxa"/>
            <w:vAlign w:val="center"/>
          </w:tcPr>
          <w:p w14:paraId="2EF86D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905" w:type="dxa"/>
            <w:shd w:val="clear" w:color="auto" w:fill="auto"/>
            <w:vAlign w:val="center"/>
          </w:tcPr>
          <w:p w14:paraId="77AC83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4"/>
                <w:szCs w:val="24"/>
                <w:vertAlign w:val="baseline"/>
                <w:lang w:val="en-US" w:eastAsia="zh-CN" w:bidi="ar-SA"/>
              </w:rPr>
            </w:pPr>
            <w:r>
              <w:rPr>
                <w:rFonts w:hint="eastAsia"/>
                <w:sz w:val="24"/>
                <w:szCs w:val="24"/>
                <w:vertAlign w:val="baseline"/>
                <w:lang w:val="en-US" w:eastAsia="zh-CN"/>
              </w:rPr>
              <w:t>0.53t/a</w:t>
            </w:r>
          </w:p>
        </w:tc>
        <w:tc>
          <w:tcPr>
            <w:tcW w:w="1364" w:type="dxa"/>
            <w:shd w:val="clear" w:color="auto" w:fill="auto"/>
            <w:vAlign w:val="center"/>
          </w:tcPr>
          <w:p w14:paraId="1FC8C7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4"/>
                <w:szCs w:val="24"/>
                <w:vertAlign w:val="baseline"/>
                <w:lang w:val="en-US" w:eastAsia="zh-CN" w:bidi="ar-SA"/>
              </w:rPr>
            </w:pPr>
            <w:r>
              <w:rPr>
                <w:rFonts w:hint="eastAsia"/>
                <w:sz w:val="24"/>
                <w:szCs w:val="24"/>
                <w:vertAlign w:val="baseline"/>
                <w:lang w:val="en-US" w:eastAsia="zh-CN"/>
              </w:rPr>
              <w:t>+0.53t/a</w:t>
            </w:r>
          </w:p>
        </w:tc>
      </w:tr>
      <w:tr w14:paraId="3F028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3" w:type="dxa"/>
            <w:vMerge w:val="restart"/>
            <w:vAlign w:val="center"/>
          </w:tcPr>
          <w:p w14:paraId="18996D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一般工业固体废物</w:t>
            </w:r>
          </w:p>
        </w:tc>
        <w:tc>
          <w:tcPr>
            <w:tcW w:w="1462" w:type="dxa"/>
            <w:vAlign w:val="center"/>
          </w:tcPr>
          <w:p w14:paraId="27267B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包装物</w:t>
            </w:r>
          </w:p>
        </w:tc>
        <w:tc>
          <w:tcPr>
            <w:tcW w:w="1650" w:type="dxa"/>
            <w:vAlign w:val="center"/>
          </w:tcPr>
          <w:p w14:paraId="384460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470" w:type="dxa"/>
            <w:vAlign w:val="center"/>
          </w:tcPr>
          <w:p w14:paraId="77C433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590" w:type="dxa"/>
            <w:vAlign w:val="center"/>
          </w:tcPr>
          <w:p w14:paraId="27EC38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560" w:type="dxa"/>
            <w:vAlign w:val="center"/>
          </w:tcPr>
          <w:p w14:paraId="1ED080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0.10t/a</w:t>
            </w:r>
          </w:p>
        </w:tc>
        <w:tc>
          <w:tcPr>
            <w:tcW w:w="1590" w:type="dxa"/>
            <w:vAlign w:val="center"/>
          </w:tcPr>
          <w:p w14:paraId="13E502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905" w:type="dxa"/>
            <w:shd w:val="clear" w:color="auto" w:fill="auto"/>
            <w:vAlign w:val="center"/>
          </w:tcPr>
          <w:p w14:paraId="0A888E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4"/>
                <w:szCs w:val="24"/>
                <w:vertAlign w:val="baseline"/>
                <w:lang w:val="en-US" w:eastAsia="zh-CN" w:bidi="ar-SA"/>
              </w:rPr>
            </w:pPr>
            <w:r>
              <w:rPr>
                <w:rFonts w:hint="eastAsia"/>
                <w:sz w:val="24"/>
                <w:szCs w:val="24"/>
                <w:vertAlign w:val="baseline"/>
                <w:lang w:val="en-US" w:eastAsia="zh-CN"/>
              </w:rPr>
              <w:t>0.10t/a</w:t>
            </w:r>
          </w:p>
        </w:tc>
        <w:tc>
          <w:tcPr>
            <w:tcW w:w="1364" w:type="dxa"/>
            <w:shd w:val="clear" w:color="auto" w:fill="auto"/>
            <w:vAlign w:val="center"/>
          </w:tcPr>
          <w:p w14:paraId="6CB194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4"/>
                <w:szCs w:val="24"/>
                <w:vertAlign w:val="baseline"/>
                <w:lang w:val="en-US" w:eastAsia="zh-CN" w:bidi="ar-SA"/>
              </w:rPr>
            </w:pPr>
            <w:r>
              <w:rPr>
                <w:rFonts w:hint="eastAsia"/>
                <w:sz w:val="24"/>
                <w:szCs w:val="24"/>
                <w:vertAlign w:val="baseline"/>
                <w:lang w:val="en-US" w:eastAsia="zh-CN"/>
              </w:rPr>
              <w:t>+0.10t/a</w:t>
            </w:r>
          </w:p>
        </w:tc>
      </w:tr>
      <w:tr w14:paraId="2740C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3" w:type="dxa"/>
            <w:vMerge w:val="continue"/>
            <w:vAlign w:val="center"/>
          </w:tcPr>
          <w:p w14:paraId="4D5D07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p>
        </w:tc>
        <w:tc>
          <w:tcPr>
            <w:tcW w:w="1462" w:type="dxa"/>
            <w:vAlign w:val="center"/>
          </w:tcPr>
          <w:p w14:paraId="7C01EF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废活性炭</w:t>
            </w:r>
          </w:p>
        </w:tc>
        <w:tc>
          <w:tcPr>
            <w:tcW w:w="1650" w:type="dxa"/>
            <w:vAlign w:val="center"/>
          </w:tcPr>
          <w:p w14:paraId="6116AA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470" w:type="dxa"/>
            <w:vAlign w:val="center"/>
          </w:tcPr>
          <w:p w14:paraId="4250BF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590" w:type="dxa"/>
            <w:vAlign w:val="center"/>
          </w:tcPr>
          <w:p w14:paraId="5A4658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560" w:type="dxa"/>
            <w:vAlign w:val="center"/>
          </w:tcPr>
          <w:p w14:paraId="062B72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0.002t/a</w:t>
            </w:r>
          </w:p>
        </w:tc>
        <w:tc>
          <w:tcPr>
            <w:tcW w:w="1590" w:type="dxa"/>
            <w:vAlign w:val="center"/>
          </w:tcPr>
          <w:p w14:paraId="295778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905" w:type="dxa"/>
            <w:shd w:val="clear" w:color="auto" w:fill="auto"/>
            <w:vAlign w:val="center"/>
          </w:tcPr>
          <w:p w14:paraId="3EFD66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4"/>
                <w:szCs w:val="24"/>
                <w:vertAlign w:val="baseline"/>
                <w:lang w:val="en-US" w:eastAsia="zh-CN" w:bidi="ar-SA"/>
              </w:rPr>
            </w:pPr>
            <w:r>
              <w:rPr>
                <w:rFonts w:hint="eastAsia"/>
                <w:sz w:val="24"/>
                <w:szCs w:val="24"/>
                <w:vertAlign w:val="baseline"/>
                <w:lang w:val="en-US" w:eastAsia="zh-CN"/>
              </w:rPr>
              <w:t>0.002t/a</w:t>
            </w:r>
          </w:p>
        </w:tc>
        <w:tc>
          <w:tcPr>
            <w:tcW w:w="1364" w:type="dxa"/>
            <w:shd w:val="clear" w:color="auto" w:fill="auto"/>
            <w:vAlign w:val="center"/>
          </w:tcPr>
          <w:p w14:paraId="2456E4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4"/>
                <w:szCs w:val="24"/>
                <w:vertAlign w:val="baseline"/>
                <w:lang w:val="en-US" w:eastAsia="zh-CN" w:bidi="ar-SA"/>
              </w:rPr>
            </w:pPr>
            <w:r>
              <w:rPr>
                <w:rFonts w:hint="eastAsia"/>
                <w:sz w:val="24"/>
                <w:szCs w:val="24"/>
                <w:vertAlign w:val="baseline"/>
                <w:lang w:val="en-US" w:eastAsia="zh-CN"/>
              </w:rPr>
              <w:t>+0.002t/a</w:t>
            </w:r>
          </w:p>
        </w:tc>
      </w:tr>
      <w:tr w14:paraId="4BE27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3" w:type="dxa"/>
            <w:vAlign w:val="center"/>
          </w:tcPr>
          <w:p w14:paraId="7A45B3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危险废物</w:t>
            </w:r>
          </w:p>
        </w:tc>
        <w:tc>
          <w:tcPr>
            <w:tcW w:w="1462" w:type="dxa"/>
            <w:shd w:val="clear" w:color="auto" w:fill="auto"/>
            <w:vAlign w:val="center"/>
          </w:tcPr>
          <w:p w14:paraId="0DD4BC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heme="minorBidi"/>
                <w:b w:val="0"/>
                <w:bCs w:val="0"/>
                <w:spacing w:val="-10"/>
                <w:kern w:val="2"/>
                <w:sz w:val="24"/>
                <w:szCs w:val="24"/>
                <w:highlight w:val="none"/>
                <w:vertAlign w:val="baseline"/>
                <w:lang w:val="en-US" w:eastAsia="zh-CN" w:bidi="ar-SA"/>
              </w:rPr>
            </w:pPr>
            <w:r>
              <w:rPr>
                <w:rFonts w:hint="eastAsia"/>
                <w:b w:val="0"/>
                <w:bCs w:val="0"/>
                <w:spacing w:val="-10"/>
                <w:sz w:val="24"/>
                <w:szCs w:val="24"/>
                <w:highlight w:val="none"/>
                <w:vertAlign w:val="baseline"/>
                <w:lang w:val="en-US" w:eastAsia="zh-CN"/>
              </w:rPr>
              <w:t>医疗废物</w:t>
            </w:r>
          </w:p>
        </w:tc>
        <w:tc>
          <w:tcPr>
            <w:tcW w:w="1650" w:type="dxa"/>
            <w:shd w:val="clear" w:color="auto" w:fill="auto"/>
            <w:vAlign w:val="center"/>
          </w:tcPr>
          <w:p w14:paraId="433A74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b w:val="0"/>
                <w:bCs w:val="0"/>
                <w:spacing w:val="-10"/>
                <w:kern w:val="2"/>
                <w:sz w:val="24"/>
                <w:szCs w:val="24"/>
                <w:highlight w:val="none"/>
                <w:vertAlign w:val="baseline"/>
                <w:lang w:val="en-US" w:eastAsia="zh-CN" w:bidi="ar-SA"/>
              </w:rPr>
            </w:pPr>
            <w:r>
              <w:rPr>
                <w:rFonts w:hint="eastAsia"/>
                <w:sz w:val="24"/>
                <w:szCs w:val="24"/>
                <w:vertAlign w:val="baseline"/>
                <w:lang w:val="en-US" w:eastAsia="zh-CN"/>
              </w:rPr>
              <w:t>/</w:t>
            </w:r>
          </w:p>
        </w:tc>
        <w:tc>
          <w:tcPr>
            <w:tcW w:w="1470" w:type="dxa"/>
            <w:shd w:val="clear" w:color="auto" w:fill="auto"/>
            <w:vAlign w:val="center"/>
          </w:tcPr>
          <w:p w14:paraId="4B2438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b w:val="0"/>
                <w:bCs w:val="0"/>
                <w:spacing w:val="-10"/>
                <w:kern w:val="2"/>
                <w:sz w:val="24"/>
                <w:szCs w:val="24"/>
                <w:highlight w:val="none"/>
                <w:vertAlign w:val="baseline"/>
                <w:lang w:val="en-US" w:eastAsia="zh-CN" w:bidi="ar-SA"/>
              </w:rPr>
            </w:pPr>
            <w:r>
              <w:rPr>
                <w:rFonts w:hint="eastAsia"/>
                <w:sz w:val="24"/>
                <w:szCs w:val="24"/>
                <w:vertAlign w:val="baseline"/>
                <w:lang w:val="en-US" w:eastAsia="zh-CN"/>
              </w:rPr>
              <w:t>/</w:t>
            </w:r>
          </w:p>
        </w:tc>
        <w:tc>
          <w:tcPr>
            <w:tcW w:w="1590" w:type="dxa"/>
            <w:shd w:val="clear" w:color="auto" w:fill="auto"/>
            <w:vAlign w:val="center"/>
          </w:tcPr>
          <w:p w14:paraId="357340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b w:val="0"/>
                <w:bCs w:val="0"/>
                <w:spacing w:val="-10"/>
                <w:kern w:val="2"/>
                <w:sz w:val="24"/>
                <w:szCs w:val="24"/>
                <w:highlight w:val="none"/>
                <w:vertAlign w:val="baseline"/>
                <w:lang w:val="en-US" w:eastAsia="zh-CN" w:bidi="ar-SA"/>
              </w:rPr>
            </w:pPr>
            <w:r>
              <w:rPr>
                <w:rFonts w:hint="eastAsia"/>
                <w:sz w:val="24"/>
                <w:szCs w:val="24"/>
                <w:vertAlign w:val="baseline"/>
                <w:lang w:val="en-US" w:eastAsia="zh-CN"/>
              </w:rPr>
              <w:t>/</w:t>
            </w:r>
          </w:p>
        </w:tc>
        <w:tc>
          <w:tcPr>
            <w:tcW w:w="1560" w:type="dxa"/>
            <w:shd w:val="clear" w:color="auto" w:fill="auto"/>
            <w:vAlign w:val="center"/>
          </w:tcPr>
          <w:p w14:paraId="37BAA3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heme="minorBidi"/>
                <w:b w:val="0"/>
                <w:bCs w:val="0"/>
                <w:spacing w:val="-10"/>
                <w:kern w:val="2"/>
                <w:sz w:val="24"/>
                <w:szCs w:val="24"/>
                <w:highlight w:val="none"/>
                <w:vertAlign w:val="baseline"/>
                <w:lang w:val="en-US" w:eastAsia="zh-CN" w:bidi="ar-SA"/>
              </w:rPr>
            </w:pPr>
            <w:r>
              <w:rPr>
                <w:rFonts w:hint="eastAsia" w:cstheme="minorBidi"/>
                <w:b w:val="0"/>
                <w:bCs w:val="0"/>
                <w:spacing w:val="-10"/>
                <w:kern w:val="2"/>
                <w:sz w:val="24"/>
                <w:szCs w:val="24"/>
                <w:highlight w:val="none"/>
                <w:vertAlign w:val="baseline"/>
                <w:lang w:val="en-US" w:eastAsia="zh-CN" w:bidi="ar-SA"/>
              </w:rPr>
              <w:t>0.57t/a</w:t>
            </w:r>
          </w:p>
        </w:tc>
        <w:tc>
          <w:tcPr>
            <w:tcW w:w="1590" w:type="dxa"/>
            <w:vAlign w:val="center"/>
          </w:tcPr>
          <w:p w14:paraId="6B1B30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905" w:type="dxa"/>
            <w:shd w:val="clear" w:color="auto" w:fill="auto"/>
            <w:vAlign w:val="center"/>
          </w:tcPr>
          <w:p w14:paraId="1FB4CC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heme="minorBidi"/>
                <w:b w:val="0"/>
                <w:bCs w:val="0"/>
                <w:spacing w:val="-10"/>
                <w:kern w:val="2"/>
                <w:sz w:val="24"/>
                <w:szCs w:val="24"/>
                <w:highlight w:val="none"/>
                <w:vertAlign w:val="baseline"/>
                <w:lang w:val="en-US" w:eastAsia="zh-CN" w:bidi="ar-SA"/>
              </w:rPr>
            </w:pPr>
            <w:r>
              <w:rPr>
                <w:rFonts w:hint="eastAsia" w:cstheme="minorBidi"/>
                <w:b w:val="0"/>
                <w:bCs w:val="0"/>
                <w:spacing w:val="-10"/>
                <w:kern w:val="2"/>
                <w:sz w:val="24"/>
                <w:szCs w:val="24"/>
                <w:highlight w:val="none"/>
                <w:vertAlign w:val="baseline"/>
                <w:lang w:val="en-US" w:eastAsia="zh-CN" w:bidi="ar-SA"/>
              </w:rPr>
              <w:t>0.57t/a</w:t>
            </w:r>
          </w:p>
        </w:tc>
        <w:tc>
          <w:tcPr>
            <w:tcW w:w="1364" w:type="dxa"/>
            <w:shd w:val="clear" w:color="auto" w:fill="auto"/>
            <w:vAlign w:val="center"/>
          </w:tcPr>
          <w:p w14:paraId="4DFF15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heme="minorBidi"/>
                <w:b w:val="0"/>
                <w:bCs w:val="0"/>
                <w:spacing w:val="-10"/>
                <w:kern w:val="2"/>
                <w:sz w:val="24"/>
                <w:szCs w:val="24"/>
                <w:highlight w:val="none"/>
                <w:vertAlign w:val="baseline"/>
                <w:lang w:val="en-US" w:eastAsia="zh-CN" w:bidi="ar-SA"/>
              </w:rPr>
            </w:pPr>
            <w:r>
              <w:rPr>
                <w:rFonts w:hint="eastAsia" w:cstheme="minorBidi"/>
                <w:b w:val="0"/>
                <w:bCs w:val="0"/>
                <w:spacing w:val="-10"/>
                <w:kern w:val="2"/>
                <w:sz w:val="24"/>
                <w:szCs w:val="24"/>
                <w:highlight w:val="none"/>
                <w:vertAlign w:val="baseline"/>
                <w:lang w:val="en-US" w:eastAsia="zh-CN" w:bidi="ar-SA"/>
              </w:rPr>
              <w:t>+0.57t/a</w:t>
            </w:r>
          </w:p>
        </w:tc>
      </w:tr>
    </w:tbl>
    <w:p w14:paraId="336D4934">
      <w:pPr>
        <w:ind w:left="0" w:leftChars="0" w:firstLine="0" w:firstLineChars="0"/>
        <w:rPr>
          <w:rFonts w:hint="default"/>
          <w:lang w:val="en-US" w:eastAsia="zh-CN"/>
        </w:rPr>
      </w:pPr>
      <w:r>
        <w:rPr>
          <w:rFonts w:hint="eastAsia"/>
          <w:sz w:val="21"/>
          <w:szCs w:val="21"/>
          <w:lang w:val="en-US" w:eastAsia="zh-CN"/>
        </w:rPr>
        <w:t>注：⑥=①+③+④-⑤；⑦=⑥-①</w:t>
      </w:r>
    </w:p>
    <w:p w14:paraId="02ED2E1A">
      <w:pPr>
        <w:sectPr>
          <w:pgSz w:w="16838" w:h="11906" w:orient="landscape"/>
          <w:pgMar w:top="1587" w:right="1440" w:bottom="158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138158A">
      <w:pPr>
        <w:rPr>
          <w:rFonts w:hint="eastAsia"/>
          <w:lang w:val="en-US" w:eastAsia="zh-CN"/>
        </w:rPr>
      </w:pPr>
      <w:r>
        <w:rPr>
          <w:rFonts w:hint="eastAsia"/>
          <w:b/>
          <w:bCs/>
          <w:sz w:val="24"/>
          <w:szCs w:val="24"/>
          <w:lang w:val="en-US" w:eastAsia="zh-CN"/>
        </w:rPr>
        <w:t>附图</w:t>
      </w:r>
    </w:p>
    <w:p w14:paraId="2A840484">
      <w:pPr>
        <w:rPr>
          <w:rFonts w:hint="eastAsia"/>
          <w:lang w:val="en-US" w:eastAsia="zh-CN"/>
        </w:rPr>
      </w:pPr>
      <w:r>
        <w:rPr>
          <w:rFonts w:hint="eastAsia"/>
          <w:lang w:val="en-US" w:eastAsia="zh-CN"/>
        </w:rPr>
        <w:t>附图1 项目地理位置图</w:t>
      </w:r>
    </w:p>
    <w:p w14:paraId="0E3A572B">
      <w:pPr>
        <w:rPr>
          <w:rFonts w:hint="eastAsia"/>
          <w:lang w:val="en-US" w:eastAsia="zh-CN"/>
        </w:rPr>
      </w:pPr>
      <w:r>
        <w:rPr>
          <w:rFonts w:hint="eastAsia"/>
          <w:lang w:val="en-US" w:eastAsia="zh-CN"/>
        </w:rPr>
        <w:t>附图2 项目周边关系图</w:t>
      </w:r>
    </w:p>
    <w:p w14:paraId="49E35F7C">
      <w:pPr>
        <w:rPr>
          <w:rFonts w:hint="eastAsia"/>
          <w:lang w:val="en-US" w:eastAsia="zh-CN"/>
        </w:rPr>
      </w:pPr>
      <w:r>
        <w:rPr>
          <w:rFonts w:hint="eastAsia"/>
          <w:lang w:val="en-US" w:eastAsia="zh-CN"/>
        </w:rPr>
        <w:t>附图3 项目平面布置图</w:t>
      </w:r>
    </w:p>
    <w:p w14:paraId="064A03BB">
      <w:pPr>
        <w:rPr>
          <w:rFonts w:hint="eastAsia"/>
          <w:lang w:val="en-US" w:eastAsia="zh-CN"/>
        </w:rPr>
      </w:pPr>
    </w:p>
    <w:p w14:paraId="036C8A3C">
      <w:pPr>
        <w:rPr>
          <w:rFonts w:hint="default"/>
          <w:lang w:val="en-US" w:eastAsia="zh-CN"/>
        </w:rPr>
      </w:pPr>
      <w:r>
        <w:rPr>
          <w:rFonts w:hint="eastAsia"/>
          <w:b/>
          <w:bCs/>
          <w:lang w:val="en-US" w:eastAsia="zh-CN"/>
        </w:rPr>
        <w:t>附件</w:t>
      </w:r>
    </w:p>
    <w:p w14:paraId="599A574A">
      <w:pPr>
        <w:rPr>
          <w:rFonts w:hint="eastAsia"/>
          <w:lang w:val="en-US" w:eastAsia="zh-CN"/>
        </w:rPr>
      </w:pPr>
      <w:r>
        <w:rPr>
          <w:rFonts w:hint="eastAsia"/>
          <w:lang w:val="en-US" w:eastAsia="zh-CN"/>
        </w:rPr>
        <w:t>附件1 营业执照</w:t>
      </w:r>
    </w:p>
    <w:p w14:paraId="22B523AD">
      <w:pPr>
        <w:rPr>
          <w:rFonts w:hint="eastAsia"/>
          <w:lang w:val="en-US" w:eastAsia="zh-CN"/>
        </w:rPr>
      </w:pPr>
      <w:r>
        <w:rPr>
          <w:rFonts w:hint="eastAsia"/>
          <w:lang w:val="en-US" w:eastAsia="zh-CN"/>
        </w:rPr>
        <w:t>附件2 租赁协议</w:t>
      </w:r>
    </w:p>
    <w:p w14:paraId="31B46DB5">
      <w:pPr>
        <w:rPr>
          <w:rFonts w:hint="default"/>
          <w:lang w:val="en-US" w:eastAsia="zh-CN"/>
        </w:rPr>
      </w:pPr>
      <w:r>
        <w:rPr>
          <w:rFonts w:hint="eastAsia"/>
          <w:lang w:val="en-US" w:eastAsia="zh-CN"/>
        </w:rPr>
        <w:t>附件3 房产证</w:t>
      </w:r>
    </w:p>
    <w:p w14:paraId="64542089">
      <w:pPr>
        <w:rPr>
          <w:rFonts w:hint="eastAsia"/>
          <w:lang w:val="en-US" w:eastAsia="zh-CN"/>
        </w:rPr>
      </w:pPr>
      <w:r>
        <w:rPr>
          <w:rFonts w:hint="eastAsia"/>
          <w:lang w:val="en-US" w:eastAsia="zh-CN"/>
        </w:rPr>
        <w:t>附件4 危废处置协议</w:t>
      </w:r>
    </w:p>
    <w:p w14:paraId="6E84777D">
      <w:pPr>
        <w:sectPr>
          <w:pgSz w:w="11906" w:h="16838"/>
          <w:pgMar w:top="1440" w:right="1587" w:bottom="1440"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49DF84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r>
        <w:rPr>
          <w:rFonts w:hint="eastAsia" w:ascii="Times New Roman" w:hAnsi="Times New Roman" w:eastAsia="宋体"/>
          <w:b/>
          <w:sz w:val="28"/>
          <w:szCs w:val="28"/>
          <w:highlight w:val="none"/>
        </w:rPr>
        <w:drawing>
          <wp:anchor distT="0" distB="0" distL="114300" distR="114300" simplePos="0" relativeHeight="251672576" behindDoc="0" locked="0" layoutInCell="1" allowOverlap="1">
            <wp:simplePos x="0" y="0"/>
            <wp:positionH relativeFrom="column">
              <wp:posOffset>7504430</wp:posOffset>
            </wp:positionH>
            <wp:positionV relativeFrom="paragraph">
              <wp:posOffset>260350</wp:posOffset>
            </wp:positionV>
            <wp:extent cx="586105" cy="647700"/>
            <wp:effectExtent l="0" t="0" r="4445" b="0"/>
            <wp:wrapNone/>
            <wp:docPr id="26" name="图片 4" descr="微信截图_2021071616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descr="微信截图_20210716163614"/>
                    <pic:cNvPicPr>
                      <a:picLocks noChangeAspect="1"/>
                    </pic:cNvPicPr>
                  </pic:nvPicPr>
                  <pic:blipFill>
                    <a:blip r:embed="rId21"/>
                    <a:stretch>
                      <a:fillRect/>
                    </a:stretch>
                  </pic:blipFill>
                  <pic:spPr>
                    <a:xfrm>
                      <a:off x="0" y="0"/>
                      <a:ext cx="586105" cy="647700"/>
                    </a:xfrm>
                    <a:prstGeom prst="rect">
                      <a:avLst/>
                    </a:prstGeom>
                    <a:noFill/>
                    <a:ln>
                      <a:noFill/>
                    </a:ln>
                  </pic:spPr>
                </pic:pic>
              </a:graphicData>
            </a:graphic>
          </wp:anchor>
        </w:drawing>
      </w:r>
      <w:r>
        <w:rPr>
          <w:sz w:val="24"/>
        </w:rPr>
        <mc:AlternateContent>
          <mc:Choice Requires="wps">
            <w:drawing>
              <wp:anchor distT="0" distB="0" distL="114300" distR="114300" simplePos="0" relativeHeight="251671552" behindDoc="0" locked="0" layoutInCell="1" allowOverlap="1">
                <wp:simplePos x="0" y="0"/>
                <wp:positionH relativeFrom="column">
                  <wp:posOffset>6731000</wp:posOffset>
                </wp:positionH>
                <wp:positionV relativeFrom="paragraph">
                  <wp:posOffset>1882140</wp:posOffset>
                </wp:positionV>
                <wp:extent cx="819150" cy="334010"/>
                <wp:effectExtent l="6350" t="6350" r="12700" b="421640"/>
                <wp:wrapNone/>
                <wp:docPr id="25" name="圆角矩形标注 25"/>
                <wp:cNvGraphicFramePr/>
                <a:graphic xmlns:a="http://schemas.openxmlformats.org/drawingml/2006/main">
                  <a:graphicData uri="http://schemas.microsoft.com/office/word/2010/wordprocessingShape">
                    <wps:wsp>
                      <wps:cNvSpPr/>
                      <wps:spPr>
                        <a:xfrm>
                          <a:off x="6454775" y="3749040"/>
                          <a:ext cx="819150" cy="334010"/>
                        </a:xfrm>
                        <a:prstGeom prst="wedgeRoundRectCallout">
                          <a:avLst>
                            <a:gd name="adj1" fmla="val -20852"/>
                            <a:gd name="adj2" fmla="val 165209"/>
                            <a:gd name="adj3" fmla="val 16667"/>
                          </a:avLst>
                        </a:prstGeom>
                        <a:noFill/>
                        <a:ln>
                          <a:solidFill>
                            <a:schemeClr val="tx1"/>
                          </a:solidFill>
                        </a:ln>
                        <a:extLst>
                          <a:ext uri="{909E8E84-426E-40DD-AFC4-6F175D3DCCD1}">
                            <a14:hiddenFill xmlns:a14="http://schemas.microsoft.com/office/drawing/2010/main">
                              <a:solidFill>
                                <a:schemeClr val="accent1"/>
                              </a:solidFill>
                            </a14:hiddenFill>
                          </a:ext>
                        </a:extLst>
                      </wps:spPr>
                      <wps:style>
                        <a:lnRef idx="2">
                          <a:schemeClr val="accent1">
                            <a:lumMod val="75000"/>
                          </a:schemeClr>
                        </a:lnRef>
                        <a:fillRef idx="1">
                          <a:schemeClr val="accent1"/>
                        </a:fillRef>
                        <a:effectRef idx="0">
                          <a:srgbClr val="FFFFFF"/>
                        </a:effectRef>
                        <a:fontRef idx="minor">
                          <a:schemeClr val="lt1"/>
                        </a:fontRef>
                      </wps:style>
                      <wps:txbx>
                        <w:txbxContent>
                          <w:p w14:paraId="054D87C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b/>
                                <w:bCs/>
                                <w:sz w:val="21"/>
                                <w:szCs w:val="21"/>
                                <w:lang w:val="en-US" w:eastAsia="zh-CN"/>
                              </w:rPr>
                            </w:pPr>
                            <w:r>
                              <w:rPr>
                                <w:rFonts w:hint="eastAsia"/>
                                <w:b/>
                                <w:bCs/>
                                <w:color w:val="000000" w:themeColor="text1"/>
                                <w:sz w:val="21"/>
                                <w:szCs w:val="21"/>
                                <w:lang w:val="en-US" w:eastAsia="zh-CN"/>
                                <w14:textFill>
                                  <w14:solidFill>
                                    <w14:schemeClr w14:val="tx1"/>
                                  </w14:solidFill>
                                </w14:textFill>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530pt;margin-top:148.2pt;height:26.3pt;width:64.5pt;z-index:251671552;v-text-anchor:middle;mso-width-relative:page;mso-height-relative:page;" filled="f" stroked="t" coordsize="21600,21600" o:gfxdata="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LnIEwXZAAAADQEAAA8AAAAAAAAAAQAgAAAA&#10;IgAAAGRycy9kb3ducmV2LnhtbFBLAQIUABQAAAAIAIdO4kAOvtVcJwMAAF8GAAAOAAAAAAAAAAEA&#10;IAAAACgBAABkcnMvZTJvRG9jLnhtbFBLBQYAAAAABgAGAFkBAADBBgAAAAA=&#10;" adj="6296,46485,14400">
                <v:fill on="f" focussize="0,0"/>
                <v:stroke weight="1pt" color="#000000 [3213]" miterlimit="8" joinstyle="miter"/>
                <v:imagedata o:title=""/>
                <o:lock v:ext="edit" aspectratio="f"/>
                <v:textbox>
                  <w:txbxContent>
                    <w:p w14:paraId="054D87C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b/>
                          <w:bCs/>
                          <w:sz w:val="21"/>
                          <w:szCs w:val="21"/>
                          <w:lang w:val="en-US" w:eastAsia="zh-CN"/>
                        </w:rPr>
                      </w:pPr>
                      <w:r>
                        <w:rPr>
                          <w:rFonts w:hint="eastAsia"/>
                          <w:b/>
                          <w:bCs/>
                          <w:color w:val="000000" w:themeColor="text1"/>
                          <w:sz w:val="21"/>
                          <w:szCs w:val="21"/>
                          <w:lang w:val="en-US" w:eastAsia="zh-CN"/>
                          <w14:textFill>
                            <w14:solidFill>
                              <w14:schemeClr w14:val="tx1"/>
                            </w14:solidFill>
                          </w14:textFill>
                        </w:rPr>
                        <w:t>项目位置</w:t>
                      </w:r>
                    </w:p>
                  </w:txbxContent>
                </v:textbox>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6929755</wp:posOffset>
                </wp:positionH>
                <wp:positionV relativeFrom="paragraph">
                  <wp:posOffset>2583180</wp:posOffset>
                </wp:positionV>
                <wp:extent cx="71755" cy="71755"/>
                <wp:effectExtent l="6350" t="6350" r="17145" b="17145"/>
                <wp:wrapNone/>
                <wp:docPr id="24" name="椭圆 24"/>
                <wp:cNvGraphicFramePr/>
                <a:graphic xmlns:a="http://schemas.openxmlformats.org/drawingml/2006/main">
                  <a:graphicData uri="http://schemas.microsoft.com/office/word/2010/wordprocessingShape">
                    <wps:wsp>
                      <wps:cNvSpPr/>
                      <wps:spPr>
                        <a:xfrm>
                          <a:off x="7322185" y="2825115"/>
                          <a:ext cx="71755" cy="71755"/>
                        </a:xfrm>
                        <a:prstGeom prst="ellips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45.65pt;margin-top:203.4pt;height:5.65pt;width:5.65pt;z-index:251670528;v-text-anchor:middle;mso-width-relative:page;mso-height-relative:page;" fillcolor="#000000 [3213]" filled="t" stroked="t" coordsize="21600,21600" o:gfxdata="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RVqI12gAAAA0BAAAPAAAAAAAAAAEAIAAAACIAAABkcnMv&#10;ZG93bnJldi54bWxQSwECFAAUAAAACACHTuJAzEvBS3MCAAACBQAADgAAAAAAAAABACAAAAApAQAA&#10;ZHJzL2Uyb0RvYy54bWxQSwUGAAAAAAYABgBZAQAADgYAAAAA&#10;">
                <v:fill on="t" focussize="0,0"/>
                <v:stroke weight="1pt" color="#000000 [3213]" miterlimit="8" joinstyle="miter"/>
                <v:imagedata o:title=""/>
                <o:lock v:ext="edit" aspectratio="f"/>
              </v:shape>
            </w:pict>
          </mc:Fallback>
        </mc:AlternateContent>
      </w:r>
      <w:r>
        <w:rPr>
          <w:rFonts w:hint="eastAsia"/>
          <w:lang w:val="en-US" w:eastAsia="zh-CN"/>
        </w:rPr>
        <w:drawing>
          <wp:inline distT="0" distB="0" distL="114300" distR="114300">
            <wp:extent cx="7497445" cy="5541010"/>
            <wp:effectExtent l="0" t="0" r="0" b="0"/>
            <wp:docPr id="22" name="图片 22" descr="房山区界限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房山区界限图_00"/>
                    <pic:cNvPicPr>
                      <a:picLocks noChangeAspect="1"/>
                    </pic:cNvPicPr>
                  </pic:nvPicPr>
                  <pic:blipFill>
                    <a:blip r:embed="rId22"/>
                    <a:srcRect l="3462" r="4274"/>
                    <a:stretch>
                      <a:fillRect/>
                    </a:stretch>
                  </pic:blipFill>
                  <pic:spPr>
                    <a:xfrm>
                      <a:off x="0" y="0"/>
                      <a:ext cx="7497445" cy="5541010"/>
                    </a:xfrm>
                    <a:prstGeom prst="rect">
                      <a:avLst/>
                    </a:prstGeom>
                  </pic:spPr>
                </pic:pic>
              </a:graphicData>
            </a:graphic>
          </wp:inline>
        </w:drawing>
      </w:r>
    </w:p>
    <w:p w14:paraId="244565C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val="en-US" w:eastAsia="zh-CN"/>
        </w:rPr>
        <w:sectPr>
          <w:pgSz w:w="16838" w:h="11906" w:orient="landscape"/>
          <w:pgMar w:top="1304" w:right="1417" w:bottom="1304"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b/>
          <w:bCs/>
          <w:lang w:val="en-US" w:eastAsia="zh-CN"/>
        </w:rPr>
        <w:t>附图1 项目地理位置图</w:t>
      </w:r>
    </w:p>
    <w:p w14:paraId="1742A9F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val="en-US" w:eastAsia="zh-CN"/>
        </w:rPr>
      </w:pPr>
      <w:r>
        <w:rPr>
          <w:sz w:val="28"/>
        </w:rPr>
        <mc:AlternateContent>
          <mc:Choice Requires="wps">
            <w:drawing>
              <wp:anchor distT="0" distB="0" distL="114300" distR="114300" simplePos="0" relativeHeight="251694080" behindDoc="0" locked="0" layoutInCell="1" allowOverlap="1">
                <wp:simplePos x="0" y="0"/>
                <wp:positionH relativeFrom="column">
                  <wp:posOffset>3808730</wp:posOffset>
                </wp:positionH>
                <wp:positionV relativeFrom="paragraph">
                  <wp:posOffset>3023235</wp:posOffset>
                </wp:positionV>
                <wp:extent cx="1198245" cy="26924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198245"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1D6D0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拱辰星园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9.9pt;margin-top:238.05pt;height:21.2pt;width:94.35pt;z-index:251694080;mso-width-relative:page;mso-height-relative:page;" filled="f" stroked="f" coordsize="21600,21600" o:gfxdata="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vqTZbcAAAACwEAAA8AAAAAAAAAAQAgAAAAIgAA&#10;AGRycy9kb3ducmV2LnhtbFBLAQIUABQAAAAIAIdO4kBPB2egPQIAAGgEAAAOAAAAAAAAAAEAIAAA&#10;ACsBAABkcnMvZTJvRG9jLnhtbFBLBQYAAAAABgAGAFkBAADaBQAAAAA=&#10;">
                <v:fill on="f" focussize="0,0"/>
                <v:stroke on="f" weight="0.5pt"/>
                <v:imagedata o:title=""/>
                <o:lock v:ext="edit" aspectratio="f"/>
                <v:textbox>
                  <w:txbxContent>
                    <w:p w14:paraId="1B1D6D0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拱辰星园</w:t>
                      </w:r>
                    </w:p>
                  </w:txbxContent>
                </v:textbox>
              </v:shape>
            </w:pict>
          </mc:Fallback>
        </mc:AlternateContent>
      </w:r>
      <w:r>
        <w:rPr>
          <w:sz w:val="28"/>
        </w:rPr>
        <mc:AlternateContent>
          <mc:Choice Requires="wps">
            <w:drawing>
              <wp:anchor distT="0" distB="0" distL="114300" distR="114300" simplePos="0" relativeHeight="251700224" behindDoc="0" locked="0" layoutInCell="1" allowOverlap="1">
                <wp:simplePos x="0" y="0"/>
                <wp:positionH relativeFrom="column">
                  <wp:posOffset>6132830</wp:posOffset>
                </wp:positionH>
                <wp:positionV relativeFrom="paragraph">
                  <wp:posOffset>2432685</wp:posOffset>
                </wp:positionV>
                <wp:extent cx="1274445" cy="26924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274445"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2AA9C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聪慧里小区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9pt;margin-top:191.55pt;height:21.2pt;width:100.35pt;z-index:251700224;mso-width-relative:page;mso-height-relative:page;" filled="f" stroked="f" coordsize="21600,21600" o:gfxdata="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YGMS3dwAAAAMAQAADwAAAAAAAAABACAAAAAiAAAA&#10;ZHJzL2Rvd25yZXYueG1sUEsBAhQAFAAAAAgAh07iQN8koBU8AgAAaAQAAA4AAAAAAAAAAQAgAAAA&#10;KwEAAGRycy9lMm9Eb2MueG1sUEsFBgAAAAAGAAYAWQEAANkFAAAAAA==&#10;">
                <v:fill on="f" focussize="0,0"/>
                <v:stroke on="f" weight="0.5pt"/>
                <v:imagedata o:title=""/>
                <o:lock v:ext="edit" aspectratio="f"/>
                <v:textbox>
                  <w:txbxContent>
                    <w:p w14:paraId="1C2AA9C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聪慧里小区</w:t>
                      </w:r>
                    </w:p>
                  </w:txbxContent>
                </v:textbox>
              </v:shape>
            </w:pict>
          </mc:Fallback>
        </mc:AlternateContent>
      </w:r>
      <w:r>
        <w:rPr>
          <w:sz w:val="28"/>
        </w:rPr>
        <mc:AlternateContent>
          <mc:Choice Requires="wps">
            <w:drawing>
              <wp:anchor distT="0" distB="0" distL="114300" distR="114300" simplePos="0" relativeHeight="251699200" behindDoc="0" locked="0" layoutInCell="1" allowOverlap="1">
                <wp:simplePos x="0" y="0"/>
                <wp:positionH relativeFrom="column">
                  <wp:posOffset>4866005</wp:posOffset>
                </wp:positionH>
                <wp:positionV relativeFrom="paragraph">
                  <wp:posOffset>2775585</wp:posOffset>
                </wp:positionV>
                <wp:extent cx="1274445" cy="26924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274445"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0EA2B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楸树家园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3.15pt;margin-top:218.55pt;height:21.2pt;width:100.35pt;z-index:251699200;mso-width-relative:page;mso-height-relative:page;" filled="f" stroked="f" coordsize="21600,21600" o:gfxdata="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hji3bdAAAACwEAAA8AAAAAAAAAAQAgAAAAIgAA&#10;AGRycy9kb3ducmV2LnhtbFBLAQIUABQAAAAIAIdO4kBKX/aePAIAAGgEAAAOAAAAAAAAAAEAIAAA&#10;ACwBAABkcnMvZTJvRG9jLnhtbFBLBQYAAAAABgAGAFkBAADaBQAAAAA=&#10;">
                <v:fill on="f" focussize="0,0"/>
                <v:stroke on="f" weight="0.5pt"/>
                <v:imagedata o:title=""/>
                <o:lock v:ext="edit" aspectratio="f"/>
                <v:textbox>
                  <w:txbxContent>
                    <w:p w14:paraId="410EA2B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楸树家园</w:t>
                      </w:r>
                    </w:p>
                  </w:txbxContent>
                </v:textbox>
              </v:shape>
            </w:pict>
          </mc:Fallback>
        </mc:AlternateContent>
      </w:r>
      <w:r>
        <w:rPr>
          <w:sz w:val="28"/>
        </w:rPr>
        <mc:AlternateContent>
          <mc:Choice Requires="wps">
            <w:drawing>
              <wp:anchor distT="0" distB="0" distL="114300" distR="114300" simplePos="0" relativeHeight="251698176" behindDoc="0" locked="0" layoutInCell="1" allowOverlap="1">
                <wp:simplePos x="0" y="0"/>
                <wp:positionH relativeFrom="column">
                  <wp:posOffset>4304030</wp:posOffset>
                </wp:positionH>
                <wp:positionV relativeFrom="paragraph">
                  <wp:posOffset>632460</wp:posOffset>
                </wp:positionV>
                <wp:extent cx="1274445" cy="26924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274445"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E36CFB">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西北关家园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9pt;margin-top:49.8pt;height:21.2pt;width:100.35pt;z-index:251698176;mso-width-relative:page;mso-height-relative:page;" filled="f" stroked="f" coordsize="21600,21600" o:gfxdata="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YyITtsAAAAKAQAADwAAAAAAAAABACAAAAAiAAAA&#10;ZHJzL2Rvd25yZXYueG1sUEsBAhQAFAAAAAgAh07iQCMxt5g9AgAAaAQAAA4AAAAAAAAAAQAgAAAA&#10;KgEAAGRycy9lMm9Eb2MueG1sUEsFBgAAAAAGAAYAWQEAANkFAAAAAA==&#10;">
                <v:fill on="f" focussize="0,0"/>
                <v:stroke on="f" weight="0.5pt"/>
                <v:imagedata o:title=""/>
                <o:lock v:ext="edit" aspectratio="f"/>
                <v:textbox>
                  <w:txbxContent>
                    <w:p w14:paraId="02E36CFB">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西北关家园</w:t>
                      </w:r>
                    </w:p>
                  </w:txbxContent>
                </v:textbox>
              </v:shape>
            </w:pict>
          </mc:Fallback>
        </mc:AlternateContent>
      </w:r>
      <w:r>
        <w:rPr>
          <w:sz w:val="28"/>
        </w:rPr>
        <mc:AlternateContent>
          <mc:Choice Requires="wps">
            <w:drawing>
              <wp:anchor distT="0" distB="0" distL="114300" distR="114300" simplePos="0" relativeHeight="251697152" behindDoc="0" locked="0" layoutInCell="1" allowOverlap="1">
                <wp:simplePos x="0" y="0"/>
                <wp:positionH relativeFrom="column">
                  <wp:posOffset>4970780</wp:posOffset>
                </wp:positionH>
                <wp:positionV relativeFrom="paragraph">
                  <wp:posOffset>1375410</wp:posOffset>
                </wp:positionV>
                <wp:extent cx="1274445" cy="26924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274445"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A68A6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良乡医院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1.4pt;margin-top:108.3pt;height:21.2pt;width:100.35pt;z-index:251697152;mso-width-relative:page;mso-height-relative:page;" filled="f" stroked="f" coordsize="21600,21600" o:gfxdata="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jXmQ9wAAAALAQAADwAAAAAAAAABACAAAAAiAAAA&#10;ZHJzL2Rvd25yZXYueG1sUEsBAhQAFAAAAAgAh07iQLZK4RM8AgAAaAQAAA4AAAAAAAAAAQAgAAAA&#10;KwEAAGRycy9lMm9Eb2MueG1sUEsFBgAAAAAGAAYAWQEAANkFAAAAAA==&#10;">
                <v:fill on="f" focussize="0,0"/>
                <v:stroke on="f" weight="0.5pt"/>
                <v:imagedata o:title=""/>
                <o:lock v:ext="edit" aspectratio="f"/>
                <v:textbox>
                  <w:txbxContent>
                    <w:p w14:paraId="41A68A6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良乡医院</w:t>
                      </w:r>
                    </w:p>
                  </w:txbxContent>
                </v:textbox>
              </v:shape>
            </w:pict>
          </mc:Fallback>
        </mc:AlternateContent>
      </w:r>
      <w:r>
        <w:rPr>
          <w:sz w:val="28"/>
        </w:rPr>
        <mc:AlternateContent>
          <mc:Choice Requires="wps">
            <w:drawing>
              <wp:anchor distT="0" distB="0" distL="114300" distR="114300" simplePos="0" relativeHeight="251696128" behindDoc="0" locked="0" layoutInCell="1" allowOverlap="1">
                <wp:simplePos x="0" y="0"/>
                <wp:positionH relativeFrom="column">
                  <wp:posOffset>3980180</wp:posOffset>
                </wp:positionH>
                <wp:positionV relativeFrom="paragraph">
                  <wp:posOffset>1099185</wp:posOffset>
                </wp:positionV>
                <wp:extent cx="1274445" cy="26924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274445"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3AB19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良乡第二小学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3.4pt;margin-top:86.55pt;height:21.2pt;width:100.35pt;z-index:251696128;mso-width-relative:page;mso-height-relative:page;" filled="f" stroked="f" coordsize="21600,21600" o:gfxdata="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iDyt2wAAAAsBAAAPAAAAAAAAAAEAIAAAACIAAABk&#10;cnMvZG93bnJldi54bWxQSwECFAAUAAAACACHTuJASMBqVTwCAABoBAAADgAAAAAAAAABACAAAAAq&#10;AQAAZHJzL2Uyb0RvYy54bWxQSwUGAAAAAAYABgBZAQAA2AUAAAAA&#10;">
                <v:fill on="f" focussize="0,0"/>
                <v:stroke on="f" weight="0.5pt"/>
                <v:imagedata o:title=""/>
                <o:lock v:ext="edit" aspectratio="f"/>
                <v:textbox>
                  <w:txbxContent>
                    <w:p w14:paraId="533AB19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良乡第二小学</w:t>
                      </w:r>
                    </w:p>
                  </w:txbxContent>
                </v:textbox>
              </v:shape>
            </w:pict>
          </mc:Fallback>
        </mc:AlternateContent>
      </w:r>
      <w:r>
        <w:rPr>
          <w:sz w:val="28"/>
        </w:rPr>
        <mc:AlternateContent>
          <mc:Choice Requires="wps">
            <w:drawing>
              <wp:anchor distT="0" distB="0" distL="114300" distR="114300" simplePos="0" relativeHeight="251695104" behindDoc="0" locked="0" layoutInCell="1" allowOverlap="1">
                <wp:simplePos x="0" y="0"/>
                <wp:positionH relativeFrom="column">
                  <wp:posOffset>3884930</wp:posOffset>
                </wp:positionH>
                <wp:positionV relativeFrom="paragraph">
                  <wp:posOffset>2232660</wp:posOffset>
                </wp:positionV>
                <wp:extent cx="1274445" cy="26924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274445"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4C597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房山区良乡第二中学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9pt;margin-top:175.8pt;height:21.2pt;width:100.35pt;z-index:251695104;mso-width-relative:page;mso-height-relative:page;" filled="f" stroked="f" coordsize="21600,21600" o:gfxdata="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W+329wAAAALAQAADwAAAAAAAAABACAAAAAiAAAA&#10;ZHJzL2Rvd25yZXYueG1sUEsBAhQAFAAAAAgAh07iQN27PN48AgAAaAQAAA4AAAAAAAAAAQAgAAAA&#10;KwEAAGRycy9lMm9Eb2MueG1sUEsFBgAAAAAGAAYAWQEAANkFAAAAAA==&#10;">
                <v:fill on="f" focussize="0,0"/>
                <v:stroke on="f" weight="0.5pt"/>
                <v:imagedata o:title=""/>
                <o:lock v:ext="edit" aspectratio="f"/>
                <v:textbox>
                  <w:txbxContent>
                    <w:p w14:paraId="444C597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房山区良乡第二中学</w:t>
                      </w:r>
                    </w:p>
                  </w:txbxContent>
                </v:textbox>
              </v:shape>
            </w:pict>
          </mc:Fallback>
        </mc:AlternateContent>
      </w:r>
      <w:r>
        <w:rPr>
          <w:sz w:val="28"/>
        </w:rPr>
        <mc:AlternateContent>
          <mc:Choice Requires="wps">
            <w:drawing>
              <wp:anchor distT="0" distB="0" distL="114300" distR="114300" simplePos="0" relativeHeight="251693056" behindDoc="0" locked="0" layoutInCell="1" allowOverlap="1">
                <wp:simplePos x="0" y="0"/>
                <wp:positionH relativeFrom="column">
                  <wp:posOffset>3561080</wp:posOffset>
                </wp:positionH>
                <wp:positionV relativeFrom="paragraph">
                  <wp:posOffset>2585085</wp:posOffset>
                </wp:positionV>
                <wp:extent cx="255270" cy="99187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255270" cy="991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32B89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西潞东里小区-四里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4pt;margin-top:203.55pt;height:78.1pt;width:20.1pt;z-index:251693056;mso-width-relative:page;mso-height-relative:page;" filled="f" stroked="f" coordsize="21600,21600" o:gfxdata="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RbNIB2wAAAAsBAAAPAAAAAAAAAAEAIAAAACIAAABk&#10;cnMvZG93bnJldi54bWxQSwECFAAUAAAACACHTuJAb1zvOzwCAABnBAAADgAAAAAAAAABACAAAAAq&#10;AQAAZHJzL2Uyb0RvYy54bWxQSwUGAAAAAAYABgBZAQAA2AUAAAAA&#10;">
                <v:fill on="f" focussize="0,0"/>
                <v:stroke on="f" weight="0.5pt"/>
                <v:imagedata o:title=""/>
                <o:lock v:ext="edit" aspectratio="f"/>
                <v:textbox>
                  <w:txbxContent>
                    <w:p w14:paraId="7032B89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西潞东里小区-四里</w:t>
                      </w:r>
                    </w:p>
                  </w:txbxContent>
                </v:textbox>
              </v:shape>
            </w:pict>
          </mc:Fallback>
        </mc:AlternateContent>
      </w:r>
      <w:r>
        <w:rPr>
          <w:sz w:val="28"/>
        </w:rPr>
        <mc:AlternateContent>
          <mc:Choice Requires="wps">
            <w:drawing>
              <wp:anchor distT="0" distB="0" distL="114300" distR="114300" simplePos="0" relativeHeight="251692032" behindDoc="0" locked="0" layoutInCell="1" allowOverlap="1">
                <wp:simplePos x="0" y="0"/>
                <wp:positionH relativeFrom="column">
                  <wp:posOffset>2065655</wp:posOffset>
                </wp:positionH>
                <wp:positionV relativeFrom="paragraph">
                  <wp:posOffset>3147060</wp:posOffset>
                </wp:positionV>
                <wp:extent cx="1198245" cy="26924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198245"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B611E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西潞园小区-四里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2.65pt;margin-top:247.8pt;height:21.2pt;width:94.35pt;z-index:251692032;mso-width-relative:page;mso-height-relative:page;" filled="f" stroked="f" coordsize="21600,21600" o:gfxdata="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ReGRncAAAACwEAAA8AAAAAAAAAAQAgAAAAIgAA&#10;AGRycy9kb3ducmV2LnhtbFBLAQIUABQAAAAIAIdO4kCd2+WsPQIAAGgEAAAOAAAAAAAAAAEAIAAA&#10;ACsBAABkcnMvZTJvRG9jLnhtbFBLBQYAAAAABgAGAFkBAADaBQAAAAA=&#10;">
                <v:fill on="f" focussize="0,0"/>
                <v:stroke on="f" weight="0.5pt"/>
                <v:imagedata o:title=""/>
                <o:lock v:ext="edit" aspectratio="f"/>
                <v:textbox>
                  <w:txbxContent>
                    <w:p w14:paraId="36B611E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西潞园小区-四里</w:t>
                      </w:r>
                    </w:p>
                  </w:txbxContent>
                </v:textbox>
              </v:shape>
            </w:pict>
          </mc:Fallback>
        </mc:AlternateContent>
      </w:r>
      <w:r>
        <w:rPr>
          <w:sz w:val="28"/>
        </w:rPr>
        <mc:AlternateContent>
          <mc:Choice Requires="wps">
            <w:drawing>
              <wp:anchor distT="0" distB="0" distL="114300" distR="114300" simplePos="0" relativeHeight="251691008" behindDoc="0" locked="0" layoutInCell="1" allowOverlap="1">
                <wp:simplePos x="0" y="0"/>
                <wp:positionH relativeFrom="column">
                  <wp:posOffset>2541905</wp:posOffset>
                </wp:positionH>
                <wp:positionV relativeFrom="paragraph">
                  <wp:posOffset>1899285</wp:posOffset>
                </wp:positionV>
                <wp:extent cx="1198245" cy="26924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198245"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E9AB5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西潞园小区-三里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15pt;margin-top:149.55pt;height:21.2pt;width:94.35pt;z-index:251691008;mso-width-relative:page;mso-height-relative:page;" filled="f" stroked="f" coordsize="21600,21600" o:gfxdata="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1W5aHcAAAACwEAAA8AAAAAAAAAAQAgAAAAIgAA&#10;AGRycy9kb3ducmV2LnhtbFBLAQIUABQAAAAIAIdO4kAIoLMnPQIAAGgEAAAOAAAAAAAAAAEAIAAA&#10;ACsBAABkcnMvZTJvRG9jLnhtbFBLBQYAAAAABgAGAFkBAADaBQAAAAA=&#10;">
                <v:fill on="f" focussize="0,0"/>
                <v:stroke on="f" weight="0.5pt"/>
                <v:imagedata o:title=""/>
                <o:lock v:ext="edit" aspectratio="f"/>
                <v:textbox>
                  <w:txbxContent>
                    <w:p w14:paraId="55E9AB5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西潞园小区-三里</w:t>
                      </w:r>
                    </w:p>
                  </w:txbxContent>
                </v:textbox>
              </v:shape>
            </w:pict>
          </mc:Fallback>
        </mc:AlternateContent>
      </w:r>
      <w:r>
        <w:rPr>
          <w:sz w:val="28"/>
        </w:rPr>
        <mc:AlternateContent>
          <mc:Choice Requires="wps">
            <w:drawing>
              <wp:anchor distT="0" distB="0" distL="114300" distR="114300" simplePos="0" relativeHeight="251685888" behindDoc="0" locked="0" layoutInCell="1" allowOverlap="1">
                <wp:simplePos x="0" y="0"/>
                <wp:positionH relativeFrom="column">
                  <wp:posOffset>3970655</wp:posOffset>
                </wp:positionH>
                <wp:positionV relativeFrom="paragraph">
                  <wp:posOffset>4318635</wp:posOffset>
                </wp:positionV>
                <wp:extent cx="1198245" cy="26924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198245"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9F9C0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供电局良乡家属院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2.65pt;margin-top:340.05pt;height:21.2pt;width:94.35pt;z-index:251685888;mso-width-relative:page;mso-height-relative:page;" filled="f" stroked="f" coordsize="21600,21600" o:gfxdata="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&#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h8PpW2wAAAAsBAAAPAAAAAAAAAAEAIAAAACIAAABk&#10;cnMvZG93bnJldi54bWxQSwECFAAUAAAACACHTuJAtbaUzDwCAABoBAAADgAAAAAAAAABACAAAAAq&#10;AQAAZHJzL2Uyb0RvYy54bWxQSwUGAAAAAAYABgBZAQAA2AUAAAAA&#10;">
                <v:fill on="f" focussize="0,0"/>
                <v:stroke on="f" weight="0.5pt"/>
                <v:imagedata o:title=""/>
                <o:lock v:ext="edit" aspectratio="f"/>
                <v:textbox>
                  <w:txbxContent>
                    <w:p w14:paraId="129F9C0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供电局良乡家属院</w:t>
                      </w:r>
                    </w:p>
                  </w:txbxContent>
                </v:textbox>
              </v:shape>
            </w:pict>
          </mc:Fallback>
        </mc:AlternateContent>
      </w:r>
      <w:r>
        <w:rPr>
          <w:rFonts w:hint="default"/>
          <w:sz w:val="21"/>
        </w:rPr>
        <mc:AlternateContent>
          <mc:Choice Requires="wps">
            <w:drawing>
              <wp:anchor distT="0" distB="0" distL="114300" distR="114300" simplePos="0" relativeHeight="251686912" behindDoc="0" locked="0" layoutInCell="1" allowOverlap="1">
                <wp:simplePos x="0" y="0"/>
                <wp:positionH relativeFrom="column">
                  <wp:posOffset>10160</wp:posOffset>
                </wp:positionH>
                <wp:positionV relativeFrom="paragraph">
                  <wp:posOffset>3946525</wp:posOffset>
                </wp:positionV>
                <wp:extent cx="1332865" cy="1532255"/>
                <wp:effectExtent l="4445" t="4445" r="15240" b="6350"/>
                <wp:wrapNone/>
                <wp:docPr id="42" name="文本框 42"/>
                <wp:cNvGraphicFramePr/>
                <a:graphic xmlns:a="http://schemas.openxmlformats.org/drawingml/2006/main">
                  <a:graphicData uri="http://schemas.microsoft.com/office/word/2010/wordprocessingShape">
                    <wps:wsp>
                      <wps:cNvSpPr txBox="1"/>
                      <wps:spPr>
                        <a:xfrm>
                          <a:off x="0" y="0"/>
                          <a:ext cx="1332865" cy="15322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2E6B5C0">
                            <w:pPr>
                              <w:keepNext w:val="0"/>
                              <w:keepLines w:val="0"/>
                              <w:pageBreakBefore w:val="0"/>
                              <w:widowControl w:val="0"/>
                              <w:kinsoku/>
                              <w:wordWrap/>
                              <w:overflowPunct/>
                              <w:topLinePunct w:val="0"/>
                              <w:bidi w:val="0"/>
                              <w:adjustRightInd/>
                              <w:snapToGrid/>
                              <w:spacing w:line="432"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图例</w:t>
                            </w:r>
                          </w:p>
                          <w:p w14:paraId="4ADBBC79">
                            <w:pPr>
                              <w:keepNext w:val="0"/>
                              <w:keepLines w:val="0"/>
                              <w:pageBreakBefore w:val="0"/>
                              <w:widowControl w:val="0"/>
                              <w:kinsoku/>
                              <w:wordWrap/>
                              <w:overflowPunct/>
                              <w:topLinePunct w:val="0"/>
                              <w:bidi w:val="0"/>
                              <w:adjustRightInd/>
                              <w:snapToGrid/>
                              <w:spacing w:line="432" w:lineRule="auto"/>
                              <w:ind w:firstLine="420" w:firstLineChars="20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项目位置</w:t>
                            </w:r>
                          </w:p>
                          <w:p w14:paraId="2C788604">
                            <w:pPr>
                              <w:keepNext w:val="0"/>
                              <w:keepLines w:val="0"/>
                              <w:pageBreakBefore w:val="0"/>
                              <w:widowControl w:val="0"/>
                              <w:kinsoku/>
                              <w:wordWrap/>
                              <w:overflowPunct/>
                              <w:topLinePunct w:val="0"/>
                              <w:bidi w:val="0"/>
                              <w:adjustRightInd/>
                              <w:snapToGrid/>
                              <w:spacing w:line="432" w:lineRule="auto"/>
                              <w:ind w:firstLine="420" w:firstLineChars="20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敏感目标</w:t>
                            </w:r>
                          </w:p>
                          <w:p w14:paraId="18D81EB7">
                            <w:pPr>
                              <w:keepNext w:val="0"/>
                              <w:keepLines w:val="0"/>
                              <w:pageBreakBefore w:val="0"/>
                              <w:widowControl w:val="0"/>
                              <w:kinsoku/>
                              <w:wordWrap/>
                              <w:overflowPunct/>
                              <w:topLinePunct w:val="0"/>
                              <w:bidi w:val="0"/>
                              <w:adjustRightInd/>
                              <w:snapToGrid/>
                              <w:spacing w:line="432" w:lineRule="auto"/>
                              <w:ind w:firstLine="420" w:firstLineChars="200"/>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厂界500m范围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8pt;margin-top:310.75pt;height:120.65pt;width:104.95pt;z-index:251686912;mso-width-relative:page;mso-height-relative:page;" fillcolor="#FFFFFF [3201]" filled="t" stroked="t" coordsize="21600,21600" o:gfxdata="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AoTdUA&#10;AAAIAQAADwAAAAAAAAABACAAAAAiAAAAZHJzL2Rvd25yZXYueG1sUEsBAhQAFAAAAAgAh07iQEs+&#10;eYxbAgAAugQAAA4AAAAAAAAAAQAgAAAAJAEAAGRycy9lMm9Eb2MueG1sUEsFBgAAAAAGAAYAWQEA&#10;APEFAAAAAA==&#10;">
                <v:fill on="t" focussize="0,0"/>
                <v:stroke weight="0.5pt" color="#000000 [3204]" joinstyle="round"/>
                <v:imagedata o:title=""/>
                <o:lock v:ext="edit" aspectratio="f"/>
                <v:textbox>
                  <w:txbxContent>
                    <w:p w14:paraId="22E6B5C0">
                      <w:pPr>
                        <w:keepNext w:val="0"/>
                        <w:keepLines w:val="0"/>
                        <w:pageBreakBefore w:val="0"/>
                        <w:widowControl w:val="0"/>
                        <w:kinsoku/>
                        <w:wordWrap/>
                        <w:overflowPunct/>
                        <w:topLinePunct w:val="0"/>
                        <w:bidi w:val="0"/>
                        <w:adjustRightInd/>
                        <w:snapToGrid/>
                        <w:spacing w:line="432"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图例</w:t>
                      </w:r>
                    </w:p>
                    <w:p w14:paraId="4ADBBC79">
                      <w:pPr>
                        <w:keepNext w:val="0"/>
                        <w:keepLines w:val="0"/>
                        <w:pageBreakBefore w:val="0"/>
                        <w:widowControl w:val="0"/>
                        <w:kinsoku/>
                        <w:wordWrap/>
                        <w:overflowPunct/>
                        <w:topLinePunct w:val="0"/>
                        <w:bidi w:val="0"/>
                        <w:adjustRightInd/>
                        <w:snapToGrid/>
                        <w:spacing w:line="432" w:lineRule="auto"/>
                        <w:ind w:firstLine="420" w:firstLineChars="20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项目位置</w:t>
                      </w:r>
                    </w:p>
                    <w:p w14:paraId="2C788604">
                      <w:pPr>
                        <w:keepNext w:val="0"/>
                        <w:keepLines w:val="0"/>
                        <w:pageBreakBefore w:val="0"/>
                        <w:widowControl w:val="0"/>
                        <w:kinsoku/>
                        <w:wordWrap/>
                        <w:overflowPunct/>
                        <w:topLinePunct w:val="0"/>
                        <w:bidi w:val="0"/>
                        <w:adjustRightInd/>
                        <w:snapToGrid/>
                        <w:spacing w:line="432" w:lineRule="auto"/>
                        <w:ind w:firstLine="420" w:firstLineChars="20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敏感目标</w:t>
                      </w:r>
                    </w:p>
                    <w:p w14:paraId="18D81EB7">
                      <w:pPr>
                        <w:keepNext w:val="0"/>
                        <w:keepLines w:val="0"/>
                        <w:pageBreakBefore w:val="0"/>
                        <w:widowControl w:val="0"/>
                        <w:kinsoku/>
                        <w:wordWrap/>
                        <w:overflowPunct/>
                        <w:topLinePunct w:val="0"/>
                        <w:bidi w:val="0"/>
                        <w:adjustRightInd/>
                        <w:snapToGrid/>
                        <w:spacing w:line="432" w:lineRule="auto"/>
                        <w:ind w:firstLine="420" w:firstLineChars="200"/>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厂界500m范围</w:t>
                      </w:r>
                    </w:p>
                  </w:txbxContent>
                </v:textbox>
              </v:shape>
            </w:pict>
          </mc:Fallback>
        </mc:AlternateContent>
      </w:r>
      <w:r>
        <w:rPr>
          <w:rFonts w:hint="default"/>
          <w:sz w:val="21"/>
        </w:rPr>
        <mc:AlternateContent>
          <mc:Choice Requires="wps">
            <w:drawing>
              <wp:anchor distT="0" distB="0" distL="114300" distR="114300" simplePos="0" relativeHeight="251689984" behindDoc="0" locked="0" layoutInCell="1" allowOverlap="1">
                <wp:simplePos x="0" y="0"/>
                <wp:positionH relativeFrom="column">
                  <wp:posOffset>85725</wp:posOffset>
                </wp:positionH>
                <wp:positionV relativeFrom="paragraph">
                  <wp:posOffset>5201920</wp:posOffset>
                </wp:positionV>
                <wp:extent cx="171450" cy="114300"/>
                <wp:effectExtent l="9525" t="9525" r="9525" b="9525"/>
                <wp:wrapNone/>
                <wp:docPr id="43" name="矩形 43"/>
                <wp:cNvGraphicFramePr/>
                <a:graphic xmlns:a="http://schemas.openxmlformats.org/drawingml/2006/main">
                  <a:graphicData uri="http://schemas.microsoft.com/office/word/2010/wordprocessingShape">
                    <wps:wsp>
                      <wps:cNvSpPr/>
                      <wps:spPr>
                        <a:xfrm>
                          <a:off x="0" y="0"/>
                          <a:ext cx="171450" cy="114300"/>
                        </a:xfrm>
                        <a:prstGeom prst="rect">
                          <a:avLst/>
                        </a:prstGeom>
                        <a:noFill/>
                        <a:ln w="19050">
                          <a:solidFill>
                            <a:srgbClr val="00B05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75pt;margin-top:409.6pt;height:9pt;width:13.5pt;z-index:251689984;v-text-anchor:middle;mso-width-relative:page;mso-height-relative:page;" filled="f" stroked="t" coordsize="21600,21600" o:gfxdata="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5IAIHXAAAACQEAAA8AAAAAAAAAAQAgAAAAIgAAAGRycy9kb3ducmV2LnhtbFBL&#10;AQIUABQAAAAIAIdO4kAbFYj/aQIAAMwEAAAOAAAAAAAAAAEAIAAAACYBAABkcnMvZTJvRG9jLnht&#10;bFBLBQYAAAAABgAGAFkBAAABBgAAAAA=&#10;">
                <v:fill on="f" focussize="0,0"/>
                <v:stroke weight="1.5pt" color="#00B050 [2404]" miterlimit="8" joinstyle="miter"/>
                <v:imagedata o:title=""/>
                <o:lock v:ext="edit" aspectratio="f"/>
              </v:rect>
            </w:pict>
          </mc:Fallback>
        </mc:AlternateContent>
      </w:r>
      <w:r>
        <w:rPr>
          <w:rFonts w:hint="default"/>
          <w:sz w:val="21"/>
        </w:rPr>
        <mc:AlternateContent>
          <mc:Choice Requires="wps">
            <w:drawing>
              <wp:anchor distT="0" distB="0" distL="114300" distR="114300" simplePos="0" relativeHeight="251687936" behindDoc="0" locked="0" layoutInCell="1" allowOverlap="1">
                <wp:simplePos x="0" y="0"/>
                <wp:positionH relativeFrom="column">
                  <wp:posOffset>95885</wp:posOffset>
                </wp:positionH>
                <wp:positionV relativeFrom="paragraph">
                  <wp:posOffset>4479290</wp:posOffset>
                </wp:positionV>
                <wp:extent cx="171450" cy="114300"/>
                <wp:effectExtent l="9525" t="9525" r="9525" b="9525"/>
                <wp:wrapNone/>
                <wp:docPr id="44" name="矩形 44"/>
                <wp:cNvGraphicFramePr/>
                <a:graphic xmlns:a="http://schemas.openxmlformats.org/drawingml/2006/main">
                  <a:graphicData uri="http://schemas.microsoft.com/office/word/2010/wordprocessingShape">
                    <wps:wsp>
                      <wps:cNvSpPr/>
                      <wps:spPr>
                        <a:xfrm>
                          <a:off x="0" y="0"/>
                          <a:ext cx="171450" cy="114300"/>
                        </a:xfrm>
                        <a:prstGeom prst="rect">
                          <a:avLst/>
                        </a:pr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5pt;margin-top:352.7pt;height:9pt;width:13.5pt;z-index:251687936;v-text-anchor:middle;mso-width-relative:page;mso-height-relative:page;" filled="f" stroked="t" coordsize="21600,21600" o:gfxdata="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Z5cSXXAAAACQEAAA8AAAAAAAAAAQAgAAAAIgAAAGRycy9kb3ducmV2LnhtbFBL&#10;AQIUABQAAAAIAIdO4kCq+HrLaQIAAMwEAAAOAAAAAAAAAAEAIAAAACYBAABkcnMvZTJvRG9jLnht&#10;bFBLBQYAAAAABgAGAFkBAAABBgAAAAA=&#10;">
                <v:fill on="f" focussize="0,0"/>
                <v:stroke weight="1.5pt" color="#FF0000 [2404]" miterlimit="8" joinstyle="miter"/>
                <v:imagedata o:title=""/>
                <o:lock v:ext="edit" aspectratio="f"/>
              </v:rect>
            </w:pict>
          </mc:Fallback>
        </mc:AlternateContent>
      </w:r>
      <w:r>
        <w:rPr>
          <w:rFonts w:hint="default"/>
          <w:sz w:val="21"/>
        </w:rPr>
        <mc:AlternateContent>
          <mc:Choice Requires="wps">
            <w:drawing>
              <wp:anchor distT="0" distB="0" distL="114300" distR="114300" simplePos="0" relativeHeight="251688960" behindDoc="0" locked="0" layoutInCell="1" allowOverlap="1">
                <wp:simplePos x="0" y="0"/>
                <wp:positionH relativeFrom="column">
                  <wp:posOffset>86360</wp:posOffset>
                </wp:positionH>
                <wp:positionV relativeFrom="paragraph">
                  <wp:posOffset>4831715</wp:posOffset>
                </wp:positionV>
                <wp:extent cx="171450" cy="114300"/>
                <wp:effectExtent l="9525" t="9525" r="9525" b="9525"/>
                <wp:wrapNone/>
                <wp:docPr id="45" name="矩形 45"/>
                <wp:cNvGraphicFramePr/>
                <a:graphic xmlns:a="http://schemas.openxmlformats.org/drawingml/2006/main">
                  <a:graphicData uri="http://schemas.microsoft.com/office/word/2010/wordprocessingShape">
                    <wps:wsp>
                      <wps:cNvSpPr/>
                      <wps:spPr>
                        <a:xfrm>
                          <a:off x="0" y="0"/>
                          <a:ext cx="171450" cy="114300"/>
                        </a:xfrm>
                        <a:prstGeom prst="rect">
                          <a:avLst/>
                        </a:prstGeom>
                        <a:noFill/>
                        <a:ln w="19050">
                          <a:solidFill>
                            <a:srgbClr val="FFC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pt;margin-top:380.45pt;height:9pt;width:13.5pt;z-index:251688960;v-text-anchor:middle;mso-width-relative:page;mso-height-relative:page;" filled="f" stroked="t" coordsize="21600,21600" o:gfxdata="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IwbfRPZAAAACQEAAA8AAAAAAAAAAQAgAAAAIgAAAGRycy9kb3ducmV2LnhtbFBL&#10;AQIUABQAAAAIAIdO4kBZmRy9ZwIAAMwEAAAOAAAAAAAAAAEAIAAAACgBAABkcnMvZTJvRG9jLnht&#10;bFBLBQYAAAAABgAGAFkBAAABBgAAAAA=&#10;">
                <v:fill on="f" focussize="0,0"/>
                <v:stroke weight="1.5pt" color="#FFC000 [2404]" miterlimit="8" joinstyle="miter"/>
                <v:imagedata o:title=""/>
                <o:lock v:ext="edit" aspectratio="f"/>
              </v:rect>
            </w:pict>
          </mc:Fallback>
        </mc:AlternateContent>
      </w:r>
      <w:r>
        <w:rPr>
          <w:sz w:val="28"/>
        </w:rPr>
        <mc:AlternateContent>
          <mc:Choice Requires="wps">
            <w:drawing>
              <wp:anchor distT="0" distB="0" distL="114300" distR="114300" simplePos="0" relativeHeight="251684864" behindDoc="0" locked="0" layoutInCell="1" allowOverlap="1">
                <wp:simplePos x="0" y="0"/>
                <wp:positionH relativeFrom="column">
                  <wp:posOffset>4359910</wp:posOffset>
                </wp:positionH>
                <wp:positionV relativeFrom="paragraph">
                  <wp:posOffset>4296410</wp:posOffset>
                </wp:positionV>
                <wp:extent cx="392430" cy="290830"/>
                <wp:effectExtent l="5080" t="5080" r="21590" b="8890"/>
                <wp:wrapNone/>
                <wp:docPr id="40" name="任意多边形 40"/>
                <wp:cNvGraphicFramePr/>
                <a:graphic xmlns:a="http://schemas.openxmlformats.org/drawingml/2006/main">
                  <a:graphicData uri="http://schemas.microsoft.com/office/word/2010/wordprocessingShape">
                    <wps:wsp>
                      <wps:cNvSpPr/>
                      <wps:spPr>
                        <a:xfrm>
                          <a:off x="5259705" y="5124450"/>
                          <a:ext cx="392430" cy="290830"/>
                        </a:xfrm>
                        <a:custGeom>
                          <a:avLst/>
                          <a:gdLst>
                            <a:gd name="connisteX0" fmla="*/ 0 w 392430"/>
                            <a:gd name="connsiteY0" fmla="*/ 0 h 290830"/>
                            <a:gd name="connisteX1" fmla="*/ 5715 w 392430"/>
                            <a:gd name="connsiteY1" fmla="*/ 290830 h 290830"/>
                            <a:gd name="connisteX2" fmla="*/ 386715 w 392430"/>
                            <a:gd name="connsiteY2" fmla="*/ 290830 h 290830"/>
                            <a:gd name="connisteX3" fmla="*/ 392430 w 392430"/>
                            <a:gd name="connsiteY3" fmla="*/ 5080 h 290830"/>
                            <a:gd name="connisteX4" fmla="*/ 0 w 392430"/>
                            <a:gd name="connsiteY4" fmla="*/ 0 h 29083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392430" h="290830">
                              <a:moveTo>
                                <a:pt x="0" y="0"/>
                              </a:moveTo>
                              <a:lnTo>
                                <a:pt x="5715" y="290830"/>
                              </a:lnTo>
                              <a:lnTo>
                                <a:pt x="386715" y="290830"/>
                              </a:lnTo>
                              <a:lnTo>
                                <a:pt x="392430" y="5080"/>
                              </a:lnTo>
                              <a:lnTo>
                                <a:pt x="0" y="0"/>
                              </a:lnTo>
                              <a:close/>
                            </a:path>
                          </a:pathLst>
                        </a:custGeom>
                        <a:solidFill>
                          <a:schemeClr val="accent3">
                            <a:alpha val="20000"/>
                          </a:schemeClr>
                        </a:solidFill>
                        <a:ln w="6350">
                          <a:solidFill>
                            <a:schemeClr val="accent3"/>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43.3pt;margin-top:338.3pt;height:22.9pt;width:30.9pt;z-index:251684864;mso-width-relative:page;mso-height-relative:page;" fillcolor="#F2BA02 [3206]" filled="t" stroked="t" coordsize="392430,290830" o:gfxdata="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CPAQxt2gAAAAsBAAAPAAAAAAAAAAEAIAAAACIAAABk&#10;cnMvZG93bnJldi54bWxQSwECFAAUAAAACACHTuJAK3dfWyEDAACFCAAADgAAAAAAAAABACAAAAAp&#10;AQAAZHJzL2Uyb0RvYy54bWxQSwUGAAAAAAYABgBZAQAAvAYAAAAA&#10;" path="m0,0l5715,290830,386715,290830,392430,5080,0,0xe">
                <v:path o:connectlocs="0,0;5715,290830;386715,290830;392430,5080;0,0" o:connectangles="0,0,0,0,0"/>
                <v:fill on="t" opacity="13107f" focussize="0,0"/>
                <v:stroke weight="0.5pt" color="#F2BA02 [3206]" miterlimit="8" joinstyle="miter"/>
                <v:imagedata o:title=""/>
                <o:lock v:ext="edit" aspectratio="f"/>
              </v:shape>
            </w:pict>
          </mc:Fallback>
        </mc:AlternateContent>
      </w:r>
      <w:r>
        <w:rPr>
          <w:sz w:val="28"/>
        </w:rPr>
        <mc:AlternateContent>
          <mc:Choice Requires="wps">
            <w:drawing>
              <wp:anchor distT="0" distB="0" distL="114300" distR="114300" simplePos="0" relativeHeight="251683840" behindDoc="0" locked="0" layoutInCell="1" allowOverlap="1">
                <wp:simplePos x="0" y="0"/>
                <wp:positionH relativeFrom="column">
                  <wp:posOffset>6586220</wp:posOffset>
                </wp:positionH>
                <wp:positionV relativeFrom="paragraph">
                  <wp:posOffset>2319655</wp:posOffset>
                </wp:positionV>
                <wp:extent cx="386715" cy="559435"/>
                <wp:effectExtent l="5080" t="5080" r="8255" b="6985"/>
                <wp:wrapNone/>
                <wp:docPr id="39" name="任意多边形 39"/>
                <wp:cNvGraphicFramePr/>
                <a:graphic xmlns:a="http://schemas.openxmlformats.org/drawingml/2006/main">
                  <a:graphicData uri="http://schemas.microsoft.com/office/word/2010/wordprocessingShape">
                    <wps:wsp>
                      <wps:cNvSpPr/>
                      <wps:spPr>
                        <a:xfrm>
                          <a:off x="7486015" y="3147695"/>
                          <a:ext cx="386715" cy="559435"/>
                        </a:xfrm>
                        <a:custGeom>
                          <a:avLst/>
                          <a:gdLst>
                            <a:gd name="connisteX0" fmla="*/ 0 w 386715"/>
                            <a:gd name="connsiteY0" fmla="*/ 24130 h 559435"/>
                            <a:gd name="connisteX1" fmla="*/ 5715 w 386715"/>
                            <a:gd name="connsiteY1" fmla="*/ 553085 h 559435"/>
                            <a:gd name="connisteX2" fmla="*/ 386715 w 386715"/>
                            <a:gd name="connsiteY2" fmla="*/ 559435 h 559435"/>
                            <a:gd name="connisteX3" fmla="*/ 381000 w 386715"/>
                            <a:gd name="connsiteY3" fmla="*/ 0 h 559435"/>
                            <a:gd name="connisteX4" fmla="*/ 0 w 386715"/>
                            <a:gd name="connsiteY4" fmla="*/ 24130 h 55943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386715" h="559435">
                              <a:moveTo>
                                <a:pt x="0" y="24130"/>
                              </a:moveTo>
                              <a:lnTo>
                                <a:pt x="5715" y="553085"/>
                              </a:lnTo>
                              <a:lnTo>
                                <a:pt x="386715" y="559435"/>
                              </a:lnTo>
                              <a:lnTo>
                                <a:pt x="381000" y="0"/>
                              </a:lnTo>
                              <a:lnTo>
                                <a:pt x="0" y="24130"/>
                              </a:lnTo>
                              <a:close/>
                            </a:path>
                          </a:pathLst>
                        </a:custGeom>
                        <a:solidFill>
                          <a:schemeClr val="accent3">
                            <a:alpha val="20000"/>
                          </a:schemeClr>
                        </a:solidFill>
                        <a:ln w="6350">
                          <a:solidFill>
                            <a:schemeClr val="accent3"/>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518.6pt;margin-top:182.65pt;height:44.05pt;width:30.45pt;z-index:251683840;mso-width-relative:page;mso-height-relative:page;" fillcolor="#F2BA02 [3206]" filled="t" stroked="t" coordsize="386715,559435" o:gfxdata="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K49UjLbAAAADQEAAA8AAAAAAAAA&#10;AQAgAAAAIgAAAGRycy9kb3ducmV2LnhtbFBLAQIUABQAAAAIAIdO4kDj+z3FKwMAAI8IAAAOAAAA&#10;AAAAAAEAIAAAACoBAABkcnMvZTJvRG9jLnhtbFBLBQYAAAAABgAGAFkBAADHBgAAAAA=&#10;" path="m0,24130l5715,553085,386715,559435,381000,0,0,24130xe">
                <v:path o:connectlocs="0,24130;5715,553085;386715,559435;381000,0;0,24130" o:connectangles="0,0,0,0,0"/>
                <v:fill on="t" opacity="13107f" focussize="0,0"/>
                <v:stroke weight="0.5pt" color="#F2BA02 [3206]" miterlimit="8" joinstyle="miter"/>
                <v:imagedata o:title=""/>
                <o:lock v:ext="edit" aspectratio="f"/>
              </v:shape>
            </w:pict>
          </mc:Fallback>
        </mc:AlternateContent>
      </w:r>
      <w:r>
        <w:rPr>
          <w:sz w:val="28"/>
        </w:rPr>
        <mc:AlternateContent>
          <mc:Choice Requires="wps">
            <w:drawing>
              <wp:anchor distT="0" distB="0" distL="114300" distR="114300" simplePos="0" relativeHeight="251682816" behindDoc="0" locked="0" layoutInCell="1" allowOverlap="1">
                <wp:simplePos x="0" y="0"/>
                <wp:positionH relativeFrom="column">
                  <wp:posOffset>4110355</wp:posOffset>
                </wp:positionH>
                <wp:positionV relativeFrom="paragraph">
                  <wp:posOffset>2772410</wp:posOffset>
                </wp:positionV>
                <wp:extent cx="886460" cy="1404620"/>
                <wp:effectExtent l="5080" t="0" r="22860" b="5080"/>
                <wp:wrapNone/>
                <wp:docPr id="38" name="任意多边形 38"/>
                <wp:cNvGraphicFramePr/>
                <a:graphic xmlns:a="http://schemas.openxmlformats.org/drawingml/2006/main">
                  <a:graphicData uri="http://schemas.microsoft.com/office/word/2010/wordprocessingShape">
                    <wps:wsp>
                      <wps:cNvSpPr/>
                      <wps:spPr>
                        <a:xfrm>
                          <a:off x="5010150" y="3600450"/>
                          <a:ext cx="886460" cy="1404620"/>
                        </a:xfrm>
                        <a:custGeom>
                          <a:avLst/>
                          <a:gdLst>
                            <a:gd name="connisteX0" fmla="*/ 23495 w 886460"/>
                            <a:gd name="connsiteY0" fmla="*/ 0 h 1404620"/>
                            <a:gd name="connisteX1" fmla="*/ 0 w 886460"/>
                            <a:gd name="connsiteY1" fmla="*/ 1303020 h 1404620"/>
                            <a:gd name="connisteX2" fmla="*/ 83185 w 886460"/>
                            <a:gd name="connsiteY2" fmla="*/ 1404620 h 1404620"/>
                            <a:gd name="connisteX3" fmla="*/ 624840 w 886460"/>
                            <a:gd name="connsiteY3" fmla="*/ 1404620 h 1404620"/>
                            <a:gd name="connisteX4" fmla="*/ 624840 w 886460"/>
                            <a:gd name="connsiteY4" fmla="*/ 445770 h 1404620"/>
                            <a:gd name="connisteX5" fmla="*/ 886460 w 886460"/>
                            <a:gd name="connsiteY5" fmla="*/ 433705 h 1404620"/>
                            <a:gd name="connisteX6" fmla="*/ 886460 w 886460"/>
                            <a:gd name="connsiteY6" fmla="*/ 17145 h 1404620"/>
                            <a:gd name="connisteX7" fmla="*/ 23495 w 886460"/>
                            <a:gd name="connsiteY7" fmla="*/ 41910 h 140462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886460" h="1404620">
                              <a:moveTo>
                                <a:pt x="23495" y="0"/>
                              </a:moveTo>
                              <a:lnTo>
                                <a:pt x="0" y="1303020"/>
                              </a:lnTo>
                              <a:lnTo>
                                <a:pt x="83185" y="1404620"/>
                              </a:lnTo>
                              <a:lnTo>
                                <a:pt x="624840" y="1404620"/>
                              </a:lnTo>
                              <a:lnTo>
                                <a:pt x="624840" y="445770"/>
                              </a:lnTo>
                              <a:lnTo>
                                <a:pt x="886460" y="433705"/>
                              </a:lnTo>
                              <a:lnTo>
                                <a:pt x="886460" y="17145"/>
                              </a:lnTo>
                              <a:lnTo>
                                <a:pt x="23495" y="41910"/>
                              </a:lnTo>
                            </a:path>
                          </a:pathLst>
                        </a:custGeom>
                        <a:solidFill>
                          <a:schemeClr val="accent3">
                            <a:alpha val="20000"/>
                          </a:schemeClr>
                        </a:solidFill>
                        <a:ln w="6350">
                          <a:solidFill>
                            <a:schemeClr val="accent3"/>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23.65pt;margin-top:218.3pt;height:110.6pt;width:69.8pt;z-index:251682816;mso-width-relative:page;mso-height-relative:page;" fillcolor="#F2BA02 [3206]" filled="t" stroked="t" coordsize="886460,1404620" o:gfxdata="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" path="m23495,0l0,1303020,83185,1404620,624840,1404620,624840,445770,886460,433705,886460,17145,23495,41910e">
                <v:path o:connectlocs="23495,0;0,1303020;83185,1404620;624840,1404620;624840,445770;886460,433705;886460,17145;23495,41910" o:connectangles="0,0,0,0,0,0,0,0"/>
                <v:fill on="t" opacity="13107f" focussize="0,0"/>
                <v:stroke weight="0.5pt" color="#F2BA02 [3206]" miterlimit="8" joinstyle="miter"/>
                <v:imagedata o:title=""/>
                <o:lock v:ext="edit" aspectratio="f"/>
              </v:shape>
            </w:pict>
          </mc:Fallback>
        </mc:AlternateContent>
      </w:r>
      <w:r>
        <w:rPr>
          <w:sz w:val="28"/>
        </w:rPr>
        <mc:AlternateContent>
          <mc:Choice Requires="wps">
            <w:drawing>
              <wp:anchor distT="0" distB="0" distL="114300" distR="114300" simplePos="0" relativeHeight="251681792" behindDoc="0" locked="0" layoutInCell="1" allowOverlap="1">
                <wp:simplePos x="0" y="0"/>
                <wp:positionH relativeFrom="column">
                  <wp:posOffset>1989455</wp:posOffset>
                </wp:positionH>
                <wp:positionV relativeFrom="paragraph">
                  <wp:posOffset>2558415</wp:posOffset>
                </wp:positionV>
                <wp:extent cx="1476375" cy="1030605"/>
                <wp:effectExtent l="5080" t="5080" r="4445" b="12065"/>
                <wp:wrapNone/>
                <wp:docPr id="37" name="任意多边形 37"/>
                <wp:cNvGraphicFramePr/>
                <a:graphic xmlns:a="http://schemas.openxmlformats.org/drawingml/2006/main">
                  <a:graphicData uri="http://schemas.microsoft.com/office/word/2010/wordprocessingShape">
                    <wps:wsp>
                      <wps:cNvSpPr/>
                      <wps:spPr>
                        <a:xfrm>
                          <a:off x="2889250" y="3386455"/>
                          <a:ext cx="1476375" cy="1030605"/>
                        </a:xfrm>
                        <a:custGeom>
                          <a:avLst/>
                          <a:gdLst>
                            <a:gd name="connisteX0" fmla="*/ 12065 w 1476375"/>
                            <a:gd name="connsiteY0" fmla="*/ 1030605 h 1030605"/>
                            <a:gd name="connisteX1" fmla="*/ 1464310 w 1476375"/>
                            <a:gd name="connsiteY1" fmla="*/ 1030605 h 1030605"/>
                            <a:gd name="connisteX2" fmla="*/ 1476375 w 1476375"/>
                            <a:gd name="connsiteY2" fmla="*/ 0 h 1030605"/>
                            <a:gd name="connisteX3" fmla="*/ 946785 w 1476375"/>
                            <a:gd name="connsiteY3" fmla="*/ 18415 h 1030605"/>
                            <a:gd name="connisteX4" fmla="*/ 946785 w 1476375"/>
                            <a:gd name="connsiteY4" fmla="*/ 387350 h 1030605"/>
                            <a:gd name="connisteX5" fmla="*/ 0 w 1476375"/>
                            <a:gd name="connsiteY5" fmla="*/ 381000 h 1030605"/>
                            <a:gd name="connisteX6" fmla="*/ 12065 w 1476375"/>
                            <a:gd name="connsiteY6" fmla="*/ 1030605 h 103060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1476375" h="1030605">
                              <a:moveTo>
                                <a:pt x="12065" y="1030605"/>
                              </a:moveTo>
                              <a:lnTo>
                                <a:pt x="1464310" y="1030605"/>
                              </a:lnTo>
                              <a:lnTo>
                                <a:pt x="1476375" y="0"/>
                              </a:lnTo>
                              <a:lnTo>
                                <a:pt x="946785" y="18415"/>
                              </a:lnTo>
                              <a:lnTo>
                                <a:pt x="946785" y="387350"/>
                              </a:lnTo>
                              <a:lnTo>
                                <a:pt x="0" y="381000"/>
                              </a:lnTo>
                              <a:lnTo>
                                <a:pt x="12065" y="1030605"/>
                              </a:lnTo>
                              <a:close/>
                            </a:path>
                          </a:pathLst>
                        </a:custGeom>
                        <a:solidFill>
                          <a:schemeClr val="accent3">
                            <a:alpha val="20000"/>
                          </a:schemeClr>
                        </a:solidFill>
                        <a:ln w="6350">
                          <a:solidFill>
                            <a:schemeClr val="accent3"/>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56.65pt;margin-top:201.45pt;height:81.15pt;width:116.25pt;z-index:251681792;mso-width-relative:page;mso-height-relative:page;" fillcolor="#F2BA02 [3206]" filled="t" stroked="t" coordsize="1476375,1030605" o:gfxdata="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" path="m12065,1030605l1464310,1030605,1476375,0,946785,18415,946785,387350,0,381000,12065,1030605xe">
                <v:path o:connectlocs="12065,1030605;1464310,1030605;1476375,0;946785,18415;946785,387350;0,381000;12065,1030605" o:connectangles="0,0,0,0,0,0,0"/>
                <v:fill on="t" opacity="13107f" focussize="0,0"/>
                <v:stroke weight="0.5pt" color="#F2BA02 [3206]" miterlimit="8" joinstyle="miter"/>
                <v:imagedata o:title=""/>
                <o:lock v:ext="edit" aspectratio="f"/>
              </v:shape>
            </w:pict>
          </mc:Fallback>
        </mc:AlternateContent>
      </w:r>
      <w:r>
        <w:rPr>
          <w:sz w:val="28"/>
        </w:rPr>
        <mc:AlternateContent>
          <mc:Choice Requires="wps">
            <w:drawing>
              <wp:anchor distT="0" distB="0" distL="114300" distR="114300" simplePos="0" relativeHeight="251680768" behindDoc="0" locked="0" layoutInCell="1" allowOverlap="1">
                <wp:simplePos x="0" y="0"/>
                <wp:positionH relativeFrom="column">
                  <wp:posOffset>3501390</wp:posOffset>
                </wp:positionH>
                <wp:positionV relativeFrom="paragraph">
                  <wp:posOffset>2564765</wp:posOffset>
                </wp:positionV>
                <wp:extent cx="375285" cy="1018540"/>
                <wp:effectExtent l="4445" t="5080" r="20320" b="5080"/>
                <wp:wrapNone/>
                <wp:docPr id="36" name="任意多边形 36"/>
                <wp:cNvGraphicFramePr/>
                <a:graphic xmlns:a="http://schemas.openxmlformats.org/drawingml/2006/main">
                  <a:graphicData uri="http://schemas.microsoft.com/office/word/2010/wordprocessingShape">
                    <wps:wsp>
                      <wps:cNvSpPr/>
                      <wps:spPr>
                        <a:xfrm>
                          <a:off x="4401185" y="3392805"/>
                          <a:ext cx="375285" cy="1018540"/>
                        </a:xfrm>
                        <a:custGeom>
                          <a:avLst/>
                          <a:gdLst>
                            <a:gd name="connisteX0" fmla="*/ 0 w 375285"/>
                            <a:gd name="connsiteY0" fmla="*/ 0 h 1018540"/>
                            <a:gd name="connisteX1" fmla="*/ 0 w 375285"/>
                            <a:gd name="connsiteY1" fmla="*/ 1018540 h 1018540"/>
                            <a:gd name="connisteX2" fmla="*/ 375285 w 375285"/>
                            <a:gd name="connsiteY2" fmla="*/ 1018540 h 1018540"/>
                            <a:gd name="connisteX3" fmla="*/ 357505 w 375285"/>
                            <a:gd name="connsiteY3" fmla="*/ 5715 h 1018540"/>
                            <a:gd name="connisteX4" fmla="*/ 0 w 375285"/>
                            <a:gd name="connsiteY4" fmla="*/ 0 h 101854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375285" h="1018540">
                              <a:moveTo>
                                <a:pt x="0" y="0"/>
                              </a:moveTo>
                              <a:lnTo>
                                <a:pt x="0" y="1018540"/>
                              </a:lnTo>
                              <a:lnTo>
                                <a:pt x="375285" y="1018540"/>
                              </a:lnTo>
                              <a:lnTo>
                                <a:pt x="357505" y="5715"/>
                              </a:lnTo>
                              <a:lnTo>
                                <a:pt x="0" y="0"/>
                              </a:lnTo>
                              <a:close/>
                            </a:path>
                          </a:pathLst>
                        </a:custGeom>
                        <a:solidFill>
                          <a:schemeClr val="accent3">
                            <a:alpha val="20000"/>
                          </a:schemeClr>
                        </a:solidFill>
                        <a:ln w="6350">
                          <a:solidFill>
                            <a:schemeClr val="accent3"/>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75.7pt;margin-top:201.95pt;height:80.2pt;width:29.55pt;z-index:251680768;mso-width-relative:page;mso-height-relative:page;" fillcolor="#F2BA02 [3206]" filled="t" stroked="t" coordsize="375285,1018540" o:gfxdata="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IAyj+3cAAAACwEAAA8AAAAAAAAAAQAgAAAAIgAAAGRycy9k&#10;b3ducmV2LnhtbFBLAQIUABQAAAAIAIdO4kBzecDYGwMAAIoIAAAOAAAAAAAAAAEAIAAAACsBAABk&#10;cnMvZTJvRG9jLnhtbFBLBQYAAAAABgAGAFkBAAC4BgAAAAA=&#10;" path="m0,0l0,1018540,375285,1018540,357505,5715,0,0xe">
                <v:path o:connectlocs="0,0;0,1018540;375285,1018540;357505,5715;0,0" o:connectangles="0,0,0,0,0"/>
                <v:fill on="t" opacity="13107f" focussize="0,0"/>
                <v:stroke weight="0.5pt" color="#F2BA02 [3206]" miterlimit="8" joinstyle="miter"/>
                <v:imagedata o:title=""/>
                <o:lock v:ext="edit" aspectratio="f"/>
              </v:shape>
            </w:pict>
          </mc:Fallback>
        </mc:AlternateContent>
      </w:r>
      <w:r>
        <w:rPr>
          <w:sz w:val="28"/>
        </w:rPr>
        <mc:AlternateContent>
          <mc:Choice Requires="wps">
            <w:drawing>
              <wp:anchor distT="0" distB="0" distL="114300" distR="114300" simplePos="0" relativeHeight="251679744" behindDoc="0" locked="0" layoutInCell="1" allowOverlap="1">
                <wp:simplePos x="0" y="0"/>
                <wp:positionH relativeFrom="column">
                  <wp:posOffset>2459990</wp:posOffset>
                </wp:positionH>
                <wp:positionV relativeFrom="paragraph">
                  <wp:posOffset>850265</wp:posOffset>
                </wp:positionV>
                <wp:extent cx="1434465" cy="1440815"/>
                <wp:effectExtent l="5080" t="9525" r="8255" b="16510"/>
                <wp:wrapNone/>
                <wp:docPr id="35" name="任意多边形 35"/>
                <wp:cNvGraphicFramePr/>
                <a:graphic xmlns:a="http://schemas.openxmlformats.org/drawingml/2006/main">
                  <a:graphicData uri="http://schemas.microsoft.com/office/word/2010/wordprocessingShape">
                    <wps:wsp>
                      <wps:cNvSpPr/>
                      <wps:spPr>
                        <a:xfrm>
                          <a:off x="3359785" y="1678305"/>
                          <a:ext cx="1434465" cy="1440815"/>
                        </a:xfrm>
                        <a:custGeom>
                          <a:avLst/>
                          <a:gdLst>
                            <a:gd name="connisteX0" fmla="*/ 1434465 w 1434465"/>
                            <a:gd name="connsiteY0" fmla="*/ 1440815 h 1440815"/>
                            <a:gd name="connisteX1" fmla="*/ 0 w 1434465"/>
                            <a:gd name="connsiteY1" fmla="*/ 1428750 h 1440815"/>
                            <a:gd name="connisteX2" fmla="*/ 29845 w 1434465"/>
                            <a:gd name="connsiteY2" fmla="*/ 714375 h 1440815"/>
                            <a:gd name="connisteX3" fmla="*/ 440055 w 1434465"/>
                            <a:gd name="connsiteY3" fmla="*/ 708025 h 1440815"/>
                            <a:gd name="connisteX4" fmla="*/ 446405 w 1434465"/>
                            <a:gd name="connsiteY4" fmla="*/ 405130 h 1440815"/>
                            <a:gd name="connisteX5" fmla="*/ 988060 w 1434465"/>
                            <a:gd name="connsiteY5" fmla="*/ 0 h 1440815"/>
                            <a:gd name="connisteX6" fmla="*/ 1011555 w 1434465"/>
                            <a:gd name="connsiteY6" fmla="*/ 850900 h 1440815"/>
                            <a:gd name="connisteX7" fmla="*/ 1428750 w 1434465"/>
                            <a:gd name="connsiteY7" fmla="*/ 993775 h 1440815"/>
                            <a:gd name="connisteX8" fmla="*/ 1434465 w 1434465"/>
                            <a:gd name="connsiteY8" fmla="*/ 1440815 h 144081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Lst>
                          <a:rect l="l" t="t" r="r" b="b"/>
                          <a:pathLst>
                            <a:path w="1434465" h="1440815">
                              <a:moveTo>
                                <a:pt x="1434465" y="1440815"/>
                              </a:moveTo>
                              <a:lnTo>
                                <a:pt x="0" y="1428750"/>
                              </a:lnTo>
                              <a:lnTo>
                                <a:pt x="29845" y="714375"/>
                              </a:lnTo>
                              <a:lnTo>
                                <a:pt x="440055" y="708025"/>
                              </a:lnTo>
                              <a:lnTo>
                                <a:pt x="446405" y="405130"/>
                              </a:lnTo>
                              <a:lnTo>
                                <a:pt x="988060" y="0"/>
                              </a:lnTo>
                              <a:lnTo>
                                <a:pt x="1011555" y="850900"/>
                              </a:lnTo>
                              <a:lnTo>
                                <a:pt x="1428750" y="993775"/>
                              </a:lnTo>
                              <a:lnTo>
                                <a:pt x="1434465" y="1440815"/>
                              </a:lnTo>
                              <a:close/>
                            </a:path>
                          </a:pathLst>
                        </a:custGeom>
                        <a:solidFill>
                          <a:schemeClr val="accent3">
                            <a:alpha val="20000"/>
                          </a:schemeClr>
                        </a:solidFill>
                        <a:ln w="6350">
                          <a:solidFill>
                            <a:schemeClr val="accent3"/>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93.7pt;margin-top:66.95pt;height:113.45pt;width:112.95pt;z-index:251679744;mso-width-relative:page;mso-height-relative:page;" fillcolor="#F2BA02 [3206]" filled="t" stroked="t" coordsize="1434465,1440815" o:gfxdata="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" path="m1434465,1440815l0,1428750,29845,714375,440055,708025,446405,405130,988060,0,1011555,850900,1428750,993775,1434465,1440815xe">
                <v:path o:connectlocs="1434465,1440815;0,1428750;29845,714375;440055,708025;446405,405130;988060,0;1011555,850900;1428750,993775;1434465,1440815" o:connectangles="0,0,0,0,0,0,0,0,0"/>
                <v:fill on="t" opacity="13107f" focussize="0,0"/>
                <v:stroke weight="0.5pt" color="#F2BA02 [3206]" miterlimit="8" joinstyle="miter"/>
                <v:imagedata o:title=""/>
                <o:lock v:ext="edit" aspectratio="f"/>
              </v:shape>
            </w:pict>
          </mc:Fallback>
        </mc:AlternateContent>
      </w:r>
      <w:r>
        <w:rPr>
          <w:sz w:val="28"/>
        </w:rPr>
        <mc:AlternateContent>
          <mc:Choice Requires="wps">
            <w:drawing>
              <wp:anchor distT="0" distB="0" distL="114300" distR="114300" simplePos="0" relativeHeight="251678720" behindDoc="0" locked="0" layoutInCell="1" allowOverlap="1">
                <wp:simplePos x="0" y="0"/>
                <wp:positionH relativeFrom="column">
                  <wp:posOffset>4108450</wp:posOffset>
                </wp:positionH>
                <wp:positionV relativeFrom="paragraph">
                  <wp:posOffset>760730</wp:posOffset>
                </wp:positionV>
                <wp:extent cx="995045" cy="635000"/>
                <wp:effectExtent l="4445" t="6350" r="10160" b="6350"/>
                <wp:wrapNone/>
                <wp:docPr id="33" name="任意多边形 33"/>
                <wp:cNvGraphicFramePr/>
                <a:graphic xmlns:a="http://schemas.openxmlformats.org/drawingml/2006/main">
                  <a:graphicData uri="http://schemas.microsoft.com/office/word/2010/wordprocessingShape">
                    <wps:wsp>
                      <wps:cNvSpPr/>
                      <wps:spPr>
                        <a:xfrm>
                          <a:off x="5008245" y="1588770"/>
                          <a:ext cx="995045" cy="635000"/>
                        </a:xfrm>
                        <a:custGeom>
                          <a:avLst/>
                          <a:gdLst>
                            <a:gd name="connisteX0" fmla="*/ 995045 w 995045"/>
                            <a:gd name="connsiteY0" fmla="*/ 635000 h 635000"/>
                            <a:gd name="connisteX1" fmla="*/ 0 w 995045"/>
                            <a:gd name="connsiteY1" fmla="*/ 592455 h 635000"/>
                            <a:gd name="connisteX2" fmla="*/ 0 w 995045"/>
                            <a:gd name="connsiteY2" fmla="*/ 0 h 635000"/>
                            <a:gd name="connisteX3" fmla="*/ 401955 w 995045"/>
                            <a:gd name="connsiteY3" fmla="*/ 100330 h 635000"/>
                            <a:gd name="connisteX4" fmla="*/ 428625 w 995045"/>
                            <a:gd name="connsiteY4" fmla="*/ 370840 h 635000"/>
                            <a:gd name="connisteX5" fmla="*/ 979170 w 995045"/>
                            <a:gd name="connsiteY5" fmla="*/ 370840 h 635000"/>
                            <a:gd name="connisteX6" fmla="*/ 995045 w 995045"/>
                            <a:gd name="connsiteY6" fmla="*/ 635000 h 6350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995045" h="635000">
                              <a:moveTo>
                                <a:pt x="995045" y="635000"/>
                              </a:moveTo>
                              <a:lnTo>
                                <a:pt x="0" y="592455"/>
                              </a:lnTo>
                              <a:lnTo>
                                <a:pt x="0" y="0"/>
                              </a:lnTo>
                              <a:lnTo>
                                <a:pt x="401955" y="100330"/>
                              </a:lnTo>
                              <a:lnTo>
                                <a:pt x="428625" y="370840"/>
                              </a:lnTo>
                              <a:lnTo>
                                <a:pt x="979170" y="370840"/>
                              </a:lnTo>
                              <a:lnTo>
                                <a:pt x="995045" y="635000"/>
                              </a:lnTo>
                              <a:close/>
                            </a:path>
                          </a:pathLst>
                        </a:custGeom>
                        <a:solidFill>
                          <a:schemeClr val="accent3">
                            <a:alpha val="20000"/>
                          </a:schemeClr>
                        </a:solidFill>
                        <a:ln w="6350">
                          <a:solidFill>
                            <a:schemeClr val="accent3"/>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23.5pt;margin-top:59.9pt;height:50pt;width:78.35pt;z-index:251678720;mso-width-relative:page;mso-height-relative:page;" fillcolor="#F2BA02 [3206]" filled="t" stroked="t" coordsize="995045,635000" o:gfxdata="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" path="m995045,635000l0,592455,0,0,401955,100330,428625,370840,979170,370840,995045,635000xe">
                <v:path o:connectlocs="995045,635000;0,592455;0,0;401955,100330;428625,370840;979170,370840;995045,635000" o:connectangles="0,0,0,0,0,0,0"/>
                <v:fill on="t" opacity="13107f" focussize="0,0"/>
                <v:stroke weight="0.5pt" color="#F2BA02 [3206]" miterlimit="8" joinstyle="miter"/>
                <v:imagedata o:title=""/>
                <o:lock v:ext="edit" aspectratio="f"/>
              </v:shape>
            </w:pict>
          </mc:Fallback>
        </mc:AlternateContent>
      </w:r>
      <w:r>
        <w:rPr>
          <w:sz w:val="28"/>
        </w:rPr>
        <mc:AlternateContent>
          <mc:Choice Requires="wps">
            <w:drawing>
              <wp:anchor distT="0" distB="0" distL="114300" distR="114300" simplePos="0" relativeHeight="251677696" behindDoc="0" locked="0" layoutInCell="1" allowOverlap="1">
                <wp:simplePos x="0" y="0"/>
                <wp:positionH relativeFrom="column">
                  <wp:posOffset>5071745</wp:posOffset>
                </wp:positionH>
                <wp:positionV relativeFrom="paragraph">
                  <wp:posOffset>2315845</wp:posOffset>
                </wp:positionV>
                <wp:extent cx="846455" cy="920750"/>
                <wp:effectExtent l="5080" t="5080" r="5715" b="7620"/>
                <wp:wrapNone/>
                <wp:docPr id="32" name="任意多边形 32"/>
                <wp:cNvGraphicFramePr/>
                <a:graphic xmlns:a="http://schemas.openxmlformats.org/drawingml/2006/main">
                  <a:graphicData uri="http://schemas.microsoft.com/office/word/2010/wordprocessingShape">
                    <wps:wsp>
                      <wps:cNvSpPr/>
                      <wps:spPr>
                        <a:xfrm>
                          <a:off x="5971540" y="3143885"/>
                          <a:ext cx="846455" cy="920750"/>
                        </a:xfrm>
                        <a:custGeom>
                          <a:avLst/>
                          <a:gdLst>
                            <a:gd name="connisteX0" fmla="*/ 10160 w 846455"/>
                            <a:gd name="connsiteY0" fmla="*/ 920750 h 920750"/>
                            <a:gd name="connisteX1" fmla="*/ 819785 w 846455"/>
                            <a:gd name="connsiteY1" fmla="*/ 899160 h 920750"/>
                            <a:gd name="connisteX2" fmla="*/ 846455 w 846455"/>
                            <a:gd name="connsiteY2" fmla="*/ 0 h 920750"/>
                            <a:gd name="connisteX3" fmla="*/ 460375 w 846455"/>
                            <a:gd name="connsiteY3" fmla="*/ 5715 h 920750"/>
                            <a:gd name="connisteX4" fmla="*/ 476250 w 846455"/>
                            <a:gd name="connsiteY4" fmla="*/ 365125 h 920750"/>
                            <a:gd name="connisteX5" fmla="*/ 0 w 846455"/>
                            <a:gd name="connsiteY5" fmla="*/ 354965 h 920750"/>
                            <a:gd name="connisteX6" fmla="*/ 10160 w 846455"/>
                            <a:gd name="connsiteY6" fmla="*/ 920750 h 9207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846455" h="920750">
                              <a:moveTo>
                                <a:pt x="10160" y="920750"/>
                              </a:moveTo>
                              <a:lnTo>
                                <a:pt x="819785" y="899160"/>
                              </a:lnTo>
                              <a:lnTo>
                                <a:pt x="846455" y="0"/>
                              </a:lnTo>
                              <a:lnTo>
                                <a:pt x="460375" y="5715"/>
                              </a:lnTo>
                              <a:lnTo>
                                <a:pt x="476250" y="365125"/>
                              </a:lnTo>
                              <a:lnTo>
                                <a:pt x="0" y="354965"/>
                              </a:lnTo>
                              <a:lnTo>
                                <a:pt x="10160" y="920750"/>
                              </a:lnTo>
                              <a:close/>
                            </a:path>
                          </a:pathLst>
                        </a:custGeom>
                        <a:solidFill>
                          <a:schemeClr val="accent3">
                            <a:alpha val="20000"/>
                          </a:schemeClr>
                        </a:solidFill>
                        <a:ln w="6350">
                          <a:solidFill>
                            <a:schemeClr val="accent3"/>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99.35pt;margin-top:182.35pt;height:72.5pt;width:66.65pt;z-index:251677696;mso-width-relative:page;mso-height-relative:page;" fillcolor="#F2BA02 [3206]" filled="t" stroked="t" coordsize="846455,920750" o:gfxdata="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" path="m10160,920750l819785,899160,846455,0,460375,5715,476250,365125,0,354965,10160,920750xe">
                <v:path o:connectlocs="10160,920750;819785,899160;846455,0;460375,5715;476250,365125;0,354965;10160,920750" o:connectangles="0,0,0,0,0,0,0"/>
                <v:fill on="t" opacity="13107f" focussize="0,0"/>
                <v:stroke weight="0.5pt" color="#F2BA02 [3206]" miterlimit="8" joinstyle="miter"/>
                <v:imagedata o:title=""/>
                <o:lock v:ext="edit" aspectratio="f"/>
              </v:shape>
            </w:pict>
          </mc:Fallback>
        </mc:AlternateContent>
      </w:r>
      <w:r>
        <w:rPr>
          <w:sz w:val="28"/>
        </w:rPr>
        <mc:AlternateContent>
          <mc:Choice Requires="wps">
            <w:drawing>
              <wp:anchor distT="0" distB="0" distL="114300" distR="114300" simplePos="0" relativeHeight="251676672" behindDoc="0" locked="0" layoutInCell="1" allowOverlap="1">
                <wp:simplePos x="0" y="0"/>
                <wp:positionH relativeFrom="column">
                  <wp:posOffset>4140200</wp:posOffset>
                </wp:positionH>
                <wp:positionV relativeFrom="paragraph">
                  <wp:posOffset>2030730</wp:posOffset>
                </wp:positionV>
                <wp:extent cx="857250" cy="714375"/>
                <wp:effectExtent l="5080" t="5080" r="13970" b="4445"/>
                <wp:wrapNone/>
                <wp:docPr id="31" name="任意多边形 31"/>
                <wp:cNvGraphicFramePr/>
                <a:graphic xmlns:a="http://schemas.openxmlformats.org/drawingml/2006/main">
                  <a:graphicData uri="http://schemas.microsoft.com/office/word/2010/wordprocessingShape">
                    <wps:wsp>
                      <wps:cNvSpPr/>
                      <wps:spPr>
                        <a:xfrm>
                          <a:off x="5039995" y="2858770"/>
                          <a:ext cx="857250" cy="714375"/>
                        </a:xfrm>
                        <a:custGeom>
                          <a:avLst/>
                          <a:gdLst>
                            <a:gd name="connisteX0" fmla="*/ 857250 w 857250"/>
                            <a:gd name="connsiteY0" fmla="*/ 5080 h 714375"/>
                            <a:gd name="connisteX1" fmla="*/ 0 w 857250"/>
                            <a:gd name="connsiteY1" fmla="*/ 0 h 714375"/>
                            <a:gd name="connisteX2" fmla="*/ 5080 w 857250"/>
                            <a:gd name="connsiteY2" fmla="*/ 698500 h 714375"/>
                            <a:gd name="connisteX3" fmla="*/ 830580 w 857250"/>
                            <a:gd name="connsiteY3" fmla="*/ 714375 h 714375"/>
                            <a:gd name="connisteX4" fmla="*/ 857250 w 857250"/>
                            <a:gd name="connsiteY4" fmla="*/ 5080 h 71437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857250" h="714375">
                              <a:moveTo>
                                <a:pt x="857250" y="5080"/>
                              </a:moveTo>
                              <a:lnTo>
                                <a:pt x="0" y="0"/>
                              </a:lnTo>
                              <a:lnTo>
                                <a:pt x="5080" y="698500"/>
                              </a:lnTo>
                              <a:lnTo>
                                <a:pt x="830580" y="714375"/>
                              </a:lnTo>
                              <a:lnTo>
                                <a:pt x="857250" y="5080"/>
                              </a:lnTo>
                              <a:close/>
                            </a:path>
                          </a:pathLst>
                        </a:custGeom>
                        <a:solidFill>
                          <a:schemeClr val="accent3">
                            <a:alpha val="20000"/>
                          </a:schemeClr>
                        </a:solidFill>
                        <a:ln w="6350">
                          <a:solidFill>
                            <a:schemeClr val="accent3"/>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26pt;margin-top:159.9pt;height:56.25pt;width:67.5pt;z-index:251676672;mso-width-relative:page;mso-height-relative:page;" fillcolor="#F2BA02 [3206]" filled="t" stroked="t" coordsize="857250,714375" o:gfxdata="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" path="m857250,5080l0,0,5080,698500,830580,714375,857250,5080xe">
                <v:path o:connectlocs="857250,5080;0,0;5080,698500;830580,714375;857250,5080" o:connectangles="0,0,0,0,0"/>
                <v:fill on="t" opacity="13107f" focussize="0,0"/>
                <v:stroke weight="0.5pt" color="#F2BA02 [3206]" miterlimit="8" joinstyle="miter"/>
                <v:imagedata o:title=""/>
                <o:lock v:ext="edit" aspectratio="f"/>
              </v:shape>
            </w:pict>
          </mc:Fallback>
        </mc:AlternateContent>
      </w:r>
      <w:r>
        <w:rPr>
          <w:sz w:val="28"/>
        </w:rPr>
        <mc:AlternateContent>
          <mc:Choice Requires="wps">
            <w:drawing>
              <wp:anchor distT="0" distB="0" distL="114300" distR="114300" simplePos="0" relativeHeight="251675648" behindDoc="0" locked="0" layoutInCell="1" allowOverlap="1">
                <wp:simplePos x="0" y="0"/>
                <wp:positionH relativeFrom="column">
                  <wp:posOffset>4087495</wp:posOffset>
                </wp:positionH>
                <wp:positionV relativeFrom="paragraph">
                  <wp:posOffset>109855</wp:posOffset>
                </wp:positionV>
                <wp:extent cx="1438910" cy="1010285"/>
                <wp:effectExtent l="5715" t="5080" r="22225" b="13335"/>
                <wp:wrapNone/>
                <wp:docPr id="30" name="任意多边形 30"/>
                <wp:cNvGraphicFramePr/>
                <a:graphic xmlns:a="http://schemas.openxmlformats.org/drawingml/2006/main">
                  <a:graphicData uri="http://schemas.microsoft.com/office/word/2010/wordprocessingShape">
                    <wps:wsp>
                      <wps:cNvSpPr/>
                      <wps:spPr>
                        <a:xfrm>
                          <a:off x="4987290" y="937895"/>
                          <a:ext cx="1438910" cy="1010285"/>
                        </a:xfrm>
                        <a:custGeom>
                          <a:avLst/>
                          <a:gdLst>
                            <a:gd name="connisteX0" fmla="*/ 0 w 1438910"/>
                            <a:gd name="connsiteY0" fmla="*/ 577215 h 1010285"/>
                            <a:gd name="connisteX1" fmla="*/ 438785 w 1438910"/>
                            <a:gd name="connsiteY1" fmla="*/ 682625 h 1010285"/>
                            <a:gd name="connisteX2" fmla="*/ 433705 w 1438910"/>
                            <a:gd name="connsiteY2" fmla="*/ 867410 h 1010285"/>
                            <a:gd name="connisteX3" fmla="*/ 497205 w 1438910"/>
                            <a:gd name="connsiteY3" fmla="*/ 1010285 h 1010285"/>
                            <a:gd name="connisteX4" fmla="*/ 984250 w 1438910"/>
                            <a:gd name="connsiteY4" fmla="*/ 989965 h 1010285"/>
                            <a:gd name="connisteX5" fmla="*/ 1438910 w 1438910"/>
                            <a:gd name="connsiteY5" fmla="*/ 942340 h 1010285"/>
                            <a:gd name="connisteX6" fmla="*/ 1275080 w 1438910"/>
                            <a:gd name="connsiteY6" fmla="*/ 5715 h 1010285"/>
                            <a:gd name="connisteX7" fmla="*/ 1005205 w 1438910"/>
                            <a:gd name="connsiteY7" fmla="*/ 0 h 1010285"/>
                            <a:gd name="connisteX8" fmla="*/ 930910 w 1438910"/>
                            <a:gd name="connsiteY8" fmla="*/ 243840 h 1010285"/>
                            <a:gd name="connisteX9" fmla="*/ 581660 w 1438910"/>
                            <a:gd name="connsiteY9" fmla="*/ 184785 h 1010285"/>
                            <a:gd name="connisteX10" fmla="*/ 518160 w 1438910"/>
                            <a:gd name="connsiteY10" fmla="*/ 492125 h 1010285"/>
                            <a:gd name="connisteX11" fmla="*/ 41910 w 1438910"/>
                            <a:gd name="connsiteY11" fmla="*/ 412750 h 1010285"/>
                            <a:gd name="connisteX12" fmla="*/ 0 w 1438910"/>
                            <a:gd name="connsiteY12" fmla="*/ 577215 h 101028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Lst>
                          <a:rect l="l" t="t" r="r" b="b"/>
                          <a:pathLst>
                            <a:path w="1438910" h="1010285">
                              <a:moveTo>
                                <a:pt x="0" y="577215"/>
                              </a:moveTo>
                              <a:lnTo>
                                <a:pt x="438785" y="682625"/>
                              </a:lnTo>
                              <a:lnTo>
                                <a:pt x="433705" y="867410"/>
                              </a:lnTo>
                              <a:lnTo>
                                <a:pt x="497205" y="1010285"/>
                              </a:lnTo>
                              <a:lnTo>
                                <a:pt x="984250" y="989965"/>
                              </a:lnTo>
                              <a:lnTo>
                                <a:pt x="1438910" y="942340"/>
                              </a:lnTo>
                              <a:lnTo>
                                <a:pt x="1275080" y="5715"/>
                              </a:lnTo>
                              <a:lnTo>
                                <a:pt x="1005205" y="0"/>
                              </a:lnTo>
                              <a:lnTo>
                                <a:pt x="930910" y="243840"/>
                              </a:lnTo>
                              <a:lnTo>
                                <a:pt x="581660" y="184785"/>
                              </a:lnTo>
                              <a:lnTo>
                                <a:pt x="518160" y="492125"/>
                              </a:lnTo>
                              <a:lnTo>
                                <a:pt x="41910" y="412750"/>
                              </a:lnTo>
                              <a:lnTo>
                                <a:pt x="0" y="577215"/>
                              </a:lnTo>
                              <a:close/>
                            </a:path>
                          </a:pathLst>
                        </a:custGeom>
                        <a:solidFill>
                          <a:schemeClr val="accent3">
                            <a:alpha val="20000"/>
                          </a:schemeClr>
                        </a:solidFill>
                        <a:ln w="6350">
                          <a:solidFill>
                            <a:schemeClr val="accent3"/>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21.85pt;margin-top:8.65pt;height:79.55pt;width:113.3pt;z-index:251675648;mso-width-relative:page;mso-height-relative:page;" fillcolor="#F2BA02 [3206]" filled="t" stroked="t" coordsize="1438910,1010285" o:gfxdata="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" path="m0,577215l438785,682625,433705,867410,497205,1010285,984250,989965,1438910,942340,1275080,5715,1005205,0,930910,243840,581660,184785,518160,492125,41910,412750,0,577215xe">
                <v:path o:connectlocs="0,577215;438785,682625;433705,867410;497205,1010285;984250,989965;1438910,942340;1275080,5715;1005205,0;930910,243840;581660,184785;518160,492125;41910,412750;0,577215" o:connectangles="0,0,0,0,0,0,0,0,0,0,0,0,0"/>
                <v:fill on="t" opacity="13107f" focussize="0,0"/>
                <v:stroke weight="0.5pt" color="#F2BA02 [3206]" miterlimit="8" joinstyle="miter"/>
                <v:imagedata o:title=""/>
                <o:lock v:ext="edit" aspectratio="f"/>
              </v:shape>
            </w:pict>
          </mc:Fallback>
        </mc:AlternateContent>
      </w:r>
      <w:r>
        <w:rPr>
          <w:sz w:val="28"/>
        </w:rPr>
        <mc:AlternateContent>
          <mc:Choice Requires="wps">
            <w:drawing>
              <wp:anchor distT="0" distB="0" distL="114300" distR="114300" simplePos="0" relativeHeight="251674624" behindDoc="0" locked="0" layoutInCell="1" allowOverlap="1">
                <wp:simplePos x="0" y="0"/>
                <wp:positionH relativeFrom="column">
                  <wp:posOffset>5158105</wp:posOffset>
                </wp:positionH>
                <wp:positionV relativeFrom="paragraph">
                  <wp:posOffset>1307465</wp:posOffset>
                </wp:positionV>
                <wp:extent cx="965200" cy="361950"/>
                <wp:effectExtent l="5080" t="5080" r="20320" b="13970"/>
                <wp:wrapNone/>
                <wp:docPr id="29" name="任意多边形 29"/>
                <wp:cNvGraphicFramePr/>
                <a:graphic xmlns:a="http://schemas.openxmlformats.org/drawingml/2006/main">
                  <a:graphicData uri="http://schemas.microsoft.com/office/word/2010/wordprocessingShape">
                    <wps:wsp>
                      <wps:cNvSpPr/>
                      <wps:spPr>
                        <a:xfrm>
                          <a:off x="6057900" y="2135505"/>
                          <a:ext cx="965200" cy="361950"/>
                        </a:xfrm>
                        <a:custGeom>
                          <a:avLst/>
                          <a:gdLst>
                            <a:gd name="connisteX0" fmla="*/ 25400 w 965200"/>
                            <a:gd name="connsiteY0" fmla="*/ 44450 h 361950"/>
                            <a:gd name="connisteX1" fmla="*/ 0 w 965200"/>
                            <a:gd name="connsiteY1" fmla="*/ 361950 h 361950"/>
                            <a:gd name="connisteX2" fmla="*/ 958850 w 965200"/>
                            <a:gd name="connsiteY2" fmla="*/ 361950 h 361950"/>
                            <a:gd name="connisteX3" fmla="*/ 965200 w 965200"/>
                            <a:gd name="connsiteY3" fmla="*/ 0 h 361950"/>
                            <a:gd name="connisteX4" fmla="*/ 25400 w 965200"/>
                            <a:gd name="connsiteY4" fmla="*/ 44450 h 36195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965200" h="361950">
                              <a:moveTo>
                                <a:pt x="25400" y="44450"/>
                              </a:moveTo>
                              <a:lnTo>
                                <a:pt x="0" y="361950"/>
                              </a:lnTo>
                              <a:lnTo>
                                <a:pt x="958850" y="361950"/>
                              </a:lnTo>
                              <a:lnTo>
                                <a:pt x="965200" y="0"/>
                              </a:lnTo>
                              <a:lnTo>
                                <a:pt x="25400" y="44450"/>
                              </a:lnTo>
                              <a:close/>
                            </a:path>
                          </a:pathLst>
                        </a:custGeom>
                        <a:solidFill>
                          <a:schemeClr val="accent3">
                            <a:alpha val="20000"/>
                          </a:schemeClr>
                        </a:solidFill>
                        <a:ln w="6350">
                          <a:solidFill>
                            <a:schemeClr val="accent3"/>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406.15pt;margin-top:102.95pt;height:28.5pt;width:76pt;z-index:251674624;mso-width-relative:page;mso-height-relative:page;" fillcolor="#F2BA02 [3206]" filled="t" stroked="t" coordsize="965200,361950" o:gfxdata="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CYf69q2wAAAAsBAAAPAAAAAAAAAAEAIAAA&#10;ACIAAABkcnMvZG93bnJldi54bWxQSwECFAAUAAAACACHTuJAPl/hniYDAACZCAAADgAAAAAAAAAB&#10;ACAAAAAqAQAAZHJzL2Uyb0RvYy54bWxQSwUGAAAAAAYABgBZAQAAwgYAAAAA&#10;" path="m25400,44450l0,361950,958850,361950,965200,0,25400,44450xe">
                <v:path o:connectlocs="25400,44450;0,361950;958850,361950;965200,0;25400,44450" o:connectangles="0,0,0,0,0"/>
                <v:fill on="t" opacity="13107f" focussize="0,0"/>
                <v:stroke weight="0.5pt" color="#F2BA02 [3206]" miterlimit="8" joinstyle="miter"/>
                <v:imagedata o:title=""/>
                <o:lock v:ext="edit" aspectratio="f"/>
              </v:shape>
            </w:pict>
          </mc:Fallback>
        </mc:AlternateContent>
      </w:r>
      <w:r>
        <w:rPr>
          <w:rFonts w:hint="eastAsia" w:ascii="Times New Roman" w:hAnsi="Times New Roman" w:eastAsia="宋体"/>
          <w:b/>
          <w:sz w:val="28"/>
          <w:szCs w:val="28"/>
          <w:highlight w:val="none"/>
        </w:rPr>
        <w:drawing>
          <wp:anchor distT="0" distB="0" distL="114300" distR="114300" simplePos="0" relativeHeight="251673600" behindDoc="0" locked="0" layoutInCell="1" allowOverlap="1">
            <wp:simplePos x="0" y="0"/>
            <wp:positionH relativeFrom="column">
              <wp:posOffset>8275955</wp:posOffset>
            </wp:positionH>
            <wp:positionV relativeFrom="paragraph">
              <wp:posOffset>83185</wp:posOffset>
            </wp:positionV>
            <wp:extent cx="586105" cy="647700"/>
            <wp:effectExtent l="0" t="0" r="4445" b="0"/>
            <wp:wrapNone/>
            <wp:docPr id="28" name="图片 4" descr="微信截图_2021071616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微信截图_20210716163614"/>
                    <pic:cNvPicPr>
                      <a:picLocks noChangeAspect="1"/>
                    </pic:cNvPicPr>
                  </pic:nvPicPr>
                  <pic:blipFill>
                    <a:blip r:embed="rId21"/>
                    <a:stretch>
                      <a:fillRect/>
                    </a:stretch>
                  </pic:blipFill>
                  <pic:spPr>
                    <a:xfrm>
                      <a:off x="0" y="0"/>
                      <a:ext cx="586105" cy="647700"/>
                    </a:xfrm>
                    <a:prstGeom prst="rect">
                      <a:avLst/>
                    </a:prstGeom>
                    <a:noFill/>
                    <a:ln>
                      <a:noFill/>
                    </a:ln>
                  </pic:spPr>
                </pic:pic>
              </a:graphicData>
            </a:graphic>
          </wp:anchor>
        </w:drawing>
      </w:r>
      <w:r>
        <w:rPr>
          <w:rFonts w:hint="eastAsia"/>
          <w:b/>
          <w:bCs/>
          <w:lang w:val="en-US" w:eastAsia="zh-CN"/>
        </w:rPr>
        <w:drawing>
          <wp:inline distT="0" distB="0" distL="114300" distR="114300">
            <wp:extent cx="8877300" cy="5406390"/>
            <wp:effectExtent l="0" t="0" r="0" b="3810"/>
            <wp:docPr id="27" name="图片 27" descr="周边关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周边关系"/>
                    <pic:cNvPicPr>
                      <a:picLocks noChangeAspect="1"/>
                    </pic:cNvPicPr>
                  </pic:nvPicPr>
                  <pic:blipFill>
                    <a:blip r:embed="rId23"/>
                    <a:srcRect l="5985"/>
                    <a:stretch>
                      <a:fillRect/>
                    </a:stretch>
                  </pic:blipFill>
                  <pic:spPr>
                    <a:xfrm>
                      <a:off x="0" y="0"/>
                      <a:ext cx="8877300" cy="5406390"/>
                    </a:xfrm>
                    <a:prstGeom prst="rect">
                      <a:avLst/>
                    </a:prstGeom>
                  </pic:spPr>
                </pic:pic>
              </a:graphicData>
            </a:graphic>
          </wp:inline>
        </w:drawing>
      </w:r>
    </w:p>
    <w:p w14:paraId="14F94E7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val="en-US" w:eastAsia="zh-CN"/>
        </w:rPr>
        <w:sectPr>
          <w:pgSz w:w="16838" w:h="11906" w:orient="landscape"/>
          <w:pgMar w:top="1304" w:right="1417" w:bottom="1304"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b/>
          <w:bCs/>
          <w:lang w:val="en-US" w:eastAsia="zh-CN"/>
        </w:rPr>
        <w:t>附图2 项目周边关系图</w:t>
      </w:r>
    </w:p>
    <w:p w14:paraId="6A6C2A8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val="en-US" w:eastAsia="zh-CN"/>
        </w:rPr>
      </w:pPr>
      <w:r>
        <w:rPr>
          <w:rFonts w:hint="eastAsia" w:ascii="Times New Roman" w:hAnsi="Times New Roman" w:eastAsia="宋体"/>
          <w:b/>
          <w:sz w:val="28"/>
          <w:szCs w:val="28"/>
          <w:highlight w:val="none"/>
        </w:rPr>
        <w:drawing>
          <wp:anchor distT="0" distB="0" distL="114300" distR="114300" simplePos="0" relativeHeight="251701248" behindDoc="0" locked="0" layoutInCell="1" allowOverlap="1">
            <wp:simplePos x="0" y="0"/>
            <wp:positionH relativeFrom="column">
              <wp:posOffset>6894830</wp:posOffset>
            </wp:positionH>
            <wp:positionV relativeFrom="paragraph">
              <wp:posOffset>-46355</wp:posOffset>
            </wp:positionV>
            <wp:extent cx="586105" cy="647700"/>
            <wp:effectExtent l="0" t="0" r="4445" b="0"/>
            <wp:wrapNone/>
            <wp:docPr id="57" name="图片 4" descr="微信截图_2021071616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descr="微信截图_20210716163614"/>
                    <pic:cNvPicPr>
                      <a:picLocks noChangeAspect="1"/>
                    </pic:cNvPicPr>
                  </pic:nvPicPr>
                  <pic:blipFill>
                    <a:blip r:embed="rId21"/>
                    <a:stretch>
                      <a:fillRect/>
                    </a:stretch>
                  </pic:blipFill>
                  <pic:spPr>
                    <a:xfrm>
                      <a:off x="0" y="0"/>
                      <a:ext cx="586105" cy="647700"/>
                    </a:xfrm>
                    <a:prstGeom prst="rect">
                      <a:avLst/>
                    </a:prstGeom>
                    <a:noFill/>
                    <a:ln>
                      <a:noFill/>
                    </a:ln>
                  </pic:spPr>
                </pic:pic>
              </a:graphicData>
            </a:graphic>
          </wp:anchor>
        </w:drawing>
      </w:r>
      <w:r>
        <w:drawing>
          <wp:inline distT="0" distB="0" distL="114300" distR="114300">
            <wp:extent cx="6355080" cy="5197475"/>
            <wp:effectExtent l="0" t="0" r="0" b="0"/>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pic:cNvPicPr>
                      <a:picLocks noChangeAspect="1"/>
                    </pic:cNvPicPr>
                  </pic:nvPicPr>
                  <pic:blipFill>
                    <a:blip r:embed="rId24"/>
                    <a:srcRect t="4640" b="7245"/>
                    <a:stretch>
                      <a:fillRect/>
                    </a:stretch>
                  </pic:blipFill>
                  <pic:spPr>
                    <a:xfrm>
                      <a:off x="0" y="0"/>
                      <a:ext cx="6355080" cy="5197475"/>
                    </a:xfrm>
                    <a:prstGeom prst="rect">
                      <a:avLst/>
                    </a:prstGeom>
                    <a:noFill/>
                    <a:ln>
                      <a:noFill/>
                    </a:ln>
                  </pic:spPr>
                </pic:pic>
              </a:graphicData>
            </a:graphic>
          </wp:inline>
        </w:drawing>
      </w:r>
    </w:p>
    <w:p w14:paraId="0BC66D8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lang w:val="en-US" w:eastAsia="zh-CN"/>
        </w:rPr>
      </w:pPr>
      <w:r>
        <w:rPr>
          <w:rFonts w:hint="eastAsia"/>
          <w:b/>
          <w:bCs/>
          <w:lang w:val="en-US" w:eastAsia="zh-CN"/>
        </w:rPr>
        <w:t>附图3 项目平面布置图</w:t>
      </w:r>
    </w:p>
    <w:sectPr>
      <w:pgSz w:w="16838" w:h="11906" w:orient="landscape"/>
      <w:pgMar w:top="1304" w:right="1417" w:bottom="1304" w:left="141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BD4C31E-B8C3-44F7-A525-D77760A15973}"/>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embedRegular r:id="rId2" w:fontKey="{87E083E8-5060-47DB-BE67-28382BA4F4E8}"/>
  </w:font>
  <w:font w:name="Cambria Math">
    <w:panose1 w:val="02040503050406030204"/>
    <w:charset w:val="00"/>
    <w:family w:val="auto"/>
    <w:pitch w:val="default"/>
    <w:sig w:usb0="E00006FF" w:usb1="420024FF" w:usb2="02000000" w:usb3="00000000" w:csb0="2000019F" w:csb1="00000000"/>
    <w:embedRegular r:id="rId3" w:fontKey="{945A8AA9-3EEB-4E1E-9B39-19F16711023C}"/>
  </w:font>
  <w:font w:name="清雅楷书">
    <w:panose1 w:val="02000503000000000000"/>
    <w:charset w:val="86"/>
    <w:family w:val="auto"/>
    <w:pitch w:val="default"/>
    <w:sig w:usb0="8000002F" w:usb1="084164FA" w:usb2="00000012" w:usb3="00000000" w:csb0="00040001" w:csb1="00000000"/>
    <w:embedRegular r:id="rId4" w:fontKey="{6D7018CA-DF70-447F-AC40-4CA3713882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96C60">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7AAD7E">
                          <w:pPr>
                            <w:pStyle w:val="6"/>
                          </w:pPr>
                          <w: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2</w:t>
                          </w:r>
                          <w:r>
                            <w:rPr>
                              <w:sz w:val="21"/>
                              <w:szCs w:val="21"/>
                            </w:rP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547AAD7E">
                    <w:pPr>
                      <w:pStyle w:val="6"/>
                    </w:pPr>
                    <w: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2</w:t>
                    </w:r>
                    <w:r>
                      <w:rPr>
                        <w:sz w:val="21"/>
                        <w:szCs w:val="21"/>
                      </w:rP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I4OTQyYWQxMTk4OThiOTA2YzA1YjgxN2IzYjZkMmIifQ=="/>
  </w:docVars>
  <w:rsids>
    <w:rsidRoot w:val="1D7F664E"/>
    <w:rsid w:val="002E6922"/>
    <w:rsid w:val="00365F61"/>
    <w:rsid w:val="003F2DBE"/>
    <w:rsid w:val="00481283"/>
    <w:rsid w:val="00537C28"/>
    <w:rsid w:val="005673A4"/>
    <w:rsid w:val="00645991"/>
    <w:rsid w:val="007B1791"/>
    <w:rsid w:val="00882190"/>
    <w:rsid w:val="00A51513"/>
    <w:rsid w:val="00B06E28"/>
    <w:rsid w:val="00B405E6"/>
    <w:rsid w:val="00D01278"/>
    <w:rsid w:val="00DC5579"/>
    <w:rsid w:val="00FC1153"/>
    <w:rsid w:val="01131056"/>
    <w:rsid w:val="013870C5"/>
    <w:rsid w:val="017B6273"/>
    <w:rsid w:val="019A6605"/>
    <w:rsid w:val="01A67101"/>
    <w:rsid w:val="01CF32DE"/>
    <w:rsid w:val="01E1048D"/>
    <w:rsid w:val="01F54D28"/>
    <w:rsid w:val="020E58C2"/>
    <w:rsid w:val="02214A54"/>
    <w:rsid w:val="02561432"/>
    <w:rsid w:val="026B74AB"/>
    <w:rsid w:val="028265A2"/>
    <w:rsid w:val="028B5457"/>
    <w:rsid w:val="029E3B99"/>
    <w:rsid w:val="02CF10B4"/>
    <w:rsid w:val="02CF4171"/>
    <w:rsid w:val="02DF39F5"/>
    <w:rsid w:val="030F42DA"/>
    <w:rsid w:val="03517FC2"/>
    <w:rsid w:val="0365214C"/>
    <w:rsid w:val="036F3E65"/>
    <w:rsid w:val="03A03184"/>
    <w:rsid w:val="03AF696B"/>
    <w:rsid w:val="03CF36CE"/>
    <w:rsid w:val="03EA2651"/>
    <w:rsid w:val="03F84D6E"/>
    <w:rsid w:val="0414771C"/>
    <w:rsid w:val="043F0BEF"/>
    <w:rsid w:val="0458580D"/>
    <w:rsid w:val="046046C1"/>
    <w:rsid w:val="04807D93"/>
    <w:rsid w:val="0482251A"/>
    <w:rsid w:val="04CC4FAE"/>
    <w:rsid w:val="04D623D1"/>
    <w:rsid w:val="04F05112"/>
    <w:rsid w:val="05571F68"/>
    <w:rsid w:val="05687CD1"/>
    <w:rsid w:val="05A056BD"/>
    <w:rsid w:val="05CA44E8"/>
    <w:rsid w:val="05E23147"/>
    <w:rsid w:val="05F81E86"/>
    <w:rsid w:val="06226E8B"/>
    <w:rsid w:val="0628019F"/>
    <w:rsid w:val="0630252B"/>
    <w:rsid w:val="06565D7C"/>
    <w:rsid w:val="067F19C3"/>
    <w:rsid w:val="068428E9"/>
    <w:rsid w:val="06C66210"/>
    <w:rsid w:val="06E2193A"/>
    <w:rsid w:val="07125602"/>
    <w:rsid w:val="07131EBF"/>
    <w:rsid w:val="071A5C49"/>
    <w:rsid w:val="071D3730"/>
    <w:rsid w:val="072639A0"/>
    <w:rsid w:val="07366080"/>
    <w:rsid w:val="073C1416"/>
    <w:rsid w:val="078B414B"/>
    <w:rsid w:val="07FB6F8A"/>
    <w:rsid w:val="08200903"/>
    <w:rsid w:val="083F3B30"/>
    <w:rsid w:val="089A2898"/>
    <w:rsid w:val="08C43FC2"/>
    <w:rsid w:val="08E25FED"/>
    <w:rsid w:val="08E367C5"/>
    <w:rsid w:val="092B4317"/>
    <w:rsid w:val="093D03BB"/>
    <w:rsid w:val="097A7B38"/>
    <w:rsid w:val="09EB2C7F"/>
    <w:rsid w:val="09F4121C"/>
    <w:rsid w:val="0A1026E6"/>
    <w:rsid w:val="0A210598"/>
    <w:rsid w:val="0A4E1BFA"/>
    <w:rsid w:val="0A531E98"/>
    <w:rsid w:val="0A5C592B"/>
    <w:rsid w:val="0A775534"/>
    <w:rsid w:val="0AD535F9"/>
    <w:rsid w:val="0AE20526"/>
    <w:rsid w:val="0AF03A75"/>
    <w:rsid w:val="0AFD221C"/>
    <w:rsid w:val="0B0569D0"/>
    <w:rsid w:val="0B2847EE"/>
    <w:rsid w:val="0B4374F7"/>
    <w:rsid w:val="0B892750"/>
    <w:rsid w:val="0B901117"/>
    <w:rsid w:val="0B9A0544"/>
    <w:rsid w:val="0BB47AAC"/>
    <w:rsid w:val="0BFC5617"/>
    <w:rsid w:val="0C060244"/>
    <w:rsid w:val="0C061A9A"/>
    <w:rsid w:val="0C457E2B"/>
    <w:rsid w:val="0C566AD6"/>
    <w:rsid w:val="0C6E3D50"/>
    <w:rsid w:val="0C72724E"/>
    <w:rsid w:val="0C99013C"/>
    <w:rsid w:val="0CAD246E"/>
    <w:rsid w:val="0CDD3AEB"/>
    <w:rsid w:val="0CE76C15"/>
    <w:rsid w:val="0CEB41F5"/>
    <w:rsid w:val="0CF05602"/>
    <w:rsid w:val="0D2766C4"/>
    <w:rsid w:val="0D3451F0"/>
    <w:rsid w:val="0D3779E5"/>
    <w:rsid w:val="0DA0008B"/>
    <w:rsid w:val="0DBE0DD6"/>
    <w:rsid w:val="0DED64B7"/>
    <w:rsid w:val="0DF66631"/>
    <w:rsid w:val="0E1C0F1B"/>
    <w:rsid w:val="0E2F31E9"/>
    <w:rsid w:val="0E362DEB"/>
    <w:rsid w:val="0E4806A0"/>
    <w:rsid w:val="0E4C3A5C"/>
    <w:rsid w:val="0E941B37"/>
    <w:rsid w:val="0EAC6E81"/>
    <w:rsid w:val="0ED2440E"/>
    <w:rsid w:val="0ED62316"/>
    <w:rsid w:val="0ED876BC"/>
    <w:rsid w:val="0F0A3BA7"/>
    <w:rsid w:val="0F0C3DC3"/>
    <w:rsid w:val="0F20786F"/>
    <w:rsid w:val="0F306279"/>
    <w:rsid w:val="0F3D5D2B"/>
    <w:rsid w:val="0F4470B9"/>
    <w:rsid w:val="0F490B74"/>
    <w:rsid w:val="0F5157A2"/>
    <w:rsid w:val="0F5337A0"/>
    <w:rsid w:val="0F7B115A"/>
    <w:rsid w:val="0F89169A"/>
    <w:rsid w:val="0FB436F8"/>
    <w:rsid w:val="0FD85487"/>
    <w:rsid w:val="0FE33A04"/>
    <w:rsid w:val="0FF35FE1"/>
    <w:rsid w:val="0FFD54BA"/>
    <w:rsid w:val="100741D0"/>
    <w:rsid w:val="10077732"/>
    <w:rsid w:val="10284C2D"/>
    <w:rsid w:val="103D35F3"/>
    <w:rsid w:val="1047050D"/>
    <w:rsid w:val="10537F4A"/>
    <w:rsid w:val="105C1B2F"/>
    <w:rsid w:val="107309EB"/>
    <w:rsid w:val="10832BD1"/>
    <w:rsid w:val="10A35FE1"/>
    <w:rsid w:val="10BD35C7"/>
    <w:rsid w:val="10D225C6"/>
    <w:rsid w:val="10D514BB"/>
    <w:rsid w:val="11034D52"/>
    <w:rsid w:val="110B7116"/>
    <w:rsid w:val="111565C8"/>
    <w:rsid w:val="114015B7"/>
    <w:rsid w:val="11472E91"/>
    <w:rsid w:val="114D6B16"/>
    <w:rsid w:val="11550591"/>
    <w:rsid w:val="11C646FD"/>
    <w:rsid w:val="11EA579E"/>
    <w:rsid w:val="120C1B9A"/>
    <w:rsid w:val="124D4F3D"/>
    <w:rsid w:val="12541D09"/>
    <w:rsid w:val="12705219"/>
    <w:rsid w:val="12A14823"/>
    <w:rsid w:val="12C53E13"/>
    <w:rsid w:val="13157F18"/>
    <w:rsid w:val="13293E59"/>
    <w:rsid w:val="133C054F"/>
    <w:rsid w:val="13445CE2"/>
    <w:rsid w:val="139452E8"/>
    <w:rsid w:val="13BA1693"/>
    <w:rsid w:val="14261483"/>
    <w:rsid w:val="1426657D"/>
    <w:rsid w:val="143924B9"/>
    <w:rsid w:val="143D67CD"/>
    <w:rsid w:val="14531B4D"/>
    <w:rsid w:val="145B1CE7"/>
    <w:rsid w:val="14885CD7"/>
    <w:rsid w:val="149F15FA"/>
    <w:rsid w:val="14B7657F"/>
    <w:rsid w:val="14C166CB"/>
    <w:rsid w:val="14CD4A6A"/>
    <w:rsid w:val="14DA013C"/>
    <w:rsid w:val="14F86CA2"/>
    <w:rsid w:val="151D3621"/>
    <w:rsid w:val="151E65FF"/>
    <w:rsid w:val="152158DE"/>
    <w:rsid w:val="152D6DA8"/>
    <w:rsid w:val="15564E61"/>
    <w:rsid w:val="155C30D0"/>
    <w:rsid w:val="157248F3"/>
    <w:rsid w:val="15882875"/>
    <w:rsid w:val="15A4743F"/>
    <w:rsid w:val="15D65076"/>
    <w:rsid w:val="15E038B4"/>
    <w:rsid w:val="15E61275"/>
    <w:rsid w:val="162866FA"/>
    <w:rsid w:val="16602F12"/>
    <w:rsid w:val="166C2FB9"/>
    <w:rsid w:val="166E0EC0"/>
    <w:rsid w:val="16A14DF1"/>
    <w:rsid w:val="16CE5A82"/>
    <w:rsid w:val="16DA75EF"/>
    <w:rsid w:val="16DC407B"/>
    <w:rsid w:val="16E10224"/>
    <w:rsid w:val="16F21AF1"/>
    <w:rsid w:val="17440D71"/>
    <w:rsid w:val="176302F9"/>
    <w:rsid w:val="177B7D38"/>
    <w:rsid w:val="17AF5824"/>
    <w:rsid w:val="180715CC"/>
    <w:rsid w:val="18092A52"/>
    <w:rsid w:val="18261A79"/>
    <w:rsid w:val="18365A0D"/>
    <w:rsid w:val="184E52CB"/>
    <w:rsid w:val="18772E29"/>
    <w:rsid w:val="1892123C"/>
    <w:rsid w:val="18A1557C"/>
    <w:rsid w:val="18B25F38"/>
    <w:rsid w:val="18C27E6E"/>
    <w:rsid w:val="18C4730F"/>
    <w:rsid w:val="18D725FB"/>
    <w:rsid w:val="18E3357D"/>
    <w:rsid w:val="18F31882"/>
    <w:rsid w:val="19226886"/>
    <w:rsid w:val="192B1750"/>
    <w:rsid w:val="19744A3F"/>
    <w:rsid w:val="19AB252D"/>
    <w:rsid w:val="19BC6185"/>
    <w:rsid w:val="19D86C87"/>
    <w:rsid w:val="1A005443"/>
    <w:rsid w:val="1A332204"/>
    <w:rsid w:val="1A6249E0"/>
    <w:rsid w:val="1A7F0200"/>
    <w:rsid w:val="1A886A4E"/>
    <w:rsid w:val="1A8E101F"/>
    <w:rsid w:val="1AA44EB0"/>
    <w:rsid w:val="1AB24B0C"/>
    <w:rsid w:val="1AB64BE3"/>
    <w:rsid w:val="1AB95B8E"/>
    <w:rsid w:val="1ABF1CEA"/>
    <w:rsid w:val="1ACB4B33"/>
    <w:rsid w:val="1AD34930"/>
    <w:rsid w:val="1ADA340E"/>
    <w:rsid w:val="1AE00A7A"/>
    <w:rsid w:val="1AE15B68"/>
    <w:rsid w:val="1AEE6496"/>
    <w:rsid w:val="1B065B6B"/>
    <w:rsid w:val="1B385F1B"/>
    <w:rsid w:val="1B4312C5"/>
    <w:rsid w:val="1B5D283A"/>
    <w:rsid w:val="1B621343"/>
    <w:rsid w:val="1B8151F1"/>
    <w:rsid w:val="1B9238A2"/>
    <w:rsid w:val="1BB362FC"/>
    <w:rsid w:val="1BD658B7"/>
    <w:rsid w:val="1BD72DB7"/>
    <w:rsid w:val="1BEF055C"/>
    <w:rsid w:val="1BF105C9"/>
    <w:rsid w:val="1BFA05BD"/>
    <w:rsid w:val="1C333C64"/>
    <w:rsid w:val="1C511068"/>
    <w:rsid w:val="1C633B5F"/>
    <w:rsid w:val="1C705992"/>
    <w:rsid w:val="1D046F94"/>
    <w:rsid w:val="1D062D03"/>
    <w:rsid w:val="1D217B22"/>
    <w:rsid w:val="1D28626C"/>
    <w:rsid w:val="1D2C40BC"/>
    <w:rsid w:val="1D3339B8"/>
    <w:rsid w:val="1D46143F"/>
    <w:rsid w:val="1D517CB5"/>
    <w:rsid w:val="1D5873FD"/>
    <w:rsid w:val="1D5F77B4"/>
    <w:rsid w:val="1D6F5C49"/>
    <w:rsid w:val="1D7F39B2"/>
    <w:rsid w:val="1D7F664E"/>
    <w:rsid w:val="1D994A74"/>
    <w:rsid w:val="1DB06A2E"/>
    <w:rsid w:val="1DD738F0"/>
    <w:rsid w:val="1DFC78B2"/>
    <w:rsid w:val="1DFE521F"/>
    <w:rsid w:val="1E125451"/>
    <w:rsid w:val="1E27481D"/>
    <w:rsid w:val="1E5D4164"/>
    <w:rsid w:val="1E697AC5"/>
    <w:rsid w:val="1E8F3F05"/>
    <w:rsid w:val="1EA26DE3"/>
    <w:rsid w:val="1EBC0B3B"/>
    <w:rsid w:val="1F016D75"/>
    <w:rsid w:val="1F056768"/>
    <w:rsid w:val="1F244811"/>
    <w:rsid w:val="1F2B5BA0"/>
    <w:rsid w:val="1F4D50E6"/>
    <w:rsid w:val="1F72557D"/>
    <w:rsid w:val="20103DF1"/>
    <w:rsid w:val="20166850"/>
    <w:rsid w:val="202251F5"/>
    <w:rsid w:val="203171E6"/>
    <w:rsid w:val="2043516B"/>
    <w:rsid w:val="20570273"/>
    <w:rsid w:val="206A7046"/>
    <w:rsid w:val="20806F21"/>
    <w:rsid w:val="209E05F3"/>
    <w:rsid w:val="20A0436C"/>
    <w:rsid w:val="20A26336"/>
    <w:rsid w:val="20D109C9"/>
    <w:rsid w:val="20D65FDF"/>
    <w:rsid w:val="20DD6F2F"/>
    <w:rsid w:val="20DE23E5"/>
    <w:rsid w:val="20EA3839"/>
    <w:rsid w:val="20F14BC7"/>
    <w:rsid w:val="21056B7A"/>
    <w:rsid w:val="212C5BFF"/>
    <w:rsid w:val="213243E7"/>
    <w:rsid w:val="213E06CA"/>
    <w:rsid w:val="217355DC"/>
    <w:rsid w:val="21C85928"/>
    <w:rsid w:val="21DE339D"/>
    <w:rsid w:val="21F52EF8"/>
    <w:rsid w:val="21FE134A"/>
    <w:rsid w:val="22037739"/>
    <w:rsid w:val="2265586D"/>
    <w:rsid w:val="22AB456A"/>
    <w:rsid w:val="22CB184E"/>
    <w:rsid w:val="22E06CA1"/>
    <w:rsid w:val="2302587B"/>
    <w:rsid w:val="230360A5"/>
    <w:rsid w:val="23144B9D"/>
    <w:rsid w:val="23161B1F"/>
    <w:rsid w:val="23251995"/>
    <w:rsid w:val="232B7F52"/>
    <w:rsid w:val="23641680"/>
    <w:rsid w:val="2369313B"/>
    <w:rsid w:val="23694EE9"/>
    <w:rsid w:val="23B56896"/>
    <w:rsid w:val="23BC326A"/>
    <w:rsid w:val="23C14D25"/>
    <w:rsid w:val="23F80BF7"/>
    <w:rsid w:val="240E783E"/>
    <w:rsid w:val="242236D7"/>
    <w:rsid w:val="242C70E3"/>
    <w:rsid w:val="243454F7"/>
    <w:rsid w:val="24350EEC"/>
    <w:rsid w:val="244514B2"/>
    <w:rsid w:val="249B5576"/>
    <w:rsid w:val="24A3267C"/>
    <w:rsid w:val="24C34ACD"/>
    <w:rsid w:val="24C77BCA"/>
    <w:rsid w:val="24C83E91"/>
    <w:rsid w:val="24F743AF"/>
    <w:rsid w:val="25050C41"/>
    <w:rsid w:val="253A0D01"/>
    <w:rsid w:val="254404B4"/>
    <w:rsid w:val="254E25E8"/>
    <w:rsid w:val="25585215"/>
    <w:rsid w:val="25756AF1"/>
    <w:rsid w:val="258A49D0"/>
    <w:rsid w:val="258D4688"/>
    <w:rsid w:val="25983863"/>
    <w:rsid w:val="25F25669"/>
    <w:rsid w:val="26215F4F"/>
    <w:rsid w:val="26612D6B"/>
    <w:rsid w:val="26642ABE"/>
    <w:rsid w:val="266D29E7"/>
    <w:rsid w:val="26C65B85"/>
    <w:rsid w:val="26EF1BA9"/>
    <w:rsid w:val="26F176CF"/>
    <w:rsid w:val="27062CC4"/>
    <w:rsid w:val="27457A1B"/>
    <w:rsid w:val="274719E5"/>
    <w:rsid w:val="2751016E"/>
    <w:rsid w:val="278247CB"/>
    <w:rsid w:val="278E4F1E"/>
    <w:rsid w:val="279462AC"/>
    <w:rsid w:val="27975251"/>
    <w:rsid w:val="279B763B"/>
    <w:rsid w:val="27E2526A"/>
    <w:rsid w:val="27E4338C"/>
    <w:rsid w:val="280C4E96"/>
    <w:rsid w:val="281A4A03"/>
    <w:rsid w:val="287A34CB"/>
    <w:rsid w:val="2890116A"/>
    <w:rsid w:val="289C346E"/>
    <w:rsid w:val="28C464D2"/>
    <w:rsid w:val="28DD07CD"/>
    <w:rsid w:val="28E82D54"/>
    <w:rsid w:val="29082BE0"/>
    <w:rsid w:val="292C2C40"/>
    <w:rsid w:val="293E6C7E"/>
    <w:rsid w:val="2944442E"/>
    <w:rsid w:val="295126A7"/>
    <w:rsid w:val="29522768"/>
    <w:rsid w:val="29A13ABE"/>
    <w:rsid w:val="29AC6221"/>
    <w:rsid w:val="29D07A70"/>
    <w:rsid w:val="29D37560"/>
    <w:rsid w:val="29DC75D4"/>
    <w:rsid w:val="2A0E1655"/>
    <w:rsid w:val="2A2722E3"/>
    <w:rsid w:val="2A326424"/>
    <w:rsid w:val="2A5E2BEC"/>
    <w:rsid w:val="2A691C72"/>
    <w:rsid w:val="2A944F41"/>
    <w:rsid w:val="2A9B3276"/>
    <w:rsid w:val="2AAE3A07"/>
    <w:rsid w:val="2ABC1DA2"/>
    <w:rsid w:val="2AD04CEE"/>
    <w:rsid w:val="2AD0584D"/>
    <w:rsid w:val="2AD571B7"/>
    <w:rsid w:val="2AD83742"/>
    <w:rsid w:val="2AFD7873"/>
    <w:rsid w:val="2B033E75"/>
    <w:rsid w:val="2B057BED"/>
    <w:rsid w:val="2B140A52"/>
    <w:rsid w:val="2B237433"/>
    <w:rsid w:val="2B284CA6"/>
    <w:rsid w:val="2B3836F1"/>
    <w:rsid w:val="2B4A7991"/>
    <w:rsid w:val="2B604E23"/>
    <w:rsid w:val="2B8B2DB3"/>
    <w:rsid w:val="2B9351F9"/>
    <w:rsid w:val="2BC576B3"/>
    <w:rsid w:val="2BC85C3C"/>
    <w:rsid w:val="2BD55B51"/>
    <w:rsid w:val="2C1F4644"/>
    <w:rsid w:val="2C2E3173"/>
    <w:rsid w:val="2C5D6089"/>
    <w:rsid w:val="2C6C5FA0"/>
    <w:rsid w:val="2C83526D"/>
    <w:rsid w:val="2C8D7E9A"/>
    <w:rsid w:val="2C9C00DD"/>
    <w:rsid w:val="2D224D02"/>
    <w:rsid w:val="2D2E4EB4"/>
    <w:rsid w:val="2D5C710B"/>
    <w:rsid w:val="2D612B18"/>
    <w:rsid w:val="2D684463"/>
    <w:rsid w:val="2D771835"/>
    <w:rsid w:val="2D7C3246"/>
    <w:rsid w:val="2DA350AD"/>
    <w:rsid w:val="2DB9081B"/>
    <w:rsid w:val="2DF45CF7"/>
    <w:rsid w:val="2DF801CB"/>
    <w:rsid w:val="2E114AFB"/>
    <w:rsid w:val="2E244142"/>
    <w:rsid w:val="2E60513A"/>
    <w:rsid w:val="2E774004"/>
    <w:rsid w:val="2E8250B1"/>
    <w:rsid w:val="2E9D6949"/>
    <w:rsid w:val="2EFC2B92"/>
    <w:rsid w:val="2EFC2E12"/>
    <w:rsid w:val="2F2254B5"/>
    <w:rsid w:val="2F2A1230"/>
    <w:rsid w:val="2F3A598B"/>
    <w:rsid w:val="2F611A76"/>
    <w:rsid w:val="2F6F53BD"/>
    <w:rsid w:val="2F745341"/>
    <w:rsid w:val="2F7D0BFC"/>
    <w:rsid w:val="2FD47F42"/>
    <w:rsid w:val="2FE5304B"/>
    <w:rsid w:val="300E30A0"/>
    <w:rsid w:val="30303A1F"/>
    <w:rsid w:val="305330D0"/>
    <w:rsid w:val="309D08C8"/>
    <w:rsid w:val="30A9101A"/>
    <w:rsid w:val="30C145B6"/>
    <w:rsid w:val="30C23404"/>
    <w:rsid w:val="30DF2C8E"/>
    <w:rsid w:val="30EB3EF2"/>
    <w:rsid w:val="30FC55EE"/>
    <w:rsid w:val="310A3110"/>
    <w:rsid w:val="31127610"/>
    <w:rsid w:val="311E19F3"/>
    <w:rsid w:val="313308E4"/>
    <w:rsid w:val="31352B82"/>
    <w:rsid w:val="314E5151"/>
    <w:rsid w:val="31607B1C"/>
    <w:rsid w:val="31685BE6"/>
    <w:rsid w:val="317C5DA0"/>
    <w:rsid w:val="31813D45"/>
    <w:rsid w:val="318F333A"/>
    <w:rsid w:val="3192419A"/>
    <w:rsid w:val="319553BB"/>
    <w:rsid w:val="31CC4FC0"/>
    <w:rsid w:val="31D900D5"/>
    <w:rsid w:val="3222750B"/>
    <w:rsid w:val="32244627"/>
    <w:rsid w:val="32276EFB"/>
    <w:rsid w:val="3249732A"/>
    <w:rsid w:val="3250694A"/>
    <w:rsid w:val="32513718"/>
    <w:rsid w:val="327411B4"/>
    <w:rsid w:val="32A93F8C"/>
    <w:rsid w:val="32B11D48"/>
    <w:rsid w:val="32B67F88"/>
    <w:rsid w:val="32E26A66"/>
    <w:rsid w:val="32EF7FD9"/>
    <w:rsid w:val="32F715D4"/>
    <w:rsid w:val="331851E3"/>
    <w:rsid w:val="331E0810"/>
    <w:rsid w:val="332744B6"/>
    <w:rsid w:val="332D7CE1"/>
    <w:rsid w:val="334232EB"/>
    <w:rsid w:val="337C30AF"/>
    <w:rsid w:val="338053ED"/>
    <w:rsid w:val="33A822A1"/>
    <w:rsid w:val="33F425AD"/>
    <w:rsid w:val="341C1F51"/>
    <w:rsid w:val="34390D95"/>
    <w:rsid w:val="34720743"/>
    <w:rsid w:val="34744250"/>
    <w:rsid w:val="347C0D67"/>
    <w:rsid w:val="3482405C"/>
    <w:rsid w:val="34A3453E"/>
    <w:rsid w:val="34B8747A"/>
    <w:rsid w:val="34C24459"/>
    <w:rsid w:val="34E22D4D"/>
    <w:rsid w:val="34E645EB"/>
    <w:rsid w:val="34F32864"/>
    <w:rsid w:val="35060098"/>
    <w:rsid w:val="352D2FED"/>
    <w:rsid w:val="35AE771F"/>
    <w:rsid w:val="35E46651"/>
    <w:rsid w:val="35E87669"/>
    <w:rsid w:val="35FA48FF"/>
    <w:rsid w:val="361A2073"/>
    <w:rsid w:val="361E7DB5"/>
    <w:rsid w:val="36323721"/>
    <w:rsid w:val="36513CE6"/>
    <w:rsid w:val="3654016C"/>
    <w:rsid w:val="3679323D"/>
    <w:rsid w:val="3681331C"/>
    <w:rsid w:val="368E7112"/>
    <w:rsid w:val="369A22FE"/>
    <w:rsid w:val="36AA3C04"/>
    <w:rsid w:val="36D37347"/>
    <w:rsid w:val="36E032BC"/>
    <w:rsid w:val="371A6D71"/>
    <w:rsid w:val="37476E97"/>
    <w:rsid w:val="37585548"/>
    <w:rsid w:val="376B202F"/>
    <w:rsid w:val="376C65F4"/>
    <w:rsid w:val="378708F1"/>
    <w:rsid w:val="37A662B4"/>
    <w:rsid w:val="37AA6C4A"/>
    <w:rsid w:val="37AB1B1C"/>
    <w:rsid w:val="37EB016A"/>
    <w:rsid w:val="37ED15CC"/>
    <w:rsid w:val="37FF2434"/>
    <w:rsid w:val="381F5317"/>
    <w:rsid w:val="38787C50"/>
    <w:rsid w:val="388F0AF6"/>
    <w:rsid w:val="38A04AB1"/>
    <w:rsid w:val="38A5656B"/>
    <w:rsid w:val="38AC5B4C"/>
    <w:rsid w:val="38C56FE4"/>
    <w:rsid w:val="38CE6F11"/>
    <w:rsid w:val="38E1010B"/>
    <w:rsid w:val="38E507FA"/>
    <w:rsid w:val="39665CFB"/>
    <w:rsid w:val="398D6742"/>
    <w:rsid w:val="399B0870"/>
    <w:rsid w:val="39DB7DF1"/>
    <w:rsid w:val="3A5B15D7"/>
    <w:rsid w:val="3A5F274A"/>
    <w:rsid w:val="3ADB0417"/>
    <w:rsid w:val="3AEA64B7"/>
    <w:rsid w:val="3AEC101C"/>
    <w:rsid w:val="3AFD443D"/>
    <w:rsid w:val="3B3243A4"/>
    <w:rsid w:val="3B392F9B"/>
    <w:rsid w:val="3B457B92"/>
    <w:rsid w:val="3B4A022A"/>
    <w:rsid w:val="3B642CDE"/>
    <w:rsid w:val="3B7A7FBD"/>
    <w:rsid w:val="3B837F8F"/>
    <w:rsid w:val="3B9D5FBA"/>
    <w:rsid w:val="3BFD4EE9"/>
    <w:rsid w:val="3C1934F8"/>
    <w:rsid w:val="3C333E8E"/>
    <w:rsid w:val="3C463BC1"/>
    <w:rsid w:val="3C4937F9"/>
    <w:rsid w:val="3C860462"/>
    <w:rsid w:val="3C8A1D00"/>
    <w:rsid w:val="3C903A2A"/>
    <w:rsid w:val="3CE05DC4"/>
    <w:rsid w:val="3CF16201"/>
    <w:rsid w:val="3D143381"/>
    <w:rsid w:val="3D31760F"/>
    <w:rsid w:val="3D382687"/>
    <w:rsid w:val="3D403908"/>
    <w:rsid w:val="3D4E0F7F"/>
    <w:rsid w:val="3D726BD0"/>
    <w:rsid w:val="3D7B789B"/>
    <w:rsid w:val="3D8366DF"/>
    <w:rsid w:val="3D915310"/>
    <w:rsid w:val="3DA83CC3"/>
    <w:rsid w:val="3DD551FD"/>
    <w:rsid w:val="3DE6565C"/>
    <w:rsid w:val="3DEE62BF"/>
    <w:rsid w:val="3DF80D16"/>
    <w:rsid w:val="3E1B3936"/>
    <w:rsid w:val="3E2D5039"/>
    <w:rsid w:val="3E3F5C2E"/>
    <w:rsid w:val="3E5B32B3"/>
    <w:rsid w:val="3E610DA3"/>
    <w:rsid w:val="3E6B1E2F"/>
    <w:rsid w:val="3EA11583"/>
    <w:rsid w:val="3EA370A9"/>
    <w:rsid w:val="3EA82911"/>
    <w:rsid w:val="3EBC2FBC"/>
    <w:rsid w:val="3ED6218D"/>
    <w:rsid w:val="3EF34A48"/>
    <w:rsid w:val="3EFC4A0B"/>
    <w:rsid w:val="3F231C80"/>
    <w:rsid w:val="3F352378"/>
    <w:rsid w:val="3F476304"/>
    <w:rsid w:val="3FEB51AC"/>
    <w:rsid w:val="3FFC3940"/>
    <w:rsid w:val="40972C3D"/>
    <w:rsid w:val="409A0980"/>
    <w:rsid w:val="40CA760B"/>
    <w:rsid w:val="40D6341C"/>
    <w:rsid w:val="40DF25DF"/>
    <w:rsid w:val="40E57E4D"/>
    <w:rsid w:val="41024521"/>
    <w:rsid w:val="410C568F"/>
    <w:rsid w:val="41134A1D"/>
    <w:rsid w:val="411643F0"/>
    <w:rsid w:val="41596145"/>
    <w:rsid w:val="41744D2D"/>
    <w:rsid w:val="418A4550"/>
    <w:rsid w:val="418D4040"/>
    <w:rsid w:val="41BB6E00"/>
    <w:rsid w:val="425D496F"/>
    <w:rsid w:val="42755200"/>
    <w:rsid w:val="42AC5635"/>
    <w:rsid w:val="42B0401C"/>
    <w:rsid w:val="42B12D3E"/>
    <w:rsid w:val="42C716E4"/>
    <w:rsid w:val="42C817D4"/>
    <w:rsid w:val="42C926E3"/>
    <w:rsid w:val="42CB6BCE"/>
    <w:rsid w:val="43280C11"/>
    <w:rsid w:val="432C7A52"/>
    <w:rsid w:val="433378D3"/>
    <w:rsid w:val="43566DE0"/>
    <w:rsid w:val="43862465"/>
    <w:rsid w:val="4392593E"/>
    <w:rsid w:val="4395660B"/>
    <w:rsid w:val="43AA712C"/>
    <w:rsid w:val="43B43B06"/>
    <w:rsid w:val="43D321DE"/>
    <w:rsid w:val="43F43D93"/>
    <w:rsid w:val="442B034B"/>
    <w:rsid w:val="44316F05"/>
    <w:rsid w:val="44461FB5"/>
    <w:rsid w:val="44C42545"/>
    <w:rsid w:val="44D97CC8"/>
    <w:rsid w:val="44DB3636"/>
    <w:rsid w:val="44DF4C3A"/>
    <w:rsid w:val="44E80DC8"/>
    <w:rsid w:val="450929D1"/>
    <w:rsid w:val="45163F36"/>
    <w:rsid w:val="452E5DBE"/>
    <w:rsid w:val="453750D5"/>
    <w:rsid w:val="4554734F"/>
    <w:rsid w:val="45E561F9"/>
    <w:rsid w:val="45F11042"/>
    <w:rsid w:val="46243F0D"/>
    <w:rsid w:val="4654512D"/>
    <w:rsid w:val="46731A57"/>
    <w:rsid w:val="46771071"/>
    <w:rsid w:val="469F284C"/>
    <w:rsid w:val="46BE46E5"/>
    <w:rsid w:val="46D544C0"/>
    <w:rsid w:val="46DA4FE2"/>
    <w:rsid w:val="46FA326F"/>
    <w:rsid w:val="47632212"/>
    <w:rsid w:val="478C7274"/>
    <w:rsid w:val="478D6B48"/>
    <w:rsid w:val="47A10840"/>
    <w:rsid w:val="47CC1C05"/>
    <w:rsid w:val="48333FF5"/>
    <w:rsid w:val="484C07B1"/>
    <w:rsid w:val="48623B31"/>
    <w:rsid w:val="487D6BBD"/>
    <w:rsid w:val="488D229E"/>
    <w:rsid w:val="48934632"/>
    <w:rsid w:val="48CE566A"/>
    <w:rsid w:val="48F13107"/>
    <w:rsid w:val="491D5CAA"/>
    <w:rsid w:val="49507E2D"/>
    <w:rsid w:val="496524E9"/>
    <w:rsid w:val="4973642B"/>
    <w:rsid w:val="4974069B"/>
    <w:rsid w:val="49804BB7"/>
    <w:rsid w:val="49831FB1"/>
    <w:rsid w:val="49870902"/>
    <w:rsid w:val="49AC366C"/>
    <w:rsid w:val="49AC7392"/>
    <w:rsid w:val="49B85B8D"/>
    <w:rsid w:val="49E54A1A"/>
    <w:rsid w:val="49ED1B20"/>
    <w:rsid w:val="49F454A4"/>
    <w:rsid w:val="4A01029D"/>
    <w:rsid w:val="4A1B19A9"/>
    <w:rsid w:val="4A35158C"/>
    <w:rsid w:val="4A631DE2"/>
    <w:rsid w:val="4A77546C"/>
    <w:rsid w:val="4A7C3C02"/>
    <w:rsid w:val="4A7D2EA4"/>
    <w:rsid w:val="4AD52CE0"/>
    <w:rsid w:val="4ADB5E1D"/>
    <w:rsid w:val="4AFA47E9"/>
    <w:rsid w:val="4B1B26BD"/>
    <w:rsid w:val="4B384A00"/>
    <w:rsid w:val="4B6732BA"/>
    <w:rsid w:val="4BC66784"/>
    <w:rsid w:val="4C15710C"/>
    <w:rsid w:val="4C254C16"/>
    <w:rsid w:val="4C481290"/>
    <w:rsid w:val="4C806C7C"/>
    <w:rsid w:val="4C871B32"/>
    <w:rsid w:val="4C8D1200"/>
    <w:rsid w:val="4C8F3EBC"/>
    <w:rsid w:val="4CDF47AB"/>
    <w:rsid w:val="4CE0771A"/>
    <w:rsid w:val="4CE63B56"/>
    <w:rsid w:val="4D422183"/>
    <w:rsid w:val="4D9E49DF"/>
    <w:rsid w:val="4DA57F84"/>
    <w:rsid w:val="4DD3102D"/>
    <w:rsid w:val="4DEF09C3"/>
    <w:rsid w:val="4E0B4C6B"/>
    <w:rsid w:val="4E6B36B4"/>
    <w:rsid w:val="4E720846"/>
    <w:rsid w:val="4E751D89"/>
    <w:rsid w:val="4E7B3B9E"/>
    <w:rsid w:val="4E8D5603"/>
    <w:rsid w:val="4E9E788D"/>
    <w:rsid w:val="4EC921AC"/>
    <w:rsid w:val="4ED17C62"/>
    <w:rsid w:val="4F266313"/>
    <w:rsid w:val="4F382CBA"/>
    <w:rsid w:val="4F3B70CA"/>
    <w:rsid w:val="4F62274C"/>
    <w:rsid w:val="4FCF2439"/>
    <w:rsid w:val="4FD77C83"/>
    <w:rsid w:val="4FD95020"/>
    <w:rsid w:val="4FDD50F3"/>
    <w:rsid w:val="4FE324BF"/>
    <w:rsid w:val="4FE63299"/>
    <w:rsid w:val="50212524"/>
    <w:rsid w:val="504338E1"/>
    <w:rsid w:val="5051105B"/>
    <w:rsid w:val="50642410"/>
    <w:rsid w:val="506D5769"/>
    <w:rsid w:val="5090264F"/>
    <w:rsid w:val="50962F12"/>
    <w:rsid w:val="50AE00E4"/>
    <w:rsid w:val="50DB6B76"/>
    <w:rsid w:val="50DE6667"/>
    <w:rsid w:val="50EA011B"/>
    <w:rsid w:val="50F65CE1"/>
    <w:rsid w:val="51037408"/>
    <w:rsid w:val="51054768"/>
    <w:rsid w:val="511B6F73"/>
    <w:rsid w:val="512C3963"/>
    <w:rsid w:val="5151508A"/>
    <w:rsid w:val="51533C6F"/>
    <w:rsid w:val="5176689F"/>
    <w:rsid w:val="51937BB9"/>
    <w:rsid w:val="51A111A9"/>
    <w:rsid w:val="51AF3FA8"/>
    <w:rsid w:val="51DB6702"/>
    <w:rsid w:val="51E47CAD"/>
    <w:rsid w:val="51E63A25"/>
    <w:rsid w:val="51F06EA8"/>
    <w:rsid w:val="51F15F26"/>
    <w:rsid w:val="520224D5"/>
    <w:rsid w:val="520774F7"/>
    <w:rsid w:val="521F6F37"/>
    <w:rsid w:val="522307D5"/>
    <w:rsid w:val="522602C5"/>
    <w:rsid w:val="52272522"/>
    <w:rsid w:val="522916D2"/>
    <w:rsid w:val="52374280"/>
    <w:rsid w:val="524A2E7A"/>
    <w:rsid w:val="5268268C"/>
    <w:rsid w:val="52D17DA0"/>
    <w:rsid w:val="53315789"/>
    <w:rsid w:val="533B1F79"/>
    <w:rsid w:val="539B2FF7"/>
    <w:rsid w:val="53CD2652"/>
    <w:rsid w:val="53CE29C2"/>
    <w:rsid w:val="53D63625"/>
    <w:rsid w:val="545C2AD3"/>
    <w:rsid w:val="54B25E40"/>
    <w:rsid w:val="54CD67D6"/>
    <w:rsid w:val="54DB5397"/>
    <w:rsid w:val="54F40207"/>
    <w:rsid w:val="5531145B"/>
    <w:rsid w:val="553E2958"/>
    <w:rsid w:val="558772CD"/>
    <w:rsid w:val="55CE3E0E"/>
    <w:rsid w:val="55D843B0"/>
    <w:rsid w:val="55DD513F"/>
    <w:rsid w:val="55FB68DC"/>
    <w:rsid w:val="561A4A63"/>
    <w:rsid w:val="562B40FC"/>
    <w:rsid w:val="563924BC"/>
    <w:rsid w:val="563A726F"/>
    <w:rsid w:val="56421912"/>
    <w:rsid w:val="56576C9F"/>
    <w:rsid w:val="569A59E3"/>
    <w:rsid w:val="56AF6ADB"/>
    <w:rsid w:val="56D025AE"/>
    <w:rsid w:val="570D1A54"/>
    <w:rsid w:val="576F626A"/>
    <w:rsid w:val="57A14FC1"/>
    <w:rsid w:val="57B679F5"/>
    <w:rsid w:val="57DD4F82"/>
    <w:rsid w:val="581666E6"/>
    <w:rsid w:val="581E2F41"/>
    <w:rsid w:val="584A4990"/>
    <w:rsid w:val="58AE3380"/>
    <w:rsid w:val="58B008E9"/>
    <w:rsid w:val="58C425E6"/>
    <w:rsid w:val="5903310E"/>
    <w:rsid w:val="59142C25"/>
    <w:rsid w:val="59222643"/>
    <w:rsid w:val="592E5DE4"/>
    <w:rsid w:val="59464DA9"/>
    <w:rsid w:val="597C07CB"/>
    <w:rsid w:val="59E95E90"/>
    <w:rsid w:val="59EC3F96"/>
    <w:rsid w:val="59F70FA5"/>
    <w:rsid w:val="59F76459"/>
    <w:rsid w:val="5A087BE3"/>
    <w:rsid w:val="5A1517DA"/>
    <w:rsid w:val="5A202555"/>
    <w:rsid w:val="5A35680A"/>
    <w:rsid w:val="5A4E2167"/>
    <w:rsid w:val="5A514F94"/>
    <w:rsid w:val="5A6051AD"/>
    <w:rsid w:val="5A6B0E63"/>
    <w:rsid w:val="5A6F20DD"/>
    <w:rsid w:val="5A717C66"/>
    <w:rsid w:val="5A837B59"/>
    <w:rsid w:val="5AD175C5"/>
    <w:rsid w:val="5AE6533A"/>
    <w:rsid w:val="5AEB3E5A"/>
    <w:rsid w:val="5AF01CBC"/>
    <w:rsid w:val="5AF06053"/>
    <w:rsid w:val="5B0371FD"/>
    <w:rsid w:val="5B04316E"/>
    <w:rsid w:val="5B2B4256"/>
    <w:rsid w:val="5B5163B3"/>
    <w:rsid w:val="5B8300AB"/>
    <w:rsid w:val="5C275F49"/>
    <w:rsid w:val="5C313AEE"/>
    <w:rsid w:val="5C5C4DA4"/>
    <w:rsid w:val="5C7210D8"/>
    <w:rsid w:val="5C746AB7"/>
    <w:rsid w:val="5C881250"/>
    <w:rsid w:val="5CA24B14"/>
    <w:rsid w:val="5CAF2C65"/>
    <w:rsid w:val="5CE76EFF"/>
    <w:rsid w:val="5CEE7C31"/>
    <w:rsid w:val="5D345A94"/>
    <w:rsid w:val="5D352A64"/>
    <w:rsid w:val="5D7925EB"/>
    <w:rsid w:val="5DB06C95"/>
    <w:rsid w:val="5DB951D2"/>
    <w:rsid w:val="5E2002BE"/>
    <w:rsid w:val="5E270D2F"/>
    <w:rsid w:val="5E4C4C10"/>
    <w:rsid w:val="5E6275F0"/>
    <w:rsid w:val="5E8728D2"/>
    <w:rsid w:val="5EC55836"/>
    <w:rsid w:val="5EF063F0"/>
    <w:rsid w:val="5EF54B0B"/>
    <w:rsid w:val="5EFC4888"/>
    <w:rsid w:val="5EFC6BC4"/>
    <w:rsid w:val="5EFD23AE"/>
    <w:rsid w:val="5F0648D7"/>
    <w:rsid w:val="5F2A6295"/>
    <w:rsid w:val="5F381638"/>
    <w:rsid w:val="5F6917F1"/>
    <w:rsid w:val="5F6D5C81"/>
    <w:rsid w:val="5F9A5F76"/>
    <w:rsid w:val="5FB011CE"/>
    <w:rsid w:val="5FB24F46"/>
    <w:rsid w:val="5FBC5DC5"/>
    <w:rsid w:val="5FC04E06"/>
    <w:rsid w:val="5FCB6008"/>
    <w:rsid w:val="5FD0361E"/>
    <w:rsid w:val="5FDF533E"/>
    <w:rsid w:val="5FEF619A"/>
    <w:rsid w:val="5FF97FD7"/>
    <w:rsid w:val="60144461"/>
    <w:rsid w:val="601B0D3D"/>
    <w:rsid w:val="60200102"/>
    <w:rsid w:val="6065020A"/>
    <w:rsid w:val="60653D12"/>
    <w:rsid w:val="608D1D0E"/>
    <w:rsid w:val="609B568F"/>
    <w:rsid w:val="60A75DFC"/>
    <w:rsid w:val="61001CE1"/>
    <w:rsid w:val="61023A4D"/>
    <w:rsid w:val="61202383"/>
    <w:rsid w:val="614E49B4"/>
    <w:rsid w:val="619D7A4B"/>
    <w:rsid w:val="61A42FB4"/>
    <w:rsid w:val="61B74A96"/>
    <w:rsid w:val="61CD6067"/>
    <w:rsid w:val="61D5331B"/>
    <w:rsid w:val="61DD4253"/>
    <w:rsid w:val="621C7E79"/>
    <w:rsid w:val="621D13A6"/>
    <w:rsid w:val="6223037D"/>
    <w:rsid w:val="62554E07"/>
    <w:rsid w:val="625E2DB7"/>
    <w:rsid w:val="6260512D"/>
    <w:rsid w:val="628D77F7"/>
    <w:rsid w:val="62946B85"/>
    <w:rsid w:val="62B67116"/>
    <w:rsid w:val="62E23D94"/>
    <w:rsid w:val="62E53885"/>
    <w:rsid w:val="62E5574C"/>
    <w:rsid w:val="62E879E8"/>
    <w:rsid w:val="62FA7330"/>
    <w:rsid w:val="635C5BB2"/>
    <w:rsid w:val="636624E3"/>
    <w:rsid w:val="63696264"/>
    <w:rsid w:val="63696E29"/>
    <w:rsid w:val="637263BC"/>
    <w:rsid w:val="637A3FCD"/>
    <w:rsid w:val="637A570E"/>
    <w:rsid w:val="63853C08"/>
    <w:rsid w:val="639E2ACA"/>
    <w:rsid w:val="63A566FC"/>
    <w:rsid w:val="63D34A76"/>
    <w:rsid w:val="63EF200F"/>
    <w:rsid w:val="643E6C3E"/>
    <w:rsid w:val="64413923"/>
    <w:rsid w:val="6449399F"/>
    <w:rsid w:val="644A1AD5"/>
    <w:rsid w:val="64524F4A"/>
    <w:rsid w:val="64590086"/>
    <w:rsid w:val="64602851"/>
    <w:rsid w:val="64610CE9"/>
    <w:rsid w:val="64913083"/>
    <w:rsid w:val="64A82747"/>
    <w:rsid w:val="64BC3B67"/>
    <w:rsid w:val="64DC3870"/>
    <w:rsid w:val="64E42046"/>
    <w:rsid w:val="653B3C30"/>
    <w:rsid w:val="65471226"/>
    <w:rsid w:val="654E74BF"/>
    <w:rsid w:val="655C6080"/>
    <w:rsid w:val="657D21E6"/>
    <w:rsid w:val="659A2704"/>
    <w:rsid w:val="65AD0E8B"/>
    <w:rsid w:val="65B62578"/>
    <w:rsid w:val="65C634F9"/>
    <w:rsid w:val="65C8585C"/>
    <w:rsid w:val="65C92FEA"/>
    <w:rsid w:val="65E816C2"/>
    <w:rsid w:val="65F8567D"/>
    <w:rsid w:val="65FA13F5"/>
    <w:rsid w:val="66174349"/>
    <w:rsid w:val="661B1DC2"/>
    <w:rsid w:val="662E109F"/>
    <w:rsid w:val="664E7ECA"/>
    <w:rsid w:val="66677D78"/>
    <w:rsid w:val="667F4A03"/>
    <w:rsid w:val="66866CA0"/>
    <w:rsid w:val="66AC4B45"/>
    <w:rsid w:val="67074E05"/>
    <w:rsid w:val="671A256A"/>
    <w:rsid w:val="674D3AD6"/>
    <w:rsid w:val="675B4115"/>
    <w:rsid w:val="6782581A"/>
    <w:rsid w:val="678648A8"/>
    <w:rsid w:val="67A94E81"/>
    <w:rsid w:val="67EA72A2"/>
    <w:rsid w:val="67EC0641"/>
    <w:rsid w:val="67F105D6"/>
    <w:rsid w:val="67F16B5C"/>
    <w:rsid w:val="68282249"/>
    <w:rsid w:val="68437083"/>
    <w:rsid w:val="686D4100"/>
    <w:rsid w:val="686E08E3"/>
    <w:rsid w:val="688356D2"/>
    <w:rsid w:val="689830EE"/>
    <w:rsid w:val="68AA7102"/>
    <w:rsid w:val="68E1689C"/>
    <w:rsid w:val="68EF0FB9"/>
    <w:rsid w:val="693115D2"/>
    <w:rsid w:val="6943629B"/>
    <w:rsid w:val="69670B4F"/>
    <w:rsid w:val="69746B44"/>
    <w:rsid w:val="69847953"/>
    <w:rsid w:val="698E639C"/>
    <w:rsid w:val="69B55CD8"/>
    <w:rsid w:val="69C8489A"/>
    <w:rsid w:val="6A136F29"/>
    <w:rsid w:val="6A1A7241"/>
    <w:rsid w:val="6A1C198C"/>
    <w:rsid w:val="6A435600"/>
    <w:rsid w:val="6A52305F"/>
    <w:rsid w:val="6A5A5184"/>
    <w:rsid w:val="6B022B8D"/>
    <w:rsid w:val="6B124127"/>
    <w:rsid w:val="6B573396"/>
    <w:rsid w:val="6B7C77F1"/>
    <w:rsid w:val="6B99448D"/>
    <w:rsid w:val="6B9F5C32"/>
    <w:rsid w:val="6BAF2675"/>
    <w:rsid w:val="6BB822C3"/>
    <w:rsid w:val="6BBB1626"/>
    <w:rsid w:val="6BBF2EC5"/>
    <w:rsid w:val="6BDB75D3"/>
    <w:rsid w:val="6BE217A4"/>
    <w:rsid w:val="6BF012D0"/>
    <w:rsid w:val="6C0C2AFD"/>
    <w:rsid w:val="6C15018D"/>
    <w:rsid w:val="6C303574"/>
    <w:rsid w:val="6C3C3B50"/>
    <w:rsid w:val="6C445178"/>
    <w:rsid w:val="6C44786E"/>
    <w:rsid w:val="6C4E5FF7"/>
    <w:rsid w:val="6C987FDB"/>
    <w:rsid w:val="6CA14487"/>
    <w:rsid w:val="6CB40765"/>
    <w:rsid w:val="6CBF2710"/>
    <w:rsid w:val="6CE626D3"/>
    <w:rsid w:val="6CE64481"/>
    <w:rsid w:val="6D2448C8"/>
    <w:rsid w:val="6D2B458A"/>
    <w:rsid w:val="6D313AC1"/>
    <w:rsid w:val="6D382D72"/>
    <w:rsid w:val="6D4A665F"/>
    <w:rsid w:val="6D5A5246"/>
    <w:rsid w:val="6DB256C5"/>
    <w:rsid w:val="6DDD7632"/>
    <w:rsid w:val="6E116188"/>
    <w:rsid w:val="6E2D0C79"/>
    <w:rsid w:val="6E426268"/>
    <w:rsid w:val="6E7C32EF"/>
    <w:rsid w:val="6EAC097F"/>
    <w:rsid w:val="6EB457CF"/>
    <w:rsid w:val="6EBF31DC"/>
    <w:rsid w:val="6EC151A6"/>
    <w:rsid w:val="6EFF182A"/>
    <w:rsid w:val="6F0F2106"/>
    <w:rsid w:val="6F376AFB"/>
    <w:rsid w:val="6F4C550C"/>
    <w:rsid w:val="6F80296B"/>
    <w:rsid w:val="6FC72057"/>
    <w:rsid w:val="6FD00963"/>
    <w:rsid w:val="6FDA37C5"/>
    <w:rsid w:val="6FF02351"/>
    <w:rsid w:val="702F4584"/>
    <w:rsid w:val="703C400F"/>
    <w:rsid w:val="703D79F0"/>
    <w:rsid w:val="704763A0"/>
    <w:rsid w:val="705834D7"/>
    <w:rsid w:val="70797C5D"/>
    <w:rsid w:val="70826EAE"/>
    <w:rsid w:val="709564D3"/>
    <w:rsid w:val="70D80585"/>
    <w:rsid w:val="70E64A50"/>
    <w:rsid w:val="70F42876"/>
    <w:rsid w:val="70F74EAF"/>
    <w:rsid w:val="70FB4BE6"/>
    <w:rsid w:val="71397275"/>
    <w:rsid w:val="71683B72"/>
    <w:rsid w:val="71755DD4"/>
    <w:rsid w:val="71A60541"/>
    <w:rsid w:val="71BB1B5A"/>
    <w:rsid w:val="71C535A8"/>
    <w:rsid w:val="71D84CE0"/>
    <w:rsid w:val="71FE1745"/>
    <w:rsid w:val="72087E0A"/>
    <w:rsid w:val="72186237"/>
    <w:rsid w:val="72676064"/>
    <w:rsid w:val="727D4B80"/>
    <w:rsid w:val="728C7879"/>
    <w:rsid w:val="72A07E28"/>
    <w:rsid w:val="72B47DC8"/>
    <w:rsid w:val="72CA076A"/>
    <w:rsid w:val="72D444F2"/>
    <w:rsid w:val="72E476B5"/>
    <w:rsid w:val="72EA4C72"/>
    <w:rsid w:val="73090B02"/>
    <w:rsid w:val="730B7B0B"/>
    <w:rsid w:val="73133AF6"/>
    <w:rsid w:val="732950C8"/>
    <w:rsid w:val="73341FFD"/>
    <w:rsid w:val="735C724B"/>
    <w:rsid w:val="73814A84"/>
    <w:rsid w:val="73C37108"/>
    <w:rsid w:val="73ED27FD"/>
    <w:rsid w:val="73F61BDB"/>
    <w:rsid w:val="74207B19"/>
    <w:rsid w:val="742D6E39"/>
    <w:rsid w:val="743414C6"/>
    <w:rsid w:val="74405F2F"/>
    <w:rsid w:val="74490953"/>
    <w:rsid w:val="7453031D"/>
    <w:rsid w:val="7480345A"/>
    <w:rsid w:val="74803A5D"/>
    <w:rsid w:val="74A6269D"/>
    <w:rsid w:val="74CC21AE"/>
    <w:rsid w:val="74D86DA5"/>
    <w:rsid w:val="74D90B4D"/>
    <w:rsid w:val="75420F96"/>
    <w:rsid w:val="754E0E15"/>
    <w:rsid w:val="75616D9B"/>
    <w:rsid w:val="756D573F"/>
    <w:rsid w:val="756E622E"/>
    <w:rsid w:val="75926677"/>
    <w:rsid w:val="759D6957"/>
    <w:rsid w:val="75BB0D91"/>
    <w:rsid w:val="75D21A46"/>
    <w:rsid w:val="75EB6213"/>
    <w:rsid w:val="761F7B7A"/>
    <w:rsid w:val="76270648"/>
    <w:rsid w:val="765212AD"/>
    <w:rsid w:val="76585AF4"/>
    <w:rsid w:val="765A29A5"/>
    <w:rsid w:val="7673071D"/>
    <w:rsid w:val="767E1BCE"/>
    <w:rsid w:val="76931859"/>
    <w:rsid w:val="76B17777"/>
    <w:rsid w:val="76BB679E"/>
    <w:rsid w:val="76F60EB9"/>
    <w:rsid w:val="770666C4"/>
    <w:rsid w:val="773B3127"/>
    <w:rsid w:val="778C162A"/>
    <w:rsid w:val="77984802"/>
    <w:rsid w:val="779E42D6"/>
    <w:rsid w:val="77D01FB6"/>
    <w:rsid w:val="77DC4DFE"/>
    <w:rsid w:val="780F782A"/>
    <w:rsid w:val="78783C4A"/>
    <w:rsid w:val="78974A35"/>
    <w:rsid w:val="78C626DB"/>
    <w:rsid w:val="78C947D3"/>
    <w:rsid w:val="78CC2212"/>
    <w:rsid w:val="78D53285"/>
    <w:rsid w:val="790B60C7"/>
    <w:rsid w:val="792E3438"/>
    <w:rsid w:val="79E65AC0"/>
    <w:rsid w:val="79FC3536"/>
    <w:rsid w:val="7A050E41"/>
    <w:rsid w:val="7A082A05"/>
    <w:rsid w:val="7A082C5C"/>
    <w:rsid w:val="7A3158C6"/>
    <w:rsid w:val="7A3C0BE4"/>
    <w:rsid w:val="7A554441"/>
    <w:rsid w:val="7A8F7A6A"/>
    <w:rsid w:val="7A965738"/>
    <w:rsid w:val="7AB21E46"/>
    <w:rsid w:val="7AB94F83"/>
    <w:rsid w:val="7AC2124A"/>
    <w:rsid w:val="7AE925AF"/>
    <w:rsid w:val="7B0179C8"/>
    <w:rsid w:val="7B034450"/>
    <w:rsid w:val="7B053505"/>
    <w:rsid w:val="7B2B5D06"/>
    <w:rsid w:val="7B451FBE"/>
    <w:rsid w:val="7B494559"/>
    <w:rsid w:val="7B4D1C06"/>
    <w:rsid w:val="7B963516"/>
    <w:rsid w:val="7BB20D3D"/>
    <w:rsid w:val="7BBF0CBF"/>
    <w:rsid w:val="7BD52290"/>
    <w:rsid w:val="7BE11BCC"/>
    <w:rsid w:val="7BE473F9"/>
    <w:rsid w:val="7BE6624C"/>
    <w:rsid w:val="7BF769D3"/>
    <w:rsid w:val="7C127041"/>
    <w:rsid w:val="7C442F72"/>
    <w:rsid w:val="7CE24C65"/>
    <w:rsid w:val="7D6B2EAC"/>
    <w:rsid w:val="7D87580C"/>
    <w:rsid w:val="7D987E31"/>
    <w:rsid w:val="7DD0449A"/>
    <w:rsid w:val="7DED3078"/>
    <w:rsid w:val="7DF87373"/>
    <w:rsid w:val="7E04294B"/>
    <w:rsid w:val="7E083482"/>
    <w:rsid w:val="7E0B3D48"/>
    <w:rsid w:val="7E4153DE"/>
    <w:rsid w:val="7E626D78"/>
    <w:rsid w:val="7E71755F"/>
    <w:rsid w:val="7EA2457D"/>
    <w:rsid w:val="7EA515B5"/>
    <w:rsid w:val="7EBE76E6"/>
    <w:rsid w:val="7ED21D83"/>
    <w:rsid w:val="7EE60311"/>
    <w:rsid w:val="7EE741A2"/>
    <w:rsid w:val="7EEC216D"/>
    <w:rsid w:val="7F0D3AEF"/>
    <w:rsid w:val="7F0F5AB9"/>
    <w:rsid w:val="7F10538E"/>
    <w:rsid w:val="7F1964E7"/>
    <w:rsid w:val="7F1E5CFC"/>
    <w:rsid w:val="7F5B2AAD"/>
    <w:rsid w:val="7F7935CD"/>
    <w:rsid w:val="7F833DB1"/>
    <w:rsid w:val="7F845A5F"/>
    <w:rsid w:val="7F923FF5"/>
    <w:rsid w:val="7FA96493"/>
    <w:rsid w:val="7FC56178"/>
    <w:rsid w:val="7FEC71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jc w:val="both"/>
    </w:pPr>
    <w:rPr>
      <w:rFonts w:ascii="Times New Roman" w:hAnsi="Times New Roman" w:eastAsia="宋体" w:cstheme="minorBidi"/>
      <w:kern w:val="2"/>
      <w:sz w:val="24"/>
      <w:szCs w:val="24"/>
      <w:lang w:val="en-US" w:eastAsia="zh-CN" w:bidi="ar-SA"/>
    </w:rPr>
  </w:style>
  <w:style w:type="paragraph" w:styleId="2">
    <w:name w:val="heading 1"/>
    <w:basedOn w:val="1"/>
    <w:next w:val="1"/>
    <w:qFormat/>
    <w:uiPriority w:val="0"/>
    <w:pPr>
      <w:keepNext/>
      <w:keepLines/>
      <w:spacing w:beforeLines="0" w:beforeAutospacing="0" w:afterLines="0" w:afterAutospacing="0" w:line="360" w:lineRule="auto"/>
      <w:ind w:firstLine="0" w:firstLineChars="0"/>
      <w:jc w:val="center"/>
      <w:outlineLvl w:val="0"/>
    </w:pPr>
    <w:rPr>
      <w:rFonts w:eastAsia="黑体"/>
      <w:b/>
      <w:bCs/>
      <w:kern w:val="44"/>
      <w:sz w:val="30"/>
      <w:szCs w:val="30"/>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adjustRightInd w:val="0"/>
      <w:snapToGrid w:val="0"/>
      <w:spacing w:line="460" w:lineRule="atLeast"/>
      <w:ind w:firstLine="200" w:firstLineChars="200"/>
    </w:pPr>
    <w:rPr>
      <w:rFonts w:ascii="Times New Roman" w:hAnsi="Times New Roman" w:eastAsia="宋体"/>
      <w:sz w:val="24"/>
    </w:rPr>
  </w:style>
  <w:style w:type="paragraph" w:styleId="4">
    <w:name w:val="caption"/>
    <w:basedOn w:val="1"/>
    <w:next w:val="1"/>
    <w:unhideWhenUsed/>
    <w:qFormat/>
    <w:uiPriority w:val="0"/>
    <w:rPr>
      <w:rFonts w:ascii="Arial" w:hAnsi="Arial" w:eastAsia="黑体"/>
      <w:sz w:val="20"/>
    </w:rPr>
  </w:style>
  <w:style w:type="paragraph" w:styleId="5">
    <w:name w:val="Plain Text"/>
    <w:basedOn w:val="1"/>
    <w:qFormat/>
    <w:uiPriority w:val="0"/>
    <w:rPr>
      <w:rFonts w:ascii="宋体" w:hAnsi="Courier New"/>
      <w:szCs w:val="21"/>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表注图注"/>
    <w:basedOn w:val="1"/>
    <w:qFormat/>
    <w:uiPriority w:val="0"/>
    <w:pPr>
      <w:ind w:firstLine="0" w:firstLineChars="0"/>
      <w:jc w:val="center"/>
    </w:pPr>
    <w:rPr>
      <w:b/>
      <w:bCs/>
      <w:sz w:val="21"/>
      <w:szCs w:val="21"/>
    </w:rPr>
  </w:style>
  <w:style w:type="paragraph" w:customStyle="1" w:styleId="12">
    <w:name w:val="标注"/>
    <w:basedOn w:val="1"/>
    <w:qFormat/>
    <w:uiPriority w:val="0"/>
    <w:pPr>
      <w:adjustRightInd w:val="0"/>
      <w:snapToGrid w:val="0"/>
      <w:ind w:firstLine="0" w:firstLineChars="0"/>
    </w:pPr>
    <w:rPr>
      <w:rFonts w:ascii="Times New Roman" w:hAnsi="Times New Roman" w:eastAsia="宋体" w:cs="Times New Roman"/>
      <w:b/>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6.png"/><Relationship Id="rId23" Type="http://schemas.openxmlformats.org/officeDocument/2006/relationships/image" Target="media/image15.jpeg"/><Relationship Id="rId22" Type="http://schemas.openxmlformats.org/officeDocument/2006/relationships/image" Target="media/image14.png"/><Relationship Id="rId21" Type="http://schemas.openxmlformats.org/officeDocument/2006/relationships/image" Target="media/image13.jpe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wmf"/><Relationship Id="rId14" Type="http://schemas.openxmlformats.org/officeDocument/2006/relationships/oleObject" Target="embeddings/oleObject2.bin"/><Relationship Id="rId13" Type="http://schemas.openxmlformats.org/officeDocument/2006/relationships/image" Target="media/image6.wmf"/><Relationship Id="rId12" Type="http://schemas.openxmlformats.org/officeDocument/2006/relationships/oleObject" Target="embeddings/oleObject1.bin"/><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kzNzUzMzM0MjY3IiwKCSJHcm91cElkIiA6ICIzODg1MDgyOTkiLAoJIkltYWdlIiA6ICJpVkJPUncwS0dnb0FBQUFOU1VoRVVnQUFCREFBQUFIa0NBWUFBQURJQTkrSUFBQUFBWE5TUjBJQXJzNGM2UUFBSUFCSlJFRlVlSnpzM1hsOFhIVzkvL0gzNTV4Sms3YTAyRklXc1VyeFZsdENPem5uRFBCREJGZGMwQ3U0QWxkWlZOeFJGRmRFVWJicmRkZXJ5SlhyVlJBUkJWeFFVRUVVVVZGY3lKeVpKSTJ0QkN4YWdiS1Y3azB5Y3o2L1B6ckJZWnEwU1p0bTB2SjZQaDU1Wk9hN2ZrNWlNUG4wdTBn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RTTS9qOWRIMmd4U3VXT2x3QUFBQUJKUlU1RXJrSmdnZz09IiwKCSJUaGVtZSIgOiAiIiwKCSJUeXBlIiA6ICJmbG93IiwKCSJVc2VySWQiIDogIjM3MDMxNDk0MyIsCgkiVmVyc2lvbiIgOiAiIgp9Cg=="/>
    </extobj>
    <extobj name="ECB019B1-382A-4266-B25C-5B523AA43C14-2">
      <extobjdata type="ECB019B1-382A-4266-B25C-5B523AA43C14" data="ewoJIkZpbGVJZCIgOiAiMzI0MjQzOTA2MTM1IiwKCSJHcm91cElkIiA6ICIzODg1MDgyOTkiLAoJIkltYWdlIiA6ICJpVkJPUncwS0dnb0FBQUFOU1VoRVVnQUFBekFBQUFEVENBWUFBQUJlTVBhcUFBQUFBWE5TUjBJQXJzNGM2UUFBSUFCSlJFRlVlSnpzM1htY1cxWDVQL0RQYzI1bU10TmxvR05iS0ZTWjRraEwyaWIzM0tDSWdvRHdSVkRaQkFWRmY2eUtLSXZnaG9wK0FRVnhCVnhBRkdVVlVWRlFVUkZGRUFWQnlMMlphVHUwWHdvTVdLRnMzYmZwSk9mNS9aRmt6S1JKWisvTXRKLzM2OVZYazNQdlBmZEo1aWE1ejcxbkFZ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iZmMvTy9vTjFObHpvZGtBQUFBQVNVVk9SSzVDWUlJPSIsCgkiVGhlbWUiIDogIiIsCgkiVHlwZSIgOiAiZmxvdyIsCgkiVmVyc2lvbiIgOiAiIgp9Cg=="/>
    </extobj>
    <extobj name="ECB019B1-382A-4266-B25C-5B523AA43C14-3">
      <extobjdata type="ECB019B1-382A-4266-B25C-5B523AA43C14" data="ewoJIkZpbGVJZCIgOiAiMzkxNzc3OTMyMjU3IiwKCSJHcm91cElkIiA6ICIzODg1MDgyOTkiLAoJIkltYWdlIiA6ICJpVkJPUncwS0dnb0FBQUFOU1VoRVVnQUFBdVVBQUFGbUNBWUFBQURLOXVRVkFBQUFBWE5TUjBJQXJzNGM2UUFBSUFCSlJFRlVlSnpzM1hsOEhWWGRQL0RQOTh5a1dkcVVVbllvVXJUU0VwcDc1OHhGUWNDSFZRRVhRRUJGUWNVVnhBMTlSTkJIQlJFUVVGd0FVWCtpOGdpNDRBSzRJQ3FMckNwd1orWW1KVStMUVNLVWZTblEwcWJKbmZQOS9aRzU0ZmIySmsyNjNUVDl2Rit2dkhMdjJlWTd5VFQ5Wm5MbUhJQ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YjRuL0Q5Wjd1UnBKSE0veEFBQUFBRWxGVGtTdVFtQ0MiLAoJIlRoZW1lIiA6ICIiLAoJIlR5cGUiIDogImZsb3ciLAoJIlVzZXJJZCIgOiAiMzcwMzE0OTQz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73</Pages>
  <Words>35</Words>
  <Characters>35</Characters>
  <Lines>0</Lines>
  <Paragraphs>0</Paragraphs>
  <TotalTime>10</TotalTime>
  <ScaleCrop>false</ScaleCrop>
  <LinksUpToDate>false</LinksUpToDate>
  <CharactersWithSpaces>35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2024-08-05T03:59:00Z</dcterms:created>
  <dc:creator>拾</dc:creator>
  <cp:lastModifiedBy>拾</cp:lastModifiedBy>
  <cp:lastPrinted>2025-03-03T06:04:00Z</cp:lastPrinted>
  <dcterms:modified xsi:type="dcterms:W3CDTF">2025-05-15T07:06:12Z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BF18B327208A4EE196C1F782632D6BAA_13</vt:lpwstr>
  </property>
  <property fmtid="{D5CDD505-2E9C-101B-9397-08002B2CF9AE}" pid="4" name="KSOTemplateDocerSaveRecord">
    <vt:lpwstr>eyJoZGlkIjoiYTI4OTQyYWQxMTk4OThiOTA2YzA1YjgxN2IzYjZkMmIiLCJ1c2VySWQiOiIzNzAzMTQ5NDMifQ==</vt:lpwstr>
  </property>
</Properties>
</file>